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6E5885B" w14:textId="77777777" w:rsidR="00022B6D" w:rsidRPr="004A29FC" w:rsidRDefault="00022B6D" w:rsidP="00022B6D">
      <w:pPr>
        <w:rPr>
          <w:sz w:val="344"/>
          <w:szCs w:val="344"/>
        </w:rPr>
      </w:pPr>
    </w:p>
    <w:p w14:paraId="5EAD0EB5" w14:textId="0625FF0D" w:rsidR="00493401" w:rsidRPr="00613E2F" w:rsidRDefault="007F1DE6" w:rsidP="00643282">
      <w:pPr>
        <w:spacing w:after="400"/>
        <w:ind w:left="-142" w:right="-568"/>
        <w:rPr>
          <w:sz w:val="40"/>
          <w:szCs w:val="40"/>
        </w:rPr>
      </w:pPr>
      <w:r w:rsidRPr="00613E2F">
        <w:rPr>
          <w:color w:val="007BC1"/>
          <w:sz w:val="40"/>
          <w:szCs w:val="40"/>
        </w:rPr>
        <w:t>Standardisation</w:t>
      </w:r>
      <w:r w:rsidR="000866EB" w:rsidRPr="00613E2F">
        <w:rPr>
          <w:color w:val="007BC1"/>
          <w:sz w:val="40"/>
          <w:szCs w:val="40"/>
        </w:rPr>
        <w:t xml:space="preserve"> </w:t>
      </w:r>
      <w:r w:rsidR="0009208D">
        <w:rPr>
          <w:color w:val="007BC1"/>
          <w:sz w:val="40"/>
          <w:szCs w:val="40"/>
        </w:rPr>
        <w:t xml:space="preserve">Related Reforms </w:t>
      </w:r>
      <w:r w:rsidR="00632257">
        <w:rPr>
          <w:color w:val="007BC1"/>
          <w:sz w:val="40"/>
          <w:szCs w:val="40"/>
        </w:rPr>
        <w:t xml:space="preserve">and </w:t>
      </w:r>
      <w:r w:rsidR="0009208D">
        <w:rPr>
          <w:color w:val="007BC1"/>
          <w:sz w:val="40"/>
          <w:szCs w:val="40"/>
        </w:rPr>
        <w:t xml:space="preserve">the </w:t>
      </w:r>
      <w:r w:rsidR="00632257">
        <w:rPr>
          <w:color w:val="007BC1"/>
          <w:sz w:val="40"/>
          <w:szCs w:val="40"/>
        </w:rPr>
        <w:t xml:space="preserve">Capacity Trading Platform </w:t>
      </w:r>
    </w:p>
    <w:p w14:paraId="301A1524" w14:textId="77777777" w:rsidR="00493401" w:rsidRPr="00613E2F" w:rsidRDefault="002E5E25" w:rsidP="00FB0886">
      <w:pPr>
        <w:pStyle w:val="Subtitle"/>
        <w:ind w:left="-142" w:right="709"/>
        <w:rPr>
          <w:rFonts w:asciiTheme="majorHAnsi" w:hAnsiTheme="majorHAnsi" w:cstheme="majorHAnsi"/>
          <w:b/>
          <w:color w:val="auto"/>
          <w:sz w:val="36"/>
          <w:szCs w:val="36"/>
        </w:rPr>
      </w:pPr>
      <w:bookmarkStart w:id="0" w:name="_Hlk487713733"/>
      <w:r w:rsidRPr="00613E2F">
        <w:rPr>
          <w:rFonts w:asciiTheme="majorHAnsi" w:hAnsiTheme="majorHAnsi" w:cstheme="majorHAnsi"/>
          <w:b/>
          <w:color w:val="auto"/>
          <w:sz w:val="36"/>
          <w:szCs w:val="36"/>
        </w:rPr>
        <w:t xml:space="preserve">Consultation </w:t>
      </w:r>
      <w:r w:rsidR="00493401" w:rsidRPr="00613E2F">
        <w:rPr>
          <w:rFonts w:asciiTheme="majorHAnsi" w:hAnsiTheme="majorHAnsi" w:cstheme="majorHAnsi"/>
          <w:b/>
          <w:color w:val="auto"/>
          <w:sz w:val="36"/>
          <w:szCs w:val="36"/>
        </w:rPr>
        <w:t>Paper</w:t>
      </w:r>
    </w:p>
    <w:p w14:paraId="73A9C251" w14:textId="77777777" w:rsidR="00493401" w:rsidRPr="002412D5" w:rsidRDefault="00310334" w:rsidP="00FB0886">
      <w:pPr>
        <w:pStyle w:val="Date"/>
        <w:ind w:left="-142"/>
        <w:rPr>
          <w:sz w:val="28"/>
          <w:szCs w:val="28"/>
        </w:rPr>
      </w:pPr>
      <w:r>
        <w:rPr>
          <w:sz w:val="28"/>
          <w:szCs w:val="28"/>
        </w:rPr>
        <w:t>September</w:t>
      </w:r>
      <w:r w:rsidR="00493401" w:rsidRPr="002412D5">
        <w:rPr>
          <w:sz w:val="28"/>
          <w:szCs w:val="28"/>
        </w:rPr>
        <w:t xml:space="preserve"> 2017</w:t>
      </w:r>
    </w:p>
    <w:bookmarkEnd w:id="0"/>
    <w:p w14:paraId="2DC49ADF" w14:textId="77777777" w:rsidR="004A29FC" w:rsidRDefault="004A29FC">
      <w:pPr>
        <w:rPr>
          <w:rFonts w:eastAsiaTheme="minorEastAsia"/>
          <w:sz w:val="344"/>
          <w:szCs w:val="344"/>
        </w:rPr>
      </w:pPr>
    </w:p>
    <w:p w14:paraId="59EAE725" w14:textId="77777777" w:rsidR="00570893" w:rsidRDefault="00493401">
      <w:pPr>
        <w:rPr>
          <w:rFonts w:eastAsiaTheme="minorEastAsia"/>
        </w:rPr>
        <w:sectPr w:rsidR="00570893" w:rsidSect="00CF1252">
          <w:headerReference w:type="default" r:id="rId11"/>
          <w:footerReference w:type="even" r:id="rId12"/>
          <w:headerReference w:type="first" r:id="rId13"/>
          <w:footerReference w:type="first" r:id="rId14"/>
          <w:type w:val="continuous"/>
          <w:pgSz w:w="11907" w:h="16840" w:code="9"/>
          <w:pgMar w:top="1361" w:right="1418" w:bottom="992" w:left="1701" w:header="567" w:footer="397" w:gutter="0"/>
          <w:pgNumType w:fmt="lowerRoman"/>
          <w:cols w:space="708"/>
          <w:titlePg/>
          <w:docGrid w:linePitch="360"/>
        </w:sectPr>
      </w:pPr>
      <w:r>
        <w:rPr>
          <w:noProof/>
        </w:rPr>
        <w:drawing>
          <wp:inline distT="0" distB="0" distL="0" distR="0" wp14:anchorId="3B9ACBB1" wp14:editId="51DA65C5">
            <wp:extent cx="2857500" cy="838200"/>
            <wp:effectExtent l="0" t="0" r="0" b="0"/>
            <wp:docPr id="1" name="Picture 1"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atherine Lowe\AppData\Local\Microsoft\Windows\INetCacheContent.Word\GMRG-logo-small.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838200"/>
                    </a:xfrm>
                    <a:prstGeom prst="rect">
                      <a:avLst/>
                    </a:prstGeom>
                    <a:noFill/>
                    <a:ln>
                      <a:noFill/>
                    </a:ln>
                  </pic:spPr>
                </pic:pic>
              </a:graphicData>
            </a:graphic>
          </wp:inline>
        </w:drawing>
      </w:r>
    </w:p>
    <w:p w14:paraId="23B24D6F" w14:textId="77777777" w:rsidR="00570893" w:rsidRPr="00844DE2" w:rsidRDefault="00570893" w:rsidP="00570893">
      <w:pPr>
        <w:pageBreakBefore/>
        <w:spacing w:after="600" w:line="240" w:lineRule="auto"/>
        <w:outlineLvl w:val="3"/>
        <w:rPr>
          <w:rFonts w:asciiTheme="majorHAnsi" w:eastAsiaTheme="minorEastAsia" w:hAnsiTheme="majorHAnsi" w:cstheme="majorBidi"/>
          <w:b/>
          <w:bCs/>
          <w:color w:val="0099CC"/>
          <w:sz w:val="32"/>
          <w:szCs w:val="28"/>
        </w:rPr>
      </w:pPr>
      <w:r w:rsidRPr="00844DE2">
        <w:rPr>
          <w:rFonts w:asciiTheme="majorHAnsi" w:eastAsiaTheme="minorEastAsia" w:hAnsiTheme="majorHAnsi" w:cstheme="majorBidi"/>
          <w:b/>
          <w:bCs/>
          <w:color w:val="0099CC"/>
          <w:sz w:val="32"/>
          <w:szCs w:val="28"/>
        </w:rPr>
        <w:lastRenderedPageBreak/>
        <w:t>Submissions</w:t>
      </w:r>
    </w:p>
    <w:p w14:paraId="0A5170BF" w14:textId="77777777" w:rsidR="00570893" w:rsidRPr="00FC2047" w:rsidRDefault="00570893" w:rsidP="00FC2047">
      <w:pPr>
        <w:spacing w:before="240" w:after="120"/>
      </w:pPr>
      <w:bookmarkStart w:id="19" w:name="_Hlk487648237"/>
      <w:r w:rsidRPr="00844DE2">
        <w:t xml:space="preserve">Stakeholders are encouraged to make submissions in response to this </w:t>
      </w:r>
      <w:r w:rsidR="0083640E" w:rsidRPr="00844DE2">
        <w:t xml:space="preserve">Consultation </w:t>
      </w:r>
      <w:r w:rsidRPr="00844DE2">
        <w:t xml:space="preserve">Paper </w:t>
      </w:r>
      <w:r w:rsidRPr="006E75F9">
        <w:t xml:space="preserve">by </w:t>
      </w:r>
      <w:r w:rsidRPr="006E75F9">
        <w:rPr>
          <w:b/>
        </w:rPr>
        <w:t>5pm (AEST)</w:t>
      </w:r>
      <w:r w:rsidRPr="006E75F9">
        <w:t xml:space="preserve"> </w:t>
      </w:r>
      <w:r w:rsidR="00616B0F" w:rsidRPr="006E75F9">
        <w:rPr>
          <w:b/>
        </w:rPr>
        <w:t>4</w:t>
      </w:r>
      <w:r w:rsidR="001B7CE2" w:rsidRPr="006E75F9">
        <w:rPr>
          <w:b/>
        </w:rPr>
        <w:t xml:space="preserve"> </w:t>
      </w:r>
      <w:r w:rsidR="00616B0F" w:rsidRPr="006E75F9">
        <w:rPr>
          <w:b/>
        </w:rPr>
        <w:t xml:space="preserve">October </w:t>
      </w:r>
      <w:r w:rsidRPr="006E75F9">
        <w:rPr>
          <w:b/>
        </w:rPr>
        <w:t>2017</w:t>
      </w:r>
      <w:r w:rsidRPr="006E75F9">
        <w:t>.</w:t>
      </w:r>
    </w:p>
    <w:bookmarkEnd w:id="19"/>
    <w:p w14:paraId="715F058F" w14:textId="698DF80B" w:rsidR="00570893" w:rsidRPr="00FC2047" w:rsidRDefault="00570893" w:rsidP="00FC2047">
      <w:pPr>
        <w:spacing w:before="240" w:after="120"/>
      </w:pPr>
      <w:r w:rsidRPr="00FC2047">
        <w:t xml:space="preserve">Electronic submissions are preferred and can be sent via e-mail addressed to the Gas Market Reform Group (GMRG) at </w:t>
      </w:r>
      <w:hyperlink r:id="rId16" w:history="1">
        <w:r w:rsidR="00581557" w:rsidRPr="001D2A44">
          <w:rPr>
            <w:rStyle w:val="Hyperlink"/>
            <w:rFonts w:cs="Arial"/>
          </w:rPr>
          <w:t>enquiries@gmrg.coagenergycouncil.gov.au</w:t>
        </w:r>
      </w:hyperlink>
    </w:p>
    <w:p w14:paraId="6565254D" w14:textId="77777777" w:rsidR="00570893" w:rsidRPr="00FC2047" w:rsidRDefault="00570893" w:rsidP="00FC2047">
      <w:pPr>
        <w:widowControl w:val="0"/>
        <w:suppressAutoHyphens/>
        <w:autoSpaceDE w:val="0"/>
        <w:autoSpaceDN w:val="0"/>
        <w:adjustRightInd w:val="0"/>
        <w:spacing w:before="240" w:after="120"/>
        <w:textAlignment w:val="center"/>
        <w:rPr>
          <w:lang w:eastAsia="en-US"/>
        </w:rPr>
      </w:pPr>
      <w:r w:rsidRPr="00FC2047">
        <w:rPr>
          <w:lang w:eastAsia="en-US"/>
        </w:rPr>
        <w:t>Stakeholders who wish to provide hard copies by post may do so by addressing their submissions to:</w:t>
      </w:r>
    </w:p>
    <w:p w14:paraId="7454D99B" w14:textId="77777777" w:rsidR="00570893" w:rsidRPr="00FC2047" w:rsidRDefault="00570893" w:rsidP="00570893">
      <w:pPr>
        <w:widowControl w:val="0"/>
        <w:suppressAutoHyphens/>
        <w:autoSpaceDE w:val="0"/>
        <w:autoSpaceDN w:val="0"/>
        <w:adjustRightInd w:val="0"/>
        <w:spacing w:line="240" w:lineRule="auto"/>
        <w:ind w:left="851"/>
        <w:textAlignment w:val="center"/>
        <w:rPr>
          <w:rFonts w:eastAsia="Cambria" w:cs="Arial"/>
          <w:lang w:val="en-GB" w:eastAsia="en-US"/>
        </w:rPr>
      </w:pPr>
      <w:r w:rsidRPr="00FC2047">
        <w:rPr>
          <w:rFonts w:eastAsia="Cambria" w:cs="Arial"/>
          <w:lang w:val="en-GB" w:eastAsia="en-US"/>
        </w:rPr>
        <w:t>Gas Market Reform Group</w:t>
      </w:r>
    </w:p>
    <w:p w14:paraId="762CF8F4" w14:textId="77777777" w:rsidR="00570893" w:rsidRPr="00CC30F1" w:rsidRDefault="00A429E7" w:rsidP="00570893">
      <w:pPr>
        <w:widowControl w:val="0"/>
        <w:suppressAutoHyphens/>
        <w:autoSpaceDE w:val="0"/>
        <w:autoSpaceDN w:val="0"/>
        <w:adjustRightInd w:val="0"/>
        <w:spacing w:line="240" w:lineRule="auto"/>
        <w:ind w:left="851"/>
        <w:textAlignment w:val="center"/>
        <w:rPr>
          <w:rFonts w:eastAsia="Cambria" w:cs="Arial"/>
          <w:sz w:val="24"/>
          <w:lang w:val="en-GB" w:eastAsia="en-US"/>
        </w:rPr>
      </w:pPr>
      <w:r w:rsidRPr="00CC30F1">
        <w:rPr>
          <w:rFonts w:eastAsia="Cambria" w:cs="Arial"/>
          <w:sz w:val="24"/>
          <w:lang w:val="en-GB" w:eastAsia="en-US"/>
        </w:rPr>
        <w:t>c/o Australian Energy Market Commission</w:t>
      </w:r>
    </w:p>
    <w:p w14:paraId="3657AD57" w14:textId="77777777" w:rsidR="00A429E7" w:rsidRPr="00FC2047" w:rsidRDefault="00A429E7" w:rsidP="00570893">
      <w:pPr>
        <w:widowControl w:val="0"/>
        <w:suppressAutoHyphens/>
        <w:autoSpaceDE w:val="0"/>
        <w:autoSpaceDN w:val="0"/>
        <w:adjustRightInd w:val="0"/>
        <w:spacing w:line="240" w:lineRule="auto"/>
        <w:ind w:left="851"/>
        <w:textAlignment w:val="center"/>
        <w:rPr>
          <w:rFonts w:eastAsia="Cambria" w:cs="Arial"/>
          <w:lang w:val="en-GB" w:eastAsia="en-US"/>
        </w:rPr>
      </w:pPr>
      <w:r w:rsidRPr="00FC2047">
        <w:rPr>
          <w:rFonts w:eastAsia="Cambria" w:cs="Arial"/>
          <w:lang w:val="en-GB" w:eastAsia="en-US"/>
        </w:rPr>
        <w:t>PO Box A2449</w:t>
      </w:r>
    </w:p>
    <w:p w14:paraId="5CA1B074" w14:textId="77777777" w:rsidR="00570893" w:rsidRPr="00FC2047" w:rsidRDefault="00A429E7" w:rsidP="00FC2047">
      <w:pPr>
        <w:widowControl w:val="0"/>
        <w:suppressAutoHyphens/>
        <w:autoSpaceDE w:val="0"/>
        <w:autoSpaceDN w:val="0"/>
        <w:adjustRightInd w:val="0"/>
        <w:spacing w:line="240" w:lineRule="auto"/>
        <w:ind w:left="851"/>
        <w:textAlignment w:val="center"/>
        <w:rPr>
          <w:rFonts w:eastAsia="Cambria" w:cs="Arial"/>
          <w:lang w:val="en-GB" w:eastAsia="en-US"/>
        </w:rPr>
      </w:pPr>
      <w:r w:rsidRPr="00FC2047">
        <w:rPr>
          <w:rFonts w:eastAsia="Cambria" w:cs="Arial"/>
          <w:lang w:val="en-GB" w:eastAsia="en-US"/>
        </w:rPr>
        <w:t xml:space="preserve">Sydney </w:t>
      </w:r>
      <w:r w:rsidR="008C4D94" w:rsidRPr="00FC2047">
        <w:rPr>
          <w:rFonts w:eastAsia="Cambria" w:cs="Arial"/>
          <w:lang w:val="en-GB" w:eastAsia="en-US"/>
        </w:rPr>
        <w:t>South NSW</w:t>
      </w:r>
      <w:r w:rsidR="007D03EF" w:rsidRPr="00FC2047">
        <w:rPr>
          <w:rFonts w:eastAsia="Cambria" w:cs="Arial"/>
          <w:lang w:val="en-GB" w:eastAsia="en-US"/>
        </w:rPr>
        <w:t xml:space="preserve"> </w:t>
      </w:r>
      <w:r w:rsidRPr="00FC2047">
        <w:rPr>
          <w:rFonts w:eastAsia="Cambria" w:cs="Arial"/>
          <w:lang w:val="en-GB" w:eastAsia="en-US"/>
        </w:rPr>
        <w:t>1235</w:t>
      </w:r>
    </w:p>
    <w:p w14:paraId="41FB47C7" w14:textId="06719F1B" w:rsidR="00570893" w:rsidRPr="00570893" w:rsidRDefault="00570893" w:rsidP="00FC2047">
      <w:pPr>
        <w:spacing w:before="240" w:after="120"/>
      </w:pPr>
      <w:r w:rsidRPr="00570893">
        <w:t xml:space="preserve">The GMRG has a strong preference for public submissions to generate full and frank debate. </w:t>
      </w:r>
      <w:r w:rsidRPr="00570893">
        <w:rPr>
          <w:rFonts w:cs="Arial"/>
          <w:lang w:val="en"/>
        </w:rPr>
        <w:t xml:space="preserve">All stakeholder submissions will be published on the </w:t>
      </w:r>
      <w:r w:rsidR="00C23AD0">
        <w:rPr>
          <w:rFonts w:cs="Arial"/>
          <w:lang w:val="en"/>
        </w:rPr>
        <w:t xml:space="preserve">GMRG’s </w:t>
      </w:r>
      <w:r w:rsidRPr="00570893">
        <w:rPr>
          <w:rFonts w:cs="Arial"/>
          <w:lang w:val="en"/>
        </w:rPr>
        <w:t xml:space="preserve">website </w:t>
      </w:r>
      <w:r w:rsidRPr="00570893">
        <w:t>at</w:t>
      </w:r>
      <w:r w:rsidR="008C4D94">
        <w:t xml:space="preserve"> </w:t>
      </w:r>
      <w:hyperlink r:id="rId17" w:history="1">
        <w:r w:rsidR="00956FF7" w:rsidRPr="002D482F">
          <w:rPr>
            <w:rStyle w:val="Hyperlink"/>
          </w:rPr>
          <w:t>http://gmrg.coagenergycouncil.gov.au/</w:t>
        </w:r>
      </w:hyperlink>
      <w:r w:rsidR="00956FF7">
        <w:t xml:space="preserve"> </w:t>
      </w:r>
      <w:r w:rsidRPr="00570893">
        <w:rPr>
          <w:rFonts w:cs="Arial"/>
          <w:color w:val="000000"/>
          <w:lang w:val="en"/>
        </w:rPr>
        <w:t>unless stakeholders have clearly indicated that a submission should remain confidential, either in whole or in part.</w:t>
      </w:r>
      <w:r w:rsidRPr="00570893">
        <w:t xml:space="preserve"> </w:t>
      </w:r>
    </w:p>
    <w:p w14:paraId="5FFD7DE0" w14:textId="77777777" w:rsidR="00570893" w:rsidRPr="00570893" w:rsidRDefault="00570893" w:rsidP="00FC2047">
      <w:pPr>
        <w:spacing w:before="240" w:after="120"/>
        <w:rPr>
          <w:rFonts w:cs="Arial"/>
        </w:rPr>
      </w:pPr>
      <w:r w:rsidRPr="00570893">
        <w:rPr>
          <w:rFonts w:cs="Arial"/>
        </w:rPr>
        <w:t xml:space="preserve">Please note that this paper is intended to examine the options associated with the </w:t>
      </w:r>
      <w:r w:rsidR="00C76541">
        <w:rPr>
          <w:rFonts w:cs="Arial"/>
        </w:rPr>
        <w:t xml:space="preserve">development of standard terms and other measures to reduce the barriers to secondary trading of </w:t>
      </w:r>
      <w:r w:rsidR="002E5E25">
        <w:rPr>
          <w:rFonts w:cs="Arial"/>
        </w:rPr>
        <w:t xml:space="preserve">pipeline and </w:t>
      </w:r>
      <w:r w:rsidR="00C76541">
        <w:rPr>
          <w:rFonts w:cs="Arial"/>
        </w:rPr>
        <w:t xml:space="preserve">stand-alone compression </w:t>
      </w:r>
      <w:r w:rsidR="002E5E25">
        <w:rPr>
          <w:rFonts w:cs="Arial"/>
        </w:rPr>
        <w:t>service capacity</w:t>
      </w:r>
      <w:r w:rsidRPr="00570893">
        <w:rPr>
          <w:rFonts w:cs="Arial"/>
        </w:rPr>
        <w:t>. It is intended for consultation and does not reflec</w:t>
      </w:r>
      <w:r w:rsidR="00FC2047">
        <w:rPr>
          <w:rFonts w:cs="Arial"/>
        </w:rPr>
        <w:t xml:space="preserve">t the final views of the GMRG. </w:t>
      </w:r>
    </w:p>
    <w:p w14:paraId="1AD2D963" w14:textId="4FF191DE" w:rsidR="00570893" w:rsidRDefault="00570893" w:rsidP="00FC2047">
      <w:pPr>
        <w:spacing w:before="240" w:after="120"/>
      </w:pPr>
      <w:r w:rsidRPr="00570893">
        <w:rPr>
          <w:rFonts w:cs="Arial"/>
        </w:rPr>
        <w:t>For further information ab</w:t>
      </w:r>
      <w:r w:rsidRPr="008C4D94">
        <w:rPr>
          <w:rFonts w:cs="Arial"/>
        </w:rPr>
        <w:t>out</w:t>
      </w:r>
      <w:r w:rsidRPr="00570893">
        <w:rPr>
          <w:rFonts w:cs="Arial"/>
        </w:rPr>
        <w:t xml:space="preserve"> </w:t>
      </w:r>
      <w:r w:rsidR="002E5E25">
        <w:rPr>
          <w:rFonts w:cs="Arial"/>
        </w:rPr>
        <w:t xml:space="preserve">this Consultation </w:t>
      </w:r>
      <w:r w:rsidRPr="008C4D94">
        <w:rPr>
          <w:rFonts w:cs="Arial"/>
        </w:rPr>
        <w:t xml:space="preserve">Paper or making a submission, please contact the GMRG via email at </w:t>
      </w:r>
      <w:hyperlink r:id="rId18" w:history="1">
        <w:r w:rsidR="00581557" w:rsidRPr="001D2A44">
          <w:rPr>
            <w:rStyle w:val="Hyperlink"/>
            <w:rFonts w:cs="Arial"/>
          </w:rPr>
          <w:t>enquiries@gmrg.coagenergycouncil.gov.au</w:t>
        </w:r>
      </w:hyperlink>
      <w:r w:rsidR="00581557">
        <w:t xml:space="preserve"> </w:t>
      </w:r>
    </w:p>
    <w:p w14:paraId="6A76399F" w14:textId="77777777" w:rsidR="004A29FC" w:rsidRPr="004A29FC" w:rsidRDefault="004A29FC" w:rsidP="00FC2047">
      <w:pPr>
        <w:pStyle w:val="Pa4"/>
        <w:spacing w:before="240" w:after="120" w:line="264" w:lineRule="auto"/>
        <w:rPr>
          <w:rFonts w:asciiTheme="majorHAnsi" w:hAnsiTheme="majorHAnsi" w:cstheme="majorHAnsi"/>
          <w:color w:val="000000"/>
          <w:sz w:val="144"/>
          <w:szCs w:val="144"/>
        </w:rPr>
      </w:pPr>
    </w:p>
    <w:p w14:paraId="2938088A" w14:textId="77777777" w:rsidR="006B1D5E" w:rsidRPr="002E5E25" w:rsidRDefault="006B1D5E" w:rsidP="00FC2047">
      <w:pPr>
        <w:pStyle w:val="Pa4"/>
        <w:spacing w:before="240" w:after="120" w:line="264" w:lineRule="auto"/>
        <w:rPr>
          <w:rFonts w:asciiTheme="majorHAnsi" w:hAnsiTheme="majorHAnsi" w:cstheme="majorHAnsi"/>
          <w:color w:val="000000"/>
          <w:sz w:val="20"/>
          <w:szCs w:val="20"/>
        </w:rPr>
      </w:pPr>
      <w:r w:rsidRPr="002E5E25">
        <w:rPr>
          <w:rFonts w:asciiTheme="majorHAnsi" w:hAnsiTheme="majorHAnsi" w:cstheme="majorHAnsi"/>
          <w:color w:val="000000"/>
          <w:sz w:val="20"/>
          <w:szCs w:val="20"/>
        </w:rPr>
        <w:t>The views and opinions expressed in this publication are those of the GMRG</w:t>
      </w:r>
      <w:r w:rsidR="00FC2047" w:rsidRPr="002E5E25">
        <w:rPr>
          <w:rFonts w:asciiTheme="majorHAnsi" w:hAnsiTheme="majorHAnsi" w:cstheme="majorHAnsi"/>
          <w:color w:val="000000"/>
          <w:sz w:val="20"/>
          <w:szCs w:val="20"/>
        </w:rPr>
        <w:t xml:space="preserve">. </w:t>
      </w:r>
    </w:p>
    <w:p w14:paraId="65AC5F30" w14:textId="77777777" w:rsidR="006B1D5E" w:rsidRPr="002E5E25" w:rsidRDefault="006B1D5E" w:rsidP="00FC2047">
      <w:pPr>
        <w:spacing w:before="240" w:after="120"/>
        <w:rPr>
          <w:rFonts w:asciiTheme="majorHAnsi" w:hAnsiTheme="majorHAnsi" w:cstheme="majorHAnsi"/>
          <w:sz w:val="20"/>
          <w:szCs w:val="20"/>
        </w:rPr>
      </w:pPr>
      <w:r w:rsidRPr="002E5E25">
        <w:rPr>
          <w:rFonts w:asciiTheme="majorHAnsi" w:hAnsiTheme="majorHAnsi" w:cstheme="majorHAnsi"/>
          <w:color w:val="000000"/>
          <w:sz w:val="20"/>
          <w:szCs w:val="20"/>
        </w:rPr>
        <w:t>While reasonable efforts have been made to ensure that the contents of this publication are factually correct, the GMRG does not accept responsibility for the accuracy or completeness of the contents, and shall not be liable for any loss or damage that may be occasioned directly or indirectly through the use of, or reliance on, the contents of this publication.</w:t>
      </w:r>
    </w:p>
    <w:p w14:paraId="20CC921A" w14:textId="77777777" w:rsidR="006B1D5E" w:rsidRPr="00570893" w:rsidRDefault="006B1D5E" w:rsidP="006B1D5E"/>
    <w:p w14:paraId="630DA4DE" w14:textId="77777777" w:rsidR="00570893" w:rsidRDefault="00570893">
      <w:pPr>
        <w:rPr>
          <w:rFonts w:eastAsiaTheme="minorEastAsia"/>
        </w:rPr>
        <w:sectPr w:rsidR="00570893" w:rsidSect="00CF1252">
          <w:headerReference w:type="first" r:id="rId19"/>
          <w:pgSz w:w="11907" w:h="16840" w:code="9"/>
          <w:pgMar w:top="1361" w:right="1418" w:bottom="992" w:left="1701" w:header="567" w:footer="397" w:gutter="0"/>
          <w:pgNumType w:fmt="lowerRoman"/>
          <w:cols w:space="708"/>
          <w:titlePg/>
          <w:docGrid w:linePitch="360"/>
        </w:sectPr>
      </w:pPr>
    </w:p>
    <w:p w14:paraId="1D7AC60C" w14:textId="77777777" w:rsidR="00AA3026" w:rsidRPr="00DE2084" w:rsidRDefault="00AA3026" w:rsidP="00E2663A">
      <w:pPr>
        <w:pStyle w:val="TOCHeading"/>
        <w:spacing w:after="240"/>
      </w:pPr>
      <w:r w:rsidRPr="00DE2084">
        <w:lastRenderedPageBreak/>
        <w:t>Contents</w:t>
      </w:r>
    </w:p>
    <w:p w14:paraId="70F9196F" w14:textId="6894F4BE" w:rsidR="00AA17FC" w:rsidRDefault="00CC006A">
      <w:pPr>
        <w:pStyle w:val="TOC1"/>
        <w:rPr>
          <w:rFonts w:asciiTheme="minorHAnsi" w:eastAsiaTheme="minorEastAsia" w:hAnsiTheme="minorHAnsi"/>
          <w:b w:val="0"/>
          <w:lang w:eastAsia="en-AU"/>
        </w:rPr>
      </w:pPr>
      <w:r>
        <w:rPr>
          <w:rFonts w:eastAsiaTheme="minorEastAsia"/>
          <w:b w:val="0"/>
        </w:rPr>
        <w:fldChar w:fldCharType="begin"/>
      </w:r>
      <w:r>
        <w:rPr>
          <w:rFonts w:eastAsiaTheme="minorEastAsia"/>
          <w:b w:val="0"/>
        </w:rPr>
        <w:instrText xml:space="preserve"> TOC \o "1-2" \h \z \u </w:instrText>
      </w:r>
      <w:r>
        <w:rPr>
          <w:rFonts w:eastAsiaTheme="minorEastAsia"/>
          <w:b w:val="0"/>
        </w:rPr>
        <w:fldChar w:fldCharType="separate"/>
      </w:r>
      <w:hyperlink w:anchor="_Toc492524726" w:history="1">
        <w:r w:rsidR="00AA17FC" w:rsidRPr="00F93262">
          <w:rPr>
            <w:rStyle w:val="Hyperlink"/>
          </w:rPr>
          <w:t>Abbreviations</w:t>
        </w:r>
        <w:r w:rsidR="00AA17FC">
          <w:rPr>
            <w:webHidden/>
          </w:rPr>
          <w:tab/>
        </w:r>
        <w:r w:rsidR="00AA17FC">
          <w:rPr>
            <w:webHidden/>
          </w:rPr>
          <w:fldChar w:fldCharType="begin"/>
        </w:r>
        <w:r w:rsidR="00AA17FC">
          <w:rPr>
            <w:webHidden/>
          </w:rPr>
          <w:instrText xml:space="preserve"> PAGEREF _Toc492524726 \h </w:instrText>
        </w:r>
        <w:r w:rsidR="00AA17FC">
          <w:rPr>
            <w:webHidden/>
          </w:rPr>
        </w:r>
        <w:r w:rsidR="00AA17FC">
          <w:rPr>
            <w:webHidden/>
          </w:rPr>
          <w:fldChar w:fldCharType="separate"/>
        </w:r>
        <w:r w:rsidR="00947034">
          <w:rPr>
            <w:webHidden/>
          </w:rPr>
          <w:t>iii</w:t>
        </w:r>
        <w:r w:rsidR="00AA17FC">
          <w:rPr>
            <w:webHidden/>
          </w:rPr>
          <w:fldChar w:fldCharType="end"/>
        </w:r>
      </w:hyperlink>
    </w:p>
    <w:p w14:paraId="1F51BB46" w14:textId="35C0DC75" w:rsidR="00AA17FC" w:rsidRDefault="009E6A8A">
      <w:pPr>
        <w:pStyle w:val="TOC1"/>
        <w:rPr>
          <w:rFonts w:asciiTheme="minorHAnsi" w:eastAsiaTheme="minorEastAsia" w:hAnsiTheme="minorHAnsi"/>
          <w:b w:val="0"/>
          <w:lang w:eastAsia="en-AU"/>
        </w:rPr>
      </w:pPr>
      <w:hyperlink w:anchor="_Toc492524727" w:history="1">
        <w:r w:rsidR="00AA17FC" w:rsidRPr="00F93262">
          <w:rPr>
            <w:rStyle w:val="Hyperlink"/>
          </w:rPr>
          <w:t>1.</w:t>
        </w:r>
        <w:r w:rsidR="00AA17FC">
          <w:rPr>
            <w:rFonts w:asciiTheme="minorHAnsi" w:eastAsiaTheme="minorEastAsia" w:hAnsiTheme="minorHAnsi"/>
            <w:b w:val="0"/>
            <w:lang w:eastAsia="en-AU"/>
          </w:rPr>
          <w:tab/>
        </w:r>
        <w:r w:rsidR="00AA17FC" w:rsidRPr="00F93262">
          <w:rPr>
            <w:rStyle w:val="Hyperlink"/>
          </w:rPr>
          <w:t>Introduction</w:t>
        </w:r>
        <w:r w:rsidR="00AA17FC">
          <w:rPr>
            <w:webHidden/>
          </w:rPr>
          <w:tab/>
        </w:r>
        <w:r w:rsidR="00AA17FC">
          <w:rPr>
            <w:webHidden/>
          </w:rPr>
          <w:fldChar w:fldCharType="begin"/>
        </w:r>
        <w:r w:rsidR="00AA17FC">
          <w:rPr>
            <w:webHidden/>
          </w:rPr>
          <w:instrText xml:space="preserve"> PAGEREF _Toc492524727 \h </w:instrText>
        </w:r>
        <w:r w:rsidR="00AA17FC">
          <w:rPr>
            <w:webHidden/>
          </w:rPr>
        </w:r>
        <w:r w:rsidR="00AA17FC">
          <w:rPr>
            <w:webHidden/>
          </w:rPr>
          <w:fldChar w:fldCharType="separate"/>
        </w:r>
        <w:r w:rsidR="00947034">
          <w:rPr>
            <w:webHidden/>
          </w:rPr>
          <w:t>5</w:t>
        </w:r>
        <w:r w:rsidR="00AA17FC">
          <w:rPr>
            <w:webHidden/>
          </w:rPr>
          <w:fldChar w:fldCharType="end"/>
        </w:r>
      </w:hyperlink>
    </w:p>
    <w:p w14:paraId="1D8A4153" w14:textId="33CA4928" w:rsidR="00AA17FC" w:rsidRDefault="009E6A8A">
      <w:pPr>
        <w:pStyle w:val="TOC2"/>
        <w:rPr>
          <w:rFonts w:asciiTheme="minorHAnsi" w:eastAsiaTheme="minorEastAsia" w:hAnsiTheme="minorHAnsi"/>
          <w:lang w:eastAsia="en-AU"/>
        </w:rPr>
      </w:pPr>
      <w:hyperlink w:anchor="_Toc492524728" w:history="1">
        <w:r w:rsidR="00AA17FC" w:rsidRPr="00F93262">
          <w:rPr>
            <w:rStyle w:val="Hyperlink"/>
          </w:rPr>
          <w:t>1.1</w:t>
        </w:r>
        <w:r w:rsidR="00AA17FC">
          <w:rPr>
            <w:rFonts w:asciiTheme="minorHAnsi" w:eastAsiaTheme="minorEastAsia" w:hAnsiTheme="minorHAnsi"/>
            <w:lang w:eastAsia="en-AU"/>
          </w:rPr>
          <w:tab/>
        </w:r>
        <w:r w:rsidR="00AA17FC" w:rsidRPr="00F93262">
          <w:rPr>
            <w:rStyle w:val="Hyperlink"/>
          </w:rPr>
          <w:t>Progression of the capacity trading reform package</w:t>
        </w:r>
        <w:r w:rsidR="00AA17FC">
          <w:rPr>
            <w:webHidden/>
          </w:rPr>
          <w:tab/>
        </w:r>
        <w:r w:rsidR="00AA17FC">
          <w:rPr>
            <w:webHidden/>
          </w:rPr>
          <w:fldChar w:fldCharType="begin"/>
        </w:r>
        <w:r w:rsidR="00AA17FC">
          <w:rPr>
            <w:webHidden/>
          </w:rPr>
          <w:instrText xml:space="preserve"> PAGEREF _Toc492524728 \h </w:instrText>
        </w:r>
        <w:r w:rsidR="00AA17FC">
          <w:rPr>
            <w:webHidden/>
          </w:rPr>
        </w:r>
        <w:r w:rsidR="00AA17FC">
          <w:rPr>
            <w:webHidden/>
          </w:rPr>
          <w:fldChar w:fldCharType="separate"/>
        </w:r>
        <w:r w:rsidR="00947034">
          <w:rPr>
            <w:webHidden/>
          </w:rPr>
          <w:t>7</w:t>
        </w:r>
        <w:r w:rsidR="00AA17FC">
          <w:rPr>
            <w:webHidden/>
          </w:rPr>
          <w:fldChar w:fldCharType="end"/>
        </w:r>
      </w:hyperlink>
    </w:p>
    <w:p w14:paraId="5BF8DF46" w14:textId="357C9A08" w:rsidR="00AA17FC" w:rsidRDefault="009E6A8A">
      <w:pPr>
        <w:pStyle w:val="TOC2"/>
        <w:rPr>
          <w:rFonts w:asciiTheme="minorHAnsi" w:eastAsiaTheme="minorEastAsia" w:hAnsiTheme="minorHAnsi"/>
          <w:lang w:eastAsia="en-AU"/>
        </w:rPr>
      </w:pPr>
      <w:hyperlink w:anchor="_Toc492524729" w:history="1">
        <w:r w:rsidR="00AA17FC" w:rsidRPr="00F93262">
          <w:rPr>
            <w:rStyle w:val="Hyperlink"/>
          </w:rPr>
          <w:t>1.2</w:t>
        </w:r>
        <w:r w:rsidR="00AA17FC">
          <w:rPr>
            <w:rFonts w:asciiTheme="minorHAnsi" w:eastAsiaTheme="minorEastAsia" w:hAnsiTheme="minorHAnsi"/>
            <w:lang w:eastAsia="en-AU"/>
          </w:rPr>
          <w:tab/>
        </w:r>
        <w:r w:rsidR="00AA17FC" w:rsidRPr="00F93262">
          <w:rPr>
            <w:rStyle w:val="Hyperlink"/>
          </w:rPr>
          <w:t>Consultation process and next steps</w:t>
        </w:r>
        <w:r w:rsidR="00AA17FC">
          <w:rPr>
            <w:webHidden/>
          </w:rPr>
          <w:tab/>
        </w:r>
        <w:r w:rsidR="00AA17FC">
          <w:rPr>
            <w:webHidden/>
          </w:rPr>
          <w:fldChar w:fldCharType="begin"/>
        </w:r>
        <w:r w:rsidR="00AA17FC">
          <w:rPr>
            <w:webHidden/>
          </w:rPr>
          <w:instrText xml:space="preserve"> PAGEREF _Toc492524729 \h </w:instrText>
        </w:r>
        <w:r w:rsidR="00AA17FC">
          <w:rPr>
            <w:webHidden/>
          </w:rPr>
        </w:r>
        <w:r w:rsidR="00AA17FC">
          <w:rPr>
            <w:webHidden/>
          </w:rPr>
          <w:fldChar w:fldCharType="separate"/>
        </w:r>
        <w:r w:rsidR="00947034">
          <w:rPr>
            <w:webHidden/>
          </w:rPr>
          <w:t>8</w:t>
        </w:r>
        <w:r w:rsidR="00AA17FC">
          <w:rPr>
            <w:webHidden/>
          </w:rPr>
          <w:fldChar w:fldCharType="end"/>
        </w:r>
      </w:hyperlink>
    </w:p>
    <w:p w14:paraId="759A5D43" w14:textId="63D861FE" w:rsidR="00AA17FC" w:rsidRDefault="009E6A8A">
      <w:pPr>
        <w:pStyle w:val="TOC2"/>
        <w:rPr>
          <w:rFonts w:asciiTheme="minorHAnsi" w:eastAsiaTheme="minorEastAsia" w:hAnsiTheme="minorHAnsi"/>
          <w:lang w:eastAsia="en-AU"/>
        </w:rPr>
      </w:pPr>
      <w:hyperlink w:anchor="_Toc492524730" w:history="1">
        <w:r w:rsidR="00AA17FC" w:rsidRPr="00F93262">
          <w:rPr>
            <w:rStyle w:val="Hyperlink"/>
          </w:rPr>
          <w:t>1.3</w:t>
        </w:r>
        <w:r w:rsidR="00AA17FC">
          <w:rPr>
            <w:rFonts w:asciiTheme="minorHAnsi" w:eastAsiaTheme="minorEastAsia" w:hAnsiTheme="minorHAnsi"/>
            <w:lang w:eastAsia="en-AU"/>
          </w:rPr>
          <w:tab/>
        </w:r>
        <w:r w:rsidR="00AA17FC" w:rsidRPr="00F93262">
          <w:rPr>
            <w:rStyle w:val="Hyperlink"/>
          </w:rPr>
          <w:t>Structure of this paper</w:t>
        </w:r>
        <w:r w:rsidR="00AA17FC">
          <w:rPr>
            <w:webHidden/>
          </w:rPr>
          <w:tab/>
        </w:r>
        <w:r w:rsidR="00AA17FC">
          <w:rPr>
            <w:webHidden/>
          </w:rPr>
          <w:fldChar w:fldCharType="begin"/>
        </w:r>
        <w:r w:rsidR="00AA17FC">
          <w:rPr>
            <w:webHidden/>
          </w:rPr>
          <w:instrText xml:space="preserve"> PAGEREF _Toc492524730 \h </w:instrText>
        </w:r>
        <w:r w:rsidR="00AA17FC">
          <w:rPr>
            <w:webHidden/>
          </w:rPr>
        </w:r>
        <w:r w:rsidR="00AA17FC">
          <w:rPr>
            <w:webHidden/>
          </w:rPr>
          <w:fldChar w:fldCharType="separate"/>
        </w:r>
        <w:r w:rsidR="00947034">
          <w:rPr>
            <w:webHidden/>
          </w:rPr>
          <w:t>9</w:t>
        </w:r>
        <w:r w:rsidR="00AA17FC">
          <w:rPr>
            <w:webHidden/>
          </w:rPr>
          <w:fldChar w:fldCharType="end"/>
        </w:r>
      </w:hyperlink>
    </w:p>
    <w:p w14:paraId="3DF8D591" w14:textId="128D6A04" w:rsidR="00AA17FC" w:rsidRDefault="009E6A8A">
      <w:pPr>
        <w:pStyle w:val="TOC1"/>
        <w:rPr>
          <w:rFonts w:asciiTheme="minorHAnsi" w:eastAsiaTheme="minorEastAsia" w:hAnsiTheme="minorHAnsi"/>
          <w:b w:val="0"/>
          <w:lang w:eastAsia="en-AU"/>
        </w:rPr>
      </w:pPr>
      <w:hyperlink w:anchor="_Toc492524731" w:history="1">
        <w:r w:rsidR="00AA17FC" w:rsidRPr="00F93262">
          <w:rPr>
            <w:rStyle w:val="Hyperlink"/>
          </w:rPr>
          <w:t>2.</w:t>
        </w:r>
        <w:r w:rsidR="00AA17FC">
          <w:rPr>
            <w:rFonts w:asciiTheme="minorHAnsi" w:eastAsiaTheme="minorEastAsia" w:hAnsiTheme="minorHAnsi"/>
            <w:b w:val="0"/>
            <w:lang w:eastAsia="en-AU"/>
          </w:rPr>
          <w:tab/>
        </w:r>
        <w:r w:rsidR="00AA17FC" w:rsidRPr="00F93262">
          <w:rPr>
            <w:rStyle w:val="Hyperlink"/>
          </w:rPr>
          <w:t>Capacity Trading Reform Package</w:t>
        </w:r>
        <w:r w:rsidR="00AA17FC">
          <w:rPr>
            <w:webHidden/>
          </w:rPr>
          <w:tab/>
        </w:r>
        <w:r w:rsidR="00AA17FC">
          <w:rPr>
            <w:webHidden/>
          </w:rPr>
          <w:fldChar w:fldCharType="begin"/>
        </w:r>
        <w:r w:rsidR="00AA17FC">
          <w:rPr>
            <w:webHidden/>
          </w:rPr>
          <w:instrText xml:space="preserve"> PAGEREF _Toc492524731 \h </w:instrText>
        </w:r>
        <w:r w:rsidR="00AA17FC">
          <w:rPr>
            <w:webHidden/>
          </w:rPr>
        </w:r>
        <w:r w:rsidR="00AA17FC">
          <w:rPr>
            <w:webHidden/>
          </w:rPr>
          <w:fldChar w:fldCharType="separate"/>
        </w:r>
        <w:r w:rsidR="00947034">
          <w:rPr>
            <w:webHidden/>
          </w:rPr>
          <w:t>11</w:t>
        </w:r>
        <w:r w:rsidR="00AA17FC">
          <w:rPr>
            <w:webHidden/>
          </w:rPr>
          <w:fldChar w:fldCharType="end"/>
        </w:r>
      </w:hyperlink>
    </w:p>
    <w:p w14:paraId="0E25E9D4" w14:textId="77384AE3" w:rsidR="00AA17FC" w:rsidRDefault="009E6A8A">
      <w:pPr>
        <w:pStyle w:val="TOC2"/>
        <w:rPr>
          <w:rFonts w:asciiTheme="minorHAnsi" w:eastAsiaTheme="minorEastAsia" w:hAnsiTheme="minorHAnsi"/>
          <w:lang w:eastAsia="en-AU"/>
        </w:rPr>
      </w:pPr>
      <w:hyperlink w:anchor="_Toc492524732" w:history="1">
        <w:r w:rsidR="00AA17FC" w:rsidRPr="00F93262">
          <w:rPr>
            <w:rStyle w:val="Hyperlink"/>
          </w:rPr>
          <w:t>2.1</w:t>
        </w:r>
        <w:r w:rsidR="00AA17FC">
          <w:rPr>
            <w:rFonts w:asciiTheme="minorHAnsi" w:eastAsiaTheme="minorEastAsia" w:hAnsiTheme="minorHAnsi"/>
            <w:lang w:eastAsia="en-AU"/>
          </w:rPr>
          <w:tab/>
        </w:r>
        <w:r w:rsidR="00AA17FC" w:rsidRPr="00F93262">
          <w:rPr>
            <w:rStyle w:val="Hyperlink"/>
          </w:rPr>
          <w:t>Key elements of the reform package</w:t>
        </w:r>
        <w:r w:rsidR="00AA17FC">
          <w:rPr>
            <w:webHidden/>
          </w:rPr>
          <w:tab/>
        </w:r>
        <w:r w:rsidR="00AA17FC">
          <w:rPr>
            <w:webHidden/>
          </w:rPr>
          <w:fldChar w:fldCharType="begin"/>
        </w:r>
        <w:r w:rsidR="00AA17FC">
          <w:rPr>
            <w:webHidden/>
          </w:rPr>
          <w:instrText xml:space="preserve"> PAGEREF _Toc492524732 \h </w:instrText>
        </w:r>
        <w:r w:rsidR="00AA17FC">
          <w:rPr>
            <w:webHidden/>
          </w:rPr>
        </w:r>
        <w:r w:rsidR="00AA17FC">
          <w:rPr>
            <w:webHidden/>
          </w:rPr>
          <w:fldChar w:fldCharType="separate"/>
        </w:r>
        <w:r w:rsidR="00947034">
          <w:rPr>
            <w:webHidden/>
          </w:rPr>
          <w:t>11</w:t>
        </w:r>
        <w:r w:rsidR="00AA17FC">
          <w:rPr>
            <w:webHidden/>
          </w:rPr>
          <w:fldChar w:fldCharType="end"/>
        </w:r>
      </w:hyperlink>
    </w:p>
    <w:p w14:paraId="5F882ECC" w14:textId="557EC1AD" w:rsidR="00AA17FC" w:rsidRDefault="009E6A8A">
      <w:pPr>
        <w:pStyle w:val="TOC2"/>
        <w:rPr>
          <w:rFonts w:asciiTheme="minorHAnsi" w:eastAsiaTheme="minorEastAsia" w:hAnsiTheme="minorHAnsi"/>
          <w:lang w:eastAsia="en-AU"/>
        </w:rPr>
      </w:pPr>
      <w:hyperlink w:anchor="_Toc492524733" w:history="1">
        <w:r w:rsidR="00AA17FC" w:rsidRPr="00F93262">
          <w:rPr>
            <w:rStyle w:val="Hyperlink"/>
          </w:rPr>
          <w:t>2.2</w:t>
        </w:r>
        <w:r w:rsidR="00AA17FC">
          <w:rPr>
            <w:rFonts w:asciiTheme="minorHAnsi" w:eastAsiaTheme="minorEastAsia" w:hAnsiTheme="minorHAnsi"/>
            <w:lang w:eastAsia="en-AU"/>
          </w:rPr>
          <w:tab/>
        </w:r>
        <w:r w:rsidR="00AA17FC" w:rsidRPr="00F93262">
          <w:rPr>
            <w:rStyle w:val="Hyperlink"/>
          </w:rPr>
          <w:t>How secondary capacity can be procured under the new framework</w:t>
        </w:r>
        <w:r w:rsidR="00AA17FC">
          <w:rPr>
            <w:webHidden/>
          </w:rPr>
          <w:tab/>
        </w:r>
        <w:r w:rsidR="00AA17FC">
          <w:rPr>
            <w:webHidden/>
          </w:rPr>
          <w:fldChar w:fldCharType="begin"/>
        </w:r>
        <w:r w:rsidR="00AA17FC">
          <w:rPr>
            <w:webHidden/>
          </w:rPr>
          <w:instrText xml:space="preserve"> PAGEREF _Toc492524733 \h </w:instrText>
        </w:r>
        <w:r w:rsidR="00AA17FC">
          <w:rPr>
            <w:webHidden/>
          </w:rPr>
        </w:r>
        <w:r w:rsidR="00AA17FC">
          <w:rPr>
            <w:webHidden/>
          </w:rPr>
          <w:fldChar w:fldCharType="separate"/>
        </w:r>
        <w:r w:rsidR="00947034">
          <w:rPr>
            <w:webHidden/>
          </w:rPr>
          <w:t>13</w:t>
        </w:r>
        <w:r w:rsidR="00AA17FC">
          <w:rPr>
            <w:webHidden/>
          </w:rPr>
          <w:fldChar w:fldCharType="end"/>
        </w:r>
      </w:hyperlink>
    </w:p>
    <w:p w14:paraId="06783E93" w14:textId="71835BFD" w:rsidR="00AA17FC" w:rsidRDefault="009E6A8A">
      <w:pPr>
        <w:pStyle w:val="TOC2"/>
        <w:rPr>
          <w:rFonts w:asciiTheme="minorHAnsi" w:eastAsiaTheme="minorEastAsia" w:hAnsiTheme="minorHAnsi"/>
          <w:lang w:eastAsia="en-AU"/>
        </w:rPr>
      </w:pPr>
      <w:hyperlink w:anchor="_Toc492524734" w:history="1">
        <w:r w:rsidR="00AA17FC" w:rsidRPr="00F93262">
          <w:rPr>
            <w:rStyle w:val="Hyperlink"/>
          </w:rPr>
          <w:t>2.3</w:t>
        </w:r>
        <w:r w:rsidR="00AA17FC">
          <w:rPr>
            <w:rFonts w:asciiTheme="minorHAnsi" w:eastAsiaTheme="minorEastAsia" w:hAnsiTheme="minorHAnsi"/>
            <w:lang w:eastAsia="en-AU"/>
          </w:rPr>
          <w:tab/>
        </w:r>
        <w:r w:rsidR="00AA17FC" w:rsidRPr="00F93262">
          <w:rPr>
            <w:rStyle w:val="Hyperlink"/>
          </w:rPr>
          <w:t>Assessment framework for the reform package</w:t>
        </w:r>
        <w:r w:rsidR="00AA17FC">
          <w:rPr>
            <w:webHidden/>
          </w:rPr>
          <w:tab/>
        </w:r>
        <w:r w:rsidR="00AA17FC">
          <w:rPr>
            <w:webHidden/>
          </w:rPr>
          <w:fldChar w:fldCharType="begin"/>
        </w:r>
        <w:r w:rsidR="00AA17FC">
          <w:rPr>
            <w:webHidden/>
          </w:rPr>
          <w:instrText xml:space="preserve"> PAGEREF _Toc492524734 \h </w:instrText>
        </w:r>
        <w:r w:rsidR="00AA17FC">
          <w:rPr>
            <w:webHidden/>
          </w:rPr>
        </w:r>
        <w:r w:rsidR="00AA17FC">
          <w:rPr>
            <w:webHidden/>
          </w:rPr>
          <w:fldChar w:fldCharType="separate"/>
        </w:r>
        <w:r w:rsidR="00947034">
          <w:rPr>
            <w:webHidden/>
          </w:rPr>
          <w:t>18</w:t>
        </w:r>
        <w:r w:rsidR="00AA17FC">
          <w:rPr>
            <w:webHidden/>
          </w:rPr>
          <w:fldChar w:fldCharType="end"/>
        </w:r>
      </w:hyperlink>
    </w:p>
    <w:p w14:paraId="4E05478C" w14:textId="0A3623F1" w:rsidR="00AA17FC" w:rsidRDefault="009E6A8A">
      <w:pPr>
        <w:pStyle w:val="TOC1"/>
        <w:rPr>
          <w:rFonts w:asciiTheme="minorHAnsi" w:eastAsiaTheme="minorEastAsia" w:hAnsiTheme="minorHAnsi"/>
          <w:b w:val="0"/>
          <w:lang w:eastAsia="en-AU"/>
        </w:rPr>
      </w:pPr>
      <w:hyperlink w:anchor="_Toc492524735" w:history="1">
        <w:r w:rsidR="00AA17FC" w:rsidRPr="00F93262">
          <w:rPr>
            <w:rStyle w:val="Hyperlink"/>
          </w:rPr>
          <w:t>Part A: Standardisation Reforms</w:t>
        </w:r>
        <w:r w:rsidR="00AA17FC">
          <w:rPr>
            <w:webHidden/>
          </w:rPr>
          <w:tab/>
        </w:r>
        <w:r w:rsidR="00AA17FC">
          <w:rPr>
            <w:webHidden/>
          </w:rPr>
          <w:fldChar w:fldCharType="begin"/>
        </w:r>
        <w:r w:rsidR="00AA17FC">
          <w:rPr>
            <w:webHidden/>
          </w:rPr>
          <w:instrText xml:space="preserve"> PAGEREF _Toc492524735 \h </w:instrText>
        </w:r>
        <w:r w:rsidR="00AA17FC">
          <w:rPr>
            <w:webHidden/>
          </w:rPr>
        </w:r>
        <w:r w:rsidR="00AA17FC">
          <w:rPr>
            <w:webHidden/>
          </w:rPr>
          <w:fldChar w:fldCharType="separate"/>
        </w:r>
        <w:r w:rsidR="00947034">
          <w:rPr>
            <w:webHidden/>
          </w:rPr>
          <w:t>20</w:t>
        </w:r>
        <w:r w:rsidR="00AA17FC">
          <w:rPr>
            <w:webHidden/>
          </w:rPr>
          <w:fldChar w:fldCharType="end"/>
        </w:r>
      </w:hyperlink>
    </w:p>
    <w:p w14:paraId="3B969DE7" w14:textId="545EE3C2" w:rsidR="00AA17FC" w:rsidRDefault="009E6A8A">
      <w:pPr>
        <w:pStyle w:val="TOC1"/>
        <w:rPr>
          <w:rFonts w:asciiTheme="minorHAnsi" w:eastAsiaTheme="minorEastAsia" w:hAnsiTheme="minorHAnsi"/>
          <w:b w:val="0"/>
          <w:lang w:eastAsia="en-AU"/>
        </w:rPr>
      </w:pPr>
      <w:hyperlink w:anchor="_Toc492524736" w:history="1">
        <w:r w:rsidR="00AA17FC" w:rsidRPr="00F93262">
          <w:rPr>
            <w:rStyle w:val="Hyperlink"/>
          </w:rPr>
          <w:t>3.</w:t>
        </w:r>
        <w:r w:rsidR="00AA17FC">
          <w:rPr>
            <w:rFonts w:asciiTheme="minorHAnsi" w:eastAsiaTheme="minorEastAsia" w:hAnsiTheme="minorHAnsi"/>
            <w:b w:val="0"/>
            <w:lang w:eastAsia="en-AU"/>
          </w:rPr>
          <w:tab/>
        </w:r>
        <w:r w:rsidR="00AA17FC" w:rsidRPr="00F93262">
          <w:rPr>
            <w:rStyle w:val="Hyperlink"/>
          </w:rPr>
          <w:t>Standardisation of Contracts</w:t>
        </w:r>
        <w:r w:rsidR="00AA17FC">
          <w:rPr>
            <w:webHidden/>
          </w:rPr>
          <w:tab/>
        </w:r>
        <w:r w:rsidR="00AA17FC">
          <w:rPr>
            <w:webHidden/>
          </w:rPr>
          <w:fldChar w:fldCharType="begin"/>
        </w:r>
        <w:r w:rsidR="00AA17FC">
          <w:rPr>
            <w:webHidden/>
          </w:rPr>
          <w:instrText xml:space="preserve"> PAGEREF _Toc492524736 \h </w:instrText>
        </w:r>
        <w:r w:rsidR="00AA17FC">
          <w:rPr>
            <w:webHidden/>
          </w:rPr>
        </w:r>
        <w:r w:rsidR="00AA17FC">
          <w:rPr>
            <w:webHidden/>
          </w:rPr>
          <w:fldChar w:fldCharType="separate"/>
        </w:r>
        <w:r w:rsidR="00947034">
          <w:rPr>
            <w:webHidden/>
          </w:rPr>
          <w:t>22</w:t>
        </w:r>
        <w:r w:rsidR="00AA17FC">
          <w:rPr>
            <w:webHidden/>
          </w:rPr>
          <w:fldChar w:fldCharType="end"/>
        </w:r>
      </w:hyperlink>
    </w:p>
    <w:p w14:paraId="1C346ACE" w14:textId="5B254F97" w:rsidR="00AA17FC" w:rsidRDefault="009E6A8A">
      <w:pPr>
        <w:pStyle w:val="TOC2"/>
        <w:rPr>
          <w:rFonts w:asciiTheme="minorHAnsi" w:eastAsiaTheme="minorEastAsia" w:hAnsiTheme="minorHAnsi"/>
          <w:lang w:eastAsia="en-AU"/>
        </w:rPr>
      </w:pPr>
      <w:hyperlink w:anchor="_Toc492524737" w:history="1">
        <w:r w:rsidR="00AA17FC" w:rsidRPr="00F93262">
          <w:rPr>
            <w:rStyle w:val="Hyperlink"/>
          </w:rPr>
          <w:t>3.1</w:t>
        </w:r>
        <w:r w:rsidR="00AA17FC">
          <w:rPr>
            <w:rFonts w:asciiTheme="minorHAnsi" w:eastAsiaTheme="minorEastAsia" w:hAnsiTheme="minorHAnsi"/>
            <w:lang w:eastAsia="en-AU"/>
          </w:rPr>
          <w:tab/>
        </w:r>
        <w:r w:rsidR="00AA17FC" w:rsidRPr="00F93262">
          <w:rPr>
            <w:rStyle w:val="Hyperlink"/>
          </w:rPr>
          <w:t>AEMC recommendations</w:t>
        </w:r>
        <w:r w:rsidR="00AA17FC">
          <w:rPr>
            <w:webHidden/>
          </w:rPr>
          <w:tab/>
        </w:r>
        <w:r w:rsidR="00AA17FC">
          <w:rPr>
            <w:webHidden/>
          </w:rPr>
          <w:fldChar w:fldCharType="begin"/>
        </w:r>
        <w:r w:rsidR="00AA17FC">
          <w:rPr>
            <w:webHidden/>
          </w:rPr>
          <w:instrText xml:space="preserve"> PAGEREF _Toc492524737 \h </w:instrText>
        </w:r>
        <w:r w:rsidR="00AA17FC">
          <w:rPr>
            <w:webHidden/>
          </w:rPr>
        </w:r>
        <w:r w:rsidR="00AA17FC">
          <w:rPr>
            <w:webHidden/>
          </w:rPr>
          <w:fldChar w:fldCharType="separate"/>
        </w:r>
        <w:r w:rsidR="00947034">
          <w:rPr>
            <w:webHidden/>
          </w:rPr>
          <w:t>22</w:t>
        </w:r>
        <w:r w:rsidR="00AA17FC">
          <w:rPr>
            <w:webHidden/>
          </w:rPr>
          <w:fldChar w:fldCharType="end"/>
        </w:r>
      </w:hyperlink>
    </w:p>
    <w:p w14:paraId="21F22A0B" w14:textId="4720FEB5" w:rsidR="00AA17FC" w:rsidRDefault="009E6A8A">
      <w:pPr>
        <w:pStyle w:val="TOC2"/>
        <w:rPr>
          <w:rFonts w:asciiTheme="minorHAnsi" w:eastAsiaTheme="minorEastAsia" w:hAnsiTheme="minorHAnsi"/>
          <w:lang w:eastAsia="en-AU"/>
        </w:rPr>
      </w:pPr>
      <w:hyperlink w:anchor="_Toc492524738" w:history="1">
        <w:r w:rsidR="00AA17FC" w:rsidRPr="00F93262">
          <w:rPr>
            <w:rStyle w:val="Hyperlink"/>
          </w:rPr>
          <w:t>3.2</w:t>
        </w:r>
        <w:r w:rsidR="00AA17FC">
          <w:rPr>
            <w:rFonts w:asciiTheme="minorHAnsi" w:eastAsiaTheme="minorEastAsia" w:hAnsiTheme="minorHAnsi"/>
            <w:lang w:eastAsia="en-AU"/>
          </w:rPr>
          <w:tab/>
        </w:r>
        <w:r w:rsidR="00AA17FC" w:rsidRPr="00F93262">
          <w:rPr>
            <w:rStyle w:val="Hyperlink"/>
          </w:rPr>
          <w:t>Contracts to be standardised</w:t>
        </w:r>
        <w:r w:rsidR="00AA17FC">
          <w:rPr>
            <w:webHidden/>
          </w:rPr>
          <w:tab/>
        </w:r>
        <w:r w:rsidR="00AA17FC">
          <w:rPr>
            <w:webHidden/>
          </w:rPr>
          <w:fldChar w:fldCharType="begin"/>
        </w:r>
        <w:r w:rsidR="00AA17FC">
          <w:rPr>
            <w:webHidden/>
          </w:rPr>
          <w:instrText xml:space="preserve"> PAGEREF _Toc492524738 \h </w:instrText>
        </w:r>
        <w:r w:rsidR="00AA17FC">
          <w:rPr>
            <w:webHidden/>
          </w:rPr>
        </w:r>
        <w:r w:rsidR="00AA17FC">
          <w:rPr>
            <w:webHidden/>
          </w:rPr>
          <w:fldChar w:fldCharType="separate"/>
        </w:r>
        <w:r w:rsidR="00947034">
          <w:rPr>
            <w:webHidden/>
          </w:rPr>
          <w:t>24</w:t>
        </w:r>
        <w:r w:rsidR="00AA17FC">
          <w:rPr>
            <w:webHidden/>
          </w:rPr>
          <w:fldChar w:fldCharType="end"/>
        </w:r>
      </w:hyperlink>
    </w:p>
    <w:p w14:paraId="6243AD3A" w14:textId="1EB05485" w:rsidR="00AA17FC" w:rsidRDefault="009E6A8A">
      <w:pPr>
        <w:pStyle w:val="TOC2"/>
        <w:rPr>
          <w:rFonts w:asciiTheme="minorHAnsi" w:eastAsiaTheme="minorEastAsia" w:hAnsiTheme="minorHAnsi"/>
          <w:lang w:eastAsia="en-AU"/>
        </w:rPr>
      </w:pPr>
      <w:hyperlink w:anchor="_Toc492524739" w:history="1">
        <w:r w:rsidR="00AA17FC" w:rsidRPr="00F93262">
          <w:rPr>
            <w:rStyle w:val="Hyperlink"/>
          </w:rPr>
          <w:t>3.3</w:t>
        </w:r>
        <w:r w:rsidR="00AA17FC">
          <w:rPr>
            <w:rFonts w:asciiTheme="minorHAnsi" w:eastAsiaTheme="minorEastAsia" w:hAnsiTheme="minorHAnsi"/>
            <w:lang w:eastAsia="en-AU"/>
          </w:rPr>
          <w:tab/>
        </w:r>
        <w:r w:rsidR="00AA17FC" w:rsidRPr="00F93262">
          <w:rPr>
            <w:rStyle w:val="Hyperlink"/>
          </w:rPr>
          <w:t>Standardisation of the operational GTA</w:t>
        </w:r>
        <w:r w:rsidR="00AA17FC">
          <w:rPr>
            <w:webHidden/>
          </w:rPr>
          <w:tab/>
        </w:r>
        <w:r w:rsidR="00AA17FC">
          <w:rPr>
            <w:webHidden/>
          </w:rPr>
          <w:fldChar w:fldCharType="begin"/>
        </w:r>
        <w:r w:rsidR="00AA17FC">
          <w:rPr>
            <w:webHidden/>
          </w:rPr>
          <w:instrText xml:space="preserve"> PAGEREF _Toc492524739 \h </w:instrText>
        </w:r>
        <w:r w:rsidR="00AA17FC">
          <w:rPr>
            <w:webHidden/>
          </w:rPr>
        </w:r>
        <w:r w:rsidR="00AA17FC">
          <w:rPr>
            <w:webHidden/>
          </w:rPr>
          <w:fldChar w:fldCharType="separate"/>
        </w:r>
        <w:r w:rsidR="00947034">
          <w:rPr>
            <w:webHidden/>
          </w:rPr>
          <w:t>26</w:t>
        </w:r>
        <w:r w:rsidR="00AA17FC">
          <w:rPr>
            <w:webHidden/>
          </w:rPr>
          <w:fldChar w:fldCharType="end"/>
        </w:r>
      </w:hyperlink>
    </w:p>
    <w:p w14:paraId="595983FA" w14:textId="455B1520" w:rsidR="00AA17FC" w:rsidRDefault="009E6A8A">
      <w:pPr>
        <w:pStyle w:val="TOC2"/>
        <w:rPr>
          <w:rFonts w:asciiTheme="minorHAnsi" w:eastAsiaTheme="minorEastAsia" w:hAnsiTheme="minorHAnsi"/>
          <w:lang w:eastAsia="en-AU"/>
        </w:rPr>
      </w:pPr>
      <w:hyperlink w:anchor="_Toc492524740" w:history="1">
        <w:r w:rsidR="00AA17FC" w:rsidRPr="00F93262">
          <w:rPr>
            <w:rStyle w:val="Hyperlink"/>
            <w:rFonts w:asciiTheme="majorHAnsi" w:eastAsiaTheme="majorEastAsia" w:hAnsiTheme="majorHAnsi" w:cstheme="majorBidi"/>
          </w:rPr>
          <w:t>3.4</w:t>
        </w:r>
        <w:r w:rsidR="00AA17FC">
          <w:rPr>
            <w:rFonts w:asciiTheme="minorHAnsi" w:eastAsiaTheme="minorEastAsia" w:hAnsiTheme="minorHAnsi"/>
            <w:lang w:eastAsia="en-AU"/>
          </w:rPr>
          <w:tab/>
        </w:r>
        <w:r w:rsidR="00AA17FC" w:rsidRPr="00F93262">
          <w:rPr>
            <w:rStyle w:val="Hyperlink"/>
            <w:rFonts w:asciiTheme="majorHAnsi" w:eastAsiaTheme="majorEastAsia" w:hAnsiTheme="majorHAnsi" w:cstheme="majorBidi"/>
          </w:rPr>
          <w:t>Application of the standardised operational GTA</w:t>
        </w:r>
        <w:r w:rsidR="00AA17FC">
          <w:rPr>
            <w:webHidden/>
          </w:rPr>
          <w:tab/>
        </w:r>
        <w:r w:rsidR="00AA17FC">
          <w:rPr>
            <w:webHidden/>
          </w:rPr>
          <w:fldChar w:fldCharType="begin"/>
        </w:r>
        <w:r w:rsidR="00AA17FC">
          <w:rPr>
            <w:webHidden/>
          </w:rPr>
          <w:instrText xml:space="preserve"> PAGEREF _Toc492524740 \h </w:instrText>
        </w:r>
        <w:r w:rsidR="00AA17FC">
          <w:rPr>
            <w:webHidden/>
          </w:rPr>
        </w:r>
        <w:r w:rsidR="00AA17FC">
          <w:rPr>
            <w:webHidden/>
          </w:rPr>
          <w:fldChar w:fldCharType="separate"/>
        </w:r>
        <w:r w:rsidR="00947034">
          <w:rPr>
            <w:webHidden/>
          </w:rPr>
          <w:t>47</w:t>
        </w:r>
        <w:r w:rsidR="00AA17FC">
          <w:rPr>
            <w:webHidden/>
          </w:rPr>
          <w:fldChar w:fldCharType="end"/>
        </w:r>
      </w:hyperlink>
    </w:p>
    <w:p w14:paraId="5A28FBF7" w14:textId="6F5A3A42" w:rsidR="00AA17FC" w:rsidRDefault="009E6A8A">
      <w:pPr>
        <w:pStyle w:val="TOC2"/>
        <w:rPr>
          <w:rFonts w:asciiTheme="minorHAnsi" w:eastAsiaTheme="minorEastAsia" w:hAnsiTheme="minorHAnsi"/>
          <w:lang w:eastAsia="en-AU"/>
        </w:rPr>
      </w:pPr>
      <w:hyperlink w:anchor="_Toc492524741" w:history="1">
        <w:r w:rsidR="00AA17FC" w:rsidRPr="00F93262">
          <w:rPr>
            <w:rStyle w:val="Hyperlink"/>
          </w:rPr>
          <w:t>3.5</w:t>
        </w:r>
        <w:r w:rsidR="00AA17FC">
          <w:rPr>
            <w:rFonts w:asciiTheme="minorHAnsi" w:eastAsiaTheme="minorEastAsia" w:hAnsiTheme="minorHAnsi"/>
            <w:lang w:eastAsia="en-AU"/>
          </w:rPr>
          <w:tab/>
        </w:r>
        <w:r w:rsidR="00AA17FC" w:rsidRPr="00F93262">
          <w:rPr>
            <w:rStyle w:val="Hyperlink"/>
          </w:rPr>
          <w:t>Governance arrangements for the operational GTA</w:t>
        </w:r>
        <w:r w:rsidR="00AA17FC">
          <w:rPr>
            <w:webHidden/>
          </w:rPr>
          <w:tab/>
        </w:r>
        <w:r w:rsidR="00AA17FC">
          <w:rPr>
            <w:webHidden/>
          </w:rPr>
          <w:fldChar w:fldCharType="begin"/>
        </w:r>
        <w:r w:rsidR="00AA17FC">
          <w:rPr>
            <w:webHidden/>
          </w:rPr>
          <w:instrText xml:space="preserve"> PAGEREF _Toc492524741 \h </w:instrText>
        </w:r>
        <w:r w:rsidR="00AA17FC">
          <w:rPr>
            <w:webHidden/>
          </w:rPr>
        </w:r>
        <w:r w:rsidR="00AA17FC">
          <w:rPr>
            <w:webHidden/>
          </w:rPr>
          <w:fldChar w:fldCharType="separate"/>
        </w:r>
        <w:r w:rsidR="00947034">
          <w:rPr>
            <w:webHidden/>
          </w:rPr>
          <w:t>48</w:t>
        </w:r>
        <w:r w:rsidR="00AA17FC">
          <w:rPr>
            <w:webHidden/>
          </w:rPr>
          <w:fldChar w:fldCharType="end"/>
        </w:r>
      </w:hyperlink>
    </w:p>
    <w:p w14:paraId="71570D04" w14:textId="28171DC5" w:rsidR="00AA17FC" w:rsidRDefault="009E6A8A">
      <w:pPr>
        <w:pStyle w:val="TOC2"/>
        <w:rPr>
          <w:rFonts w:asciiTheme="minorHAnsi" w:eastAsiaTheme="minorEastAsia" w:hAnsiTheme="minorHAnsi"/>
          <w:lang w:eastAsia="en-AU"/>
        </w:rPr>
      </w:pPr>
      <w:hyperlink w:anchor="_Toc492524742" w:history="1">
        <w:r w:rsidR="00AA17FC" w:rsidRPr="00F93262">
          <w:rPr>
            <w:rStyle w:val="Hyperlink"/>
          </w:rPr>
          <w:t>3.6</w:t>
        </w:r>
        <w:r w:rsidR="00AA17FC">
          <w:rPr>
            <w:rFonts w:asciiTheme="minorHAnsi" w:eastAsiaTheme="minorEastAsia" w:hAnsiTheme="minorHAnsi"/>
            <w:lang w:eastAsia="en-AU"/>
          </w:rPr>
          <w:tab/>
        </w:r>
        <w:r w:rsidR="00AA17FC" w:rsidRPr="00F93262">
          <w:rPr>
            <w:rStyle w:val="Hyperlink"/>
          </w:rPr>
          <w:t>Cost recovery for provision of operational transfer services</w:t>
        </w:r>
        <w:r w:rsidR="00AA17FC">
          <w:rPr>
            <w:webHidden/>
          </w:rPr>
          <w:tab/>
        </w:r>
        <w:r w:rsidR="00AA17FC">
          <w:rPr>
            <w:webHidden/>
          </w:rPr>
          <w:fldChar w:fldCharType="begin"/>
        </w:r>
        <w:r w:rsidR="00AA17FC">
          <w:rPr>
            <w:webHidden/>
          </w:rPr>
          <w:instrText xml:space="preserve"> PAGEREF _Toc492524742 \h </w:instrText>
        </w:r>
        <w:r w:rsidR="00AA17FC">
          <w:rPr>
            <w:webHidden/>
          </w:rPr>
        </w:r>
        <w:r w:rsidR="00AA17FC">
          <w:rPr>
            <w:webHidden/>
          </w:rPr>
          <w:fldChar w:fldCharType="separate"/>
        </w:r>
        <w:r w:rsidR="00947034">
          <w:rPr>
            <w:webHidden/>
          </w:rPr>
          <w:t>59</w:t>
        </w:r>
        <w:r w:rsidR="00AA17FC">
          <w:rPr>
            <w:webHidden/>
          </w:rPr>
          <w:fldChar w:fldCharType="end"/>
        </w:r>
      </w:hyperlink>
    </w:p>
    <w:p w14:paraId="339B4DF0" w14:textId="709FB5A8" w:rsidR="00AA17FC" w:rsidRDefault="009E6A8A">
      <w:pPr>
        <w:pStyle w:val="TOC1"/>
        <w:rPr>
          <w:rFonts w:asciiTheme="minorHAnsi" w:eastAsiaTheme="minorEastAsia" w:hAnsiTheme="minorHAnsi"/>
          <w:b w:val="0"/>
          <w:lang w:eastAsia="en-AU"/>
        </w:rPr>
      </w:pPr>
      <w:hyperlink w:anchor="_Toc492524743" w:history="1">
        <w:r w:rsidR="00AA17FC" w:rsidRPr="00F93262">
          <w:rPr>
            <w:rStyle w:val="Hyperlink"/>
          </w:rPr>
          <w:t>4.</w:t>
        </w:r>
        <w:r w:rsidR="00AA17FC">
          <w:rPr>
            <w:rFonts w:asciiTheme="minorHAnsi" w:eastAsiaTheme="minorEastAsia" w:hAnsiTheme="minorHAnsi"/>
            <w:b w:val="0"/>
            <w:lang w:eastAsia="en-AU"/>
          </w:rPr>
          <w:tab/>
        </w:r>
        <w:r w:rsidR="00AA17FC" w:rsidRPr="00F93262">
          <w:rPr>
            <w:rStyle w:val="Hyperlink"/>
          </w:rPr>
          <w:t>Receipt and Delivery Point Flexibility</w:t>
        </w:r>
        <w:r w:rsidR="00AA17FC">
          <w:rPr>
            <w:webHidden/>
          </w:rPr>
          <w:tab/>
        </w:r>
        <w:r w:rsidR="00AA17FC">
          <w:rPr>
            <w:webHidden/>
          </w:rPr>
          <w:fldChar w:fldCharType="begin"/>
        </w:r>
        <w:r w:rsidR="00AA17FC">
          <w:rPr>
            <w:webHidden/>
          </w:rPr>
          <w:instrText xml:space="preserve"> PAGEREF _Toc492524743 \h </w:instrText>
        </w:r>
        <w:r w:rsidR="00AA17FC">
          <w:rPr>
            <w:webHidden/>
          </w:rPr>
        </w:r>
        <w:r w:rsidR="00AA17FC">
          <w:rPr>
            <w:webHidden/>
          </w:rPr>
          <w:fldChar w:fldCharType="separate"/>
        </w:r>
        <w:r w:rsidR="00947034">
          <w:rPr>
            <w:webHidden/>
          </w:rPr>
          <w:t>63</w:t>
        </w:r>
        <w:r w:rsidR="00AA17FC">
          <w:rPr>
            <w:webHidden/>
          </w:rPr>
          <w:fldChar w:fldCharType="end"/>
        </w:r>
      </w:hyperlink>
    </w:p>
    <w:p w14:paraId="6809B0D9" w14:textId="047CFBFA" w:rsidR="00AA17FC" w:rsidRDefault="009E6A8A">
      <w:pPr>
        <w:pStyle w:val="TOC2"/>
        <w:rPr>
          <w:rFonts w:asciiTheme="minorHAnsi" w:eastAsiaTheme="minorEastAsia" w:hAnsiTheme="minorHAnsi"/>
          <w:lang w:eastAsia="en-AU"/>
        </w:rPr>
      </w:pPr>
      <w:hyperlink w:anchor="_Toc492524744" w:history="1">
        <w:r w:rsidR="00AA17FC" w:rsidRPr="00F93262">
          <w:rPr>
            <w:rStyle w:val="Hyperlink"/>
          </w:rPr>
          <w:t>4.1</w:t>
        </w:r>
        <w:r w:rsidR="00AA17FC">
          <w:rPr>
            <w:rFonts w:asciiTheme="minorHAnsi" w:eastAsiaTheme="minorEastAsia" w:hAnsiTheme="minorHAnsi"/>
            <w:lang w:eastAsia="en-AU"/>
          </w:rPr>
          <w:tab/>
        </w:r>
        <w:r w:rsidR="00AA17FC" w:rsidRPr="00F93262">
          <w:rPr>
            <w:rStyle w:val="Hyperlink"/>
          </w:rPr>
          <w:t>AEMC recommendations</w:t>
        </w:r>
        <w:r w:rsidR="00AA17FC">
          <w:rPr>
            <w:webHidden/>
          </w:rPr>
          <w:tab/>
        </w:r>
        <w:r w:rsidR="00AA17FC">
          <w:rPr>
            <w:webHidden/>
          </w:rPr>
          <w:fldChar w:fldCharType="begin"/>
        </w:r>
        <w:r w:rsidR="00AA17FC">
          <w:rPr>
            <w:webHidden/>
          </w:rPr>
          <w:instrText xml:space="preserve"> PAGEREF _Toc492524744 \h </w:instrText>
        </w:r>
        <w:r w:rsidR="00AA17FC">
          <w:rPr>
            <w:webHidden/>
          </w:rPr>
        </w:r>
        <w:r w:rsidR="00AA17FC">
          <w:rPr>
            <w:webHidden/>
          </w:rPr>
          <w:fldChar w:fldCharType="separate"/>
        </w:r>
        <w:r w:rsidR="00947034">
          <w:rPr>
            <w:webHidden/>
          </w:rPr>
          <w:t>63</w:t>
        </w:r>
        <w:r w:rsidR="00AA17FC">
          <w:rPr>
            <w:webHidden/>
          </w:rPr>
          <w:fldChar w:fldCharType="end"/>
        </w:r>
      </w:hyperlink>
    </w:p>
    <w:p w14:paraId="56D26BAB" w14:textId="00425BAC" w:rsidR="00AA17FC" w:rsidRDefault="009E6A8A">
      <w:pPr>
        <w:pStyle w:val="TOC2"/>
        <w:rPr>
          <w:rFonts w:asciiTheme="minorHAnsi" w:eastAsiaTheme="minorEastAsia" w:hAnsiTheme="minorHAnsi"/>
          <w:lang w:eastAsia="en-AU"/>
        </w:rPr>
      </w:pPr>
      <w:hyperlink w:anchor="_Toc492524745" w:history="1">
        <w:r w:rsidR="00AA17FC" w:rsidRPr="00F93262">
          <w:rPr>
            <w:rStyle w:val="Hyperlink"/>
          </w:rPr>
          <w:t>4.2</w:t>
        </w:r>
        <w:r w:rsidR="00AA17FC">
          <w:rPr>
            <w:rFonts w:asciiTheme="minorHAnsi" w:eastAsiaTheme="minorEastAsia" w:hAnsiTheme="minorHAnsi"/>
            <w:lang w:eastAsia="en-AU"/>
          </w:rPr>
          <w:tab/>
        </w:r>
        <w:r w:rsidR="00AA17FC" w:rsidRPr="00F93262">
          <w:rPr>
            <w:rStyle w:val="Hyperlink"/>
          </w:rPr>
          <w:t>Zonal model</w:t>
        </w:r>
        <w:r w:rsidR="00AA17FC">
          <w:rPr>
            <w:webHidden/>
          </w:rPr>
          <w:tab/>
        </w:r>
        <w:r w:rsidR="00AA17FC">
          <w:rPr>
            <w:webHidden/>
          </w:rPr>
          <w:fldChar w:fldCharType="begin"/>
        </w:r>
        <w:r w:rsidR="00AA17FC">
          <w:rPr>
            <w:webHidden/>
          </w:rPr>
          <w:instrText xml:space="preserve"> PAGEREF _Toc492524745 \h </w:instrText>
        </w:r>
        <w:r w:rsidR="00AA17FC">
          <w:rPr>
            <w:webHidden/>
          </w:rPr>
        </w:r>
        <w:r w:rsidR="00AA17FC">
          <w:rPr>
            <w:webHidden/>
          </w:rPr>
          <w:fldChar w:fldCharType="separate"/>
        </w:r>
        <w:r w:rsidR="00947034">
          <w:rPr>
            <w:webHidden/>
          </w:rPr>
          <w:t>64</w:t>
        </w:r>
        <w:r w:rsidR="00AA17FC">
          <w:rPr>
            <w:webHidden/>
          </w:rPr>
          <w:fldChar w:fldCharType="end"/>
        </w:r>
      </w:hyperlink>
    </w:p>
    <w:p w14:paraId="61795C1B" w14:textId="438CC100" w:rsidR="00AA17FC" w:rsidRDefault="009E6A8A">
      <w:pPr>
        <w:pStyle w:val="TOC2"/>
        <w:rPr>
          <w:rFonts w:asciiTheme="minorHAnsi" w:eastAsiaTheme="minorEastAsia" w:hAnsiTheme="minorHAnsi"/>
          <w:lang w:eastAsia="en-AU"/>
        </w:rPr>
      </w:pPr>
      <w:hyperlink w:anchor="_Toc492524746" w:history="1">
        <w:r w:rsidR="00AA17FC" w:rsidRPr="00F93262">
          <w:rPr>
            <w:rStyle w:val="Hyperlink"/>
          </w:rPr>
          <w:t>4.3</w:t>
        </w:r>
        <w:r w:rsidR="00AA17FC">
          <w:rPr>
            <w:rFonts w:asciiTheme="minorHAnsi" w:eastAsiaTheme="minorEastAsia" w:hAnsiTheme="minorHAnsi"/>
            <w:lang w:eastAsia="en-AU"/>
          </w:rPr>
          <w:tab/>
        </w:r>
        <w:r w:rsidR="00AA17FC" w:rsidRPr="00F93262">
          <w:rPr>
            <w:rStyle w:val="Hyperlink"/>
          </w:rPr>
          <w:t>Receipt and delivery point change process</w:t>
        </w:r>
        <w:r w:rsidR="00AA17FC">
          <w:rPr>
            <w:webHidden/>
          </w:rPr>
          <w:tab/>
        </w:r>
        <w:r w:rsidR="00AA17FC">
          <w:rPr>
            <w:webHidden/>
          </w:rPr>
          <w:fldChar w:fldCharType="begin"/>
        </w:r>
        <w:r w:rsidR="00AA17FC">
          <w:rPr>
            <w:webHidden/>
          </w:rPr>
          <w:instrText xml:space="preserve"> PAGEREF _Toc492524746 \h </w:instrText>
        </w:r>
        <w:r w:rsidR="00AA17FC">
          <w:rPr>
            <w:webHidden/>
          </w:rPr>
        </w:r>
        <w:r w:rsidR="00AA17FC">
          <w:rPr>
            <w:webHidden/>
          </w:rPr>
          <w:fldChar w:fldCharType="separate"/>
        </w:r>
        <w:r w:rsidR="00947034">
          <w:rPr>
            <w:webHidden/>
          </w:rPr>
          <w:t>71</w:t>
        </w:r>
        <w:r w:rsidR="00AA17FC">
          <w:rPr>
            <w:webHidden/>
          </w:rPr>
          <w:fldChar w:fldCharType="end"/>
        </w:r>
      </w:hyperlink>
    </w:p>
    <w:p w14:paraId="07CF619C" w14:textId="47F483F3" w:rsidR="00AA17FC" w:rsidRDefault="009E6A8A">
      <w:pPr>
        <w:pStyle w:val="TOC1"/>
        <w:rPr>
          <w:rFonts w:asciiTheme="minorHAnsi" w:eastAsiaTheme="minorEastAsia" w:hAnsiTheme="minorHAnsi"/>
          <w:b w:val="0"/>
          <w:lang w:eastAsia="en-AU"/>
        </w:rPr>
      </w:pPr>
      <w:hyperlink w:anchor="_Toc492524747" w:history="1">
        <w:r w:rsidR="00AA17FC" w:rsidRPr="00F93262">
          <w:rPr>
            <w:rStyle w:val="Hyperlink"/>
          </w:rPr>
          <w:t>5.</w:t>
        </w:r>
        <w:r w:rsidR="00AA17FC">
          <w:rPr>
            <w:rFonts w:asciiTheme="minorHAnsi" w:eastAsiaTheme="minorEastAsia" w:hAnsiTheme="minorHAnsi"/>
            <w:b w:val="0"/>
            <w:lang w:eastAsia="en-AU"/>
          </w:rPr>
          <w:tab/>
        </w:r>
        <w:r w:rsidR="00AA17FC" w:rsidRPr="00F93262">
          <w:rPr>
            <w:rStyle w:val="Hyperlink"/>
          </w:rPr>
          <w:t>Other Measures to Reduce Barriers to Trade</w:t>
        </w:r>
        <w:r w:rsidR="00AA17FC">
          <w:rPr>
            <w:webHidden/>
          </w:rPr>
          <w:tab/>
        </w:r>
        <w:r w:rsidR="00AA17FC">
          <w:rPr>
            <w:webHidden/>
          </w:rPr>
          <w:fldChar w:fldCharType="begin"/>
        </w:r>
        <w:r w:rsidR="00AA17FC">
          <w:rPr>
            <w:webHidden/>
          </w:rPr>
          <w:instrText xml:space="preserve"> PAGEREF _Toc492524747 \h </w:instrText>
        </w:r>
        <w:r w:rsidR="00AA17FC">
          <w:rPr>
            <w:webHidden/>
          </w:rPr>
        </w:r>
        <w:r w:rsidR="00AA17FC">
          <w:rPr>
            <w:webHidden/>
          </w:rPr>
          <w:fldChar w:fldCharType="separate"/>
        </w:r>
        <w:r w:rsidR="00947034">
          <w:rPr>
            <w:webHidden/>
          </w:rPr>
          <w:t>75</w:t>
        </w:r>
        <w:r w:rsidR="00AA17FC">
          <w:rPr>
            <w:webHidden/>
          </w:rPr>
          <w:fldChar w:fldCharType="end"/>
        </w:r>
      </w:hyperlink>
    </w:p>
    <w:p w14:paraId="39E0636E" w14:textId="0CE07E27" w:rsidR="00AA17FC" w:rsidRDefault="009E6A8A">
      <w:pPr>
        <w:pStyle w:val="TOC2"/>
        <w:rPr>
          <w:rFonts w:asciiTheme="minorHAnsi" w:eastAsiaTheme="minorEastAsia" w:hAnsiTheme="minorHAnsi"/>
          <w:lang w:eastAsia="en-AU"/>
        </w:rPr>
      </w:pPr>
      <w:hyperlink w:anchor="_Toc492524748" w:history="1">
        <w:r w:rsidR="00AA17FC" w:rsidRPr="00F93262">
          <w:rPr>
            <w:rStyle w:val="Hyperlink"/>
          </w:rPr>
          <w:t>5.1</w:t>
        </w:r>
        <w:r w:rsidR="00AA17FC">
          <w:rPr>
            <w:rFonts w:asciiTheme="minorHAnsi" w:eastAsiaTheme="minorEastAsia" w:hAnsiTheme="minorHAnsi"/>
            <w:lang w:eastAsia="en-AU"/>
          </w:rPr>
          <w:tab/>
        </w:r>
        <w:r w:rsidR="00AA17FC" w:rsidRPr="00F93262">
          <w:rPr>
            <w:rStyle w:val="Hyperlink"/>
          </w:rPr>
          <w:t>Allocation agreements and access to receipt/delivery points</w:t>
        </w:r>
        <w:r w:rsidR="00AA17FC">
          <w:rPr>
            <w:webHidden/>
          </w:rPr>
          <w:tab/>
        </w:r>
        <w:r w:rsidR="00AA17FC">
          <w:rPr>
            <w:webHidden/>
          </w:rPr>
          <w:fldChar w:fldCharType="begin"/>
        </w:r>
        <w:r w:rsidR="00AA17FC">
          <w:rPr>
            <w:webHidden/>
          </w:rPr>
          <w:instrText xml:space="preserve"> PAGEREF _Toc492524748 \h </w:instrText>
        </w:r>
        <w:r w:rsidR="00AA17FC">
          <w:rPr>
            <w:webHidden/>
          </w:rPr>
        </w:r>
        <w:r w:rsidR="00AA17FC">
          <w:rPr>
            <w:webHidden/>
          </w:rPr>
          <w:fldChar w:fldCharType="separate"/>
        </w:r>
        <w:r w:rsidR="00947034">
          <w:rPr>
            <w:webHidden/>
          </w:rPr>
          <w:t>75</w:t>
        </w:r>
        <w:r w:rsidR="00AA17FC">
          <w:rPr>
            <w:webHidden/>
          </w:rPr>
          <w:fldChar w:fldCharType="end"/>
        </w:r>
      </w:hyperlink>
    </w:p>
    <w:p w14:paraId="705350EB" w14:textId="0BB0656C" w:rsidR="00AA17FC" w:rsidRDefault="009E6A8A">
      <w:pPr>
        <w:pStyle w:val="TOC2"/>
        <w:rPr>
          <w:rFonts w:asciiTheme="minorHAnsi" w:eastAsiaTheme="minorEastAsia" w:hAnsiTheme="minorHAnsi"/>
          <w:lang w:eastAsia="en-AU"/>
        </w:rPr>
      </w:pPr>
      <w:hyperlink w:anchor="_Toc492524749" w:history="1">
        <w:r w:rsidR="00AA17FC" w:rsidRPr="00F93262">
          <w:rPr>
            <w:rStyle w:val="Hyperlink"/>
          </w:rPr>
          <w:t>5.2</w:t>
        </w:r>
        <w:r w:rsidR="00AA17FC">
          <w:rPr>
            <w:rFonts w:asciiTheme="minorHAnsi" w:eastAsiaTheme="minorEastAsia" w:hAnsiTheme="minorHAnsi"/>
            <w:lang w:eastAsia="en-AU"/>
          </w:rPr>
          <w:tab/>
        </w:r>
        <w:r w:rsidR="00AA17FC" w:rsidRPr="00F93262">
          <w:rPr>
            <w:rStyle w:val="Hyperlink"/>
          </w:rPr>
          <w:t>Management of imbalances</w:t>
        </w:r>
        <w:r w:rsidR="00AA17FC">
          <w:rPr>
            <w:webHidden/>
          </w:rPr>
          <w:tab/>
        </w:r>
        <w:r w:rsidR="00AA17FC">
          <w:rPr>
            <w:webHidden/>
          </w:rPr>
          <w:fldChar w:fldCharType="begin"/>
        </w:r>
        <w:r w:rsidR="00AA17FC">
          <w:rPr>
            <w:webHidden/>
          </w:rPr>
          <w:instrText xml:space="preserve"> PAGEREF _Toc492524749 \h </w:instrText>
        </w:r>
        <w:r w:rsidR="00AA17FC">
          <w:rPr>
            <w:webHidden/>
          </w:rPr>
        </w:r>
        <w:r w:rsidR="00AA17FC">
          <w:rPr>
            <w:webHidden/>
          </w:rPr>
          <w:fldChar w:fldCharType="separate"/>
        </w:r>
        <w:r w:rsidR="00947034">
          <w:rPr>
            <w:webHidden/>
          </w:rPr>
          <w:t>78</w:t>
        </w:r>
        <w:r w:rsidR="00AA17FC">
          <w:rPr>
            <w:webHidden/>
          </w:rPr>
          <w:fldChar w:fldCharType="end"/>
        </w:r>
      </w:hyperlink>
    </w:p>
    <w:p w14:paraId="47543F08" w14:textId="7F17B7BF" w:rsidR="00AA17FC" w:rsidRDefault="009E6A8A">
      <w:pPr>
        <w:pStyle w:val="TOC2"/>
        <w:rPr>
          <w:rFonts w:asciiTheme="minorHAnsi" w:eastAsiaTheme="minorEastAsia" w:hAnsiTheme="minorHAnsi"/>
          <w:lang w:eastAsia="en-AU"/>
        </w:rPr>
      </w:pPr>
      <w:hyperlink w:anchor="_Toc492524750" w:history="1">
        <w:r w:rsidR="00AA17FC" w:rsidRPr="00F93262">
          <w:rPr>
            <w:rStyle w:val="Hyperlink"/>
          </w:rPr>
          <w:t>5.3</w:t>
        </w:r>
        <w:r w:rsidR="00AA17FC">
          <w:rPr>
            <w:rFonts w:asciiTheme="minorHAnsi" w:eastAsiaTheme="minorEastAsia" w:hAnsiTheme="minorHAnsi"/>
            <w:lang w:eastAsia="en-AU"/>
          </w:rPr>
          <w:tab/>
        </w:r>
        <w:r w:rsidR="00AA17FC" w:rsidRPr="00F93262">
          <w:rPr>
            <w:rStyle w:val="Hyperlink"/>
          </w:rPr>
          <w:t>Gas day start times and nomination cut-off times</w:t>
        </w:r>
        <w:r w:rsidR="00AA17FC">
          <w:rPr>
            <w:webHidden/>
          </w:rPr>
          <w:tab/>
        </w:r>
        <w:r w:rsidR="00AA17FC">
          <w:rPr>
            <w:webHidden/>
          </w:rPr>
          <w:fldChar w:fldCharType="begin"/>
        </w:r>
        <w:r w:rsidR="00AA17FC">
          <w:rPr>
            <w:webHidden/>
          </w:rPr>
          <w:instrText xml:space="preserve"> PAGEREF _Toc492524750 \h </w:instrText>
        </w:r>
        <w:r w:rsidR="00AA17FC">
          <w:rPr>
            <w:webHidden/>
          </w:rPr>
        </w:r>
        <w:r w:rsidR="00AA17FC">
          <w:rPr>
            <w:webHidden/>
          </w:rPr>
          <w:fldChar w:fldCharType="separate"/>
        </w:r>
        <w:r w:rsidR="00947034">
          <w:rPr>
            <w:webHidden/>
          </w:rPr>
          <w:t>79</w:t>
        </w:r>
        <w:r w:rsidR="00AA17FC">
          <w:rPr>
            <w:webHidden/>
          </w:rPr>
          <w:fldChar w:fldCharType="end"/>
        </w:r>
      </w:hyperlink>
    </w:p>
    <w:p w14:paraId="0602F2E5" w14:textId="79FAD705" w:rsidR="00AA17FC" w:rsidRDefault="009E6A8A">
      <w:pPr>
        <w:pStyle w:val="TOC2"/>
        <w:rPr>
          <w:rFonts w:asciiTheme="minorHAnsi" w:eastAsiaTheme="minorEastAsia" w:hAnsiTheme="minorHAnsi"/>
          <w:lang w:eastAsia="en-AU"/>
        </w:rPr>
      </w:pPr>
      <w:hyperlink w:anchor="_Toc492524751" w:history="1">
        <w:r w:rsidR="00AA17FC" w:rsidRPr="00F93262">
          <w:rPr>
            <w:rStyle w:val="Hyperlink"/>
          </w:rPr>
          <w:t>5.4</w:t>
        </w:r>
        <w:r w:rsidR="00AA17FC">
          <w:rPr>
            <w:rFonts w:asciiTheme="minorHAnsi" w:eastAsiaTheme="minorEastAsia" w:hAnsiTheme="minorHAnsi"/>
            <w:lang w:eastAsia="en-AU"/>
          </w:rPr>
          <w:tab/>
        </w:r>
        <w:r w:rsidR="00AA17FC" w:rsidRPr="00F93262">
          <w:rPr>
            <w:rStyle w:val="Hyperlink"/>
          </w:rPr>
          <w:t>Contractual limitations on capacity trading in primary GTAs</w:t>
        </w:r>
        <w:r w:rsidR="00AA17FC">
          <w:rPr>
            <w:webHidden/>
          </w:rPr>
          <w:tab/>
        </w:r>
        <w:r w:rsidR="00AA17FC">
          <w:rPr>
            <w:webHidden/>
          </w:rPr>
          <w:fldChar w:fldCharType="begin"/>
        </w:r>
        <w:r w:rsidR="00AA17FC">
          <w:rPr>
            <w:webHidden/>
          </w:rPr>
          <w:instrText xml:space="preserve"> PAGEREF _Toc492524751 \h </w:instrText>
        </w:r>
        <w:r w:rsidR="00AA17FC">
          <w:rPr>
            <w:webHidden/>
          </w:rPr>
        </w:r>
        <w:r w:rsidR="00AA17FC">
          <w:rPr>
            <w:webHidden/>
          </w:rPr>
          <w:fldChar w:fldCharType="separate"/>
        </w:r>
        <w:r w:rsidR="00947034">
          <w:rPr>
            <w:webHidden/>
          </w:rPr>
          <w:t>84</w:t>
        </w:r>
        <w:r w:rsidR="00AA17FC">
          <w:rPr>
            <w:webHidden/>
          </w:rPr>
          <w:fldChar w:fldCharType="end"/>
        </w:r>
      </w:hyperlink>
    </w:p>
    <w:p w14:paraId="3A2CFEA1" w14:textId="557CEBB4" w:rsidR="00AA17FC" w:rsidRDefault="009E6A8A">
      <w:pPr>
        <w:pStyle w:val="TOC1"/>
        <w:rPr>
          <w:rFonts w:asciiTheme="minorHAnsi" w:eastAsiaTheme="minorEastAsia" w:hAnsiTheme="minorHAnsi"/>
          <w:b w:val="0"/>
          <w:lang w:eastAsia="en-AU"/>
        </w:rPr>
      </w:pPr>
      <w:hyperlink w:anchor="_Toc492524752" w:history="1">
        <w:r w:rsidR="00AA17FC" w:rsidRPr="00F93262">
          <w:rPr>
            <w:rStyle w:val="Hyperlink"/>
          </w:rPr>
          <w:t>Part B: Capacity Trading Platform</w:t>
        </w:r>
        <w:r w:rsidR="00AA17FC">
          <w:rPr>
            <w:webHidden/>
          </w:rPr>
          <w:tab/>
        </w:r>
        <w:r w:rsidR="00AA17FC">
          <w:rPr>
            <w:webHidden/>
          </w:rPr>
          <w:fldChar w:fldCharType="begin"/>
        </w:r>
        <w:r w:rsidR="00AA17FC">
          <w:rPr>
            <w:webHidden/>
          </w:rPr>
          <w:instrText xml:space="preserve"> PAGEREF _Toc492524752 \h </w:instrText>
        </w:r>
        <w:r w:rsidR="00AA17FC">
          <w:rPr>
            <w:webHidden/>
          </w:rPr>
        </w:r>
        <w:r w:rsidR="00AA17FC">
          <w:rPr>
            <w:webHidden/>
          </w:rPr>
          <w:fldChar w:fldCharType="separate"/>
        </w:r>
        <w:r w:rsidR="00947034">
          <w:rPr>
            <w:webHidden/>
          </w:rPr>
          <w:t>86</w:t>
        </w:r>
        <w:r w:rsidR="00AA17FC">
          <w:rPr>
            <w:webHidden/>
          </w:rPr>
          <w:fldChar w:fldCharType="end"/>
        </w:r>
      </w:hyperlink>
    </w:p>
    <w:p w14:paraId="6B312C3F" w14:textId="1027EAF6" w:rsidR="00AA17FC" w:rsidRDefault="009E6A8A">
      <w:pPr>
        <w:pStyle w:val="TOC1"/>
        <w:rPr>
          <w:rFonts w:asciiTheme="minorHAnsi" w:eastAsiaTheme="minorEastAsia" w:hAnsiTheme="minorHAnsi"/>
          <w:b w:val="0"/>
          <w:lang w:eastAsia="en-AU"/>
        </w:rPr>
      </w:pPr>
      <w:hyperlink w:anchor="_Toc492524753" w:history="1">
        <w:r w:rsidR="00AA17FC" w:rsidRPr="00F93262">
          <w:rPr>
            <w:rStyle w:val="Hyperlink"/>
          </w:rPr>
          <w:t>6.</w:t>
        </w:r>
        <w:r w:rsidR="00AA17FC">
          <w:rPr>
            <w:rFonts w:asciiTheme="minorHAnsi" w:eastAsiaTheme="minorEastAsia" w:hAnsiTheme="minorHAnsi"/>
            <w:b w:val="0"/>
            <w:lang w:eastAsia="en-AU"/>
          </w:rPr>
          <w:tab/>
        </w:r>
        <w:r w:rsidR="00AA17FC" w:rsidRPr="00F93262">
          <w:rPr>
            <w:rStyle w:val="Hyperlink"/>
          </w:rPr>
          <w:t>Overview of the GSH</w:t>
        </w:r>
        <w:r w:rsidR="00AA17FC">
          <w:rPr>
            <w:webHidden/>
          </w:rPr>
          <w:tab/>
        </w:r>
        <w:r w:rsidR="00AA17FC">
          <w:rPr>
            <w:webHidden/>
          </w:rPr>
          <w:fldChar w:fldCharType="begin"/>
        </w:r>
        <w:r w:rsidR="00AA17FC">
          <w:rPr>
            <w:webHidden/>
          </w:rPr>
          <w:instrText xml:space="preserve"> PAGEREF _Toc492524753 \h </w:instrText>
        </w:r>
        <w:r w:rsidR="00AA17FC">
          <w:rPr>
            <w:webHidden/>
          </w:rPr>
        </w:r>
        <w:r w:rsidR="00AA17FC">
          <w:rPr>
            <w:webHidden/>
          </w:rPr>
          <w:fldChar w:fldCharType="separate"/>
        </w:r>
        <w:r w:rsidR="00947034">
          <w:rPr>
            <w:webHidden/>
          </w:rPr>
          <w:t>88</w:t>
        </w:r>
        <w:r w:rsidR="00AA17FC">
          <w:rPr>
            <w:webHidden/>
          </w:rPr>
          <w:fldChar w:fldCharType="end"/>
        </w:r>
      </w:hyperlink>
    </w:p>
    <w:p w14:paraId="587B4AD8" w14:textId="15EC0B88" w:rsidR="00AA17FC" w:rsidRDefault="009E6A8A">
      <w:pPr>
        <w:pStyle w:val="TOC2"/>
        <w:rPr>
          <w:rFonts w:asciiTheme="minorHAnsi" w:eastAsiaTheme="minorEastAsia" w:hAnsiTheme="minorHAnsi"/>
          <w:lang w:eastAsia="en-AU"/>
        </w:rPr>
      </w:pPr>
      <w:hyperlink w:anchor="_Toc492524754" w:history="1">
        <w:r w:rsidR="00AA17FC" w:rsidRPr="00F93262">
          <w:rPr>
            <w:rStyle w:val="Hyperlink"/>
          </w:rPr>
          <w:t>6.1</w:t>
        </w:r>
        <w:r w:rsidR="00AA17FC">
          <w:rPr>
            <w:rFonts w:asciiTheme="minorHAnsi" w:eastAsiaTheme="minorEastAsia" w:hAnsiTheme="minorHAnsi"/>
            <w:lang w:eastAsia="en-AU"/>
          </w:rPr>
          <w:tab/>
        </w:r>
        <w:r w:rsidR="00AA17FC" w:rsidRPr="00F93262">
          <w:rPr>
            <w:rStyle w:val="Hyperlink"/>
          </w:rPr>
          <w:t>Exchange</w:t>
        </w:r>
        <w:r w:rsidR="00AA17FC">
          <w:rPr>
            <w:webHidden/>
          </w:rPr>
          <w:tab/>
        </w:r>
        <w:r w:rsidR="00AA17FC">
          <w:rPr>
            <w:webHidden/>
          </w:rPr>
          <w:fldChar w:fldCharType="begin"/>
        </w:r>
        <w:r w:rsidR="00AA17FC">
          <w:rPr>
            <w:webHidden/>
          </w:rPr>
          <w:instrText xml:space="preserve"> PAGEREF _Toc492524754 \h </w:instrText>
        </w:r>
        <w:r w:rsidR="00AA17FC">
          <w:rPr>
            <w:webHidden/>
          </w:rPr>
        </w:r>
        <w:r w:rsidR="00AA17FC">
          <w:rPr>
            <w:webHidden/>
          </w:rPr>
          <w:fldChar w:fldCharType="separate"/>
        </w:r>
        <w:r w:rsidR="00947034">
          <w:rPr>
            <w:webHidden/>
          </w:rPr>
          <w:t>88</w:t>
        </w:r>
        <w:r w:rsidR="00AA17FC">
          <w:rPr>
            <w:webHidden/>
          </w:rPr>
          <w:fldChar w:fldCharType="end"/>
        </w:r>
      </w:hyperlink>
    </w:p>
    <w:p w14:paraId="0CF33848" w14:textId="0DC140BC" w:rsidR="00AA17FC" w:rsidRDefault="009E6A8A">
      <w:pPr>
        <w:pStyle w:val="TOC2"/>
        <w:rPr>
          <w:rFonts w:asciiTheme="minorHAnsi" w:eastAsiaTheme="minorEastAsia" w:hAnsiTheme="minorHAnsi"/>
          <w:lang w:eastAsia="en-AU"/>
        </w:rPr>
      </w:pPr>
      <w:hyperlink w:anchor="_Toc492524755" w:history="1">
        <w:r w:rsidR="00AA17FC" w:rsidRPr="00F93262">
          <w:rPr>
            <w:rStyle w:val="Hyperlink"/>
          </w:rPr>
          <w:t>6.2</w:t>
        </w:r>
        <w:r w:rsidR="00AA17FC">
          <w:rPr>
            <w:rFonts w:asciiTheme="minorHAnsi" w:eastAsiaTheme="minorEastAsia" w:hAnsiTheme="minorHAnsi"/>
            <w:lang w:eastAsia="en-AU"/>
          </w:rPr>
          <w:tab/>
        </w:r>
        <w:r w:rsidR="00AA17FC" w:rsidRPr="00F93262">
          <w:rPr>
            <w:rStyle w:val="Hyperlink"/>
          </w:rPr>
          <w:t>Capacity listing service</w:t>
        </w:r>
        <w:r w:rsidR="00AA17FC">
          <w:rPr>
            <w:webHidden/>
          </w:rPr>
          <w:tab/>
        </w:r>
        <w:r w:rsidR="00AA17FC">
          <w:rPr>
            <w:webHidden/>
          </w:rPr>
          <w:fldChar w:fldCharType="begin"/>
        </w:r>
        <w:r w:rsidR="00AA17FC">
          <w:rPr>
            <w:webHidden/>
          </w:rPr>
          <w:instrText xml:space="preserve"> PAGEREF _Toc492524755 \h </w:instrText>
        </w:r>
        <w:r w:rsidR="00AA17FC">
          <w:rPr>
            <w:webHidden/>
          </w:rPr>
        </w:r>
        <w:r w:rsidR="00AA17FC">
          <w:rPr>
            <w:webHidden/>
          </w:rPr>
          <w:fldChar w:fldCharType="separate"/>
        </w:r>
        <w:r w:rsidR="00947034">
          <w:rPr>
            <w:webHidden/>
          </w:rPr>
          <w:t>89</w:t>
        </w:r>
        <w:r w:rsidR="00AA17FC">
          <w:rPr>
            <w:webHidden/>
          </w:rPr>
          <w:fldChar w:fldCharType="end"/>
        </w:r>
      </w:hyperlink>
    </w:p>
    <w:p w14:paraId="69C2E6A3" w14:textId="44970F67" w:rsidR="00AA17FC" w:rsidRDefault="009E6A8A">
      <w:pPr>
        <w:pStyle w:val="TOC2"/>
        <w:rPr>
          <w:rFonts w:asciiTheme="minorHAnsi" w:eastAsiaTheme="minorEastAsia" w:hAnsiTheme="minorHAnsi"/>
          <w:lang w:eastAsia="en-AU"/>
        </w:rPr>
      </w:pPr>
      <w:hyperlink w:anchor="_Toc492524756" w:history="1">
        <w:r w:rsidR="00AA17FC" w:rsidRPr="00F93262">
          <w:rPr>
            <w:rStyle w:val="Hyperlink"/>
          </w:rPr>
          <w:t>6.3</w:t>
        </w:r>
        <w:r w:rsidR="00AA17FC">
          <w:rPr>
            <w:rFonts w:asciiTheme="minorHAnsi" w:eastAsiaTheme="minorEastAsia" w:hAnsiTheme="minorHAnsi"/>
            <w:lang w:eastAsia="en-AU"/>
          </w:rPr>
          <w:tab/>
        </w:r>
        <w:r w:rsidR="00AA17FC" w:rsidRPr="00F93262">
          <w:rPr>
            <w:rStyle w:val="Hyperlink"/>
          </w:rPr>
          <w:t>Use of the GSH</w:t>
        </w:r>
        <w:r w:rsidR="00AA17FC">
          <w:rPr>
            <w:webHidden/>
          </w:rPr>
          <w:tab/>
        </w:r>
        <w:r w:rsidR="00AA17FC">
          <w:rPr>
            <w:webHidden/>
          </w:rPr>
          <w:fldChar w:fldCharType="begin"/>
        </w:r>
        <w:r w:rsidR="00AA17FC">
          <w:rPr>
            <w:webHidden/>
          </w:rPr>
          <w:instrText xml:space="preserve"> PAGEREF _Toc492524756 \h </w:instrText>
        </w:r>
        <w:r w:rsidR="00AA17FC">
          <w:rPr>
            <w:webHidden/>
          </w:rPr>
        </w:r>
        <w:r w:rsidR="00AA17FC">
          <w:rPr>
            <w:webHidden/>
          </w:rPr>
          <w:fldChar w:fldCharType="separate"/>
        </w:r>
        <w:r w:rsidR="00947034">
          <w:rPr>
            <w:webHidden/>
          </w:rPr>
          <w:t>90</w:t>
        </w:r>
        <w:r w:rsidR="00AA17FC">
          <w:rPr>
            <w:webHidden/>
          </w:rPr>
          <w:fldChar w:fldCharType="end"/>
        </w:r>
      </w:hyperlink>
    </w:p>
    <w:p w14:paraId="7516FC2A" w14:textId="37293570" w:rsidR="00AA17FC" w:rsidRDefault="009E6A8A">
      <w:pPr>
        <w:pStyle w:val="TOC2"/>
        <w:rPr>
          <w:rFonts w:asciiTheme="minorHAnsi" w:eastAsiaTheme="minorEastAsia" w:hAnsiTheme="minorHAnsi"/>
          <w:lang w:eastAsia="en-AU"/>
        </w:rPr>
      </w:pPr>
      <w:hyperlink w:anchor="_Toc492524757" w:history="1">
        <w:r w:rsidR="00AA17FC" w:rsidRPr="00F93262">
          <w:rPr>
            <w:rStyle w:val="Hyperlink"/>
          </w:rPr>
          <w:t>6.4</w:t>
        </w:r>
        <w:r w:rsidR="00AA17FC">
          <w:rPr>
            <w:rFonts w:asciiTheme="minorHAnsi" w:eastAsiaTheme="minorEastAsia" w:hAnsiTheme="minorHAnsi"/>
            <w:lang w:eastAsia="en-AU"/>
          </w:rPr>
          <w:tab/>
        </w:r>
        <w:r w:rsidR="00AA17FC" w:rsidRPr="00F93262">
          <w:rPr>
            <w:rStyle w:val="Hyperlink"/>
          </w:rPr>
          <w:t>Current governance framework</w:t>
        </w:r>
        <w:r w:rsidR="00AA17FC">
          <w:rPr>
            <w:webHidden/>
          </w:rPr>
          <w:tab/>
        </w:r>
        <w:r w:rsidR="00AA17FC">
          <w:rPr>
            <w:webHidden/>
          </w:rPr>
          <w:fldChar w:fldCharType="begin"/>
        </w:r>
        <w:r w:rsidR="00AA17FC">
          <w:rPr>
            <w:webHidden/>
          </w:rPr>
          <w:instrText xml:space="preserve"> PAGEREF _Toc492524757 \h </w:instrText>
        </w:r>
        <w:r w:rsidR="00AA17FC">
          <w:rPr>
            <w:webHidden/>
          </w:rPr>
        </w:r>
        <w:r w:rsidR="00AA17FC">
          <w:rPr>
            <w:webHidden/>
          </w:rPr>
          <w:fldChar w:fldCharType="separate"/>
        </w:r>
        <w:r w:rsidR="00947034">
          <w:rPr>
            <w:webHidden/>
          </w:rPr>
          <w:t>92</w:t>
        </w:r>
        <w:r w:rsidR="00AA17FC">
          <w:rPr>
            <w:webHidden/>
          </w:rPr>
          <w:fldChar w:fldCharType="end"/>
        </w:r>
      </w:hyperlink>
    </w:p>
    <w:p w14:paraId="0DD4C841" w14:textId="1E1F69BD" w:rsidR="00AA17FC" w:rsidRDefault="009E6A8A">
      <w:pPr>
        <w:pStyle w:val="TOC1"/>
        <w:rPr>
          <w:rFonts w:asciiTheme="minorHAnsi" w:eastAsiaTheme="minorEastAsia" w:hAnsiTheme="minorHAnsi"/>
          <w:b w:val="0"/>
          <w:lang w:eastAsia="en-AU"/>
        </w:rPr>
      </w:pPr>
      <w:hyperlink w:anchor="_Toc492524758" w:history="1">
        <w:r w:rsidR="00AA17FC" w:rsidRPr="00F93262">
          <w:rPr>
            <w:rStyle w:val="Hyperlink"/>
          </w:rPr>
          <w:t>7.</w:t>
        </w:r>
        <w:r w:rsidR="00AA17FC">
          <w:rPr>
            <w:rFonts w:asciiTheme="minorHAnsi" w:eastAsiaTheme="minorEastAsia" w:hAnsiTheme="minorHAnsi"/>
            <w:b w:val="0"/>
            <w:lang w:eastAsia="en-AU"/>
          </w:rPr>
          <w:tab/>
        </w:r>
        <w:r w:rsidR="00AA17FC" w:rsidRPr="00F93262">
          <w:rPr>
            <w:rStyle w:val="Hyperlink"/>
          </w:rPr>
          <w:t>Capacity Products to be Sold on the GSH</w:t>
        </w:r>
        <w:r w:rsidR="00AA17FC">
          <w:rPr>
            <w:webHidden/>
          </w:rPr>
          <w:tab/>
        </w:r>
        <w:r w:rsidR="00AA17FC">
          <w:rPr>
            <w:webHidden/>
          </w:rPr>
          <w:fldChar w:fldCharType="begin"/>
        </w:r>
        <w:r w:rsidR="00AA17FC">
          <w:rPr>
            <w:webHidden/>
          </w:rPr>
          <w:instrText xml:space="preserve"> PAGEREF _Toc492524758 \h </w:instrText>
        </w:r>
        <w:r w:rsidR="00AA17FC">
          <w:rPr>
            <w:webHidden/>
          </w:rPr>
        </w:r>
        <w:r w:rsidR="00AA17FC">
          <w:rPr>
            <w:webHidden/>
          </w:rPr>
          <w:fldChar w:fldCharType="separate"/>
        </w:r>
        <w:r w:rsidR="00947034">
          <w:rPr>
            <w:webHidden/>
          </w:rPr>
          <w:t>94</w:t>
        </w:r>
        <w:r w:rsidR="00AA17FC">
          <w:rPr>
            <w:webHidden/>
          </w:rPr>
          <w:fldChar w:fldCharType="end"/>
        </w:r>
      </w:hyperlink>
    </w:p>
    <w:p w14:paraId="371315CB" w14:textId="415309A0" w:rsidR="00AA17FC" w:rsidRDefault="009E6A8A">
      <w:pPr>
        <w:pStyle w:val="TOC2"/>
        <w:rPr>
          <w:rFonts w:asciiTheme="minorHAnsi" w:eastAsiaTheme="minorEastAsia" w:hAnsiTheme="minorHAnsi"/>
          <w:lang w:eastAsia="en-AU"/>
        </w:rPr>
      </w:pPr>
      <w:hyperlink w:anchor="_Toc492524759" w:history="1">
        <w:r w:rsidR="00AA17FC" w:rsidRPr="00F93262">
          <w:rPr>
            <w:rStyle w:val="Hyperlink"/>
          </w:rPr>
          <w:t>7.1</w:t>
        </w:r>
        <w:r w:rsidR="00AA17FC">
          <w:rPr>
            <w:rFonts w:asciiTheme="minorHAnsi" w:eastAsiaTheme="minorEastAsia" w:hAnsiTheme="minorHAnsi"/>
            <w:lang w:eastAsia="en-AU"/>
          </w:rPr>
          <w:tab/>
        </w:r>
        <w:r w:rsidR="00AA17FC" w:rsidRPr="00F93262">
          <w:rPr>
            <w:rStyle w:val="Hyperlink"/>
          </w:rPr>
          <w:t>Initial set of products to be sold on the exchange</w:t>
        </w:r>
        <w:r w:rsidR="00AA17FC">
          <w:rPr>
            <w:webHidden/>
          </w:rPr>
          <w:tab/>
        </w:r>
        <w:r w:rsidR="00AA17FC">
          <w:rPr>
            <w:webHidden/>
          </w:rPr>
          <w:fldChar w:fldCharType="begin"/>
        </w:r>
        <w:r w:rsidR="00AA17FC">
          <w:rPr>
            <w:webHidden/>
          </w:rPr>
          <w:instrText xml:space="preserve"> PAGEREF _Toc492524759 \h </w:instrText>
        </w:r>
        <w:r w:rsidR="00AA17FC">
          <w:rPr>
            <w:webHidden/>
          </w:rPr>
        </w:r>
        <w:r w:rsidR="00AA17FC">
          <w:rPr>
            <w:webHidden/>
          </w:rPr>
          <w:fldChar w:fldCharType="separate"/>
        </w:r>
        <w:r w:rsidR="00947034">
          <w:rPr>
            <w:webHidden/>
          </w:rPr>
          <w:t>94</w:t>
        </w:r>
        <w:r w:rsidR="00AA17FC">
          <w:rPr>
            <w:webHidden/>
          </w:rPr>
          <w:fldChar w:fldCharType="end"/>
        </w:r>
      </w:hyperlink>
    </w:p>
    <w:p w14:paraId="7237DEB7" w14:textId="3B8DE67E" w:rsidR="00AA17FC" w:rsidRDefault="009E6A8A">
      <w:pPr>
        <w:pStyle w:val="TOC2"/>
        <w:rPr>
          <w:rFonts w:asciiTheme="minorHAnsi" w:eastAsiaTheme="minorEastAsia" w:hAnsiTheme="minorHAnsi"/>
          <w:lang w:eastAsia="en-AU"/>
        </w:rPr>
      </w:pPr>
      <w:hyperlink w:anchor="_Toc492524760" w:history="1">
        <w:r w:rsidR="00AA17FC" w:rsidRPr="00F93262">
          <w:rPr>
            <w:rStyle w:val="Hyperlink"/>
          </w:rPr>
          <w:t>7.2</w:t>
        </w:r>
        <w:r w:rsidR="00AA17FC">
          <w:rPr>
            <w:rFonts w:asciiTheme="minorHAnsi" w:eastAsiaTheme="minorEastAsia" w:hAnsiTheme="minorHAnsi"/>
            <w:lang w:eastAsia="en-AU"/>
          </w:rPr>
          <w:tab/>
        </w:r>
        <w:r w:rsidR="00AA17FC" w:rsidRPr="00F93262">
          <w:rPr>
            <w:rStyle w:val="Hyperlink"/>
          </w:rPr>
          <w:t>Standardised products to be sold on the exchange</w:t>
        </w:r>
        <w:r w:rsidR="00AA17FC">
          <w:rPr>
            <w:webHidden/>
          </w:rPr>
          <w:tab/>
        </w:r>
        <w:r w:rsidR="00AA17FC">
          <w:rPr>
            <w:webHidden/>
          </w:rPr>
          <w:fldChar w:fldCharType="begin"/>
        </w:r>
        <w:r w:rsidR="00AA17FC">
          <w:rPr>
            <w:webHidden/>
          </w:rPr>
          <w:instrText xml:space="preserve"> PAGEREF _Toc492524760 \h </w:instrText>
        </w:r>
        <w:r w:rsidR="00AA17FC">
          <w:rPr>
            <w:webHidden/>
          </w:rPr>
        </w:r>
        <w:r w:rsidR="00AA17FC">
          <w:rPr>
            <w:webHidden/>
          </w:rPr>
          <w:fldChar w:fldCharType="separate"/>
        </w:r>
        <w:r w:rsidR="00947034">
          <w:rPr>
            <w:webHidden/>
          </w:rPr>
          <w:t>98</w:t>
        </w:r>
        <w:r w:rsidR="00AA17FC">
          <w:rPr>
            <w:webHidden/>
          </w:rPr>
          <w:fldChar w:fldCharType="end"/>
        </w:r>
      </w:hyperlink>
    </w:p>
    <w:p w14:paraId="646807BE" w14:textId="49A7E916" w:rsidR="00AA17FC" w:rsidRDefault="009E6A8A">
      <w:pPr>
        <w:pStyle w:val="TOC2"/>
        <w:rPr>
          <w:rFonts w:asciiTheme="minorHAnsi" w:eastAsiaTheme="minorEastAsia" w:hAnsiTheme="minorHAnsi"/>
          <w:lang w:eastAsia="en-AU"/>
        </w:rPr>
      </w:pPr>
      <w:hyperlink w:anchor="_Toc492524761" w:history="1">
        <w:r w:rsidR="00AA17FC" w:rsidRPr="00F93262">
          <w:rPr>
            <w:rStyle w:val="Hyperlink"/>
          </w:rPr>
          <w:t>7.3</w:t>
        </w:r>
        <w:r w:rsidR="00AA17FC">
          <w:rPr>
            <w:rFonts w:asciiTheme="minorHAnsi" w:eastAsiaTheme="minorEastAsia" w:hAnsiTheme="minorHAnsi"/>
            <w:lang w:eastAsia="en-AU"/>
          </w:rPr>
          <w:tab/>
        </w:r>
        <w:r w:rsidR="00AA17FC" w:rsidRPr="00F93262">
          <w:rPr>
            <w:rStyle w:val="Hyperlink"/>
          </w:rPr>
          <w:t>Charging parameter for capacity products</w:t>
        </w:r>
        <w:r w:rsidR="00AA17FC">
          <w:rPr>
            <w:webHidden/>
          </w:rPr>
          <w:tab/>
        </w:r>
        <w:r w:rsidR="00AA17FC">
          <w:rPr>
            <w:webHidden/>
          </w:rPr>
          <w:fldChar w:fldCharType="begin"/>
        </w:r>
        <w:r w:rsidR="00AA17FC">
          <w:rPr>
            <w:webHidden/>
          </w:rPr>
          <w:instrText xml:space="preserve"> PAGEREF _Toc492524761 \h </w:instrText>
        </w:r>
        <w:r w:rsidR="00AA17FC">
          <w:rPr>
            <w:webHidden/>
          </w:rPr>
        </w:r>
        <w:r w:rsidR="00AA17FC">
          <w:rPr>
            <w:webHidden/>
          </w:rPr>
          <w:fldChar w:fldCharType="separate"/>
        </w:r>
        <w:r w:rsidR="00947034">
          <w:rPr>
            <w:webHidden/>
          </w:rPr>
          <w:t>102</w:t>
        </w:r>
        <w:r w:rsidR="00AA17FC">
          <w:rPr>
            <w:webHidden/>
          </w:rPr>
          <w:fldChar w:fldCharType="end"/>
        </w:r>
      </w:hyperlink>
    </w:p>
    <w:p w14:paraId="05FDE835" w14:textId="7AECC1D2" w:rsidR="00AA17FC" w:rsidRDefault="009E6A8A">
      <w:pPr>
        <w:pStyle w:val="TOC1"/>
        <w:rPr>
          <w:rFonts w:asciiTheme="minorHAnsi" w:eastAsiaTheme="minorEastAsia" w:hAnsiTheme="minorHAnsi"/>
          <w:b w:val="0"/>
          <w:lang w:eastAsia="en-AU"/>
        </w:rPr>
      </w:pPr>
      <w:hyperlink w:anchor="_Toc492524762" w:history="1">
        <w:r w:rsidR="00AA17FC" w:rsidRPr="00F93262">
          <w:rPr>
            <w:rStyle w:val="Hyperlink"/>
          </w:rPr>
          <w:t>8.</w:t>
        </w:r>
        <w:r w:rsidR="00AA17FC">
          <w:rPr>
            <w:rFonts w:asciiTheme="minorHAnsi" w:eastAsiaTheme="minorEastAsia" w:hAnsiTheme="minorHAnsi"/>
            <w:b w:val="0"/>
            <w:lang w:eastAsia="en-AU"/>
          </w:rPr>
          <w:tab/>
        </w:r>
        <w:r w:rsidR="00AA17FC" w:rsidRPr="00F93262">
          <w:rPr>
            <w:rStyle w:val="Hyperlink"/>
          </w:rPr>
          <w:t>Delivery Process for Exchange Traded Products</w:t>
        </w:r>
        <w:r w:rsidR="00AA17FC">
          <w:rPr>
            <w:webHidden/>
          </w:rPr>
          <w:tab/>
        </w:r>
        <w:r w:rsidR="00AA17FC">
          <w:rPr>
            <w:webHidden/>
          </w:rPr>
          <w:fldChar w:fldCharType="begin"/>
        </w:r>
        <w:r w:rsidR="00AA17FC">
          <w:rPr>
            <w:webHidden/>
          </w:rPr>
          <w:instrText xml:space="preserve"> PAGEREF _Toc492524762 \h </w:instrText>
        </w:r>
        <w:r w:rsidR="00AA17FC">
          <w:rPr>
            <w:webHidden/>
          </w:rPr>
        </w:r>
        <w:r w:rsidR="00AA17FC">
          <w:rPr>
            <w:webHidden/>
          </w:rPr>
          <w:fldChar w:fldCharType="separate"/>
        </w:r>
        <w:r w:rsidR="00947034">
          <w:rPr>
            <w:webHidden/>
          </w:rPr>
          <w:t>104</w:t>
        </w:r>
        <w:r w:rsidR="00AA17FC">
          <w:rPr>
            <w:webHidden/>
          </w:rPr>
          <w:fldChar w:fldCharType="end"/>
        </w:r>
      </w:hyperlink>
    </w:p>
    <w:p w14:paraId="78C1E71B" w14:textId="5FCE67A9" w:rsidR="00AA17FC" w:rsidRDefault="009E6A8A">
      <w:pPr>
        <w:pStyle w:val="TOC2"/>
        <w:rPr>
          <w:rFonts w:asciiTheme="minorHAnsi" w:eastAsiaTheme="minorEastAsia" w:hAnsiTheme="minorHAnsi"/>
          <w:lang w:eastAsia="en-AU"/>
        </w:rPr>
      </w:pPr>
      <w:hyperlink w:anchor="_Toc492524763" w:history="1">
        <w:r w:rsidR="00AA17FC" w:rsidRPr="00F93262">
          <w:rPr>
            <w:rStyle w:val="Hyperlink"/>
          </w:rPr>
          <w:t>8.1</w:t>
        </w:r>
        <w:r w:rsidR="00AA17FC">
          <w:rPr>
            <w:rFonts w:asciiTheme="minorHAnsi" w:eastAsiaTheme="minorEastAsia" w:hAnsiTheme="minorHAnsi"/>
            <w:lang w:eastAsia="en-AU"/>
          </w:rPr>
          <w:tab/>
        </w:r>
        <w:r w:rsidR="00AA17FC" w:rsidRPr="00F93262">
          <w:rPr>
            <w:rStyle w:val="Hyperlink"/>
          </w:rPr>
          <w:t>Provision of transaction information to service providers</w:t>
        </w:r>
        <w:r w:rsidR="00AA17FC">
          <w:rPr>
            <w:webHidden/>
          </w:rPr>
          <w:tab/>
        </w:r>
        <w:r w:rsidR="00AA17FC">
          <w:rPr>
            <w:webHidden/>
          </w:rPr>
          <w:fldChar w:fldCharType="begin"/>
        </w:r>
        <w:r w:rsidR="00AA17FC">
          <w:rPr>
            <w:webHidden/>
          </w:rPr>
          <w:instrText xml:space="preserve"> PAGEREF _Toc492524763 \h </w:instrText>
        </w:r>
        <w:r w:rsidR="00AA17FC">
          <w:rPr>
            <w:webHidden/>
          </w:rPr>
        </w:r>
        <w:r w:rsidR="00AA17FC">
          <w:rPr>
            <w:webHidden/>
          </w:rPr>
          <w:fldChar w:fldCharType="separate"/>
        </w:r>
        <w:r w:rsidR="00947034">
          <w:rPr>
            <w:webHidden/>
          </w:rPr>
          <w:t>104</w:t>
        </w:r>
        <w:r w:rsidR="00AA17FC">
          <w:rPr>
            <w:webHidden/>
          </w:rPr>
          <w:fldChar w:fldCharType="end"/>
        </w:r>
      </w:hyperlink>
    </w:p>
    <w:p w14:paraId="41CBFD4E" w14:textId="1720A2F2" w:rsidR="00AA17FC" w:rsidRDefault="009E6A8A">
      <w:pPr>
        <w:pStyle w:val="TOC2"/>
        <w:rPr>
          <w:rFonts w:asciiTheme="minorHAnsi" w:eastAsiaTheme="minorEastAsia" w:hAnsiTheme="minorHAnsi"/>
          <w:lang w:eastAsia="en-AU"/>
        </w:rPr>
      </w:pPr>
      <w:hyperlink w:anchor="_Toc492524764" w:history="1">
        <w:r w:rsidR="00AA17FC" w:rsidRPr="00F93262">
          <w:rPr>
            <w:rStyle w:val="Hyperlink"/>
          </w:rPr>
          <w:t>8.2</w:t>
        </w:r>
        <w:r w:rsidR="00AA17FC">
          <w:rPr>
            <w:rFonts w:asciiTheme="minorHAnsi" w:eastAsiaTheme="minorEastAsia" w:hAnsiTheme="minorHAnsi"/>
            <w:lang w:eastAsia="en-AU"/>
          </w:rPr>
          <w:tab/>
        </w:r>
        <w:r w:rsidR="00AA17FC" w:rsidRPr="00F93262">
          <w:rPr>
            <w:rStyle w:val="Hyperlink"/>
          </w:rPr>
          <w:t>Transfer of capacity</w:t>
        </w:r>
        <w:r w:rsidR="00AA17FC">
          <w:rPr>
            <w:webHidden/>
          </w:rPr>
          <w:tab/>
        </w:r>
        <w:r w:rsidR="00AA17FC">
          <w:rPr>
            <w:webHidden/>
          </w:rPr>
          <w:fldChar w:fldCharType="begin"/>
        </w:r>
        <w:r w:rsidR="00AA17FC">
          <w:rPr>
            <w:webHidden/>
          </w:rPr>
          <w:instrText xml:space="preserve"> PAGEREF _Toc492524764 \h </w:instrText>
        </w:r>
        <w:r w:rsidR="00AA17FC">
          <w:rPr>
            <w:webHidden/>
          </w:rPr>
        </w:r>
        <w:r w:rsidR="00AA17FC">
          <w:rPr>
            <w:webHidden/>
          </w:rPr>
          <w:fldChar w:fldCharType="separate"/>
        </w:r>
        <w:r w:rsidR="00947034">
          <w:rPr>
            <w:webHidden/>
          </w:rPr>
          <w:t>110</w:t>
        </w:r>
        <w:r w:rsidR="00AA17FC">
          <w:rPr>
            <w:webHidden/>
          </w:rPr>
          <w:fldChar w:fldCharType="end"/>
        </w:r>
      </w:hyperlink>
    </w:p>
    <w:p w14:paraId="49C174F9" w14:textId="60190BDE" w:rsidR="00AA17FC" w:rsidRDefault="009E6A8A">
      <w:pPr>
        <w:pStyle w:val="TOC2"/>
        <w:rPr>
          <w:rFonts w:asciiTheme="minorHAnsi" w:eastAsiaTheme="minorEastAsia" w:hAnsiTheme="minorHAnsi"/>
          <w:lang w:eastAsia="en-AU"/>
        </w:rPr>
      </w:pPr>
      <w:hyperlink w:anchor="_Toc492524765" w:history="1">
        <w:r w:rsidR="00AA17FC" w:rsidRPr="00F93262">
          <w:rPr>
            <w:rStyle w:val="Hyperlink"/>
          </w:rPr>
          <w:t>8.3</w:t>
        </w:r>
        <w:r w:rsidR="00AA17FC">
          <w:rPr>
            <w:rFonts w:asciiTheme="minorHAnsi" w:eastAsiaTheme="minorEastAsia" w:hAnsiTheme="minorHAnsi"/>
            <w:lang w:eastAsia="en-AU"/>
          </w:rPr>
          <w:tab/>
        </w:r>
        <w:r w:rsidR="00AA17FC" w:rsidRPr="00F93262">
          <w:rPr>
            <w:rStyle w:val="Hyperlink"/>
          </w:rPr>
          <w:t>Interaction between the delivery process and other markets</w:t>
        </w:r>
        <w:r w:rsidR="00AA17FC">
          <w:rPr>
            <w:webHidden/>
          </w:rPr>
          <w:tab/>
        </w:r>
        <w:r w:rsidR="00AA17FC">
          <w:rPr>
            <w:webHidden/>
          </w:rPr>
          <w:fldChar w:fldCharType="begin"/>
        </w:r>
        <w:r w:rsidR="00AA17FC">
          <w:rPr>
            <w:webHidden/>
          </w:rPr>
          <w:instrText xml:space="preserve"> PAGEREF _Toc492524765 \h </w:instrText>
        </w:r>
        <w:r w:rsidR="00AA17FC">
          <w:rPr>
            <w:webHidden/>
          </w:rPr>
        </w:r>
        <w:r w:rsidR="00AA17FC">
          <w:rPr>
            <w:webHidden/>
          </w:rPr>
          <w:fldChar w:fldCharType="separate"/>
        </w:r>
        <w:r w:rsidR="00947034">
          <w:rPr>
            <w:webHidden/>
          </w:rPr>
          <w:t>111</w:t>
        </w:r>
        <w:r w:rsidR="00AA17FC">
          <w:rPr>
            <w:webHidden/>
          </w:rPr>
          <w:fldChar w:fldCharType="end"/>
        </w:r>
      </w:hyperlink>
    </w:p>
    <w:p w14:paraId="1DB153EB" w14:textId="7B871A46" w:rsidR="00AA17FC" w:rsidRDefault="009E6A8A">
      <w:pPr>
        <w:pStyle w:val="TOC2"/>
        <w:rPr>
          <w:rFonts w:asciiTheme="minorHAnsi" w:eastAsiaTheme="minorEastAsia" w:hAnsiTheme="minorHAnsi"/>
          <w:lang w:eastAsia="en-AU"/>
        </w:rPr>
      </w:pPr>
      <w:hyperlink w:anchor="_Toc492524766" w:history="1">
        <w:r w:rsidR="00AA17FC" w:rsidRPr="00F93262">
          <w:rPr>
            <w:rStyle w:val="Hyperlink"/>
          </w:rPr>
          <w:t>8.4</w:t>
        </w:r>
        <w:r w:rsidR="00AA17FC">
          <w:rPr>
            <w:rFonts w:asciiTheme="minorHAnsi" w:eastAsiaTheme="minorEastAsia" w:hAnsiTheme="minorHAnsi"/>
            <w:lang w:eastAsia="en-AU"/>
          </w:rPr>
          <w:tab/>
        </w:r>
        <w:r w:rsidR="00AA17FC" w:rsidRPr="00F93262">
          <w:rPr>
            <w:rStyle w:val="Hyperlink"/>
          </w:rPr>
          <w:t>Key timings on the capacity trading platform</w:t>
        </w:r>
        <w:r w:rsidR="00AA17FC">
          <w:rPr>
            <w:webHidden/>
          </w:rPr>
          <w:tab/>
        </w:r>
        <w:r w:rsidR="00AA17FC">
          <w:rPr>
            <w:webHidden/>
          </w:rPr>
          <w:fldChar w:fldCharType="begin"/>
        </w:r>
        <w:r w:rsidR="00AA17FC">
          <w:rPr>
            <w:webHidden/>
          </w:rPr>
          <w:instrText xml:space="preserve"> PAGEREF _Toc492524766 \h </w:instrText>
        </w:r>
        <w:r w:rsidR="00AA17FC">
          <w:rPr>
            <w:webHidden/>
          </w:rPr>
        </w:r>
        <w:r w:rsidR="00AA17FC">
          <w:rPr>
            <w:webHidden/>
          </w:rPr>
          <w:fldChar w:fldCharType="separate"/>
        </w:r>
        <w:r w:rsidR="00947034">
          <w:rPr>
            <w:webHidden/>
          </w:rPr>
          <w:t>118</w:t>
        </w:r>
        <w:r w:rsidR="00AA17FC">
          <w:rPr>
            <w:webHidden/>
          </w:rPr>
          <w:fldChar w:fldCharType="end"/>
        </w:r>
      </w:hyperlink>
    </w:p>
    <w:p w14:paraId="36ED2195" w14:textId="0FE2D2A4" w:rsidR="00AA17FC" w:rsidRDefault="009E6A8A">
      <w:pPr>
        <w:pStyle w:val="TOC1"/>
        <w:rPr>
          <w:rFonts w:asciiTheme="minorHAnsi" w:eastAsiaTheme="minorEastAsia" w:hAnsiTheme="minorHAnsi"/>
          <w:b w:val="0"/>
          <w:lang w:eastAsia="en-AU"/>
        </w:rPr>
      </w:pPr>
      <w:hyperlink w:anchor="_Toc492524767" w:history="1">
        <w:r w:rsidR="00AA17FC" w:rsidRPr="00F93262">
          <w:rPr>
            <w:rStyle w:val="Hyperlink"/>
          </w:rPr>
          <w:t>9.</w:t>
        </w:r>
        <w:r w:rsidR="00AA17FC">
          <w:rPr>
            <w:rFonts w:asciiTheme="minorHAnsi" w:eastAsiaTheme="minorEastAsia" w:hAnsiTheme="minorHAnsi"/>
            <w:b w:val="0"/>
            <w:lang w:eastAsia="en-AU"/>
          </w:rPr>
          <w:tab/>
        </w:r>
        <w:r w:rsidR="00AA17FC" w:rsidRPr="00F93262">
          <w:rPr>
            <w:rStyle w:val="Hyperlink"/>
          </w:rPr>
          <w:t>GSH Settlement and Credit Risk Management</w:t>
        </w:r>
        <w:r w:rsidR="00AA17FC">
          <w:rPr>
            <w:webHidden/>
          </w:rPr>
          <w:tab/>
        </w:r>
        <w:r w:rsidR="00AA17FC">
          <w:rPr>
            <w:webHidden/>
          </w:rPr>
          <w:fldChar w:fldCharType="begin"/>
        </w:r>
        <w:r w:rsidR="00AA17FC">
          <w:rPr>
            <w:webHidden/>
          </w:rPr>
          <w:instrText xml:space="preserve"> PAGEREF _Toc492524767 \h </w:instrText>
        </w:r>
        <w:r w:rsidR="00AA17FC">
          <w:rPr>
            <w:webHidden/>
          </w:rPr>
        </w:r>
        <w:r w:rsidR="00AA17FC">
          <w:rPr>
            <w:webHidden/>
          </w:rPr>
          <w:fldChar w:fldCharType="separate"/>
        </w:r>
        <w:r w:rsidR="00947034">
          <w:rPr>
            <w:webHidden/>
          </w:rPr>
          <w:t>121</w:t>
        </w:r>
        <w:r w:rsidR="00AA17FC">
          <w:rPr>
            <w:webHidden/>
          </w:rPr>
          <w:fldChar w:fldCharType="end"/>
        </w:r>
      </w:hyperlink>
    </w:p>
    <w:p w14:paraId="422E2858" w14:textId="1BAC3E9D" w:rsidR="00AA17FC" w:rsidRDefault="009E6A8A">
      <w:pPr>
        <w:pStyle w:val="TOC2"/>
        <w:rPr>
          <w:rFonts w:asciiTheme="minorHAnsi" w:eastAsiaTheme="minorEastAsia" w:hAnsiTheme="minorHAnsi"/>
          <w:lang w:eastAsia="en-AU"/>
        </w:rPr>
      </w:pPr>
      <w:hyperlink w:anchor="_Toc492524768" w:history="1">
        <w:r w:rsidR="00AA17FC" w:rsidRPr="00F93262">
          <w:rPr>
            <w:rStyle w:val="Hyperlink"/>
          </w:rPr>
          <w:t>9.1</w:t>
        </w:r>
        <w:r w:rsidR="00AA17FC">
          <w:rPr>
            <w:rFonts w:asciiTheme="minorHAnsi" w:eastAsiaTheme="minorEastAsia" w:hAnsiTheme="minorHAnsi"/>
            <w:lang w:eastAsia="en-AU"/>
          </w:rPr>
          <w:tab/>
        </w:r>
        <w:r w:rsidR="00AA17FC" w:rsidRPr="00F93262">
          <w:rPr>
            <w:rStyle w:val="Hyperlink"/>
          </w:rPr>
          <w:t>Centralised settlement system</w:t>
        </w:r>
        <w:r w:rsidR="00AA17FC">
          <w:rPr>
            <w:webHidden/>
          </w:rPr>
          <w:tab/>
        </w:r>
        <w:r w:rsidR="00AA17FC">
          <w:rPr>
            <w:webHidden/>
          </w:rPr>
          <w:fldChar w:fldCharType="begin"/>
        </w:r>
        <w:r w:rsidR="00AA17FC">
          <w:rPr>
            <w:webHidden/>
          </w:rPr>
          <w:instrText xml:space="preserve"> PAGEREF _Toc492524768 \h </w:instrText>
        </w:r>
        <w:r w:rsidR="00AA17FC">
          <w:rPr>
            <w:webHidden/>
          </w:rPr>
        </w:r>
        <w:r w:rsidR="00AA17FC">
          <w:rPr>
            <w:webHidden/>
          </w:rPr>
          <w:fldChar w:fldCharType="separate"/>
        </w:r>
        <w:r w:rsidR="00947034">
          <w:rPr>
            <w:webHidden/>
          </w:rPr>
          <w:t>121</w:t>
        </w:r>
        <w:r w:rsidR="00AA17FC">
          <w:rPr>
            <w:webHidden/>
          </w:rPr>
          <w:fldChar w:fldCharType="end"/>
        </w:r>
      </w:hyperlink>
    </w:p>
    <w:p w14:paraId="7FCEA24A" w14:textId="01D36622" w:rsidR="00AA17FC" w:rsidRDefault="009E6A8A">
      <w:pPr>
        <w:pStyle w:val="TOC2"/>
        <w:rPr>
          <w:rFonts w:asciiTheme="minorHAnsi" w:eastAsiaTheme="minorEastAsia" w:hAnsiTheme="minorHAnsi"/>
          <w:lang w:eastAsia="en-AU"/>
        </w:rPr>
      </w:pPr>
      <w:hyperlink w:anchor="_Toc492524769" w:history="1">
        <w:r w:rsidR="00AA17FC" w:rsidRPr="00F93262">
          <w:rPr>
            <w:rStyle w:val="Hyperlink"/>
          </w:rPr>
          <w:t>9.2</w:t>
        </w:r>
        <w:r w:rsidR="00AA17FC">
          <w:rPr>
            <w:rFonts w:asciiTheme="minorHAnsi" w:eastAsiaTheme="minorEastAsia" w:hAnsiTheme="minorHAnsi"/>
            <w:lang w:eastAsia="en-AU"/>
          </w:rPr>
          <w:tab/>
        </w:r>
        <w:r w:rsidR="00AA17FC" w:rsidRPr="00F93262">
          <w:rPr>
            <w:rStyle w:val="Hyperlink"/>
          </w:rPr>
          <w:t>Centralised credit risk management</w:t>
        </w:r>
        <w:r w:rsidR="00AA17FC">
          <w:rPr>
            <w:webHidden/>
          </w:rPr>
          <w:tab/>
        </w:r>
        <w:r w:rsidR="00AA17FC">
          <w:rPr>
            <w:webHidden/>
          </w:rPr>
          <w:fldChar w:fldCharType="begin"/>
        </w:r>
        <w:r w:rsidR="00AA17FC">
          <w:rPr>
            <w:webHidden/>
          </w:rPr>
          <w:instrText xml:space="preserve"> PAGEREF _Toc492524769 \h </w:instrText>
        </w:r>
        <w:r w:rsidR="00AA17FC">
          <w:rPr>
            <w:webHidden/>
          </w:rPr>
        </w:r>
        <w:r w:rsidR="00AA17FC">
          <w:rPr>
            <w:webHidden/>
          </w:rPr>
          <w:fldChar w:fldCharType="separate"/>
        </w:r>
        <w:r w:rsidR="00947034">
          <w:rPr>
            <w:webHidden/>
          </w:rPr>
          <w:t>123</w:t>
        </w:r>
        <w:r w:rsidR="00AA17FC">
          <w:rPr>
            <w:webHidden/>
          </w:rPr>
          <w:fldChar w:fldCharType="end"/>
        </w:r>
      </w:hyperlink>
    </w:p>
    <w:p w14:paraId="3534E76C" w14:textId="2D2BACEE" w:rsidR="00AA17FC" w:rsidRDefault="009E6A8A">
      <w:pPr>
        <w:pStyle w:val="TOC1"/>
        <w:rPr>
          <w:rFonts w:asciiTheme="minorHAnsi" w:eastAsiaTheme="minorEastAsia" w:hAnsiTheme="minorHAnsi"/>
          <w:b w:val="0"/>
          <w:lang w:eastAsia="en-AU"/>
        </w:rPr>
      </w:pPr>
      <w:hyperlink w:anchor="_Toc492524770" w:history="1">
        <w:r w:rsidR="00AA17FC" w:rsidRPr="00F93262">
          <w:rPr>
            <w:rStyle w:val="Hyperlink"/>
          </w:rPr>
          <w:t>10.</w:t>
        </w:r>
        <w:r w:rsidR="00AA17FC">
          <w:rPr>
            <w:rFonts w:asciiTheme="minorHAnsi" w:eastAsiaTheme="minorEastAsia" w:hAnsiTheme="minorHAnsi"/>
            <w:b w:val="0"/>
            <w:lang w:eastAsia="en-AU"/>
          </w:rPr>
          <w:tab/>
        </w:r>
        <w:r w:rsidR="00AA17FC" w:rsidRPr="00F93262">
          <w:rPr>
            <w:rStyle w:val="Hyperlink"/>
          </w:rPr>
          <w:t>Financial and Delivery Default Arrangements</w:t>
        </w:r>
        <w:r w:rsidR="00AA17FC">
          <w:rPr>
            <w:webHidden/>
          </w:rPr>
          <w:tab/>
        </w:r>
        <w:r w:rsidR="00AA17FC">
          <w:rPr>
            <w:webHidden/>
          </w:rPr>
          <w:fldChar w:fldCharType="begin"/>
        </w:r>
        <w:r w:rsidR="00AA17FC">
          <w:rPr>
            <w:webHidden/>
          </w:rPr>
          <w:instrText xml:space="preserve"> PAGEREF _Toc492524770 \h </w:instrText>
        </w:r>
        <w:r w:rsidR="00AA17FC">
          <w:rPr>
            <w:webHidden/>
          </w:rPr>
        </w:r>
        <w:r w:rsidR="00AA17FC">
          <w:rPr>
            <w:webHidden/>
          </w:rPr>
          <w:fldChar w:fldCharType="separate"/>
        </w:r>
        <w:r w:rsidR="00947034">
          <w:rPr>
            <w:webHidden/>
          </w:rPr>
          <w:t>127</w:t>
        </w:r>
        <w:r w:rsidR="00AA17FC">
          <w:rPr>
            <w:webHidden/>
          </w:rPr>
          <w:fldChar w:fldCharType="end"/>
        </w:r>
      </w:hyperlink>
    </w:p>
    <w:p w14:paraId="499EDB7F" w14:textId="33F610EE" w:rsidR="00AA17FC" w:rsidRDefault="009E6A8A">
      <w:pPr>
        <w:pStyle w:val="TOC2"/>
        <w:rPr>
          <w:rFonts w:asciiTheme="minorHAnsi" w:eastAsiaTheme="minorEastAsia" w:hAnsiTheme="minorHAnsi"/>
          <w:lang w:eastAsia="en-AU"/>
        </w:rPr>
      </w:pPr>
      <w:hyperlink w:anchor="_Toc492524771" w:history="1">
        <w:r w:rsidR="00AA17FC" w:rsidRPr="00F93262">
          <w:rPr>
            <w:rStyle w:val="Hyperlink"/>
          </w:rPr>
          <w:t>10.1</w:t>
        </w:r>
        <w:r w:rsidR="00AA17FC">
          <w:rPr>
            <w:rFonts w:asciiTheme="minorHAnsi" w:eastAsiaTheme="minorEastAsia" w:hAnsiTheme="minorHAnsi"/>
            <w:lang w:eastAsia="en-AU"/>
          </w:rPr>
          <w:tab/>
        </w:r>
        <w:r w:rsidR="00AA17FC" w:rsidRPr="00F93262">
          <w:rPr>
            <w:rStyle w:val="Hyperlink"/>
          </w:rPr>
          <w:t>Circumstances in which delivery default can occur</w:t>
        </w:r>
        <w:r w:rsidR="00AA17FC">
          <w:rPr>
            <w:webHidden/>
          </w:rPr>
          <w:tab/>
        </w:r>
        <w:r w:rsidR="00AA17FC">
          <w:rPr>
            <w:webHidden/>
          </w:rPr>
          <w:fldChar w:fldCharType="begin"/>
        </w:r>
        <w:r w:rsidR="00AA17FC">
          <w:rPr>
            <w:webHidden/>
          </w:rPr>
          <w:instrText xml:space="preserve"> PAGEREF _Toc492524771 \h </w:instrText>
        </w:r>
        <w:r w:rsidR="00AA17FC">
          <w:rPr>
            <w:webHidden/>
          </w:rPr>
        </w:r>
        <w:r w:rsidR="00AA17FC">
          <w:rPr>
            <w:webHidden/>
          </w:rPr>
          <w:fldChar w:fldCharType="separate"/>
        </w:r>
        <w:r w:rsidR="00947034">
          <w:rPr>
            <w:webHidden/>
          </w:rPr>
          <w:t>129</w:t>
        </w:r>
        <w:r w:rsidR="00AA17FC">
          <w:rPr>
            <w:webHidden/>
          </w:rPr>
          <w:fldChar w:fldCharType="end"/>
        </w:r>
      </w:hyperlink>
    </w:p>
    <w:p w14:paraId="6E5778FE" w14:textId="1103114F" w:rsidR="00AA17FC" w:rsidRDefault="009E6A8A">
      <w:pPr>
        <w:pStyle w:val="TOC2"/>
        <w:rPr>
          <w:rFonts w:asciiTheme="minorHAnsi" w:eastAsiaTheme="minorEastAsia" w:hAnsiTheme="minorHAnsi"/>
          <w:lang w:eastAsia="en-AU"/>
        </w:rPr>
      </w:pPr>
      <w:hyperlink w:anchor="_Toc492524772" w:history="1">
        <w:r w:rsidR="00AA17FC" w:rsidRPr="00F93262">
          <w:rPr>
            <w:rStyle w:val="Hyperlink"/>
          </w:rPr>
          <w:t>10.2</w:t>
        </w:r>
        <w:r w:rsidR="00AA17FC">
          <w:rPr>
            <w:rFonts w:asciiTheme="minorHAnsi" w:eastAsiaTheme="minorEastAsia" w:hAnsiTheme="minorHAnsi"/>
            <w:lang w:eastAsia="en-AU"/>
          </w:rPr>
          <w:tab/>
        </w:r>
        <w:r w:rsidR="00AA17FC" w:rsidRPr="00F93262">
          <w:rPr>
            <w:rStyle w:val="Hyperlink"/>
          </w:rPr>
          <w:t>Potential remedies for delivery default</w:t>
        </w:r>
        <w:r w:rsidR="00AA17FC">
          <w:rPr>
            <w:webHidden/>
          </w:rPr>
          <w:tab/>
        </w:r>
        <w:r w:rsidR="00AA17FC">
          <w:rPr>
            <w:webHidden/>
          </w:rPr>
          <w:fldChar w:fldCharType="begin"/>
        </w:r>
        <w:r w:rsidR="00AA17FC">
          <w:rPr>
            <w:webHidden/>
          </w:rPr>
          <w:instrText xml:space="preserve"> PAGEREF _Toc492524772 \h </w:instrText>
        </w:r>
        <w:r w:rsidR="00AA17FC">
          <w:rPr>
            <w:webHidden/>
          </w:rPr>
        </w:r>
        <w:r w:rsidR="00AA17FC">
          <w:rPr>
            <w:webHidden/>
          </w:rPr>
          <w:fldChar w:fldCharType="separate"/>
        </w:r>
        <w:r w:rsidR="00947034">
          <w:rPr>
            <w:webHidden/>
          </w:rPr>
          <w:t>130</w:t>
        </w:r>
        <w:r w:rsidR="00AA17FC">
          <w:rPr>
            <w:webHidden/>
          </w:rPr>
          <w:fldChar w:fldCharType="end"/>
        </w:r>
      </w:hyperlink>
    </w:p>
    <w:p w14:paraId="2CC98AA8" w14:textId="66CDD23E" w:rsidR="00AA17FC" w:rsidRDefault="009E6A8A">
      <w:pPr>
        <w:pStyle w:val="TOC1"/>
        <w:rPr>
          <w:rFonts w:asciiTheme="minorHAnsi" w:eastAsiaTheme="minorEastAsia" w:hAnsiTheme="minorHAnsi"/>
          <w:b w:val="0"/>
          <w:lang w:eastAsia="en-AU"/>
        </w:rPr>
      </w:pPr>
      <w:hyperlink w:anchor="_Toc492524773" w:history="1">
        <w:r w:rsidR="00AA17FC" w:rsidRPr="00F93262">
          <w:rPr>
            <w:rStyle w:val="Hyperlink"/>
          </w:rPr>
          <w:t>11.</w:t>
        </w:r>
        <w:r w:rsidR="00AA17FC">
          <w:rPr>
            <w:rFonts w:asciiTheme="minorHAnsi" w:eastAsiaTheme="minorEastAsia" w:hAnsiTheme="minorHAnsi"/>
            <w:b w:val="0"/>
            <w:lang w:eastAsia="en-AU"/>
          </w:rPr>
          <w:tab/>
        </w:r>
        <w:r w:rsidR="00AA17FC" w:rsidRPr="00F93262">
          <w:rPr>
            <w:rStyle w:val="Hyperlink"/>
          </w:rPr>
          <w:t>Capacity Listing Service and Bilateral Trading</w:t>
        </w:r>
        <w:r w:rsidR="00AA17FC">
          <w:rPr>
            <w:webHidden/>
          </w:rPr>
          <w:tab/>
        </w:r>
        <w:r w:rsidR="00AA17FC">
          <w:rPr>
            <w:webHidden/>
          </w:rPr>
          <w:fldChar w:fldCharType="begin"/>
        </w:r>
        <w:r w:rsidR="00AA17FC">
          <w:rPr>
            <w:webHidden/>
          </w:rPr>
          <w:instrText xml:space="preserve"> PAGEREF _Toc492524773 \h </w:instrText>
        </w:r>
        <w:r w:rsidR="00AA17FC">
          <w:rPr>
            <w:webHidden/>
          </w:rPr>
        </w:r>
        <w:r w:rsidR="00AA17FC">
          <w:rPr>
            <w:webHidden/>
          </w:rPr>
          <w:fldChar w:fldCharType="separate"/>
        </w:r>
        <w:r w:rsidR="00947034">
          <w:rPr>
            <w:webHidden/>
          </w:rPr>
          <w:t>132</w:t>
        </w:r>
        <w:r w:rsidR="00AA17FC">
          <w:rPr>
            <w:webHidden/>
          </w:rPr>
          <w:fldChar w:fldCharType="end"/>
        </w:r>
      </w:hyperlink>
    </w:p>
    <w:p w14:paraId="4AD9158A" w14:textId="18D92CA7" w:rsidR="00AA17FC" w:rsidRDefault="009E6A8A">
      <w:pPr>
        <w:pStyle w:val="TOC1"/>
        <w:rPr>
          <w:rFonts w:asciiTheme="minorHAnsi" w:eastAsiaTheme="minorEastAsia" w:hAnsiTheme="minorHAnsi"/>
          <w:b w:val="0"/>
          <w:lang w:eastAsia="en-AU"/>
        </w:rPr>
      </w:pPr>
      <w:hyperlink w:anchor="_Toc492524774" w:history="1">
        <w:r w:rsidR="00AA17FC" w:rsidRPr="00F93262">
          <w:rPr>
            <w:rStyle w:val="Hyperlink"/>
          </w:rPr>
          <w:t>12.</w:t>
        </w:r>
        <w:r w:rsidR="00AA17FC">
          <w:rPr>
            <w:rFonts w:asciiTheme="minorHAnsi" w:eastAsiaTheme="minorEastAsia" w:hAnsiTheme="minorHAnsi"/>
            <w:b w:val="0"/>
            <w:lang w:eastAsia="en-AU"/>
          </w:rPr>
          <w:tab/>
        </w:r>
        <w:r w:rsidR="00AA17FC" w:rsidRPr="00F93262">
          <w:rPr>
            <w:rStyle w:val="Hyperlink"/>
          </w:rPr>
          <w:t>Changes to the Governance Arrangements</w:t>
        </w:r>
        <w:r w:rsidR="00AA17FC">
          <w:rPr>
            <w:webHidden/>
          </w:rPr>
          <w:tab/>
        </w:r>
        <w:r w:rsidR="00AA17FC">
          <w:rPr>
            <w:webHidden/>
          </w:rPr>
          <w:fldChar w:fldCharType="begin"/>
        </w:r>
        <w:r w:rsidR="00AA17FC">
          <w:rPr>
            <w:webHidden/>
          </w:rPr>
          <w:instrText xml:space="preserve"> PAGEREF _Toc492524774 \h </w:instrText>
        </w:r>
        <w:r w:rsidR="00AA17FC">
          <w:rPr>
            <w:webHidden/>
          </w:rPr>
        </w:r>
        <w:r w:rsidR="00AA17FC">
          <w:rPr>
            <w:webHidden/>
          </w:rPr>
          <w:fldChar w:fldCharType="separate"/>
        </w:r>
        <w:r w:rsidR="00947034">
          <w:rPr>
            <w:webHidden/>
          </w:rPr>
          <w:t>132</w:t>
        </w:r>
        <w:r w:rsidR="00AA17FC">
          <w:rPr>
            <w:webHidden/>
          </w:rPr>
          <w:fldChar w:fldCharType="end"/>
        </w:r>
      </w:hyperlink>
    </w:p>
    <w:p w14:paraId="17AA3476" w14:textId="058596DC" w:rsidR="009A1D3E" w:rsidRPr="00C55946" w:rsidRDefault="00CC006A" w:rsidP="00C55946">
      <w:pPr>
        <w:sectPr w:rsidR="009A1D3E" w:rsidRPr="00C55946" w:rsidSect="00CF1252">
          <w:footerReference w:type="default" r:id="rId20"/>
          <w:pgSz w:w="11907" w:h="16840" w:code="9"/>
          <w:pgMar w:top="1361" w:right="1418" w:bottom="992" w:left="1701" w:header="567" w:footer="397" w:gutter="0"/>
          <w:pgNumType w:fmt="lowerRoman" w:start="1"/>
          <w:cols w:space="708"/>
          <w:docGrid w:linePitch="360"/>
        </w:sectPr>
      </w:pPr>
      <w:r>
        <w:rPr>
          <w:rFonts w:eastAsiaTheme="minorEastAsia" w:cstheme="minorBidi"/>
          <w:b/>
          <w:noProof/>
          <w:lang w:eastAsia="en-US"/>
        </w:rPr>
        <w:fldChar w:fldCharType="end"/>
      </w:r>
    </w:p>
    <w:p w14:paraId="77AB63A3" w14:textId="77777777" w:rsidR="004F7F03" w:rsidRDefault="004F7F03" w:rsidP="00D0772C">
      <w:pPr>
        <w:pStyle w:val="ExecSummHeading1"/>
        <w:spacing w:after="0"/>
      </w:pPr>
      <w:bookmarkStart w:id="29" w:name="_Toc452029500"/>
      <w:bookmarkStart w:id="30" w:name="_Toc492524726"/>
      <w:bookmarkStart w:id="31" w:name="_Toc452029499"/>
      <w:bookmarkStart w:id="32" w:name="_Toc449094489"/>
      <w:r>
        <w:lastRenderedPageBreak/>
        <w:t>Abbreviations</w:t>
      </w:r>
      <w:bookmarkEnd w:id="29"/>
      <w:bookmarkEnd w:id="30"/>
    </w:p>
    <w:tbl>
      <w:tblPr>
        <w:tblStyle w:val="TableGrid"/>
        <w:tblW w:w="0" w:type="auto"/>
        <w:tblLook w:val="06A0" w:firstRow="1" w:lastRow="0" w:firstColumn="1" w:lastColumn="0" w:noHBand="1" w:noVBand="1"/>
        <w:tblCaption w:val="Abbreviations"/>
        <w:tblDescription w:val="Term and definition"/>
      </w:tblPr>
      <w:tblGrid>
        <w:gridCol w:w="2127"/>
        <w:gridCol w:w="6378"/>
      </w:tblGrid>
      <w:tr w:rsidR="00533C69" w:rsidRPr="004C3FE0" w14:paraId="2F0AC31B" w14:textId="77777777" w:rsidTr="00D30EB7">
        <w:trPr>
          <w:cnfStyle w:val="100000000000" w:firstRow="1" w:lastRow="0" w:firstColumn="0" w:lastColumn="0" w:oddVBand="0" w:evenVBand="0" w:oddHBand="0" w:evenHBand="0" w:firstRowFirstColumn="0" w:firstRowLastColumn="0" w:lastRowFirstColumn="0" w:lastRowLastColumn="0"/>
          <w:tblHeader/>
        </w:trPr>
        <w:tc>
          <w:tcPr>
            <w:tcW w:w="2127" w:type="dxa"/>
            <w:tcBorders>
              <w:bottom w:val="single" w:sz="4" w:space="0" w:color="auto"/>
            </w:tcBorders>
            <w:shd w:val="clear" w:color="auto" w:fill="0099CC"/>
          </w:tcPr>
          <w:p w14:paraId="468DD6E2" w14:textId="77777777" w:rsidR="00533C69" w:rsidRPr="004C3FE0" w:rsidRDefault="00533C69" w:rsidP="00D30EB7">
            <w:pPr>
              <w:ind w:left="74" w:right="74"/>
              <w:rPr>
                <w:szCs w:val="18"/>
              </w:rPr>
            </w:pPr>
            <w:r w:rsidRPr="004C3FE0">
              <w:rPr>
                <w:szCs w:val="18"/>
              </w:rPr>
              <w:t>Term</w:t>
            </w:r>
          </w:p>
        </w:tc>
        <w:tc>
          <w:tcPr>
            <w:tcW w:w="6378" w:type="dxa"/>
            <w:tcBorders>
              <w:bottom w:val="single" w:sz="4" w:space="0" w:color="auto"/>
            </w:tcBorders>
            <w:shd w:val="clear" w:color="auto" w:fill="0099CC"/>
          </w:tcPr>
          <w:p w14:paraId="4A796B00" w14:textId="77777777" w:rsidR="00533C69" w:rsidRPr="004C3FE0" w:rsidRDefault="00533C69" w:rsidP="00D30EB7">
            <w:pPr>
              <w:ind w:left="74" w:right="74"/>
              <w:rPr>
                <w:szCs w:val="18"/>
              </w:rPr>
            </w:pPr>
            <w:r w:rsidRPr="004C3FE0">
              <w:rPr>
                <w:szCs w:val="18"/>
              </w:rPr>
              <w:t>Definition</w:t>
            </w:r>
          </w:p>
        </w:tc>
      </w:tr>
      <w:tr w:rsidR="00533C69" w:rsidRPr="004C3FE0" w14:paraId="52D6BB94" w14:textId="77777777" w:rsidTr="00533C69">
        <w:tc>
          <w:tcPr>
            <w:tcW w:w="2127" w:type="dxa"/>
            <w:shd w:val="clear" w:color="auto" w:fill="auto"/>
          </w:tcPr>
          <w:p w14:paraId="4AEBB00F" w14:textId="77777777" w:rsidR="00533C69" w:rsidRPr="004C3FE0" w:rsidRDefault="00533C69" w:rsidP="00D30EB7">
            <w:pPr>
              <w:ind w:left="74" w:right="74"/>
              <w:rPr>
                <w:szCs w:val="18"/>
              </w:rPr>
            </w:pPr>
            <w:r w:rsidRPr="004C3FE0">
              <w:rPr>
                <w:szCs w:val="18"/>
              </w:rPr>
              <w:t>AA</w:t>
            </w:r>
          </w:p>
        </w:tc>
        <w:tc>
          <w:tcPr>
            <w:tcW w:w="6378" w:type="dxa"/>
            <w:shd w:val="clear" w:color="auto" w:fill="auto"/>
          </w:tcPr>
          <w:p w14:paraId="4ECE13B4" w14:textId="77777777" w:rsidR="00533C69" w:rsidRPr="004C3FE0" w:rsidRDefault="00533C69" w:rsidP="00D30EB7">
            <w:pPr>
              <w:ind w:left="74" w:right="74"/>
              <w:rPr>
                <w:szCs w:val="18"/>
              </w:rPr>
            </w:pPr>
            <w:r w:rsidRPr="004C3FE0">
              <w:rPr>
                <w:szCs w:val="18"/>
              </w:rPr>
              <w:t>Access Arrangement</w:t>
            </w:r>
          </w:p>
        </w:tc>
      </w:tr>
      <w:tr w:rsidR="00533C69" w:rsidRPr="004C3FE0" w14:paraId="33DB9A67" w14:textId="77777777" w:rsidTr="00533C69">
        <w:tc>
          <w:tcPr>
            <w:tcW w:w="2127" w:type="dxa"/>
            <w:shd w:val="clear" w:color="auto" w:fill="auto"/>
          </w:tcPr>
          <w:p w14:paraId="12E6F8C8" w14:textId="77777777" w:rsidR="00533C69" w:rsidRPr="004C3FE0" w:rsidRDefault="00533C69" w:rsidP="00D30EB7">
            <w:pPr>
              <w:ind w:left="74" w:right="74"/>
              <w:rPr>
                <w:szCs w:val="18"/>
              </w:rPr>
            </w:pPr>
            <w:r w:rsidRPr="004C3FE0">
              <w:rPr>
                <w:szCs w:val="18"/>
              </w:rPr>
              <w:t>ACCC</w:t>
            </w:r>
          </w:p>
        </w:tc>
        <w:tc>
          <w:tcPr>
            <w:tcW w:w="6378" w:type="dxa"/>
            <w:shd w:val="clear" w:color="auto" w:fill="auto"/>
          </w:tcPr>
          <w:p w14:paraId="41E2C63B" w14:textId="77777777" w:rsidR="00533C69" w:rsidRPr="004C3FE0" w:rsidRDefault="00533C69" w:rsidP="00D30EB7">
            <w:pPr>
              <w:ind w:left="74" w:right="74"/>
              <w:rPr>
                <w:szCs w:val="18"/>
              </w:rPr>
            </w:pPr>
            <w:r w:rsidRPr="004C3FE0">
              <w:rPr>
                <w:szCs w:val="18"/>
              </w:rPr>
              <w:t>Australian Competition and Consumer Commission</w:t>
            </w:r>
          </w:p>
        </w:tc>
      </w:tr>
      <w:tr w:rsidR="00533C69" w:rsidRPr="004C3FE0" w14:paraId="2637AACA" w14:textId="77777777" w:rsidTr="00533C69">
        <w:tc>
          <w:tcPr>
            <w:tcW w:w="2127" w:type="dxa"/>
            <w:shd w:val="clear" w:color="auto" w:fill="auto"/>
          </w:tcPr>
          <w:p w14:paraId="0ABF3A83" w14:textId="77777777" w:rsidR="00533C69" w:rsidRPr="004C3FE0" w:rsidRDefault="00533C69" w:rsidP="00D30EB7">
            <w:pPr>
              <w:ind w:left="74" w:right="74"/>
              <w:rPr>
                <w:szCs w:val="18"/>
              </w:rPr>
            </w:pPr>
            <w:r>
              <w:rPr>
                <w:szCs w:val="18"/>
              </w:rPr>
              <w:t>ADP</w:t>
            </w:r>
          </w:p>
        </w:tc>
        <w:tc>
          <w:tcPr>
            <w:tcW w:w="6378" w:type="dxa"/>
            <w:shd w:val="clear" w:color="auto" w:fill="auto"/>
          </w:tcPr>
          <w:p w14:paraId="653465F1" w14:textId="77777777" w:rsidR="00533C69" w:rsidRPr="004C3FE0" w:rsidRDefault="00533C69" w:rsidP="00D30EB7">
            <w:pPr>
              <w:ind w:left="74" w:right="74"/>
              <w:rPr>
                <w:szCs w:val="18"/>
              </w:rPr>
            </w:pPr>
            <w:r>
              <w:rPr>
                <w:szCs w:val="18"/>
              </w:rPr>
              <w:t>Amadeus to Darwin Pipeline</w:t>
            </w:r>
          </w:p>
        </w:tc>
      </w:tr>
      <w:tr w:rsidR="00533C69" w:rsidRPr="004C3FE0" w14:paraId="74C7AC0A" w14:textId="77777777" w:rsidTr="00533C69">
        <w:tc>
          <w:tcPr>
            <w:tcW w:w="2127" w:type="dxa"/>
          </w:tcPr>
          <w:p w14:paraId="409FD1DD" w14:textId="77777777" w:rsidR="00533C69" w:rsidRPr="004C3FE0" w:rsidRDefault="00533C69" w:rsidP="00D30EB7">
            <w:pPr>
              <w:ind w:left="74" w:right="74"/>
              <w:rPr>
                <w:szCs w:val="18"/>
              </w:rPr>
            </w:pPr>
            <w:r w:rsidRPr="004C3FE0">
              <w:rPr>
                <w:szCs w:val="18"/>
              </w:rPr>
              <w:t>AEMC</w:t>
            </w:r>
          </w:p>
        </w:tc>
        <w:tc>
          <w:tcPr>
            <w:tcW w:w="6378" w:type="dxa"/>
          </w:tcPr>
          <w:p w14:paraId="4E42D3E4" w14:textId="77777777" w:rsidR="00533C69" w:rsidRPr="004C3FE0" w:rsidRDefault="00533C69" w:rsidP="00D30EB7">
            <w:pPr>
              <w:ind w:left="74" w:right="74"/>
              <w:rPr>
                <w:szCs w:val="18"/>
              </w:rPr>
            </w:pPr>
            <w:r w:rsidRPr="004C3FE0">
              <w:rPr>
                <w:szCs w:val="18"/>
              </w:rPr>
              <w:t>Australian Energy Market Commission</w:t>
            </w:r>
          </w:p>
        </w:tc>
      </w:tr>
      <w:tr w:rsidR="00533C69" w:rsidRPr="004C3FE0" w14:paraId="2EA29ED3" w14:textId="77777777" w:rsidTr="00533C69">
        <w:tc>
          <w:tcPr>
            <w:tcW w:w="2127" w:type="dxa"/>
          </w:tcPr>
          <w:p w14:paraId="2B1FF026" w14:textId="77777777" w:rsidR="00533C69" w:rsidRPr="004C3FE0" w:rsidRDefault="00533C69" w:rsidP="00D30EB7">
            <w:pPr>
              <w:ind w:left="74" w:right="74"/>
              <w:rPr>
                <w:szCs w:val="18"/>
              </w:rPr>
            </w:pPr>
            <w:r w:rsidRPr="004C3FE0">
              <w:rPr>
                <w:szCs w:val="18"/>
              </w:rPr>
              <w:t>AEMO</w:t>
            </w:r>
          </w:p>
        </w:tc>
        <w:tc>
          <w:tcPr>
            <w:tcW w:w="6378" w:type="dxa"/>
          </w:tcPr>
          <w:p w14:paraId="034CA6AB" w14:textId="77777777" w:rsidR="00533C69" w:rsidRPr="004C3FE0" w:rsidRDefault="00533C69" w:rsidP="00D30EB7">
            <w:pPr>
              <w:ind w:left="74" w:right="74"/>
              <w:rPr>
                <w:szCs w:val="18"/>
              </w:rPr>
            </w:pPr>
            <w:r w:rsidRPr="004C3FE0">
              <w:rPr>
                <w:szCs w:val="18"/>
              </w:rPr>
              <w:t>Australian Energy Market Operator</w:t>
            </w:r>
          </w:p>
        </w:tc>
      </w:tr>
      <w:tr w:rsidR="00533C69" w:rsidRPr="004C3FE0" w14:paraId="341FCC62" w14:textId="77777777" w:rsidTr="00533C69">
        <w:tc>
          <w:tcPr>
            <w:tcW w:w="2127" w:type="dxa"/>
          </w:tcPr>
          <w:p w14:paraId="2FB3E10B" w14:textId="77777777" w:rsidR="00533C69" w:rsidRPr="004C3FE0" w:rsidRDefault="00533C69" w:rsidP="00D30EB7">
            <w:pPr>
              <w:ind w:left="74" w:right="74"/>
              <w:rPr>
                <w:szCs w:val="18"/>
              </w:rPr>
            </w:pPr>
            <w:r w:rsidRPr="004C3FE0">
              <w:rPr>
                <w:szCs w:val="18"/>
              </w:rPr>
              <w:t>AER</w:t>
            </w:r>
          </w:p>
        </w:tc>
        <w:tc>
          <w:tcPr>
            <w:tcW w:w="6378" w:type="dxa"/>
          </w:tcPr>
          <w:p w14:paraId="22CD2C0E" w14:textId="77777777" w:rsidR="00533C69" w:rsidRPr="004C3FE0" w:rsidRDefault="00533C69" w:rsidP="00D30EB7">
            <w:pPr>
              <w:ind w:left="74" w:right="74"/>
              <w:rPr>
                <w:szCs w:val="18"/>
              </w:rPr>
            </w:pPr>
            <w:r w:rsidRPr="004C3FE0">
              <w:rPr>
                <w:szCs w:val="18"/>
              </w:rPr>
              <w:t>Australian Energy Regulator</w:t>
            </w:r>
          </w:p>
        </w:tc>
      </w:tr>
      <w:tr w:rsidR="00533C69" w:rsidRPr="004C3FE0" w14:paraId="6660A0C0" w14:textId="77777777" w:rsidTr="00533C69">
        <w:tc>
          <w:tcPr>
            <w:tcW w:w="2127" w:type="dxa"/>
          </w:tcPr>
          <w:p w14:paraId="42F0A764" w14:textId="77777777" w:rsidR="00533C69" w:rsidRPr="004C3FE0" w:rsidRDefault="00533C69" w:rsidP="00D30EB7">
            <w:pPr>
              <w:ind w:left="74" w:right="74"/>
              <w:rPr>
                <w:szCs w:val="18"/>
              </w:rPr>
            </w:pPr>
            <w:r w:rsidRPr="004C3FE0">
              <w:rPr>
                <w:szCs w:val="18"/>
              </w:rPr>
              <w:t>AEST</w:t>
            </w:r>
          </w:p>
        </w:tc>
        <w:tc>
          <w:tcPr>
            <w:tcW w:w="6378" w:type="dxa"/>
          </w:tcPr>
          <w:p w14:paraId="25526E5D" w14:textId="77777777" w:rsidR="00533C69" w:rsidRPr="004C3FE0" w:rsidRDefault="00533C69" w:rsidP="00D30EB7">
            <w:pPr>
              <w:ind w:left="74" w:right="74"/>
              <w:rPr>
                <w:szCs w:val="18"/>
              </w:rPr>
            </w:pPr>
            <w:r w:rsidRPr="004C3FE0">
              <w:rPr>
                <w:szCs w:val="18"/>
              </w:rPr>
              <w:t>Australian Eastern Standard Time</w:t>
            </w:r>
          </w:p>
        </w:tc>
      </w:tr>
      <w:tr w:rsidR="00D30EB7" w:rsidRPr="00E37A1E" w14:paraId="07BDD096" w14:textId="77777777" w:rsidTr="00686058">
        <w:tc>
          <w:tcPr>
            <w:tcW w:w="2127" w:type="dxa"/>
          </w:tcPr>
          <w:p w14:paraId="719C3B74" w14:textId="77777777" w:rsidR="00D30EB7" w:rsidRPr="00E37A1E" w:rsidRDefault="00D30EB7" w:rsidP="00D30EB7">
            <w:pPr>
              <w:ind w:left="74" w:right="74"/>
              <w:rPr>
                <w:rFonts w:cs="Arial"/>
                <w:szCs w:val="18"/>
              </w:rPr>
            </w:pPr>
            <w:r w:rsidRPr="00E37A1E">
              <w:rPr>
                <w:rFonts w:cs="Arial"/>
                <w:szCs w:val="18"/>
              </w:rPr>
              <w:t>BB</w:t>
            </w:r>
          </w:p>
        </w:tc>
        <w:tc>
          <w:tcPr>
            <w:tcW w:w="6378" w:type="dxa"/>
          </w:tcPr>
          <w:p w14:paraId="11A1D039" w14:textId="77777777" w:rsidR="00D30EB7" w:rsidRPr="00E37A1E" w:rsidRDefault="00D30EB7" w:rsidP="00D30EB7">
            <w:pPr>
              <w:ind w:left="74" w:right="74"/>
              <w:rPr>
                <w:rFonts w:cs="Arial"/>
                <w:szCs w:val="18"/>
              </w:rPr>
            </w:pPr>
            <w:r w:rsidRPr="00E37A1E">
              <w:rPr>
                <w:rFonts w:cs="Arial"/>
                <w:szCs w:val="18"/>
              </w:rPr>
              <w:t>Natural Gas Services Bulletin Board</w:t>
            </w:r>
          </w:p>
        </w:tc>
      </w:tr>
      <w:tr w:rsidR="00533C69" w:rsidRPr="004C3FE0" w14:paraId="0DD4E630" w14:textId="77777777" w:rsidTr="00533C69">
        <w:tc>
          <w:tcPr>
            <w:tcW w:w="2127" w:type="dxa"/>
          </w:tcPr>
          <w:p w14:paraId="2403E415" w14:textId="77777777" w:rsidR="00533C69" w:rsidRPr="004C3FE0" w:rsidRDefault="00533C69" w:rsidP="00D30EB7">
            <w:pPr>
              <w:ind w:left="74" w:right="74"/>
              <w:rPr>
                <w:szCs w:val="18"/>
              </w:rPr>
            </w:pPr>
            <w:r w:rsidRPr="004C3FE0">
              <w:rPr>
                <w:szCs w:val="18"/>
              </w:rPr>
              <w:t>CGP</w:t>
            </w:r>
          </w:p>
        </w:tc>
        <w:tc>
          <w:tcPr>
            <w:tcW w:w="6378" w:type="dxa"/>
          </w:tcPr>
          <w:p w14:paraId="4451B68C" w14:textId="77777777" w:rsidR="00533C69" w:rsidRPr="004C3FE0" w:rsidRDefault="00533C69" w:rsidP="00D30EB7">
            <w:pPr>
              <w:ind w:left="74" w:right="74"/>
              <w:rPr>
                <w:szCs w:val="18"/>
              </w:rPr>
            </w:pPr>
            <w:r w:rsidRPr="004C3FE0">
              <w:rPr>
                <w:szCs w:val="18"/>
              </w:rPr>
              <w:t>Carpentaria Gas Pipeline</w:t>
            </w:r>
          </w:p>
        </w:tc>
      </w:tr>
      <w:tr w:rsidR="00533C69" w:rsidRPr="004C3FE0" w14:paraId="3FB27F3C" w14:textId="77777777" w:rsidTr="00533C69">
        <w:tc>
          <w:tcPr>
            <w:tcW w:w="2127" w:type="dxa"/>
          </w:tcPr>
          <w:p w14:paraId="3B8F844C" w14:textId="77777777" w:rsidR="00533C69" w:rsidRPr="004C3FE0" w:rsidRDefault="00533C69" w:rsidP="00D30EB7">
            <w:pPr>
              <w:ind w:left="74" w:right="74"/>
              <w:rPr>
                <w:szCs w:val="18"/>
              </w:rPr>
            </w:pPr>
            <w:r w:rsidRPr="004C3FE0">
              <w:rPr>
                <w:szCs w:val="18"/>
              </w:rPr>
              <w:t>COAG</w:t>
            </w:r>
          </w:p>
        </w:tc>
        <w:tc>
          <w:tcPr>
            <w:tcW w:w="6378" w:type="dxa"/>
          </w:tcPr>
          <w:p w14:paraId="0BD32EAE" w14:textId="77777777" w:rsidR="00533C69" w:rsidRPr="004C3FE0" w:rsidRDefault="00533C69" w:rsidP="00D30EB7">
            <w:pPr>
              <w:ind w:left="74" w:right="74"/>
              <w:rPr>
                <w:szCs w:val="18"/>
              </w:rPr>
            </w:pPr>
            <w:r w:rsidRPr="004C3FE0">
              <w:rPr>
                <w:szCs w:val="18"/>
              </w:rPr>
              <w:t>Council of Australian Governments</w:t>
            </w:r>
          </w:p>
        </w:tc>
      </w:tr>
      <w:tr w:rsidR="00533C69" w:rsidRPr="004C3FE0" w14:paraId="7B45D1EE" w14:textId="77777777" w:rsidTr="00533C69">
        <w:tc>
          <w:tcPr>
            <w:tcW w:w="2127" w:type="dxa"/>
          </w:tcPr>
          <w:p w14:paraId="3DC7F936" w14:textId="77777777" w:rsidR="00533C69" w:rsidRPr="004C3FE0" w:rsidRDefault="00533C69" w:rsidP="00D30EB7">
            <w:pPr>
              <w:ind w:left="74" w:right="74"/>
              <w:rPr>
                <w:szCs w:val="18"/>
              </w:rPr>
            </w:pPr>
            <w:r w:rsidRPr="004C3FE0">
              <w:rPr>
                <w:szCs w:val="18"/>
              </w:rPr>
              <w:t xml:space="preserve">CTA </w:t>
            </w:r>
          </w:p>
        </w:tc>
        <w:tc>
          <w:tcPr>
            <w:tcW w:w="6378" w:type="dxa"/>
          </w:tcPr>
          <w:p w14:paraId="3BB07358" w14:textId="77777777" w:rsidR="00533C69" w:rsidRPr="004C3FE0" w:rsidRDefault="00533C69" w:rsidP="00D30EB7">
            <w:pPr>
              <w:ind w:left="74" w:right="74"/>
              <w:rPr>
                <w:szCs w:val="18"/>
              </w:rPr>
            </w:pPr>
            <w:r w:rsidRPr="004C3FE0">
              <w:rPr>
                <w:szCs w:val="18"/>
              </w:rPr>
              <w:t>Capacity Trading Agreement</w:t>
            </w:r>
          </w:p>
        </w:tc>
      </w:tr>
      <w:tr w:rsidR="00533C69" w:rsidRPr="004C3FE0" w14:paraId="49C49A8E" w14:textId="77777777" w:rsidTr="00533C69">
        <w:tc>
          <w:tcPr>
            <w:tcW w:w="2127" w:type="dxa"/>
          </w:tcPr>
          <w:p w14:paraId="409384EE" w14:textId="77777777" w:rsidR="00533C69" w:rsidRPr="004C3FE0" w:rsidRDefault="00533C69" w:rsidP="00D30EB7">
            <w:pPr>
              <w:ind w:left="74" w:right="74"/>
              <w:rPr>
                <w:szCs w:val="18"/>
              </w:rPr>
            </w:pPr>
            <w:r>
              <w:rPr>
                <w:szCs w:val="18"/>
              </w:rPr>
              <w:t>DTS</w:t>
            </w:r>
          </w:p>
        </w:tc>
        <w:tc>
          <w:tcPr>
            <w:tcW w:w="6378" w:type="dxa"/>
          </w:tcPr>
          <w:p w14:paraId="765F86D5" w14:textId="77777777" w:rsidR="00533C69" w:rsidRPr="004C3FE0" w:rsidRDefault="00533C69" w:rsidP="00D30EB7">
            <w:pPr>
              <w:ind w:left="74" w:right="74"/>
              <w:rPr>
                <w:szCs w:val="18"/>
              </w:rPr>
            </w:pPr>
            <w:r>
              <w:rPr>
                <w:szCs w:val="18"/>
              </w:rPr>
              <w:t xml:space="preserve">Declared Transmission System </w:t>
            </w:r>
          </w:p>
        </w:tc>
      </w:tr>
      <w:tr w:rsidR="00533C69" w:rsidRPr="004C3FE0" w14:paraId="1BAFB626" w14:textId="77777777" w:rsidTr="00533C69">
        <w:tc>
          <w:tcPr>
            <w:tcW w:w="2127" w:type="dxa"/>
          </w:tcPr>
          <w:p w14:paraId="166A191F" w14:textId="77777777" w:rsidR="00533C69" w:rsidRPr="004C3FE0" w:rsidRDefault="00533C69" w:rsidP="00D30EB7">
            <w:pPr>
              <w:ind w:left="74" w:right="74"/>
              <w:rPr>
                <w:szCs w:val="18"/>
              </w:rPr>
            </w:pPr>
            <w:r w:rsidRPr="004C3FE0">
              <w:rPr>
                <w:szCs w:val="18"/>
              </w:rPr>
              <w:t>DWGM</w:t>
            </w:r>
          </w:p>
        </w:tc>
        <w:tc>
          <w:tcPr>
            <w:tcW w:w="6378" w:type="dxa"/>
          </w:tcPr>
          <w:p w14:paraId="7F528470" w14:textId="77777777" w:rsidR="00533C69" w:rsidRPr="004C3FE0" w:rsidRDefault="00533C69" w:rsidP="00D30EB7">
            <w:pPr>
              <w:ind w:left="74" w:right="74"/>
              <w:rPr>
                <w:szCs w:val="18"/>
              </w:rPr>
            </w:pPr>
            <w:r w:rsidRPr="004C3FE0">
              <w:rPr>
                <w:szCs w:val="18"/>
              </w:rPr>
              <w:t>Declared Wholesale Gas Market</w:t>
            </w:r>
          </w:p>
        </w:tc>
      </w:tr>
      <w:tr w:rsidR="00533C69" w:rsidRPr="004C3FE0" w14:paraId="518C43B2" w14:textId="77777777" w:rsidTr="00533C69">
        <w:tc>
          <w:tcPr>
            <w:tcW w:w="2127" w:type="dxa"/>
          </w:tcPr>
          <w:p w14:paraId="3EEB9437" w14:textId="77777777" w:rsidR="00533C69" w:rsidRPr="004C3FE0" w:rsidRDefault="00533C69" w:rsidP="00D30EB7">
            <w:pPr>
              <w:ind w:left="74" w:right="74"/>
              <w:rPr>
                <w:szCs w:val="18"/>
              </w:rPr>
            </w:pPr>
            <w:r w:rsidRPr="004C3FE0">
              <w:rPr>
                <w:i/>
                <w:szCs w:val="18"/>
              </w:rPr>
              <w:t>East Coast Review</w:t>
            </w:r>
          </w:p>
        </w:tc>
        <w:tc>
          <w:tcPr>
            <w:tcW w:w="6378" w:type="dxa"/>
          </w:tcPr>
          <w:p w14:paraId="6EA1D599" w14:textId="77777777" w:rsidR="00533C69" w:rsidRPr="004C3FE0" w:rsidRDefault="00533C69" w:rsidP="00D30EB7">
            <w:pPr>
              <w:ind w:left="74" w:right="74"/>
              <w:rPr>
                <w:szCs w:val="18"/>
              </w:rPr>
            </w:pPr>
            <w:r w:rsidRPr="004C3FE0">
              <w:rPr>
                <w:szCs w:val="18"/>
              </w:rPr>
              <w:t xml:space="preserve">AEMC’s </w:t>
            </w:r>
            <w:r w:rsidRPr="004C3FE0">
              <w:rPr>
                <w:rFonts w:cs="Arial"/>
                <w:i/>
                <w:iCs/>
                <w:szCs w:val="18"/>
              </w:rPr>
              <w:t xml:space="preserve">Eastern Australian Wholesale Gas Market and Pipelines Framework Review </w:t>
            </w:r>
            <w:r w:rsidRPr="004C3FE0">
              <w:rPr>
                <w:rFonts w:cs="Arial"/>
                <w:iCs/>
                <w:szCs w:val="18"/>
              </w:rPr>
              <w:t>(May 2016)</w:t>
            </w:r>
          </w:p>
        </w:tc>
      </w:tr>
      <w:tr w:rsidR="00533C69" w:rsidRPr="004C3FE0" w14:paraId="6D4AD968" w14:textId="77777777" w:rsidTr="00533C69">
        <w:tc>
          <w:tcPr>
            <w:tcW w:w="2127" w:type="dxa"/>
          </w:tcPr>
          <w:p w14:paraId="0D0DD9E9" w14:textId="77777777" w:rsidR="00533C69" w:rsidRPr="004C3FE0" w:rsidRDefault="00533C69" w:rsidP="00D30EB7">
            <w:pPr>
              <w:ind w:left="74" w:right="74"/>
              <w:rPr>
                <w:szCs w:val="18"/>
              </w:rPr>
            </w:pPr>
            <w:r w:rsidRPr="004C3FE0">
              <w:rPr>
                <w:szCs w:val="18"/>
              </w:rPr>
              <w:t>EGP</w:t>
            </w:r>
          </w:p>
        </w:tc>
        <w:tc>
          <w:tcPr>
            <w:tcW w:w="6378" w:type="dxa"/>
          </w:tcPr>
          <w:p w14:paraId="676D75BE" w14:textId="77777777" w:rsidR="00533C69" w:rsidRPr="004C3FE0" w:rsidRDefault="00533C69" w:rsidP="00D30EB7">
            <w:pPr>
              <w:ind w:left="74" w:right="74"/>
              <w:rPr>
                <w:szCs w:val="18"/>
              </w:rPr>
            </w:pPr>
            <w:r w:rsidRPr="004C3FE0">
              <w:rPr>
                <w:szCs w:val="18"/>
              </w:rPr>
              <w:t xml:space="preserve">Eastern Gas Pipeline </w:t>
            </w:r>
          </w:p>
        </w:tc>
      </w:tr>
      <w:tr w:rsidR="00533C69" w:rsidRPr="004C3FE0" w14:paraId="5D5E35FF" w14:textId="77777777" w:rsidTr="00533C69">
        <w:tc>
          <w:tcPr>
            <w:tcW w:w="2127" w:type="dxa"/>
          </w:tcPr>
          <w:p w14:paraId="6B834D62" w14:textId="77777777" w:rsidR="00533C69" w:rsidRPr="004C3FE0" w:rsidRDefault="00533C69" w:rsidP="00D30EB7">
            <w:pPr>
              <w:ind w:left="74" w:right="74"/>
              <w:rPr>
                <w:szCs w:val="18"/>
              </w:rPr>
            </w:pPr>
            <w:r>
              <w:rPr>
                <w:szCs w:val="18"/>
              </w:rPr>
              <w:t xml:space="preserve">Energy </w:t>
            </w:r>
            <w:r w:rsidRPr="004C3FE0">
              <w:rPr>
                <w:szCs w:val="18"/>
              </w:rPr>
              <w:t>Council</w:t>
            </w:r>
          </w:p>
        </w:tc>
        <w:tc>
          <w:tcPr>
            <w:tcW w:w="6378" w:type="dxa"/>
          </w:tcPr>
          <w:p w14:paraId="273CAA4E" w14:textId="77777777" w:rsidR="00533C69" w:rsidRPr="004C3FE0" w:rsidRDefault="00533C69" w:rsidP="00D30EB7">
            <w:pPr>
              <w:ind w:left="74" w:right="74"/>
              <w:rPr>
                <w:szCs w:val="18"/>
              </w:rPr>
            </w:pPr>
            <w:r w:rsidRPr="004C3FE0">
              <w:rPr>
                <w:szCs w:val="18"/>
              </w:rPr>
              <w:t>COAG Energy Council</w:t>
            </w:r>
          </w:p>
        </w:tc>
      </w:tr>
      <w:tr w:rsidR="00533C69" w:rsidRPr="004C3FE0" w14:paraId="69622476" w14:textId="77777777" w:rsidTr="00533C69">
        <w:tc>
          <w:tcPr>
            <w:tcW w:w="2127" w:type="dxa"/>
          </w:tcPr>
          <w:p w14:paraId="024A524E" w14:textId="77777777" w:rsidR="00533C69" w:rsidRDefault="00533C69" w:rsidP="00D30EB7">
            <w:pPr>
              <w:ind w:left="74" w:right="74"/>
              <w:rPr>
                <w:szCs w:val="18"/>
              </w:rPr>
            </w:pPr>
            <w:r>
              <w:rPr>
                <w:szCs w:val="18"/>
              </w:rPr>
              <w:t>ERA</w:t>
            </w:r>
          </w:p>
        </w:tc>
        <w:tc>
          <w:tcPr>
            <w:tcW w:w="6378" w:type="dxa"/>
          </w:tcPr>
          <w:p w14:paraId="78442591" w14:textId="77777777" w:rsidR="00533C69" w:rsidRPr="004C3FE0" w:rsidRDefault="00533C69" w:rsidP="00D30EB7">
            <w:pPr>
              <w:ind w:left="74" w:right="74"/>
              <w:rPr>
                <w:szCs w:val="18"/>
              </w:rPr>
            </w:pPr>
            <w:r>
              <w:rPr>
                <w:szCs w:val="18"/>
              </w:rPr>
              <w:t>Economic Regulation Authority (WA)</w:t>
            </w:r>
          </w:p>
        </w:tc>
      </w:tr>
      <w:tr w:rsidR="00533C69" w:rsidRPr="004C3FE0" w14:paraId="34074165" w14:textId="77777777" w:rsidTr="00533C69">
        <w:tc>
          <w:tcPr>
            <w:tcW w:w="2127" w:type="dxa"/>
          </w:tcPr>
          <w:p w14:paraId="751DAC4A" w14:textId="77777777" w:rsidR="00533C69" w:rsidRDefault="00533C69" w:rsidP="00D30EB7">
            <w:pPr>
              <w:ind w:left="74" w:right="74"/>
              <w:rPr>
                <w:szCs w:val="18"/>
              </w:rPr>
            </w:pPr>
            <w:r>
              <w:rPr>
                <w:szCs w:val="18"/>
              </w:rPr>
              <w:t>ETS</w:t>
            </w:r>
          </w:p>
        </w:tc>
        <w:tc>
          <w:tcPr>
            <w:tcW w:w="6378" w:type="dxa"/>
          </w:tcPr>
          <w:p w14:paraId="0E678288" w14:textId="77777777" w:rsidR="00533C69" w:rsidRDefault="00533C69" w:rsidP="00D30EB7">
            <w:pPr>
              <w:ind w:left="74" w:right="74"/>
              <w:rPr>
                <w:szCs w:val="18"/>
              </w:rPr>
            </w:pPr>
            <w:proofErr w:type="spellStart"/>
            <w:r>
              <w:rPr>
                <w:szCs w:val="18"/>
              </w:rPr>
              <w:t>Trayport</w:t>
            </w:r>
            <w:proofErr w:type="spellEnd"/>
            <w:r>
              <w:rPr>
                <w:szCs w:val="18"/>
              </w:rPr>
              <w:t xml:space="preserve"> Exchange Trading System</w:t>
            </w:r>
          </w:p>
        </w:tc>
      </w:tr>
      <w:tr w:rsidR="00D30EB7" w:rsidRPr="00E37A1E" w14:paraId="370D3AB5" w14:textId="77777777" w:rsidTr="00686058">
        <w:tc>
          <w:tcPr>
            <w:tcW w:w="2127" w:type="dxa"/>
          </w:tcPr>
          <w:p w14:paraId="61109C00" w14:textId="77777777" w:rsidR="00D30EB7" w:rsidRPr="00E37A1E" w:rsidRDefault="00D30EB7" w:rsidP="00D30EB7">
            <w:pPr>
              <w:ind w:left="74" w:right="74"/>
              <w:rPr>
                <w:rFonts w:cs="Arial"/>
                <w:szCs w:val="18"/>
              </w:rPr>
            </w:pPr>
            <w:r>
              <w:rPr>
                <w:rFonts w:cs="Arial"/>
                <w:szCs w:val="18"/>
              </w:rPr>
              <w:t>FTP</w:t>
            </w:r>
          </w:p>
        </w:tc>
        <w:tc>
          <w:tcPr>
            <w:tcW w:w="6378" w:type="dxa"/>
          </w:tcPr>
          <w:p w14:paraId="553D986C" w14:textId="77777777" w:rsidR="00D30EB7" w:rsidRPr="00E37A1E" w:rsidRDefault="00D30EB7" w:rsidP="00D30EB7">
            <w:pPr>
              <w:ind w:left="74" w:right="74"/>
              <w:rPr>
                <w:rFonts w:cs="Arial"/>
                <w:szCs w:val="18"/>
              </w:rPr>
            </w:pPr>
            <w:r>
              <w:rPr>
                <w:rFonts w:cs="Arial"/>
                <w:szCs w:val="18"/>
              </w:rPr>
              <w:t>File Transfer Protocol</w:t>
            </w:r>
          </w:p>
        </w:tc>
      </w:tr>
      <w:tr w:rsidR="00533C69" w:rsidRPr="004C3FE0" w14:paraId="5A8FF184" w14:textId="77777777" w:rsidTr="00533C69">
        <w:tc>
          <w:tcPr>
            <w:tcW w:w="2127" w:type="dxa"/>
          </w:tcPr>
          <w:p w14:paraId="15649D0E" w14:textId="77777777" w:rsidR="00533C69" w:rsidRPr="004C3FE0" w:rsidRDefault="00533C69" w:rsidP="00D30EB7">
            <w:pPr>
              <w:ind w:left="74" w:right="74"/>
              <w:rPr>
                <w:szCs w:val="18"/>
              </w:rPr>
            </w:pPr>
            <w:r w:rsidRPr="004C3FE0">
              <w:rPr>
                <w:szCs w:val="18"/>
              </w:rPr>
              <w:t>GMRG</w:t>
            </w:r>
          </w:p>
        </w:tc>
        <w:tc>
          <w:tcPr>
            <w:tcW w:w="6378" w:type="dxa"/>
          </w:tcPr>
          <w:p w14:paraId="4FE9E200" w14:textId="77777777" w:rsidR="00533C69" w:rsidRPr="004C3FE0" w:rsidRDefault="00533C69" w:rsidP="00D30EB7">
            <w:pPr>
              <w:ind w:left="74" w:right="74"/>
              <w:rPr>
                <w:szCs w:val="18"/>
              </w:rPr>
            </w:pPr>
            <w:r w:rsidRPr="004C3FE0">
              <w:rPr>
                <w:szCs w:val="18"/>
              </w:rPr>
              <w:t>Gas Market Reform Group</w:t>
            </w:r>
          </w:p>
        </w:tc>
      </w:tr>
      <w:tr w:rsidR="00533C69" w:rsidRPr="004C3FE0" w14:paraId="39744084" w14:textId="77777777" w:rsidTr="00533C69">
        <w:tc>
          <w:tcPr>
            <w:tcW w:w="2127" w:type="dxa"/>
          </w:tcPr>
          <w:p w14:paraId="5F3134C9" w14:textId="77777777" w:rsidR="00533C69" w:rsidRPr="004C3FE0" w:rsidRDefault="00533C69" w:rsidP="00D30EB7">
            <w:pPr>
              <w:ind w:left="74" w:right="74"/>
              <w:rPr>
                <w:szCs w:val="18"/>
              </w:rPr>
            </w:pPr>
            <w:r w:rsidRPr="004C3FE0">
              <w:rPr>
                <w:szCs w:val="18"/>
              </w:rPr>
              <w:t>GSH</w:t>
            </w:r>
          </w:p>
        </w:tc>
        <w:tc>
          <w:tcPr>
            <w:tcW w:w="6378" w:type="dxa"/>
          </w:tcPr>
          <w:p w14:paraId="7DC2E912" w14:textId="77777777" w:rsidR="00533C69" w:rsidRPr="004C3FE0" w:rsidRDefault="00533C69" w:rsidP="00D30EB7">
            <w:pPr>
              <w:ind w:left="74" w:right="74"/>
              <w:rPr>
                <w:szCs w:val="18"/>
              </w:rPr>
            </w:pPr>
            <w:r w:rsidRPr="004C3FE0">
              <w:rPr>
                <w:szCs w:val="18"/>
              </w:rPr>
              <w:t>Gas Supply Hub</w:t>
            </w:r>
          </w:p>
        </w:tc>
      </w:tr>
      <w:tr w:rsidR="00533C69" w:rsidRPr="004C3FE0" w14:paraId="0376AD59" w14:textId="77777777" w:rsidTr="00533C69">
        <w:tc>
          <w:tcPr>
            <w:tcW w:w="2127" w:type="dxa"/>
          </w:tcPr>
          <w:p w14:paraId="3BDBCDDD" w14:textId="77777777" w:rsidR="00533C69" w:rsidRPr="004C3FE0" w:rsidRDefault="00533C69" w:rsidP="00D30EB7">
            <w:pPr>
              <w:ind w:left="74" w:right="74"/>
              <w:rPr>
                <w:szCs w:val="18"/>
              </w:rPr>
            </w:pPr>
            <w:r w:rsidRPr="004C3FE0">
              <w:rPr>
                <w:szCs w:val="18"/>
              </w:rPr>
              <w:t>GTA</w:t>
            </w:r>
          </w:p>
        </w:tc>
        <w:tc>
          <w:tcPr>
            <w:tcW w:w="6378" w:type="dxa"/>
          </w:tcPr>
          <w:p w14:paraId="7A755CD1" w14:textId="77777777" w:rsidR="00533C69" w:rsidRPr="004C3FE0" w:rsidRDefault="00533C69" w:rsidP="00D30EB7">
            <w:pPr>
              <w:ind w:left="74" w:right="74"/>
              <w:rPr>
                <w:szCs w:val="18"/>
              </w:rPr>
            </w:pPr>
            <w:r w:rsidRPr="004C3FE0">
              <w:rPr>
                <w:szCs w:val="18"/>
              </w:rPr>
              <w:t>Gas Transportation Agreement</w:t>
            </w:r>
          </w:p>
        </w:tc>
      </w:tr>
      <w:tr w:rsidR="00533C69" w:rsidRPr="004C3FE0" w14:paraId="78BBF6DD" w14:textId="77777777" w:rsidTr="00533C69">
        <w:tc>
          <w:tcPr>
            <w:tcW w:w="2127" w:type="dxa"/>
          </w:tcPr>
          <w:p w14:paraId="7AE4E6B3" w14:textId="77777777" w:rsidR="00533C69" w:rsidRPr="004C3FE0" w:rsidRDefault="00533C69" w:rsidP="00D30EB7">
            <w:pPr>
              <w:ind w:left="74" w:right="74"/>
              <w:rPr>
                <w:szCs w:val="18"/>
              </w:rPr>
            </w:pPr>
            <w:r>
              <w:rPr>
                <w:szCs w:val="18"/>
              </w:rPr>
              <w:t>HPTP</w:t>
            </w:r>
          </w:p>
        </w:tc>
        <w:tc>
          <w:tcPr>
            <w:tcW w:w="6378" w:type="dxa"/>
          </w:tcPr>
          <w:p w14:paraId="3A736A26" w14:textId="77777777" w:rsidR="00533C69" w:rsidRPr="004C3FE0" w:rsidRDefault="00533C69" w:rsidP="00D30EB7">
            <w:pPr>
              <w:ind w:left="74" w:right="74"/>
              <w:rPr>
                <w:szCs w:val="18"/>
              </w:rPr>
            </w:pPr>
            <w:r>
              <w:t>High Pressure Trade Point)</w:t>
            </w:r>
          </w:p>
        </w:tc>
      </w:tr>
      <w:tr w:rsidR="00533C69" w:rsidRPr="004C3FE0" w14:paraId="2CE7E9ED" w14:textId="77777777" w:rsidTr="00533C69">
        <w:tc>
          <w:tcPr>
            <w:tcW w:w="2127" w:type="dxa"/>
          </w:tcPr>
          <w:p w14:paraId="5DFA6BED" w14:textId="77777777" w:rsidR="00533C69" w:rsidRPr="004C3FE0" w:rsidRDefault="00533C69" w:rsidP="00D30EB7">
            <w:pPr>
              <w:ind w:left="74" w:right="74"/>
              <w:rPr>
                <w:szCs w:val="18"/>
              </w:rPr>
            </w:pPr>
            <w:r w:rsidRPr="004C3FE0">
              <w:rPr>
                <w:szCs w:val="18"/>
              </w:rPr>
              <w:t>JWS</w:t>
            </w:r>
          </w:p>
        </w:tc>
        <w:tc>
          <w:tcPr>
            <w:tcW w:w="6378" w:type="dxa"/>
          </w:tcPr>
          <w:p w14:paraId="6B0B55D0" w14:textId="77777777" w:rsidR="00533C69" w:rsidRPr="004C3FE0" w:rsidRDefault="00533C69" w:rsidP="00D30EB7">
            <w:pPr>
              <w:ind w:left="74" w:right="74"/>
              <w:rPr>
                <w:szCs w:val="18"/>
              </w:rPr>
            </w:pPr>
            <w:r w:rsidRPr="004C3FE0">
              <w:rPr>
                <w:szCs w:val="18"/>
              </w:rPr>
              <w:t>Johnson, Winter &amp; Slattery</w:t>
            </w:r>
          </w:p>
        </w:tc>
      </w:tr>
      <w:tr w:rsidR="00533C69" w:rsidRPr="004C3FE0" w14:paraId="1529C0ED" w14:textId="77777777" w:rsidTr="00533C69">
        <w:tc>
          <w:tcPr>
            <w:tcW w:w="2127" w:type="dxa"/>
          </w:tcPr>
          <w:p w14:paraId="5805E929" w14:textId="77777777" w:rsidR="00533C69" w:rsidRPr="004C3FE0" w:rsidRDefault="00533C69" w:rsidP="00D30EB7">
            <w:pPr>
              <w:ind w:left="74" w:right="74"/>
              <w:rPr>
                <w:szCs w:val="18"/>
              </w:rPr>
            </w:pPr>
            <w:r>
              <w:rPr>
                <w:szCs w:val="18"/>
              </w:rPr>
              <w:t>LPTP</w:t>
            </w:r>
          </w:p>
        </w:tc>
        <w:tc>
          <w:tcPr>
            <w:tcW w:w="6378" w:type="dxa"/>
          </w:tcPr>
          <w:p w14:paraId="75CEAF58" w14:textId="77777777" w:rsidR="00533C69" w:rsidRPr="004C3FE0" w:rsidRDefault="00533C69" w:rsidP="00D30EB7">
            <w:pPr>
              <w:ind w:left="74" w:right="74"/>
              <w:rPr>
                <w:szCs w:val="18"/>
              </w:rPr>
            </w:pPr>
            <w:r>
              <w:t>Low Pressure Trade Point)</w:t>
            </w:r>
          </w:p>
        </w:tc>
      </w:tr>
      <w:tr w:rsidR="00533C69" w:rsidRPr="004C3FE0" w14:paraId="59116F44" w14:textId="77777777" w:rsidTr="00533C69">
        <w:tc>
          <w:tcPr>
            <w:tcW w:w="2127" w:type="dxa"/>
          </w:tcPr>
          <w:p w14:paraId="7DDB049C" w14:textId="77777777" w:rsidR="00533C69" w:rsidRPr="004C3FE0" w:rsidRDefault="00533C69" w:rsidP="00D30EB7">
            <w:pPr>
              <w:ind w:left="74" w:right="74"/>
              <w:rPr>
                <w:szCs w:val="18"/>
              </w:rPr>
            </w:pPr>
            <w:r w:rsidRPr="004C3FE0">
              <w:rPr>
                <w:szCs w:val="18"/>
              </w:rPr>
              <w:t>MAPS</w:t>
            </w:r>
          </w:p>
        </w:tc>
        <w:tc>
          <w:tcPr>
            <w:tcW w:w="6378" w:type="dxa"/>
          </w:tcPr>
          <w:p w14:paraId="564CBD92" w14:textId="77777777" w:rsidR="00533C69" w:rsidRPr="004C3FE0" w:rsidRDefault="00533C69" w:rsidP="00D30EB7">
            <w:pPr>
              <w:ind w:left="74" w:right="74"/>
              <w:rPr>
                <w:szCs w:val="18"/>
              </w:rPr>
            </w:pPr>
            <w:r w:rsidRPr="004C3FE0">
              <w:rPr>
                <w:szCs w:val="18"/>
              </w:rPr>
              <w:t>Moomba to Adelaide Pipeline System</w:t>
            </w:r>
          </w:p>
        </w:tc>
      </w:tr>
      <w:tr w:rsidR="00533C69" w:rsidRPr="004C3FE0" w14:paraId="7D4E95D0" w14:textId="77777777" w:rsidTr="00533C69">
        <w:tc>
          <w:tcPr>
            <w:tcW w:w="2127" w:type="dxa"/>
          </w:tcPr>
          <w:p w14:paraId="0CE66CC2" w14:textId="77777777" w:rsidR="00533C69" w:rsidRPr="004C3FE0" w:rsidRDefault="00533C69" w:rsidP="00D30EB7">
            <w:pPr>
              <w:ind w:left="74" w:right="74"/>
              <w:rPr>
                <w:szCs w:val="18"/>
              </w:rPr>
            </w:pPr>
            <w:r>
              <w:rPr>
                <w:szCs w:val="18"/>
              </w:rPr>
              <w:t>MCF</w:t>
            </w:r>
          </w:p>
        </w:tc>
        <w:tc>
          <w:tcPr>
            <w:tcW w:w="6378" w:type="dxa"/>
          </w:tcPr>
          <w:p w14:paraId="7EE6F4E9" w14:textId="77777777" w:rsidR="00533C69" w:rsidRPr="004C3FE0" w:rsidRDefault="00533C69" w:rsidP="00D30EB7">
            <w:pPr>
              <w:ind w:left="74" w:right="74"/>
              <w:rPr>
                <w:szCs w:val="18"/>
              </w:rPr>
            </w:pPr>
            <w:r>
              <w:rPr>
                <w:szCs w:val="18"/>
              </w:rPr>
              <w:t xml:space="preserve">Moomba Compression Facility </w:t>
            </w:r>
          </w:p>
        </w:tc>
      </w:tr>
      <w:tr w:rsidR="00533C69" w:rsidRPr="004C3FE0" w14:paraId="43E69091" w14:textId="77777777" w:rsidTr="00533C69">
        <w:tc>
          <w:tcPr>
            <w:tcW w:w="2127" w:type="dxa"/>
          </w:tcPr>
          <w:p w14:paraId="4AD6407A" w14:textId="77777777" w:rsidR="00533C69" w:rsidRPr="004C3FE0" w:rsidRDefault="00533C69" w:rsidP="00D30EB7">
            <w:pPr>
              <w:ind w:left="74" w:right="74"/>
              <w:rPr>
                <w:szCs w:val="18"/>
              </w:rPr>
            </w:pPr>
            <w:r>
              <w:rPr>
                <w:szCs w:val="18"/>
              </w:rPr>
              <w:t>MDQ</w:t>
            </w:r>
          </w:p>
        </w:tc>
        <w:tc>
          <w:tcPr>
            <w:tcW w:w="6378" w:type="dxa"/>
          </w:tcPr>
          <w:p w14:paraId="18746229" w14:textId="77777777" w:rsidR="00533C69" w:rsidRPr="004C3FE0" w:rsidRDefault="00533C69" w:rsidP="00D30EB7">
            <w:pPr>
              <w:ind w:left="74" w:right="74"/>
              <w:rPr>
                <w:szCs w:val="18"/>
              </w:rPr>
            </w:pPr>
            <w:r>
              <w:rPr>
                <w:szCs w:val="18"/>
              </w:rPr>
              <w:t>Maximum Daily Quantity</w:t>
            </w:r>
          </w:p>
        </w:tc>
      </w:tr>
      <w:tr w:rsidR="00533C69" w:rsidRPr="004C3FE0" w14:paraId="1C76F12C" w14:textId="77777777" w:rsidTr="00533C69">
        <w:tc>
          <w:tcPr>
            <w:tcW w:w="2127" w:type="dxa"/>
          </w:tcPr>
          <w:p w14:paraId="7F44E410" w14:textId="77777777" w:rsidR="00533C69" w:rsidRDefault="00533C69" w:rsidP="00D30EB7">
            <w:pPr>
              <w:ind w:left="74" w:right="74"/>
              <w:rPr>
                <w:szCs w:val="18"/>
              </w:rPr>
            </w:pPr>
            <w:r>
              <w:rPr>
                <w:szCs w:val="18"/>
              </w:rPr>
              <w:t>MHQ</w:t>
            </w:r>
          </w:p>
        </w:tc>
        <w:tc>
          <w:tcPr>
            <w:tcW w:w="6378" w:type="dxa"/>
          </w:tcPr>
          <w:p w14:paraId="10EE2E67" w14:textId="77777777" w:rsidR="00533C69" w:rsidRDefault="00533C69" w:rsidP="00D30EB7">
            <w:pPr>
              <w:ind w:left="74" w:right="74"/>
              <w:rPr>
                <w:szCs w:val="18"/>
              </w:rPr>
            </w:pPr>
            <w:r>
              <w:rPr>
                <w:szCs w:val="18"/>
              </w:rPr>
              <w:t xml:space="preserve">Maximum Hourly Quantity </w:t>
            </w:r>
          </w:p>
        </w:tc>
      </w:tr>
      <w:tr w:rsidR="00533C69" w:rsidRPr="004C3FE0" w14:paraId="6B46E1C4" w14:textId="77777777" w:rsidTr="00533C69">
        <w:tc>
          <w:tcPr>
            <w:tcW w:w="2127" w:type="dxa"/>
          </w:tcPr>
          <w:p w14:paraId="1A0EF0F7" w14:textId="77777777" w:rsidR="00533C69" w:rsidRPr="004C3FE0" w:rsidRDefault="00533C69" w:rsidP="00D30EB7">
            <w:pPr>
              <w:ind w:left="74" w:right="74"/>
              <w:rPr>
                <w:szCs w:val="18"/>
              </w:rPr>
            </w:pPr>
            <w:r w:rsidRPr="004C3FE0">
              <w:rPr>
                <w:szCs w:val="18"/>
              </w:rPr>
              <w:t>MOS</w:t>
            </w:r>
          </w:p>
        </w:tc>
        <w:tc>
          <w:tcPr>
            <w:tcW w:w="6378" w:type="dxa"/>
          </w:tcPr>
          <w:p w14:paraId="4A3EEE40" w14:textId="77777777" w:rsidR="00533C69" w:rsidRPr="004C3FE0" w:rsidRDefault="00533C69" w:rsidP="00D30EB7">
            <w:pPr>
              <w:ind w:left="74" w:right="74"/>
              <w:rPr>
                <w:szCs w:val="18"/>
              </w:rPr>
            </w:pPr>
            <w:r w:rsidRPr="004C3FE0">
              <w:rPr>
                <w:szCs w:val="18"/>
              </w:rPr>
              <w:t>Market Operator Service</w:t>
            </w:r>
          </w:p>
        </w:tc>
      </w:tr>
      <w:tr w:rsidR="00533C69" w:rsidRPr="004C3FE0" w14:paraId="74E75885" w14:textId="77777777" w:rsidTr="00533C69">
        <w:tc>
          <w:tcPr>
            <w:tcW w:w="2127" w:type="dxa"/>
          </w:tcPr>
          <w:p w14:paraId="19501836" w14:textId="77777777" w:rsidR="00533C69" w:rsidRPr="004C3FE0" w:rsidRDefault="00533C69" w:rsidP="00D30EB7">
            <w:pPr>
              <w:ind w:left="74" w:right="74"/>
              <w:rPr>
                <w:szCs w:val="18"/>
              </w:rPr>
            </w:pPr>
            <w:r w:rsidRPr="004C3FE0">
              <w:rPr>
                <w:szCs w:val="18"/>
              </w:rPr>
              <w:t>MSP</w:t>
            </w:r>
          </w:p>
        </w:tc>
        <w:tc>
          <w:tcPr>
            <w:tcW w:w="6378" w:type="dxa"/>
          </w:tcPr>
          <w:p w14:paraId="30BD9AC6" w14:textId="77777777" w:rsidR="00533C69" w:rsidRPr="004C3FE0" w:rsidRDefault="00533C69" w:rsidP="00D30EB7">
            <w:pPr>
              <w:ind w:left="74" w:right="74"/>
              <w:rPr>
                <w:szCs w:val="18"/>
              </w:rPr>
            </w:pPr>
            <w:r w:rsidRPr="004C3FE0">
              <w:rPr>
                <w:szCs w:val="18"/>
              </w:rPr>
              <w:t xml:space="preserve">Moomba to Sydney Pipeline </w:t>
            </w:r>
          </w:p>
        </w:tc>
      </w:tr>
      <w:tr w:rsidR="00D30EB7" w:rsidRPr="00E37A1E" w14:paraId="6A8A3211" w14:textId="77777777" w:rsidTr="00686058">
        <w:tc>
          <w:tcPr>
            <w:tcW w:w="2127" w:type="dxa"/>
          </w:tcPr>
          <w:p w14:paraId="4A0099AD" w14:textId="77777777" w:rsidR="00D30EB7" w:rsidRPr="00E37A1E" w:rsidRDefault="00D30EB7" w:rsidP="00D30EB7">
            <w:pPr>
              <w:ind w:left="74" w:right="74"/>
              <w:rPr>
                <w:rFonts w:cs="Arial"/>
                <w:szCs w:val="18"/>
              </w:rPr>
            </w:pPr>
            <w:r w:rsidRPr="00E37A1E">
              <w:rPr>
                <w:rFonts w:cs="Arial"/>
                <w:szCs w:val="18"/>
              </w:rPr>
              <w:t>MSV</w:t>
            </w:r>
          </w:p>
        </w:tc>
        <w:tc>
          <w:tcPr>
            <w:tcW w:w="6378" w:type="dxa"/>
          </w:tcPr>
          <w:p w14:paraId="14145193" w14:textId="77777777" w:rsidR="00D30EB7" w:rsidRPr="00E37A1E" w:rsidRDefault="00D30EB7" w:rsidP="00D30EB7">
            <w:pPr>
              <w:ind w:left="74" w:right="74"/>
              <w:rPr>
                <w:rFonts w:cs="Arial"/>
                <w:szCs w:val="18"/>
              </w:rPr>
            </w:pPr>
            <w:r w:rsidRPr="00E37A1E">
              <w:rPr>
                <w:rFonts w:cs="Arial"/>
                <w:szCs w:val="18"/>
              </w:rPr>
              <w:t>Market Schedule Varia</w:t>
            </w:r>
            <w:r>
              <w:rPr>
                <w:rFonts w:cs="Arial"/>
                <w:szCs w:val="18"/>
              </w:rPr>
              <w:t>tion</w:t>
            </w:r>
          </w:p>
        </w:tc>
      </w:tr>
      <w:tr w:rsidR="00533C69" w:rsidRPr="004C3FE0" w14:paraId="66EAA171" w14:textId="77777777" w:rsidTr="00533C69">
        <w:tc>
          <w:tcPr>
            <w:tcW w:w="2127" w:type="dxa"/>
          </w:tcPr>
          <w:p w14:paraId="27E4F28D" w14:textId="77777777" w:rsidR="00533C69" w:rsidRPr="004C3FE0" w:rsidRDefault="00533C69" w:rsidP="00D30EB7">
            <w:pPr>
              <w:ind w:left="74" w:right="74"/>
              <w:rPr>
                <w:szCs w:val="18"/>
              </w:rPr>
            </w:pPr>
            <w:r>
              <w:rPr>
                <w:szCs w:val="18"/>
              </w:rPr>
              <w:t>NER</w:t>
            </w:r>
          </w:p>
        </w:tc>
        <w:tc>
          <w:tcPr>
            <w:tcW w:w="6378" w:type="dxa"/>
          </w:tcPr>
          <w:p w14:paraId="1539D69A" w14:textId="77777777" w:rsidR="00533C69" w:rsidRPr="004C3FE0" w:rsidRDefault="00533C69" w:rsidP="00D30EB7">
            <w:pPr>
              <w:ind w:left="74" w:right="74"/>
              <w:rPr>
                <w:szCs w:val="18"/>
              </w:rPr>
            </w:pPr>
            <w:r>
              <w:rPr>
                <w:szCs w:val="18"/>
              </w:rPr>
              <w:t xml:space="preserve">National Electricity Rules </w:t>
            </w:r>
          </w:p>
        </w:tc>
      </w:tr>
      <w:tr w:rsidR="00533C69" w:rsidRPr="004C3FE0" w14:paraId="6A7F628B" w14:textId="77777777" w:rsidTr="00533C69">
        <w:tc>
          <w:tcPr>
            <w:tcW w:w="2127" w:type="dxa"/>
          </w:tcPr>
          <w:p w14:paraId="5240618A" w14:textId="77777777" w:rsidR="00533C69" w:rsidRPr="004C3FE0" w:rsidRDefault="00533C69" w:rsidP="00D30EB7">
            <w:pPr>
              <w:ind w:left="74" w:right="74"/>
              <w:rPr>
                <w:szCs w:val="18"/>
              </w:rPr>
            </w:pPr>
            <w:r w:rsidRPr="004C3FE0">
              <w:rPr>
                <w:szCs w:val="18"/>
              </w:rPr>
              <w:t>NGL</w:t>
            </w:r>
          </w:p>
        </w:tc>
        <w:tc>
          <w:tcPr>
            <w:tcW w:w="6378" w:type="dxa"/>
          </w:tcPr>
          <w:p w14:paraId="0AEABDC8" w14:textId="77777777" w:rsidR="00533C69" w:rsidRPr="004C3FE0" w:rsidRDefault="00533C69" w:rsidP="00D30EB7">
            <w:pPr>
              <w:ind w:left="74" w:right="74"/>
              <w:rPr>
                <w:szCs w:val="18"/>
              </w:rPr>
            </w:pPr>
            <w:r w:rsidRPr="004C3FE0">
              <w:rPr>
                <w:szCs w:val="18"/>
              </w:rPr>
              <w:t>National Gas Law</w:t>
            </w:r>
          </w:p>
        </w:tc>
      </w:tr>
      <w:tr w:rsidR="00533C69" w:rsidRPr="004C3FE0" w14:paraId="768E898E" w14:textId="77777777" w:rsidTr="00533C69">
        <w:tc>
          <w:tcPr>
            <w:tcW w:w="2127" w:type="dxa"/>
          </w:tcPr>
          <w:p w14:paraId="33F453E0" w14:textId="77777777" w:rsidR="00533C69" w:rsidRPr="004C3FE0" w:rsidRDefault="00533C69" w:rsidP="00D30EB7">
            <w:pPr>
              <w:ind w:left="74" w:right="74"/>
              <w:rPr>
                <w:szCs w:val="18"/>
              </w:rPr>
            </w:pPr>
            <w:r w:rsidRPr="004C3FE0">
              <w:rPr>
                <w:szCs w:val="18"/>
              </w:rPr>
              <w:t>NGO</w:t>
            </w:r>
          </w:p>
        </w:tc>
        <w:tc>
          <w:tcPr>
            <w:tcW w:w="6378" w:type="dxa"/>
          </w:tcPr>
          <w:p w14:paraId="3F428900" w14:textId="77777777" w:rsidR="00533C69" w:rsidRPr="004C3FE0" w:rsidRDefault="00533C69" w:rsidP="00D30EB7">
            <w:pPr>
              <w:ind w:left="74" w:right="74"/>
              <w:rPr>
                <w:szCs w:val="18"/>
              </w:rPr>
            </w:pPr>
            <w:r w:rsidRPr="004C3FE0">
              <w:rPr>
                <w:szCs w:val="18"/>
              </w:rPr>
              <w:t>National Gas Objective</w:t>
            </w:r>
          </w:p>
        </w:tc>
      </w:tr>
      <w:tr w:rsidR="00533C69" w:rsidRPr="004C3FE0" w14:paraId="69A013F4" w14:textId="77777777" w:rsidTr="00533C69">
        <w:tc>
          <w:tcPr>
            <w:tcW w:w="2127" w:type="dxa"/>
          </w:tcPr>
          <w:p w14:paraId="55401481" w14:textId="77777777" w:rsidR="00533C69" w:rsidRPr="004C3FE0" w:rsidRDefault="00533C69" w:rsidP="00D30EB7">
            <w:pPr>
              <w:ind w:left="74" w:right="74"/>
              <w:rPr>
                <w:szCs w:val="18"/>
              </w:rPr>
            </w:pPr>
            <w:r>
              <w:rPr>
                <w:szCs w:val="18"/>
              </w:rPr>
              <w:t>NGP</w:t>
            </w:r>
          </w:p>
        </w:tc>
        <w:tc>
          <w:tcPr>
            <w:tcW w:w="6378" w:type="dxa"/>
          </w:tcPr>
          <w:p w14:paraId="165F85E3" w14:textId="77777777" w:rsidR="00533C69" w:rsidRPr="004C3FE0" w:rsidRDefault="00533C69" w:rsidP="00D30EB7">
            <w:pPr>
              <w:ind w:left="74" w:right="74"/>
              <w:rPr>
                <w:szCs w:val="18"/>
              </w:rPr>
            </w:pPr>
            <w:r>
              <w:rPr>
                <w:szCs w:val="18"/>
              </w:rPr>
              <w:t xml:space="preserve">Northern Gas Pipeline </w:t>
            </w:r>
          </w:p>
        </w:tc>
      </w:tr>
      <w:tr w:rsidR="00533C69" w:rsidRPr="004C3FE0" w14:paraId="7CBEBE1C" w14:textId="77777777" w:rsidTr="00533C69">
        <w:tc>
          <w:tcPr>
            <w:tcW w:w="2127" w:type="dxa"/>
          </w:tcPr>
          <w:p w14:paraId="3D2A6436" w14:textId="77777777" w:rsidR="00533C69" w:rsidRPr="004C3FE0" w:rsidRDefault="00533C69" w:rsidP="00D30EB7">
            <w:pPr>
              <w:ind w:left="74" w:right="74"/>
              <w:rPr>
                <w:szCs w:val="18"/>
              </w:rPr>
            </w:pPr>
            <w:r w:rsidRPr="004C3FE0">
              <w:rPr>
                <w:szCs w:val="18"/>
              </w:rPr>
              <w:lastRenderedPageBreak/>
              <w:t>NGR</w:t>
            </w:r>
          </w:p>
        </w:tc>
        <w:tc>
          <w:tcPr>
            <w:tcW w:w="6378" w:type="dxa"/>
          </w:tcPr>
          <w:p w14:paraId="1E534D07" w14:textId="77777777" w:rsidR="00533C69" w:rsidRPr="004C3FE0" w:rsidRDefault="00533C69" w:rsidP="00D30EB7">
            <w:pPr>
              <w:ind w:left="74" w:right="74"/>
              <w:rPr>
                <w:szCs w:val="18"/>
              </w:rPr>
            </w:pPr>
            <w:r w:rsidRPr="004C3FE0">
              <w:rPr>
                <w:szCs w:val="18"/>
              </w:rPr>
              <w:t>National Gas Rules</w:t>
            </w:r>
          </w:p>
        </w:tc>
      </w:tr>
      <w:tr w:rsidR="00533C69" w:rsidRPr="004C3FE0" w14:paraId="61DCCE3A" w14:textId="77777777" w:rsidTr="00533C69">
        <w:tc>
          <w:tcPr>
            <w:tcW w:w="2127" w:type="dxa"/>
          </w:tcPr>
          <w:p w14:paraId="3C903DB2" w14:textId="77777777" w:rsidR="00533C69" w:rsidRPr="004C3FE0" w:rsidRDefault="00533C69" w:rsidP="00D30EB7">
            <w:pPr>
              <w:ind w:left="74" w:right="74"/>
              <w:rPr>
                <w:szCs w:val="18"/>
              </w:rPr>
            </w:pPr>
            <w:r w:rsidRPr="004C3FE0">
              <w:rPr>
                <w:szCs w:val="18"/>
              </w:rPr>
              <w:t>RBP</w:t>
            </w:r>
          </w:p>
        </w:tc>
        <w:tc>
          <w:tcPr>
            <w:tcW w:w="6378" w:type="dxa"/>
          </w:tcPr>
          <w:p w14:paraId="049BA385" w14:textId="77777777" w:rsidR="00533C69" w:rsidRPr="004C3FE0" w:rsidRDefault="00533C69" w:rsidP="00D30EB7">
            <w:pPr>
              <w:ind w:left="74" w:right="74"/>
              <w:rPr>
                <w:szCs w:val="18"/>
              </w:rPr>
            </w:pPr>
            <w:r w:rsidRPr="004C3FE0">
              <w:rPr>
                <w:szCs w:val="18"/>
              </w:rPr>
              <w:t>Roma to Brisbane Pipeline</w:t>
            </w:r>
          </w:p>
        </w:tc>
      </w:tr>
      <w:tr w:rsidR="00533C69" w:rsidRPr="004C3FE0" w14:paraId="2B24E2FA" w14:textId="77777777" w:rsidTr="00533C69">
        <w:tc>
          <w:tcPr>
            <w:tcW w:w="2127" w:type="dxa"/>
          </w:tcPr>
          <w:p w14:paraId="6EE067A6" w14:textId="77777777" w:rsidR="00533C69" w:rsidRPr="004C3FE0" w:rsidRDefault="00533C69" w:rsidP="00D30EB7">
            <w:pPr>
              <w:ind w:left="74" w:right="74"/>
              <w:rPr>
                <w:szCs w:val="18"/>
              </w:rPr>
            </w:pPr>
            <w:r w:rsidRPr="004C3FE0">
              <w:rPr>
                <w:szCs w:val="18"/>
              </w:rPr>
              <w:t>SCO</w:t>
            </w:r>
          </w:p>
        </w:tc>
        <w:tc>
          <w:tcPr>
            <w:tcW w:w="6378" w:type="dxa"/>
          </w:tcPr>
          <w:p w14:paraId="31F550AE" w14:textId="025CC559" w:rsidR="00533C69" w:rsidRPr="004C3FE0" w:rsidRDefault="00522628" w:rsidP="00D30EB7">
            <w:pPr>
              <w:ind w:left="74" w:right="74"/>
              <w:rPr>
                <w:szCs w:val="18"/>
              </w:rPr>
            </w:pPr>
            <w:r>
              <w:rPr>
                <w:szCs w:val="18"/>
              </w:rPr>
              <w:t>Senior</w:t>
            </w:r>
            <w:r w:rsidR="00533C69" w:rsidRPr="004C3FE0">
              <w:rPr>
                <w:szCs w:val="18"/>
              </w:rPr>
              <w:t xml:space="preserve"> Committee of Officials</w:t>
            </w:r>
          </w:p>
        </w:tc>
      </w:tr>
      <w:tr w:rsidR="00D30EB7" w:rsidRPr="00E37A1E" w14:paraId="7C75696A" w14:textId="77777777" w:rsidTr="00686058">
        <w:tc>
          <w:tcPr>
            <w:tcW w:w="2127" w:type="dxa"/>
          </w:tcPr>
          <w:p w14:paraId="60DA5CA7" w14:textId="77777777" w:rsidR="00D30EB7" w:rsidRPr="00E37A1E" w:rsidRDefault="00D30EB7" w:rsidP="00D30EB7">
            <w:pPr>
              <w:ind w:left="74" w:right="74"/>
              <w:rPr>
                <w:rFonts w:cs="Arial"/>
                <w:szCs w:val="18"/>
              </w:rPr>
            </w:pPr>
            <w:r>
              <w:rPr>
                <w:rFonts w:cs="Arial"/>
                <w:szCs w:val="18"/>
              </w:rPr>
              <w:t>SIP</w:t>
            </w:r>
          </w:p>
        </w:tc>
        <w:tc>
          <w:tcPr>
            <w:tcW w:w="6378" w:type="dxa"/>
          </w:tcPr>
          <w:p w14:paraId="34214C35" w14:textId="77777777" w:rsidR="00D30EB7" w:rsidRPr="00E37A1E" w:rsidRDefault="00D30EB7" w:rsidP="00D30EB7">
            <w:pPr>
              <w:ind w:left="74" w:right="74"/>
              <w:rPr>
                <w:rFonts w:cs="Arial"/>
                <w:szCs w:val="18"/>
              </w:rPr>
            </w:pPr>
            <w:r w:rsidRPr="008B1B73">
              <w:rPr>
                <w:rFonts w:cs="Arial"/>
              </w:rPr>
              <w:t>STTM Interface Protocol</w:t>
            </w:r>
          </w:p>
        </w:tc>
      </w:tr>
      <w:tr w:rsidR="00533C69" w:rsidRPr="004C3FE0" w14:paraId="45924E4B" w14:textId="77777777" w:rsidTr="00533C69">
        <w:tc>
          <w:tcPr>
            <w:tcW w:w="2127" w:type="dxa"/>
          </w:tcPr>
          <w:p w14:paraId="41245A66" w14:textId="77777777" w:rsidR="00533C69" w:rsidRPr="004C3FE0" w:rsidRDefault="00533C69" w:rsidP="00D30EB7">
            <w:pPr>
              <w:ind w:left="74" w:right="74"/>
              <w:rPr>
                <w:szCs w:val="18"/>
              </w:rPr>
            </w:pPr>
            <w:r>
              <w:rPr>
                <w:szCs w:val="18"/>
              </w:rPr>
              <w:t>SRA</w:t>
            </w:r>
          </w:p>
        </w:tc>
        <w:tc>
          <w:tcPr>
            <w:tcW w:w="6378" w:type="dxa"/>
          </w:tcPr>
          <w:p w14:paraId="2AACE322" w14:textId="77777777" w:rsidR="00533C69" w:rsidRPr="004C3FE0" w:rsidRDefault="00533C69" w:rsidP="00D30EB7">
            <w:pPr>
              <w:ind w:left="74" w:right="74"/>
              <w:rPr>
                <w:szCs w:val="18"/>
              </w:rPr>
            </w:pPr>
            <w:r>
              <w:rPr>
                <w:szCs w:val="18"/>
              </w:rPr>
              <w:t>Settlement Residue Auction</w:t>
            </w:r>
          </w:p>
        </w:tc>
      </w:tr>
      <w:tr w:rsidR="00533C69" w:rsidRPr="004C3FE0" w14:paraId="739618C3" w14:textId="77777777" w:rsidTr="00533C69">
        <w:tc>
          <w:tcPr>
            <w:tcW w:w="2127" w:type="dxa"/>
          </w:tcPr>
          <w:p w14:paraId="18D25CE7" w14:textId="77777777" w:rsidR="00533C69" w:rsidRPr="004C3FE0" w:rsidRDefault="00533C69" w:rsidP="00D30EB7">
            <w:pPr>
              <w:ind w:left="74" w:right="74"/>
              <w:rPr>
                <w:szCs w:val="18"/>
              </w:rPr>
            </w:pPr>
            <w:r w:rsidRPr="004C3FE0">
              <w:rPr>
                <w:szCs w:val="18"/>
              </w:rPr>
              <w:t>STTM</w:t>
            </w:r>
          </w:p>
        </w:tc>
        <w:tc>
          <w:tcPr>
            <w:tcW w:w="6378" w:type="dxa"/>
          </w:tcPr>
          <w:p w14:paraId="5942D299" w14:textId="77777777" w:rsidR="00533C69" w:rsidRPr="004C3FE0" w:rsidRDefault="00533C69" w:rsidP="00D30EB7">
            <w:pPr>
              <w:ind w:left="74" w:right="74"/>
              <w:rPr>
                <w:szCs w:val="18"/>
              </w:rPr>
            </w:pPr>
            <w:r w:rsidRPr="004C3FE0">
              <w:rPr>
                <w:szCs w:val="18"/>
              </w:rPr>
              <w:t>Short Term Trading Market</w:t>
            </w:r>
          </w:p>
        </w:tc>
      </w:tr>
      <w:tr w:rsidR="00533C69" w:rsidRPr="004C3FE0" w14:paraId="04F2A696" w14:textId="77777777" w:rsidTr="00533C69">
        <w:tc>
          <w:tcPr>
            <w:tcW w:w="2127" w:type="dxa"/>
          </w:tcPr>
          <w:p w14:paraId="6040E13B" w14:textId="77777777" w:rsidR="00533C69" w:rsidRPr="004C3FE0" w:rsidRDefault="00533C69" w:rsidP="00D30EB7">
            <w:pPr>
              <w:ind w:left="74" w:right="74"/>
              <w:rPr>
                <w:szCs w:val="18"/>
              </w:rPr>
            </w:pPr>
            <w:r w:rsidRPr="004C3FE0">
              <w:rPr>
                <w:szCs w:val="18"/>
              </w:rPr>
              <w:t>SWQP</w:t>
            </w:r>
          </w:p>
        </w:tc>
        <w:tc>
          <w:tcPr>
            <w:tcW w:w="6378" w:type="dxa"/>
          </w:tcPr>
          <w:p w14:paraId="340D7FF5" w14:textId="77777777" w:rsidR="00533C69" w:rsidRPr="004C3FE0" w:rsidRDefault="00533C69" w:rsidP="00D30EB7">
            <w:pPr>
              <w:ind w:left="74" w:right="74"/>
              <w:rPr>
                <w:szCs w:val="18"/>
              </w:rPr>
            </w:pPr>
            <w:r w:rsidRPr="004C3FE0">
              <w:rPr>
                <w:rFonts w:asciiTheme="majorHAnsi" w:hAnsiTheme="majorHAnsi" w:cstheme="majorHAnsi"/>
                <w:szCs w:val="18"/>
              </w:rPr>
              <w:t>South West Queensland Pipeline</w:t>
            </w:r>
          </w:p>
        </w:tc>
      </w:tr>
      <w:tr w:rsidR="00533C69" w:rsidRPr="004C3FE0" w14:paraId="1EB00AEE" w14:textId="77777777" w:rsidTr="00533C69">
        <w:tc>
          <w:tcPr>
            <w:tcW w:w="2127" w:type="dxa"/>
          </w:tcPr>
          <w:p w14:paraId="6BED6E07" w14:textId="77777777" w:rsidR="00533C69" w:rsidRPr="004C3FE0" w:rsidRDefault="00533C69" w:rsidP="00D30EB7">
            <w:pPr>
              <w:ind w:left="74" w:right="74"/>
              <w:rPr>
                <w:szCs w:val="18"/>
              </w:rPr>
            </w:pPr>
            <w:r>
              <w:rPr>
                <w:szCs w:val="18"/>
              </w:rPr>
              <w:t>TGP</w:t>
            </w:r>
          </w:p>
        </w:tc>
        <w:tc>
          <w:tcPr>
            <w:tcW w:w="6378" w:type="dxa"/>
          </w:tcPr>
          <w:p w14:paraId="0EA302D3" w14:textId="77777777" w:rsidR="00533C69" w:rsidRPr="004C3FE0" w:rsidRDefault="00533C69" w:rsidP="00D30EB7">
            <w:pPr>
              <w:ind w:left="74" w:right="74"/>
              <w:rPr>
                <w:rFonts w:asciiTheme="majorHAnsi" w:hAnsiTheme="majorHAnsi" w:cstheme="majorHAnsi"/>
                <w:szCs w:val="18"/>
              </w:rPr>
            </w:pPr>
            <w:r>
              <w:rPr>
                <w:rFonts w:asciiTheme="majorHAnsi" w:hAnsiTheme="majorHAnsi" w:cstheme="majorHAnsi"/>
                <w:szCs w:val="18"/>
              </w:rPr>
              <w:t>Tasmanian Gas Pipeline</w:t>
            </w:r>
          </w:p>
        </w:tc>
      </w:tr>
      <w:tr w:rsidR="00533C69" w:rsidRPr="004C3FE0" w14:paraId="4F853D00" w14:textId="77777777" w:rsidTr="00533C69">
        <w:tc>
          <w:tcPr>
            <w:tcW w:w="2127" w:type="dxa"/>
          </w:tcPr>
          <w:p w14:paraId="62A021BA" w14:textId="77777777" w:rsidR="00533C69" w:rsidRPr="004C3FE0" w:rsidRDefault="00533C69" w:rsidP="00D30EB7">
            <w:pPr>
              <w:ind w:left="74" w:right="74"/>
              <w:rPr>
                <w:szCs w:val="18"/>
              </w:rPr>
            </w:pPr>
            <w:r w:rsidRPr="004C3FE0">
              <w:rPr>
                <w:szCs w:val="18"/>
              </w:rPr>
              <w:t>Transportation services</w:t>
            </w:r>
          </w:p>
        </w:tc>
        <w:tc>
          <w:tcPr>
            <w:tcW w:w="6378" w:type="dxa"/>
          </w:tcPr>
          <w:p w14:paraId="343AD189" w14:textId="77777777" w:rsidR="00533C69" w:rsidRPr="004C3FE0" w:rsidRDefault="00533C69" w:rsidP="00D30EB7">
            <w:pPr>
              <w:ind w:left="74" w:right="74"/>
              <w:rPr>
                <w:szCs w:val="18"/>
              </w:rPr>
            </w:pPr>
            <w:r w:rsidRPr="004C3FE0">
              <w:rPr>
                <w:szCs w:val="18"/>
              </w:rPr>
              <w:t>This term is used to jointly refer to pipeline and compression services</w:t>
            </w:r>
          </w:p>
        </w:tc>
      </w:tr>
      <w:tr w:rsidR="00533C69" w:rsidRPr="004C3FE0" w14:paraId="1CB80500" w14:textId="77777777" w:rsidTr="00533C69">
        <w:tc>
          <w:tcPr>
            <w:tcW w:w="2127" w:type="dxa"/>
          </w:tcPr>
          <w:p w14:paraId="458206BC" w14:textId="77777777" w:rsidR="00533C69" w:rsidRPr="004C3FE0" w:rsidRDefault="00533C69" w:rsidP="00D30EB7">
            <w:pPr>
              <w:ind w:left="74" w:right="74"/>
              <w:rPr>
                <w:szCs w:val="18"/>
              </w:rPr>
            </w:pPr>
            <w:r w:rsidRPr="004C3FE0">
              <w:rPr>
                <w:szCs w:val="18"/>
              </w:rPr>
              <w:t>Vision</w:t>
            </w:r>
          </w:p>
        </w:tc>
        <w:tc>
          <w:tcPr>
            <w:tcW w:w="6378" w:type="dxa"/>
          </w:tcPr>
          <w:p w14:paraId="28493D0E" w14:textId="77777777" w:rsidR="00533C69" w:rsidRPr="004C3FE0" w:rsidRDefault="00533C69" w:rsidP="00D30EB7">
            <w:pPr>
              <w:ind w:left="74" w:right="74"/>
              <w:rPr>
                <w:szCs w:val="18"/>
              </w:rPr>
            </w:pPr>
            <w:r w:rsidRPr="004C3FE0">
              <w:rPr>
                <w:szCs w:val="18"/>
              </w:rPr>
              <w:t xml:space="preserve">COAG Energy Council’s </w:t>
            </w:r>
            <w:r w:rsidRPr="004C3FE0">
              <w:rPr>
                <w:i/>
                <w:szCs w:val="18"/>
              </w:rPr>
              <w:t>Australian Gas Market Vision</w:t>
            </w:r>
            <w:r w:rsidRPr="004C3FE0">
              <w:rPr>
                <w:szCs w:val="18"/>
              </w:rPr>
              <w:t xml:space="preserve"> (December 2014)</w:t>
            </w:r>
          </w:p>
        </w:tc>
      </w:tr>
    </w:tbl>
    <w:p w14:paraId="30D9E145" w14:textId="77777777" w:rsidR="00533C69" w:rsidRDefault="00533C69" w:rsidP="004F7F03">
      <w:pPr>
        <w:sectPr w:rsidR="00533C69" w:rsidSect="00CF1252">
          <w:pgSz w:w="11907" w:h="16840" w:code="9"/>
          <w:pgMar w:top="1361" w:right="1418" w:bottom="992" w:left="1701" w:header="567" w:footer="397" w:gutter="0"/>
          <w:pgNumType w:fmt="lowerRoman"/>
          <w:cols w:space="708"/>
          <w:docGrid w:linePitch="360"/>
        </w:sectPr>
      </w:pPr>
    </w:p>
    <w:p w14:paraId="21DEB5FC" w14:textId="275F981A" w:rsidR="00E164A7" w:rsidRDefault="005C2E04" w:rsidP="00E164A7">
      <w:pPr>
        <w:pStyle w:val="Heading1"/>
        <w:spacing w:before="0"/>
      </w:pPr>
      <w:bookmarkStart w:id="33" w:name="_Toc452029502"/>
      <w:bookmarkStart w:id="34" w:name="_Toc492524727"/>
      <w:bookmarkEnd w:id="31"/>
      <w:bookmarkEnd w:id="32"/>
      <w:r>
        <w:lastRenderedPageBreak/>
        <w:t>I</w:t>
      </w:r>
      <w:bookmarkEnd w:id="33"/>
      <w:r>
        <w:t>ntroduction</w:t>
      </w:r>
      <w:bookmarkEnd w:id="34"/>
      <w:r w:rsidR="00F543AE">
        <w:t xml:space="preserve"> </w:t>
      </w:r>
    </w:p>
    <w:p w14:paraId="77F848F4" w14:textId="77777777" w:rsidR="008B0B84" w:rsidRDefault="00B73EB7" w:rsidP="008B0B84">
      <w:pPr>
        <w:pStyle w:val="BodyText"/>
      </w:pPr>
      <w:r>
        <w:t>The Gas Market Reform Group (GMRG)</w:t>
      </w:r>
      <w:r w:rsidR="00B20837">
        <w:t xml:space="preserve"> </w:t>
      </w:r>
      <w:r>
        <w:t>was established by the COAG Energy Council (</w:t>
      </w:r>
      <w:r w:rsidR="00C76541">
        <w:t xml:space="preserve">Energy </w:t>
      </w:r>
      <w:r>
        <w:t xml:space="preserve">Council) in the latter half of 2016 </w:t>
      </w:r>
      <w:r w:rsidR="006F7012">
        <w:t xml:space="preserve">to </w:t>
      </w:r>
      <w:r w:rsidR="008B1846">
        <w:t>lead the design, development and implementation of a range of reforms</w:t>
      </w:r>
      <w:r w:rsidR="00B464E5">
        <w:t xml:space="preserve"> set out in the Gas Market Reform Package</w:t>
      </w:r>
      <w:r w:rsidR="002129A4">
        <w:t xml:space="preserve">, including a </w:t>
      </w:r>
      <w:r w:rsidR="00D73D6E">
        <w:t>package</w:t>
      </w:r>
      <w:r w:rsidR="002129A4">
        <w:t xml:space="preserve"> of capacity trading reforms.</w:t>
      </w:r>
      <w:r>
        <w:rPr>
          <w:rStyle w:val="FootnoteReference"/>
        </w:rPr>
        <w:footnoteReference w:id="2"/>
      </w:r>
      <w:r>
        <w:t xml:space="preserve"> </w:t>
      </w:r>
    </w:p>
    <w:p w14:paraId="0B13B2A1" w14:textId="77777777" w:rsidR="004C7499" w:rsidRPr="00511F80" w:rsidRDefault="00F87169" w:rsidP="004C7499">
      <w:pPr>
        <w:pStyle w:val="BodyText"/>
        <w:rPr>
          <w:rFonts w:cs="Arial"/>
        </w:rPr>
      </w:pPr>
      <w:r>
        <w:t xml:space="preserve">The </w:t>
      </w:r>
      <w:r w:rsidR="00D73D6E">
        <w:t>capacity trading reform package</w:t>
      </w:r>
      <w:r w:rsidR="008B0B84">
        <w:t xml:space="preserve"> </w:t>
      </w:r>
      <w:r w:rsidR="00D73D6E">
        <w:t xml:space="preserve">was </w:t>
      </w:r>
      <w:r w:rsidR="00296311">
        <w:t xml:space="preserve">recommended by the Australian Energy Market Commission (AEMC) </w:t>
      </w:r>
      <w:r w:rsidR="00066FB6">
        <w:t xml:space="preserve">as part of its </w:t>
      </w:r>
      <w:r w:rsidR="00296311" w:rsidRPr="00680C5B">
        <w:rPr>
          <w:rFonts w:cs="Arial"/>
          <w:i/>
          <w:iCs/>
        </w:rPr>
        <w:t>Eastern Australian Wholesale Gas Market and Pipelines Framework Review</w:t>
      </w:r>
      <w:r w:rsidR="00D00B76">
        <w:rPr>
          <w:rFonts w:cs="Arial"/>
          <w:i/>
          <w:iCs/>
        </w:rPr>
        <w:t xml:space="preserve"> (</w:t>
      </w:r>
      <w:r w:rsidR="005E3347" w:rsidRPr="005E3347">
        <w:rPr>
          <w:rFonts w:cs="Arial"/>
          <w:i/>
          <w:iCs/>
        </w:rPr>
        <w:t>East Coast Review</w:t>
      </w:r>
      <w:r w:rsidR="00D00B76">
        <w:rPr>
          <w:rFonts w:cs="Arial"/>
          <w:i/>
          <w:iCs/>
        </w:rPr>
        <w:t>)</w:t>
      </w:r>
      <w:r>
        <w:rPr>
          <w:rFonts w:cs="Arial"/>
          <w:iCs/>
        </w:rPr>
        <w:t xml:space="preserve"> </w:t>
      </w:r>
      <w:r w:rsidR="004C7499">
        <w:rPr>
          <w:rFonts w:cs="Arial"/>
          <w:iCs/>
        </w:rPr>
        <w:t xml:space="preserve">(see Appendix A for further detail) </w:t>
      </w:r>
      <w:r>
        <w:rPr>
          <w:rFonts w:cs="Arial"/>
          <w:iCs/>
        </w:rPr>
        <w:t xml:space="preserve">and </w:t>
      </w:r>
      <w:r w:rsidR="00066FB6">
        <w:rPr>
          <w:rFonts w:cs="Arial"/>
          <w:iCs/>
        </w:rPr>
        <w:t xml:space="preserve">endorsed </w:t>
      </w:r>
      <w:r w:rsidR="009E46D8">
        <w:rPr>
          <w:rFonts w:cs="Arial"/>
          <w:iCs/>
        </w:rPr>
        <w:t xml:space="preserve">by the </w:t>
      </w:r>
      <w:r w:rsidR="00C76541">
        <w:rPr>
          <w:rFonts w:cs="Arial"/>
          <w:iCs/>
        </w:rPr>
        <w:t xml:space="preserve">Energy </w:t>
      </w:r>
      <w:r w:rsidR="00066FB6">
        <w:rPr>
          <w:rFonts w:cs="Arial"/>
          <w:iCs/>
        </w:rPr>
        <w:t>Council at its August 2016 meeting</w:t>
      </w:r>
      <w:r>
        <w:rPr>
          <w:rFonts w:cs="Arial"/>
          <w:iCs/>
        </w:rPr>
        <w:t xml:space="preserve">. </w:t>
      </w:r>
      <w:r w:rsidR="004C7499">
        <w:rPr>
          <w:rFonts w:cs="Arial"/>
          <w:iCs/>
        </w:rPr>
        <w:t>The reforms</w:t>
      </w:r>
      <w:r w:rsidR="00FB0886">
        <w:rPr>
          <w:rFonts w:cs="Arial"/>
          <w:iCs/>
        </w:rPr>
        <w:t xml:space="preserve">, which relate to </w:t>
      </w:r>
      <w:r w:rsidR="006E4AD4">
        <w:rPr>
          <w:rFonts w:cs="Arial"/>
          <w:iCs/>
        </w:rPr>
        <w:t xml:space="preserve">transmission </w:t>
      </w:r>
      <w:r w:rsidR="00FB0886">
        <w:rPr>
          <w:rFonts w:cs="Arial"/>
          <w:iCs/>
        </w:rPr>
        <w:t>pipeline and compression services (jointly referred to as ‘transportation services’)</w:t>
      </w:r>
      <w:r w:rsidR="004C7499">
        <w:rPr>
          <w:rFonts w:cs="Arial"/>
          <w:iCs/>
        </w:rPr>
        <w:t xml:space="preserve"> include </w:t>
      </w:r>
      <w:r w:rsidR="004C7499" w:rsidRPr="00511F80">
        <w:rPr>
          <w:rFonts w:cs="Arial"/>
        </w:rPr>
        <w:t>the development of:</w:t>
      </w:r>
    </w:p>
    <w:p w14:paraId="0DB872E1" w14:textId="77777777" w:rsidR="004C7499" w:rsidRDefault="004C7499" w:rsidP="004C7499">
      <w:pPr>
        <w:pStyle w:val="ListBullet"/>
        <w:spacing w:line="252" w:lineRule="auto"/>
        <w:rPr>
          <w:rFonts w:cs="Arial"/>
        </w:rPr>
      </w:pPr>
      <w:r w:rsidRPr="009E1675">
        <w:rPr>
          <w:rFonts w:cs="Arial"/>
        </w:rPr>
        <w:t>a capacity trading platform(s) that shippers can use to trade secondary</w:t>
      </w:r>
      <w:r>
        <w:rPr>
          <w:rFonts w:cs="Arial"/>
        </w:rPr>
        <w:t xml:space="preserve"> </w:t>
      </w:r>
      <w:r w:rsidRPr="00EA5933">
        <w:rPr>
          <w:rFonts w:cs="Arial"/>
        </w:rPr>
        <w:t>capacity</w:t>
      </w:r>
      <w:r w:rsidRPr="009E1675">
        <w:rPr>
          <w:rFonts w:cs="Arial"/>
        </w:rPr>
        <w:t xml:space="preserve"> </w:t>
      </w:r>
      <w:r>
        <w:rPr>
          <w:rFonts w:cs="Arial"/>
        </w:rPr>
        <w:t xml:space="preserve">ahead of the </w:t>
      </w:r>
      <w:r w:rsidR="004E50FA">
        <w:rPr>
          <w:rFonts w:cs="Arial"/>
        </w:rPr>
        <w:t xml:space="preserve">nomination cut-off time </w:t>
      </w:r>
      <w:r>
        <w:rPr>
          <w:rFonts w:cs="Arial"/>
        </w:rPr>
        <w:t xml:space="preserve">and </w:t>
      </w:r>
      <w:r w:rsidR="006E4AD4">
        <w:rPr>
          <w:rFonts w:cs="Arial"/>
        </w:rPr>
        <w:t>provides for exchange-</w:t>
      </w:r>
      <w:r w:rsidRPr="009E1675">
        <w:rPr>
          <w:rFonts w:cs="Arial"/>
        </w:rPr>
        <w:t xml:space="preserve">based trading of commonly traded </w:t>
      </w:r>
      <w:r>
        <w:rPr>
          <w:rFonts w:cs="Arial"/>
        </w:rPr>
        <w:t xml:space="preserve">products </w:t>
      </w:r>
      <w:r w:rsidRPr="009E1675">
        <w:rPr>
          <w:rFonts w:cs="Arial"/>
        </w:rPr>
        <w:t xml:space="preserve">and a listing </w:t>
      </w:r>
      <w:r>
        <w:rPr>
          <w:rFonts w:cs="Arial"/>
        </w:rPr>
        <w:t xml:space="preserve">service </w:t>
      </w:r>
      <w:r w:rsidRPr="009E1675">
        <w:rPr>
          <w:rFonts w:cs="Arial"/>
        </w:rPr>
        <w:t xml:space="preserve">for other </w:t>
      </w:r>
      <w:r>
        <w:rPr>
          <w:rFonts w:cs="Arial"/>
        </w:rPr>
        <w:t>more bespoke products</w:t>
      </w:r>
      <w:r w:rsidRPr="009E1675">
        <w:rPr>
          <w:rFonts w:cs="Arial"/>
        </w:rPr>
        <w:t xml:space="preserve">; </w:t>
      </w:r>
    </w:p>
    <w:p w14:paraId="781BD18A" w14:textId="77777777" w:rsidR="001B7CE2" w:rsidRPr="00066FB6" w:rsidRDefault="001B7CE2" w:rsidP="001B7CE2">
      <w:pPr>
        <w:pStyle w:val="ListBullet"/>
        <w:spacing w:line="252" w:lineRule="auto"/>
        <w:rPr>
          <w:rFonts w:cs="Arial"/>
        </w:rPr>
      </w:pPr>
      <w:r w:rsidRPr="00066FB6">
        <w:rPr>
          <w:rFonts w:cs="Arial"/>
        </w:rPr>
        <w:t>a day-ahead auction of contracted but un-nominated capacity</w:t>
      </w:r>
      <w:r>
        <w:rPr>
          <w:rFonts w:cs="Arial"/>
        </w:rPr>
        <w:t>, which would be conducted shortly after nomination cut-off and subject to a reserve price of zero (with compressor fuel provided in-kind by shippers)</w:t>
      </w:r>
      <w:r w:rsidRPr="00066FB6">
        <w:rPr>
          <w:rFonts w:cs="Arial"/>
        </w:rPr>
        <w:t xml:space="preserve">; </w:t>
      </w:r>
    </w:p>
    <w:p w14:paraId="5E4296FD" w14:textId="77777777" w:rsidR="004C7499" w:rsidRPr="00511F80" w:rsidRDefault="004C7499" w:rsidP="004C7499">
      <w:pPr>
        <w:pStyle w:val="ListBullet"/>
        <w:spacing w:line="252" w:lineRule="auto"/>
        <w:rPr>
          <w:rFonts w:cs="Arial"/>
        </w:rPr>
      </w:pPr>
      <w:r w:rsidRPr="00511F80">
        <w:rPr>
          <w:rFonts w:cs="Arial"/>
        </w:rPr>
        <w:t xml:space="preserve">standards for key contract terms </w:t>
      </w:r>
      <w:r>
        <w:rPr>
          <w:rFonts w:cs="Arial"/>
        </w:rPr>
        <w:t xml:space="preserve">in </w:t>
      </w:r>
      <w:r w:rsidRPr="00511F80">
        <w:rPr>
          <w:rFonts w:cs="Arial"/>
        </w:rPr>
        <w:t>primary, secondary</w:t>
      </w:r>
      <w:r w:rsidR="00FB0886">
        <w:rPr>
          <w:rFonts w:cs="Arial"/>
        </w:rPr>
        <w:t xml:space="preserve"> and</w:t>
      </w:r>
      <w:r w:rsidRPr="00511F80">
        <w:rPr>
          <w:rFonts w:cs="Arial"/>
        </w:rPr>
        <w:t xml:space="preserve"> operational </w:t>
      </w:r>
      <w:r w:rsidR="00FB0886">
        <w:rPr>
          <w:rFonts w:cs="Arial"/>
        </w:rPr>
        <w:t>transportation agreements</w:t>
      </w:r>
      <w:r>
        <w:rPr>
          <w:rFonts w:cs="Arial"/>
        </w:rPr>
        <w:t xml:space="preserve"> to make capacity products more fungible and, in so doing, facilitate a greater level of secondary capacity trading</w:t>
      </w:r>
      <w:r w:rsidRPr="00511F80">
        <w:rPr>
          <w:rFonts w:cs="Arial"/>
        </w:rPr>
        <w:t>;</w:t>
      </w:r>
      <w:r>
        <w:rPr>
          <w:rFonts w:cs="Arial"/>
        </w:rPr>
        <w:t xml:space="preserve"> and</w:t>
      </w:r>
    </w:p>
    <w:p w14:paraId="3BA74B7E" w14:textId="77777777" w:rsidR="004C7499" w:rsidRPr="00511F80" w:rsidRDefault="004C7499" w:rsidP="004C7499">
      <w:pPr>
        <w:pStyle w:val="ListBullet"/>
        <w:spacing w:line="252" w:lineRule="auto"/>
        <w:rPr>
          <w:rFonts w:cs="Arial"/>
        </w:rPr>
      </w:pPr>
      <w:r w:rsidRPr="00511F80">
        <w:rPr>
          <w:rFonts w:cs="Arial"/>
        </w:rPr>
        <w:t>a reporting framework for secondary capacity trades that provides for the publication of the price and other related information on secondary trades.</w:t>
      </w:r>
    </w:p>
    <w:p w14:paraId="1C07E39D" w14:textId="77777777" w:rsidR="00296311" w:rsidRPr="00511F80" w:rsidRDefault="004C7499" w:rsidP="008B0B84">
      <w:pPr>
        <w:pStyle w:val="BodyText"/>
        <w:rPr>
          <w:rFonts w:eastAsiaTheme="majorEastAsia" w:cs="Arial"/>
        </w:rPr>
      </w:pPr>
      <w:r>
        <w:rPr>
          <w:rFonts w:cs="Arial"/>
          <w:iCs/>
        </w:rPr>
        <w:t xml:space="preserve">Together </w:t>
      </w:r>
      <w:r w:rsidR="00F87169">
        <w:rPr>
          <w:rFonts w:cs="Arial"/>
          <w:iCs/>
        </w:rPr>
        <w:t xml:space="preserve">these reforms </w:t>
      </w:r>
      <w:r w:rsidR="00296311" w:rsidRPr="00511F80">
        <w:rPr>
          <w:rFonts w:cs="Arial"/>
        </w:rPr>
        <w:t xml:space="preserve">are expected to </w:t>
      </w:r>
      <w:r w:rsidR="00296311" w:rsidRPr="00511F80">
        <w:rPr>
          <w:rFonts w:eastAsiaTheme="majorEastAsia" w:cs="Arial"/>
        </w:rPr>
        <w:t xml:space="preserve">foster the development of a more liquid </w:t>
      </w:r>
      <w:r w:rsidR="00EF54D1">
        <w:rPr>
          <w:rFonts w:eastAsiaTheme="majorEastAsia" w:cs="Arial"/>
        </w:rPr>
        <w:t xml:space="preserve">secondary capacity market </w:t>
      </w:r>
      <w:r w:rsidR="00296311" w:rsidRPr="00511F80">
        <w:rPr>
          <w:rFonts w:eastAsiaTheme="majorEastAsia" w:cs="Arial"/>
        </w:rPr>
        <w:t>by:</w:t>
      </w:r>
      <w:r w:rsidR="00636AC6">
        <w:rPr>
          <w:rStyle w:val="FootnoteReference"/>
          <w:rFonts w:eastAsiaTheme="majorEastAsia" w:cs="Arial"/>
        </w:rPr>
        <w:footnoteReference w:id="3"/>
      </w:r>
    </w:p>
    <w:p w14:paraId="75B3B268" w14:textId="77777777" w:rsidR="00F87169" w:rsidRDefault="00F87169" w:rsidP="00296311">
      <w:pPr>
        <w:pStyle w:val="ListBullet"/>
        <w:spacing w:line="252" w:lineRule="auto"/>
        <w:rPr>
          <w:rFonts w:eastAsiaTheme="majorEastAsia" w:cs="Arial"/>
        </w:rPr>
      </w:pPr>
      <w:r>
        <w:rPr>
          <w:rFonts w:eastAsiaTheme="majorEastAsia" w:cs="Arial"/>
        </w:rPr>
        <w:t>using market based processes to allocate capacity on a non-discriminatory basis to those that value it most;</w:t>
      </w:r>
    </w:p>
    <w:p w14:paraId="09D03EB7" w14:textId="77777777" w:rsidR="00C76541" w:rsidRPr="0037565A" w:rsidRDefault="00C76541" w:rsidP="00C76541">
      <w:pPr>
        <w:pStyle w:val="ListBullet"/>
        <w:spacing w:line="252" w:lineRule="auto"/>
        <w:rPr>
          <w:rFonts w:eastAsiaTheme="majorEastAsia" w:cs="Arial"/>
        </w:rPr>
      </w:pPr>
      <w:r w:rsidRPr="0037565A">
        <w:rPr>
          <w:rFonts w:eastAsiaTheme="majorEastAsia" w:cs="Arial"/>
          <w:color w:val="000000" w:themeColor="text1"/>
        </w:rPr>
        <w:t xml:space="preserve">improving the incentive shippers have to trade capacity and </w:t>
      </w:r>
      <w:r w:rsidRPr="0037565A">
        <w:rPr>
          <w:rFonts w:asciiTheme="majorHAnsi" w:eastAsiaTheme="minorEastAsia" w:hAnsiTheme="majorHAnsi" w:cstheme="majorHAnsi"/>
        </w:rPr>
        <w:t xml:space="preserve">posing a constraint on the ability of pipeline operators to sell secondary capacity </w:t>
      </w:r>
      <w:r w:rsidR="00C86754">
        <w:rPr>
          <w:rFonts w:asciiTheme="majorHAnsi" w:eastAsiaTheme="minorEastAsia" w:hAnsiTheme="majorHAnsi" w:cstheme="majorHAnsi"/>
        </w:rPr>
        <w:t>at</w:t>
      </w:r>
      <w:r w:rsidR="00FB0886">
        <w:rPr>
          <w:rFonts w:asciiTheme="majorHAnsi" w:eastAsiaTheme="minorEastAsia" w:hAnsiTheme="majorHAnsi" w:cstheme="majorHAnsi"/>
        </w:rPr>
        <w:t xml:space="preserve"> prices in excess of what </w:t>
      </w:r>
      <w:r w:rsidRPr="0037565A">
        <w:rPr>
          <w:rFonts w:asciiTheme="majorHAnsi" w:eastAsiaTheme="minorEastAsia" w:hAnsiTheme="majorHAnsi" w:cstheme="majorHAnsi"/>
        </w:rPr>
        <w:t>would be expected in a workably competitive market</w:t>
      </w:r>
      <w:r w:rsidRPr="0037565A">
        <w:rPr>
          <w:rFonts w:eastAsiaTheme="majorEastAsia" w:cs="Arial"/>
          <w:color w:val="000000" w:themeColor="text1"/>
        </w:rPr>
        <w:t>;</w:t>
      </w:r>
    </w:p>
    <w:p w14:paraId="15029A92" w14:textId="77777777" w:rsidR="00F87169" w:rsidRDefault="00636AC6" w:rsidP="00296311">
      <w:pPr>
        <w:pStyle w:val="ListBullet"/>
        <w:spacing w:line="252" w:lineRule="auto"/>
        <w:rPr>
          <w:rFonts w:eastAsiaTheme="majorEastAsia" w:cs="Arial"/>
        </w:rPr>
      </w:pPr>
      <w:r>
        <w:rPr>
          <w:rFonts w:eastAsiaTheme="majorEastAsia" w:cs="Arial"/>
        </w:rPr>
        <w:t>r</w:t>
      </w:r>
      <w:r w:rsidR="00F87169">
        <w:rPr>
          <w:rFonts w:eastAsiaTheme="majorEastAsia" w:cs="Arial"/>
        </w:rPr>
        <w:t xml:space="preserve">educing the search and transaction costs associated with secondary </w:t>
      </w:r>
      <w:r w:rsidR="00FB0886">
        <w:rPr>
          <w:rFonts w:eastAsiaTheme="majorEastAsia" w:cs="Arial"/>
        </w:rPr>
        <w:t xml:space="preserve">capacity </w:t>
      </w:r>
      <w:r w:rsidR="00F87169">
        <w:rPr>
          <w:rFonts w:eastAsiaTheme="majorEastAsia" w:cs="Arial"/>
        </w:rPr>
        <w:t>trades;</w:t>
      </w:r>
      <w:r w:rsidR="00C76541">
        <w:rPr>
          <w:rFonts w:eastAsiaTheme="majorEastAsia" w:cs="Arial"/>
        </w:rPr>
        <w:t xml:space="preserve"> and</w:t>
      </w:r>
    </w:p>
    <w:p w14:paraId="1FF08D56" w14:textId="77777777" w:rsidR="00296311" w:rsidRPr="00511F80" w:rsidRDefault="00296311" w:rsidP="00296311">
      <w:pPr>
        <w:pStyle w:val="ListBullet"/>
        <w:spacing w:line="252" w:lineRule="auto"/>
        <w:rPr>
          <w:rFonts w:eastAsiaTheme="majorEastAsia" w:cs="Arial"/>
        </w:rPr>
      </w:pPr>
      <w:r w:rsidRPr="00511F80">
        <w:rPr>
          <w:rFonts w:eastAsiaTheme="majorEastAsia" w:cs="Arial"/>
        </w:rPr>
        <w:t xml:space="preserve">reducing information asymmetries </w:t>
      </w:r>
      <w:r w:rsidR="00FB0886">
        <w:rPr>
          <w:rFonts w:eastAsiaTheme="majorEastAsia" w:cs="Arial"/>
        </w:rPr>
        <w:t xml:space="preserve">and aiding </w:t>
      </w:r>
      <w:r w:rsidR="00636AC6">
        <w:rPr>
          <w:rFonts w:eastAsiaTheme="majorEastAsia" w:cs="Arial"/>
        </w:rPr>
        <w:t>the price discovery process</w:t>
      </w:r>
      <w:r w:rsidR="00C76541">
        <w:rPr>
          <w:rFonts w:eastAsiaTheme="majorEastAsia" w:cs="Arial"/>
        </w:rPr>
        <w:t>.</w:t>
      </w:r>
    </w:p>
    <w:p w14:paraId="6A6ADBDB" w14:textId="56A3E1FA" w:rsidR="005C49EA" w:rsidRDefault="00A54E31" w:rsidP="001163C1">
      <w:pPr>
        <w:pStyle w:val="BodyText"/>
        <w:rPr>
          <w:rFonts w:eastAsiaTheme="majorEastAsia" w:cs="Arial"/>
        </w:rPr>
      </w:pPr>
      <w:r>
        <w:rPr>
          <w:rFonts w:eastAsiaTheme="majorEastAsia"/>
        </w:rPr>
        <w:t>G</w:t>
      </w:r>
      <w:r w:rsidR="00890D69">
        <w:rPr>
          <w:rFonts w:eastAsiaTheme="majorEastAsia"/>
        </w:rPr>
        <w:t xml:space="preserve">reater liquidity in this market </w:t>
      </w:r>
      <w:r>
        <w:rPr>
          <w:rFonts w:eastAsiaTheme="majorEastAsia"/>
        </w:rPr>
        <w:t xml:space="preserve">is expected to </w:t>
      </w:r>
      <w:r w:rsidR="00890D69">
        <w:rPr>
          <w:rFonts w:eastAsiaTheme="majorEastAsia"/>
        </w:rPr>
        <w:t xml:space="preserve">facilitate </w:t>
      </w:r>
      <w:r w:rsidR="006E4AD4">
        <w:rPr>
          <w:rFonts w:eastAsiaTheme="majorEastAsia"/>
        </w:rPr>
        <w:t xml:space="preserve">increased </w:t>
      </w:r>
      <w:r w:rsidR="00890D69">
        <w:rPr>
          <w:rFonts w:eastAsiaTheme="majorEastAsia"/>
        </w:rPr>
        <w:t xml:space="preserve">trade in </w:t>
      </w:r>
      <w:r w:rsidR="00EF77FB">
        <w:rPr>
          <w:rFonts w:eastAsiaTheme="majorEastAsia"/>
        </w:rPr>
        <w:t>gas</w:t>
      </w:r>
      <w:r w:rsidR="003514A9">
        <w:rPr>
          <w:rFonts w:eastAsiaTheme="majorEastAsia"/>
        </w:rPr>
        <w:t xml:space="preserve"> and </w:t>
      </w:r>
      <w:r w:rsidR="00C32839">
        <w:rPr>
          <w:rFonts w:eastAsiaTheme="majorEastAsia"/>
        </w:rPr>
        <w:t>support the development of a more robust reference price for gas</w:t>
      </w:r>
      <w:r w:rsidR="00C1014A">
        <w:rPr>
          <w:rFonts w:eastAsiaTheme="majorEastAsia"/>
        </w:rPr>
        <w:t>. This</w:t>
      </w:r>
      <w:r w:rsidR="00476D8D">
        <w:rPr>
          <w:rFonts w:eastAsiaTheme="majorEastAsia"/>
        </w:rPr>
        <w:t>, in turn,</w:t>
      </w:r>
      <w:r w:rsidR="001163C1">
        <w:rPr>
          <w:rFonts w:eastAsiaTheme="majorEastAsia"/>
        </w:rPr>
        <w:t xml:space="preserve"> </w:t>
      </w:r>
      <w:r w:rsidR="00693FAD">
        <w:rPr>
          <w:rFonts w:eastAsiaTheme="majorEastAsia"/>
        </w:rPr>
        <w:t xml:space="preserve">is expected to </w:t>
      </w:r>
      <w:r w:rsidR="003514A9">
        <w:rPr>
          <w:rFonts w:eastAsiaTheme="majorEastAsia"/>
        </w:rPr>
        <w:t xml:space="preserve">enable market participants to make more informed decisions about </w:t>
      </w:r>
      <w:r w:rsidR="001163C1">
        <w:rPr>
          <w:rFonts w:eastAsiaTheme="majorEastAsia"/>
        </w:rPr>
        <w:t xml:space="preserve">their use of gas and investments in </w:t>
      </w:r>
      <w:r w:rsidR="00B52C50">
        <w:rPr>
          <w:rFonts w:eastAsiaTheme="majorEastAsia"/>
        </w:rPr>
        <w:t xml:space="preserve">exploration, </w:t>
      </w:r>
      <w:r w:rsidR="003514A9">
        <w:rPr>
          <w:rFonts w:eastAsiaTheme="majorEastAsia"/>
        </w:rPr>
        <w:t>production</w:t>
      </w:r>
      <w:r w:rsidR="00B52C50">
        <w:rPr>
          <w:rFonts w:eastAsiaTheme="majorEastAsia"/>
        </w:rPr>
        <w:t>, pipelines and storage</w:t>
      </w:r>
      <w:r w:rsidR="001163C1">
        <w:rPr>
          <w:rFonts w:eastAsiaTheme="majorEastAsia"/>
        </w:rPr>
        <w:t xml:space="preserve"> facilities</w:t>
      </w:r>
      <w:r w:rsidR="008D278A">
        <w:rPr>
          <w:rFonts w:eastAsiaTheme="majorEastAsia"/>
        </w:rPr>
        <w:t>.</w:t>
      </w:r>
      <w:r w:rsidR="00476D8D">
        <w:rPr>
          <w:rStyle w:val="FootnoteReference"/>
          <w:rFonts w:eastAsiaTheme="majorEastAsia"/>
        </w:rPr>
        <w:footnoteReference w:id="4"/>
      </w:r>
      <w:r w:rsidR="001163C1">
        <w:rPr>
          <w:rFonts w:eastAsiaTheme="majorEastAsia"/>
        </w:rPr>
        <w:t xml:space="preserve"> The </w:t>
      </w:r>
      <w:r w:rsidR="00D73D6E">
        <w:rPr>
          <w:rFonts w:eastAsiaTheme="majorEastAsia"/>
        </w:rPr>
        <w:t xml:space="preserve">package of </w:t>
      </w:r>
      <w:r w:rsidR="001163C1">
        <w:rPr>
          <w:rFonts w:eastAsiaTheme="majorEastAsia"/>
        </w:rPr>
        <w:t xml:space="preserve">reforms </w:t>
      </w:r>
      <w:r w:rsidR="00DE189B">
        <w:rPr>
          <w:rFonts w:eastAsiaTheme="majorEastAsia"/>
        </w:rPr>
        <w:t xml:space="preserve">is </w:t>
      </w:r>
      <w:r w:rsidR="001163C1">
        <w:rPr>
          <w:rFonts w:eastAsiaTheme="majorEastAsia"/>
        </w:rPr>
        <w:t xml:space="preserve">therefore expected to </w:t>
      </w:r>
      <w:r w:rsidR="00EF54D1">
        <w:rPr>
          <w:rFonts w:eastAsiaTheme="majorEastAsia" w:cs="Arial"/>
        </w:rPr>
        <w:t xml:space="preserve">promote the National Gas Objective (NGO) and the </w:t>
      </w:r>
      <w:r w:rsidR="00FB0886">
        <w:rPr>
          <w:rFonts w:eastAsiaTheme="majorEastAsia" w:cs="Arial"/>
        </w:rPr>
        <w:t xml:space="preserve">Energy </w:t>
      </w:r>
      <w:r w:rsidR="00EF54D1">
        <w:rPr>
          <w:rFonts w:eastAsiaTheme="majorEastAsia" w:cs="Arial"/>
        </w:rPr>
        <w:t>Council’s Vision for the Australian Gas Market (</w:t>
      </w:r>
      <w:r w:rsidR="00EF54D1" w:rsidRPr="005D4AE4">
        <w:rPr>
          <w:rFonts w:eastAsiaTheme="majorEastAsia" w:cs="Arial"/>
          <w:i/>
        </w:rPr>
        <w:t>Vision</w:t>
      </w:r>
      <w:r w:rsidR="00EF54D1">
        <w:rPr>
          <w:rFonts w:eastAsiaTheme="majorEastAsia" w:cs="Arial"/>
        </w:rPr>
        <w:t>) (see Box 1.1)</w:t>
      </w:r>
      <w:r w:rsidR="006E75F9">
        <w:rPr>
          <w:rFonts w:eastAsiaTheme="majorEastAsia" w:cs="Arial"/>
        </w:rPr>
        <w:t>.</w:t>
      </w:r>
    </w:p>
    <w:tbl>
      <w:tblPr>
        <w:tblStyle w:val="PullOutBoxTable"/>
        <w:tblW w:w="5000" w:type="pct"/>
        <w:tblLook w:val="0600" w:firstRow="0" w:lastRow="0" w:firstColumn="0" w:lastColumn="0" w:noHBand="1" w:noVBand="1"/>
        <w:tblCaption w:val="Box 1.1: National Gas Objective and Vision for the Australian Gas Market"/>
        <w:tblDescription w:val="National Gas Objective and Vision for the Australian Gas Market"/>
      </w:tblPr>
      <w:tblGrid>
        <w:gridCol w:w="8788"/>
      </w:tblGrid>
      <w:tr w:rsidR="008713F5" w:rsidRPr="004F4D18" w14:paraId="4D0DCD2D" w14:textId="77777777" w:rsidTr="00393162">
        <w:trPr>
          <w:trHeight w:val="184"/>
          <w:tblHeader/>
        </w:trPr>
        <w:tc>
          <w:tcPr>
            <w:tcW w:w="5000" w:type="pct"/>
            <w:shd w:val="clear" w:color="auto" w:fill="auto"/>
          </w:tcPr>
          <w:p w14:paraId="4FE987DB" w14:textId="0C080915" w:rsidR="00FB0886" w:rsidRPr="005D4AE4" w:rsidRDefault="00393162" w:rsidP="00393162">
            <w:pPr>
              <w:pStyle w:val="BodyText"/>
              <w:keepNext/>
              <w:spacing w:before="0" w:after="0"/>
              <w:ind w:right="567"/>
              <w:rPr>
                <w:i/>
                <w:iCs/>
                <w:sz w:val="19"/>
                <w:szCs w:val="19"/>
              </w:rPr>
            </w:pPr>
            <w:bookmarkStart w:id="35" w:name="_Ref482330736"/>
            <w:r w:rsidRPr="004D591C">
              <w:rPr>
                <w:b/>
              </w:rPr>
              <w:lastRenderedPageBreak/>
              <w:t xml:space="preserve">Box </w:t>
            </w:r>
            <w:r>
              <w:rPr>
                <w:b/>
              </w:rPr>
              <w:fldChar w:fldCharType="begin"/>
            </w:r>
            <w:r>
              <w:rPr>
                <w:b/>
              </w:rPr>
              <w:instrText xml:space="preserve"> STYLEREF 1 \s </w:instrText>
            </w:r>
            <w:r>
              <w:rPr>
                <w:b/>
              </w:rPr>
              <w:fldChar w:fldCharType="separate"/>
            </w:r>
            <w:r>
              <w:rPr>
                <w:b/>
                <w:noProof/>
              </w:rPr>
              <w:t>1</w:t>
            </w:r>
            <w:r>
              <w:rPr>
                <w:b/>
              </w:rPr>
              <w:fldChar w:fldCharType="end"/>
            </w:r>
            <w:r>
              <w:rPr>
                <w:b/>
              </w:rPr>
              <w:t>.</w:t>
            </w:r>
            <w:r>
              <w:rPr>
                <w:b/>
              </w:rPr>
              <w:fldChar w:fldCharType="begin"/>
            </w:r>
            <w:r>
              <w:rPr>
                <w:b/>
              </w:rPr>
              <w:instrText xml:space="preserve"> SEQ Box \* ARABIC \s 1 </w:instrText>
            </w:r>
            <w:r>
              <w:rPr>
                <w:b/>
              </w:rPr>
              <w:fldChar w:fldCharType="separate"/>
            </w:r>
            <w:r>
              <w:rPr>
                <w:b/>
                <w:noProof/>
              </w:rPr>
              <w:t>1</w:t>
            </w:r>
            <w:r>
              <w:rPr>
                <w:b/>
              </w:rPr>
              <w:fldChar w:fldCharType="end"/>
            </w:r>
            <w:bookmarkEnd w:id="35"/>
            <w:r w:rsidRPr="004D591C">
              <w:rPr>
                <w:b/>
              </w:rPr>
              <w:t>: National Gas Objective and Vision for the Australian Gas Market</w:t>
            </w:r>
          </w:p>
        </w:tc>
      </w:tr>
      <w:tr w:rsidR="00393162" w:rsidRPr="004F4D18" w14:paraId="1095742F" w14:textId="77777777" w:rsidTr="009C0C21">
        <w:trPr>
          <w:trHeight w:val="3422"/>
        </w:trPr>
        <w:tc>
          <w:tcPr>
            <w:tcW w:w="5000" w:type="pct"/>
          </w:tcPr>
          <w:p w14:paraId="7587E524" w14:textId="77777777" w:rsidR="00393162" w:rsidRPr="004F4D18" w:rsidRDefault="00393162" w:rsidP="00393162">
            <w:pPr>
              <w:pStyle w:val="ListBullet"/>
              <w:keepNext/>
              <w:numPr>
                <w:ilvl w:val="0"/>
                <w:numId w:val="0"/>
              </w:numPr>
              <w:spacing w:before="0" w:after="100"/>
              <w:ind w:left="357" w:hanging="357"/>
              <w:rPr>
                <w:b/>
                <w:color w:val="0099CC"/>
                <w:sz w:val="20"/>
                <w:szCs w:val="20"/>
              </w:rPr>
            </w:pPr>
            <w:r w:rsidRPr="004F4D18">
              <w:rPr>
                <w:b/>
                <w:color w:val="0099CC"/>
                <w:sz w:val="20"/>
                <w:szCs w:val="20"/>
              </w:rPr>
              <w:t>National Gas Objective</w:t>
            </w:r>
          </w:p>
          <w:p w14:paraId="796E9BE6" w14:textId="77777777" w:rsidR="00393162" w:rsidRPr="004F4D18" w:rsidRDefault="00393162" w:rsidP="00393162">
            <w:pPr>
              <w:pStyle w:val="ListBullet"/>
              <w:keepNext/>
              <w:numPr>
                <w:ilvl w:val="0"/>
                <w:numId w:val="0"/>
              </w:numPr>
              <w:spacing w:before="0" w:after="100"/>
              <w:ind w:left="357" w:hanging="357"/>
              <w:rPr>
                <w:sz w:val="20"/>
                <w:szCs w:val="20"/>
              </w:rPr>
            </w:pPr>
            <w:r w:rsidRPr="004F4D18">
              <w:rPr>
                <w:sz w:val="20"/>
                <w:szCs w:val="20"/>
              </w:rPr>
              <w:t>The NGO is set out in section 23 of the NGL and states the following:</w:t>
            </w:r>
          </w:p>
          <w:p w14:paraId="235FB048" w14:textId="77777777" w:rsidR="00393162" w:rsidRPr="004F4D18" w:rsidRDefault="00393162" w:rsidP="00393162">
            <w:pPr>
              <w:pStyle w:val="BodyText"/>
              <w:keepNext/>
              <w:spacing w:before="0" w:after="100"/>
              <w:ind w:left="567" w:right="567"/>
              <w:rPr>
                <w:i/>
                <w:iCs/>
                <w:sz w:val="19"/>
                <w:szCs w:val="19"/>
              </w:rPr>
            </w:pPr>
            <w:r w:rsidRPr="004F4D18">
              <w:rPr>
                <w:i/>
                <w:iCs/>
                <w:sz w:val="19"/>
                <w:szCs w:val="19"/>
              </w:rPr>
              <w:t>The objective of this law is to promote efficient investment in, and efficient operation and use of, natural gas services for the long term interests of consumers of natural gas with respect to price, quality, safety, reliability and security of supply of natural gas.</w:t>
            </w:r>
          </w:p>
          <w:p w14:paraId="28FA7906" w14:textId="77777777" w:rsidR="00393162" w:rsidRPr="004F4D18" w:rsidRDefault="00393162" w:rsidP="00393162">
            <w:pPr>
              <w:pStyle w:val="ListBullet"/>
              <w:keepNext/>
              <w:numPr>
                <w:ilvl w:val="0"/>
                <w:numId w:val="0"/>
              </w:numPr>
              <w:spacing w:before="0" w:after="100"/>
              <w:ind w:left="357" w:hanging="357"/>
              <w:rPr>
                <w:b/>
                <w:color w:val="0099CC"/>
                <w:sz w:val="20"/>
                <w:szCs w:val="20"/>
              </w:rPr>
            </w:pPr>
            <w:r>
              <w:rPr>
                <w:b/>
                <w:color w:val="0099CC"/>
                <w:sz w:val="20"/>
                <w:szCs w:val="20"/>
              </w:rPr>
              <w:t xml:space="preserve">Energy </w:t>
            </w:r>
            <w:r w:rsidRPr="004F4D18">
              <w:rPr>
                <w:b/>
                <w:color w:val="0099CC"/>
                <w:sz w:val="20"/>
                <w:szCs w:val="20"/>
              </w:rPr>
              <w:t>Council’s Vision for the Australian Gas Market</w:t>
            </w:r>
            <w:r>
              <w:rPr>
                <w:rStyle w:val="FootnoteReference"/>
                <w:bCs/>
              </w:rPr>
              <w:footnoteReference w:id="5"/>
            </w:r>
          </w:p>
          <w:p w14:paraId="2C019DDE" w14:textId="77777777" w:rsidR="00393162" w:rsidRPr="004F4D18" w:rsidRDefault="00393162" w:rsidP="00393162">
            <w:pPr>
              <w:pStyle w:val="ListBullet"/>
              <w:keepNext/>
              <w:numPr>
                <w:ilvl w:val="0"/>
                <w:numId w:val="0"/>
              </w:numPr>
              <w:spacing w:before="0" w:after="100"/>
              <w:ind w:left="357" w:hanging="357"/>
              <w:rPr>
                <w:sz w:val="20"/>
                <w:szCs w:val="20"/>
              </w:rPr>
            </w:pPr>
            <w:r w:rsidRPr="004F4D18">
              <w:rPr>
                <w:sz w:val="20"/>
                <w:szCs w:val="20"/>
              </w:rPr>
              <w:t xml:space="preserve">The </w:t>
            </w:r>
            <w:r>
              <w:rPr>
                <w:sz w:val="20"/>
                <w:szCs w:val="20"/>
              </w:rPr>
              <w:t xml:space="preserve">Energy </w:t>
            </w:r>
            <w:r w:rsidRPr="004F4D18">
              <w:rPr>
                <w:sz w:val="20"/>
                <w:szCs w:val="20"/>
              </w:rPr>
              <w:t xml:space="preserve">Council’s </w:t>
            </w:r>
            <w:r w:rsidRPr="001163C1">
              <w:rPr>
                <w:i/>
                <w:sz w:val="20"/>
                <w:szCs w:val="20"/>
              </w:rPr>
              <w:t>Vision</w:t>
            </w:r>
            <w:r w:rsidRPr="004F4D18">
              <w:rPr>
                <w:sz w:val="20"/>
                <w:szCs w:val="20"/>
              </w:rPr>
              <w:t xml:space="preserve"> is for</w:t>
            </w:r>
            <w:r>
              <w:rPr>
                <w:sz w:val="20"/>
                <w:szCs w:val="20"/>
              </w:rPr>
              <w:t>:</w:t>
            </w:r>
          </w:p>
          <w:p w14:paraId="55121A73" w14:textId="77777777" w:rsidR="00393162" w:rsidRDefault="00393162" w:rsidP="00393162">
            <w:pPr>
              <w:pStyle w:val="BodyText"/>
              <w:keepNext/>
              <w:spacing w:before="0" w:after="100"/>
              <w:ind w:left="567" w:right="567"/>
              <w:rPr>
                <w:i/>
                <w:iCs/>
                <w:sz w:val="19"/>
                <w:szCs w:val="19"/>
              </w:rPr>
            </w:pPr>
            <w:r w:rsidRPr="004F4D18">
              <w:rPr>
                <w:i/>
                <w:iCs/>
                <w:sz w:val="19"/>
                <w:szCs w:val="19"/>
              </w:rPr>
              <w:t>..the establishment of a liquid wholesale gas market that provides market signals for investment and supply, where responses to those signals are facilitated by a supportive investment and regulatory environment, where trade is focused at a point that best serves the needs of participants, where an efficient reference price is established, and producers, consumers and trading markets are connected to infrastructure that enables participants the opportunity to readily trade between locations and arbitrage trading opportunities.</w:t>
            </w:r>
          </w:p>
          <w:p w14:paraId="328D8E96" w14:textId="77777777" w:rsidR="00393162" w:rsidRPr="000A7592" w:rsidRDefault="00393162" w:rsidP="00393162">
            <w:pPr>
              <w:pStyle w:val="BodyText"/>
              <w:tabs>
                <w:tab w:val="clear" w:pos="2268"/>
                <w:tab w:val="clear" w:pos="4536"/>
                <w:tab w:val="clear" w:pos="6804"/>
                <w:tab w:val="clear" w:pos="9638"/>
                <w:tab w:val="left" w:pos="2018"/>
                <w:tab w:val="left" w:pos="4037"/>
                <w:tab w:val="left" w:pos="6055"/>
                <w:tab w:val="right" w:pos="8577"/>
              </w:tabs>
              <w:spacing w:before="20" w:after="100"/>
              <w:rPr>
                <w:sz w:val="20"/>
                <w:szCs w:val="20"/>
              </w:rPr>
            </w:pPr>
            <w:r w:rsidRPr="000A7592">
              <w:rPr>
                <w:sz w:val="20"/>
                <w:szCs w:val="20"/>
              </w:rPr>
              <w:t xml:space="preserve">At the time it released the </w:t>
            </w:r>
            <w:r w:rsidRPr="001D27D5">
              <w:rPr>
                <w:i/>
                <w:sz w:val="20"/>
                <w:szCs w:val="20"/>
              </w:rPr>
              <w:t>Vision</w:t>
            </w:r>
            <w:r w:rsidRPr="000A7592">
              <w:rPr>
                <w:sz w:val="20"/>
                <w:szCs w:val="20"/>
              </w:rPr>
              <w:t>, the Council also noted that it would pursue the following outcomes in the next phase of gas market reform and development:</w:t>
            </w:r>
          </w:p>
          <w:p w14:paraId="7BA3DE0A" w14:textId="77777777" w:rsidR="00393162" w:rsidRPr="0003153C" w:rsidRDefault="00393162" w:rsidP="00393162">
            <w:pPr>
              <w:pStyle w:val="ListBullet"/>
              <w:numPr>
                <w:ilvl w:val="0"/>
                <w:numId w:val="0"/>
              </w:numPr>
              <w:spacing w:before="20" w:after="100"/>
              <w:ind w:left="357" w:hanging="357"/>
              <w:rPr>
                <w:b/>
                <w:sz w:val="20"/>
                <w:szCs w:val="20"/>
              </w:rPr>
            </w:pPr>
            <w:r w:rsidRPr="000A7592">
              <w:rPr>
                <w:b/>
                <w:sz w:val="20"/>
                <w:szCs w:val="20"/>
              </w:rPr>
              <w:t>Stream</w:t>
            </w:r>
            <w:r w:rsidRPr="0003153C">
              <w:rPr>
                <w:b/>
                <w:sz w:val="20"/>
                <w:szCs w:val="20"/>
              </w:rPr>
              <w:t xml:space="preserve"> 1: Encouraging competitive gas supply:</w:t>
            </w:r>
          </w:p>
          <w:p w14:paraId="588A25C2" w14:textId="77777777" w:rsidR="00393162" w:rsidRPr="0003153C" w:rsidRDefault="00393162" w:rsidP="00393162">
            <w:pPr>
              <w:pStyle w:val="ListNumber2"/>
              <w:numPr>
                <w:ilvl w:val="1"/>
                <w:numId w:val="21"/>
              </w:numPr>
              <w:spacing w:before="20" w:after="100"/>
              <w:rPr>
                <w:sz w:val="20"/>
                <w:szCs w:val="20"/>
              </w:rPr>
            </w:pPr>
            <w:r w:rsidRPr="0003153C">
              <w:rPr>
                <w:sz w:val="20"/>
                <w:szCs w:val="20"/>
              </w:rPr>
              <w:t xml:space="preserve">Improvements to the regulatory and investment environment so that gas supply is able to respond flexibly to changes in market conditions. </w:t>
            </w:r>
          </w:p>
          <w:p w14:paraId="46D774B1" w14:textId="77777777" w:rsidR="00393162" w:rsidRPr="0003153C" w:rsidRDefault="00393162" w:rsidP="00393162">
            <w:pPr>
              <w:pStyle w:val="ListNumber2"/>
              <w:numPr>
                <w:ilvl w:val="1"/>
                <w:numId w:val="21"/>
              </w:numPr>
              <w:spacing w:before="20" w:after="100"/>
              <w:rPr>
                <w:sz w:val="20"/>
                <w:szCs w:val="20"/>
              </w:rPr>
            </w:pPr>
            <w:r w:rsidRPr="0003153C">
              <w:rPr>
                <w:sz w:val="20"/>
                <w:szCs w:val="20"/>
              </w:rPr>
              <w:t>A "social licence" for onshore natural gas development achieved through inclusion, consultation, improving the availability and accessibility of factual information relating to resources projects, and rigorous science to ensure that communities concerns are addressed.</w:t>
            </w:r>
          </w:p>
          <w:p w14:paraId="52A495BF" w14:textId="77777777" w:rsidR="00393162" w:rsidRPr="0003153C" w:rsidRDefault="00393162" w:rsidP="00393162">
            <w:pPr>
              <w:pStyle w:val="ListBullet"/>
              <w:numPr>
                <w:ilvl w:val="0"/>
                <w:numId w:val="0"/>
              </w:numPr>
              <w:spacing w:before="20" w:after="100"/>
              <w:ind w:left="357" w:hanging="357"/>
              <w:rPr>
                <w:b/>
                <w:sz w:val="20"/>
                <w:szCs w:val="20"/>
              </w:rPr>
            </w:pPr>
            <w:r w:rsidRPr="0003153C">
              <w:rPr>
                <w:b/>
                <w:sz w:val="20"/>
                <w:szCs w:val="20"/>
              </w:rPr>
              <w:t>Stream 2: Enhancing transparency and price discovery:</w:t>
            </w:r>
          </w:p>
          <w:p w14:paraId="0F11AC5D" w14:textId="77777777" w:rsidR="00393162" w:rsidRPr="0003153C" w:rsidRDefault="00393162" w:rsidP="00393162">
            <w:pPr>
              <w:pStyle w:val="ListNumber2"/>
              <w:numPr>
                <w:ilvl w:val="1"/>
                <w:numId w:val="19"/>
              </w:numPr>
              <w:spacing w:before="20" w:after="100"/>
              <w:rPr>
                <w:sz w:val="20"/>
                <w:szCs w:val="20"/>
              </w:rPr>
            </w:pPr>
            <w:r w:rsidRPr="0003153C">
              <w:rPr>
                <w:sz w:val="20"/>
                <w:szCs w:val="20"/>
              </w:rPr>
              <w:t>Provision of accurate and transparent market making information on pipeline and large storage facilities operations and capacity, upstream resources, and the actions of producers, export facilities, large consumers and traders.</w:t>
            </w:r>
          </w:p>
          <w:p w14:paraId="340E1572" w14:textId="77777777" w:rsidR="00393162" w:rsidRPr="0003153C" w:rsidRDefault="00393162" w:rsidP="00393162">
            <w:pPr>
              <w:pStyle w:val="ListNumber2"/>
              <w:numPr>
                <w:ilvl w:val="1"/>
                <w:numId w:val="19"/>
              </w:numPr>
              <w:spacing w:before="20" w:after="100"/>
              <w:rPr>
                <w:sz w:val="20"/>
                <w:szCs w:val="20"/>
              </w:rPr>
            </w:pPr>
            <w:r w:rsidRPr="0003153C">
              <w:rPr>
                <w:sz w:val="20"/>
                <w:szCs w:val="20"/>
              </w:rPr>
              <w:t xml:space="preserve">Increased flexibility and opportunity for trade in pipeline capacity. </w:t>
            </w:r>
          </w:p>
          <w:p w14:paraId="1B598FF5" w14:textId="77777777" w:rsidR="00393162" w:rsidRPr="0003153C" w:rsidRDefault="00393162" w:rsidP="00393162">
            <w:pPr>
              <w:pStyle w:val="ListNumber2"/>
              <w:numPr>
                <w:ilvl w:val="1"/>
                <w:numId w:val="19"/>
              </w:numPr>
              <w:spacing w:before="20" w:after="100"/>
              <w:rPr>
                <w:sz w:val="20"/>
                <w:szCs w:val="20"/>
              </w:rPr>
            </w:pPr>
            <w:r w:rsidRPr="0003153C">
              <w:rPr>
                <w:sz w:val="20"/>
                <w:szCs w:val="20"/>
              </w:rPr>
              <w:t xml:space="preserve">A competitive retail market that will provide customers with greater choice and large users with enhanced options for self-supply and shipment. </w:t>
            </w:r>
          </w:p>
          <w:p w14:paraId="55F45FCD" w14:textId="77777777" w:rsidR="00393162" w:rsidRPr="0003153C" w:rsidRDefault="00393162" w:rsidP="00393162">
            <w:pPr>
              <w:pStyle w:val="ListBullet"/>
              <w:numPr>
                <w:ilvl w:val="0"/>
                <w:numId w:val="0"/>
              </w:numPr>
              <w:spacing w:before="20" w:after="100"/>
              <w:ind w:left="357" w:hanging="357"/>
              <w:rPr>
                <w:b/>
                <w:sz w:val="20"/>
                <w:szCs w:val="20"/>
              </w:rPr>
            </w:pPr>
            <w:r w:rsidRPr="0003153C">
              <w:rPr>
                <w:b/>
                <w:sz w:val="20"/>
                <w:szCs w:val="20"/>
              </w:rPr>
              <w:t>Stream 3: Improving risk management:</w:t>
            </w:r>
          </w:p>
          <w:p w14:paraId="1B0C2559" w14:textId="77777777" w:rsidR="00393162" w:rsidRPr="0003153C" w:rsidRDefault="00393162" w:rsidP="00393162">
            <w:pPr>
              <w:pStyle w:val="ListNumber2"/>
              <w:numPr>
                <w:ilvl w:val="1"/>
                <w:numId w:val="20"/>
              </w:numPr>
              <w:spacing w:before="20" w:after="100"/>
              <w:rPr>
                <w:sz w:val="20"/>
                <w:szCs w:val="20"/>
              </w:rPr>
            </w:pPr>
            <w:r w:rsidRPr="0003153C">
              <w:rPr>
                <w:sz w:val="20"/>
                <w:szCs w:val="20"/>
              </w:rPr>
              <w:t xml:space="preserve">Liquid and competitive wholesale spot and forward markets for gas that provide tools for participants to price and hedge risk. </w:t>
            </w:r>
          </w:p>
          <w:p w14:paraId="3C01940F" w14:textId="77777777" w:rsidR="00393162" w:rsidRPr="0003153C" w:rsidRDefault="00393162" w:rsidP="00393162">
            <w:pPr>
              <w:pStyle w:val="ListNumber2"/>
              <w:numPr>
                <w:ilvl w:val="1"/>
                <w:numId w:val="20"/>
              </w:numPr>
              <w:spacing w:before="20" w:after="100"/>
              <w:rPr>
                <w:sz w:val="20"/>
                <w:szCs w:val="20"/>
              </w:rPr>
            </w:pPr>
            <w:r w:rsidRPr="0003153C">
              <w:rPr>
                <w:sz w:val="20"/>
                <w:szCs w:val="20"/>
              </w:rPr>
              <w:t xml:space="preserve">Access to regional demand markets through more harmonised pipeline capacity contracting arrangements which are flexible, comparable, transparent on price, and non-discriminatory in terms of shippers’ rights, in order to accommodate evolving market structures. </w:t>
            </w:r>
          </w:p>
          <w:p w14:paraId="2399DD4A" w14:textId="77777777" w:rsidR="00393162" w:rsidRPr="0003153C" w:rsidRDefault="00393162" w:rsidP="00393162">
            <w:pPr>
              <w:pStyle w:val="ListNumber2"/>
              <w:numPr>
                <w:ilvl w:val="1"/>
                <w:numId w:val="20"/>
              </w:numPr>
              <w:spacing w:before="20" w:after="100"/>
              <w:rPr>
                <w:sz w:val="20"/>
                <w:szCs w:val="20"/>
              </w:rPr>
            </w:pPr>
            <w:r w:rsidRPr="0003153C">
              <w:rPr>
                <w:sz w:val="20"/>
                <w:szCs w:val="20"/>
              </w:rPr>
              <w:t xml:space="preserve">Harmonised market interfaces that enable participants to readily trade between locations and find opportunities for arbitrage and trade. </w:t>
            </w:r>
          </w:p>
          <w:p w14:paraId="60CB318E" w14:textId="77777777" w:rsidR="00393162" w:rsidRPr="0003153C" w:rsidRDefault="00393162" w:rsidP="00393162">
            <w:pPr>
              <w:pStyle w:val="ListNumber2"/>
              <w:numPr>
                <w:ilvl w:val="1"/>
                <w:numId w:val="20"/>
              </w:numPr>
              <w:spacing w:before="20" w:after="100"/>
              <w:rPr>
                <w:sz w:val="20"/>
                <w:szCs w:val="20"/>
              </w:rPr>
            </w:pPr>
            <w:r w:rsidRPr="0003153C">
              <w:rPr>
                <w:sz w:val="20"/>
                <w:szCs w:val="20"/>
              </w:rPr>
              <w:t xml:space="preserve">Identified development pathways to improve interconnectivity between supply and demand centres, and existing facilitated gas markets, which enable the enhanced trading of gas.  </w:t>
            </w:r>
          </w:p>
          <w:p w14:paraId="6E38EDF9" w14:textId="77777777" w:rsidR="00393162" w:rsidRPr="0003153C" w:rsidRDefault="00393162" w:rsidP="00393162">
            <w:pPr>
              <w:pStyle w:val="ListBullet"/>
              <w:numPr>
                <w:ilvl w:val="0"/>
                <w:numId w:val="0"/>
              </w:numPr>
              <w:spacing w:before="20" w:after="100"/>
              <w:ind w:left="357" w:hanging="357"/>
              <w:rPr>
                <w:b/>
                <w:sz w:val="20"/>
                <w:szCs w:val="20"/>
              </w:rPr>
            </w:pPr>
            <w:r w:rsidRPr="0003153C">
              <w:rPr>
                <w:b/>
                <w:sz w:val="20"/>
                <w:szCs w:val="20"/>
              </w:rPr>
              <w:t>Stream 4: Removing unnecessary regulatory barriers:</w:t>
            </w:r>
          </w:p>
          <w:p w14:paraId="190E5E0C" w14:textId="77777777" w:rsidR="00393162" w:rsidRPr="0003153C" w:rsidRDefault="00393162" w:rsidP="00393162">
            <w:pPr>
              <w:pStyle w:val="ListNumber2"/>
              <w:numPr>
                <w:ilvl w:val="1"/>
                <w:numId w:val="22"/>
              </w:numPr>
              <w:spacing w:before="20" w:after="100"/>
              <w:rPr>
                <w:iCs/>
                <w:sz w:val="20"/>
                <w:szCs w:val="20"/>
              </w:rPr>
            </w:pPr>
            <w:r w:rsidRPr="0003153C">
              <w:rPr>
                <w:sz w:val="20"/>
                <w:szCs w:val="20"/>
              </w:rPr>
              <w:t>Regulation of gas supply and infrastructure is appropriate and enables participants to pursue investment opportunities, in response to market signals, in an efficient and timely manner.</w:t>
            </w:r>
          </w:p>
          <w:p w14:paraId="79DC3977" w14:textId="573ABE1C" w:rsidR="00393162" w:rsidRPr="004F4D18" w:rsidRDefault="00393162" w:rsidP="00393162">
            <w:pPr>
              <w:pStyle w:val="ListBullet"/>
              <w:keepNext/>
              <w:numPr>
                <w:ilvl w:val="0"/>
                <w:numId w:val="0"/>
              </w:numPr>
              <w:spacing w:before="0" w:after="100"/>
              <w:ind w:left="357" w:hanging="357"/>
              <w:rPr>
                <w:b/>
                <w:color w:val="0099CC"/>
                <w:sz w:val="20"/>
                <w:szCs w:val="20"/>
              </w:rPr>
            </w:pPr>
            <w:r>
              <w:rPr>
                <w:sz w:val="20"/>
                <w:szCs w:val="20"/>
              </w:rPr>
              <w:t>The outcomes that are most relevant to the capacity trading related reforms are Streams 2(b), 3(b), 3(c) and 3(d).</w:t>
            </w:r>
          </w:p>
        </w:tc>
      </w:tr>
    </w:tbl>
    <w:p w14:paraId="2585116A" w14:textId="77777777" w:rsidR="00CA0D69" w:rsidRDefault="007B5A6E" w:rsidP="00207EA2">
      <w:pPr>
        <w:pStyle w:val="Heading2"/>
      </w:pPr>
      <w:bookmarkStart w:id="36" w:name="_Toc492524728"/>
      <w:r>
        <w:lastRenderedPageBreak/>
        <w:t xml:space="preserve">Progression of </w:t>
      </w:r>
      <w:r w:rsidR="008F47EB">
        <w:t xml:space="preserve">the </w:t>
      </w:r>
      <w:r>
        <w:t>capacity trading reform</w:t>
      </w:r>
      <w:r w:rsidR="00D73D6E">
        <w:t xml:space="preserve"> package</w:t>
      </w:r>
      <w:bookmarkEnd w:id="36"/>
      <w:r>
        <w:t xml:space="preserve"> </w:t>
      </w:r>
    </w:p>
    <w:p w14:paraId="7CF9CFB8" w14:textId="77777777" w:rsidR="006F3444" w:rsidRDefault="00E353EB" w:rsidP="00FB0886">
      <w:pPr>
        <w:pStyle w:val="BodyText"/>
        <w:keepNext/>
        <w:spacing w:before="40" w:after="60"/>
      </w:pPr>
      <w:r>
        <w:t xml:space="preserve">To progress </w:t>
      </w:r>
      <w:r w:rsidR="007B5A6E">
        <w:t xml:space="preserve">the capacity trading </w:t>
      </w:r>
      <w:r>
        <w:t>reforms</w:t>
      </w:r>
      <w:r w:rsidR="00476D8D">
        <w:t xml:space="preserve"> outlined above</w:t>
      </w:r>
      <w:r>
        <w:t>, the GMRG has established</w:t>
      </w:r>
      <w:r w:rsidR="006F3444">
        <w:t>:</w:t>
      </w:r>
      <w:r>
        <w:t xml:space="preserve"> </w:t>
      </w:r>
    </w:p>
    <w:p w14:paraId="16A2B93C" w14:textId="77777777" w:rsidR="00190CD1" w:rsidRDefault="008F47EB" w:rsidP="00FB0886">
      <w:pPr>
        <w:pStyle w:val="ListBullet"/>
        <w:keepNext/>
      </w:pPr>
      <w:r>
        <w:t>a</w:t>
      </w:r>
      <w:r w:rsidR="006F3444">
        <w:t xml:space="preserve"> number of </w:t>
      </w:r>
      <w:r w:rsidR="00E353EB">
        <w:t>project teams</w:t>
      </w:r>
      <w:r w:rsidR="006F3444">
        <w:t xml:space="preserve"> to carry out the detailed design and development work</w:t>
      </w:r>
      <w:r>
        <w:t xml:space="preserve">, with the teams consisting </w:t>
      </w:r>
      <w:r w:rsidR="006F3444">
        <w:t>of a mix of members drawn from industry, consumer groups</w:t>
      </w:r>
      <w:r>
        <w:t>,</w:t>
      </w:r>
      <w:r w:rsidR="006F3444">
        <w:t xml:space="preserve"> market bodies</w:t>
      </w:r>
      <w:r>
        <w:t xml:space="preserve"> and other industries</w:t>
      </w:r>
      <w:r w:rsidR="00FB0886">
        <w:t xml:space="preserve"> (see Appendix B for a list of members)</w:t>
      </w:r>
      <w:r>
        <w:t>; and</w:t>
      </w:r>
    </w:p>
    <w:p w14:paraId="7BA90225" w14:textId="77777777" w:rsidR="00190CD1" w:rsidRDefault="008F47EB" w:rsidP="00F16D54">
      <w:pPr>
        <w:pStyle w:val="ListBullet"/>
      </w:pPr>
      <w:r>
        <w:t>a</w:t>
      </w:r>
      <w:r w:rsidR="00190CD1">
        <w:t xml:space="preserve">n Advisory Panel to provide </w:t>
      </w:r>
      <w:r w:rsidR="00190CD1" w:rsidRPr="00EE6274">
        <w:t xml:space="preserve">strategic perspective and advice to the GMRG on </w:t>
      </w:r>
      <w:r w:rsidR="00190CD1">
        <w:t>key issues</w:t>
      </w:r>
      <w:r>
        <w:t xml:space="preserve">, which is </w:t>
      </w:r>
      <w:r w:rsidR="00190CD1" w:rsidRPr="00EE6274">
        <w:t xml:space="preserve">made up of senior representatives from </w:t>
      </w:r>
      <w:r w:rsidR="00190CD1">
        <w:t xml:space="preserve">all segments of the gas supply chain </w:t>
      </w:r>
      <w:r w:rsidR="009849E3">
        <w:t>as well as</w:t>
      </w:r>
      <w:r w:rsidR="00190CD1">
        <w:t xml:space="preserve"> Energy Consumers Australia</w:t>
      </w:r>
      <w:r w:rsidR="00FB0886">
        <w:t xml:space="preserve"> (see Appendix B for a list of members)</w:t>
      </w:r>
      <w:r w:rsidR="00190CD1">
        <w:t>.</w:t>
      </w:r>
    </w:p>
    <w:p w14:paraId="1B6AFC0D" w14:textId="3F800701" w:rsidR="006F3779" w:rsidRDefault="001460B2" w:rsidP="00BF243C">
      <w:pPr>
        <w:pStyle w:val="BodyText"/>
      </w:pPr>
      <w:r>
        <w:t>Importantly, neither the project teams nor the Advisory Panel</w:t>
      </w:r>
      <w:r w:rsidR="001323B8">
        <w:t xml:space="preserve"> have any decision-making power</w:t>
      </w:r>
      <w:r>
        <w:t xml:space="preserve">. Their role is to inform the GMRG’s consideration of the design options, which will be consulted upon more broadly with other stakeholders before </w:t>
      </w:r>
      <w:r w:rsidR="00740DBD">
        <w:t xml:space="preserve">Dr </w:t>
      </w:r>
      <w:r w:rsidR="00522628">
        <w:t xml:space="preserve">Michael </w:t>
      </w:r>
      <w:r w:rsidR="00740DBD">
        <w:t>Vertigan</w:t>
      </w:r>
      <w:r w:rsidR="00522628">
        <w:t xml:space="preserve"> AC</w:t>
      </w:r>
      <w:r w:rsidR="006F7012">
        <w:t>, as Chair of the GMRG,</w:t>
      </w:r>
      <w:r w:rsidR="00740DBD">
        <w:t xml:space="preserve"> makes </w:t>
      </w:r>
      <w:r w:rsidR="00CC09FD">
        <w:t xml:space="preserve">his final </w:t>
      </w:r>
      <w:r>
        <w:t xml:space="preserve">recommendations to </w:t>
      </w:r>
      <w:r w:rsidR="00476D8D">
        <w:t xml:space="preserve">the </w:t>
      </w:r>
      <w:r w:rsidR="00522628">
        <w:t>Senior</w:t>
      </w:r>
      <w:r w:rsidR="00476D8D">
        <w:t xml:space="preserve"> Committee of Officials (SCO)</w:t>
      </w:r>
      <w:r w:rsidR="00C76541">
        <w:rPr>
          <w:rStyle w:val="FootnoteReference"/>
        </w:rPr>
        <w:footnoteReference w:id="6"/>
      </w:r>
      <w:r w:rsidR="00172C46">
        <w:t xml:space="preserve"> </w:t>
      </w:r>
      <w:r w:rsidR="00476D8D">
        <w:t xml:space="preserve">and </w:t>
      </w:r>
      <w:r w:rsidR="00863FDD">
        <w:t xml:space="preserve">the </w:t>
      </w:r>
      <w:r w:rsidR="00C76541">
        <w:t xml:space="preserve">Energy </w:t>
      </w:r>
      <w:r>
        <w:t xml:space="preserve">Council. </w:t>
      </w:r>
      <w:r w:rsidR="00915822">
        <w:t xml:space="preserve"> </w:t>
      </w:r>
      <w:r w:rsidR="00BF243C">
        <w:t>The GMRG ha</w:t>
      </w:r>
      <w:r w:rsidR="00522628">
        <w:t>s</w:t>
      </w:r>
      <w:r w:rsidR="00BF243C">
        <w:t xml:space="preserve"> nevertheless benefited from, and greatly appreciates, the effort and resources that project team members and the Advisory Panel have put into considering the design options and providing their advice to the GMRG. </w:t>
      </w:r>
      <w:r w:rsidR="006F3779">
        <w:t xml:space="preserve">The GMRG also </w:t>
      </w:r>
      <w:r w:rsidR="00C64740">
        <w:t xml:space="preserve">greatly </w:t>
      </w:r>
      <w:r w:rsidR="006F3779">
        <w:t xml:space="preserve">appreciates the </w:t>
      </w:r>
      <w:r w:rsidR="00C64740">
        <w:t xml:space="preserve">support that </w:t>
      </w:r>
      <w:r w:rsidR="006F3779">
        <w:t>AEMO</w:t>
      </w:r>
      <w:r w:rsidR="00C64740">
        <w:t>, the AEMC and the AER</w:t>
      </w:r>
      <w:r w:rsidR="006F3779">
        <w:t xml:space="preserve"> </w:t>
      </w:r>
      <w:r w:rsidR="00C64740">
        <w:t xml:space="preserve">have provided through this process and the assistance that AEMO has provided on key elements of the reform package. </w:t>
      </w:r>
    </w:p>
    <w:p w14:paraId="09FEE751" w14:textId="77777777" w:rsidR="00A54E31" w:rsidRDefault="00E353EB" w:rsidP="00F16D54">
      <w:pPr>
        <w:pStyle w:val="BodyText"/>
      </w:pPr>
      <w:bookmarkStart w:id="37" w:name="_Hlk481811189"/>
      <w:r>
        <w:t xml:space="preserve">Work on </w:t>
      </w:r>
      <w:r w:rsidR="00675F7A">
        <w:t xml:space="preserve">the </w:t>
      </w:r>
      <w:r w:rsidR="006E4AD4">
        <w:t xml:space="preserve">design of the </w:t>
      </w:r>
      <w:r w:rsidR="00675F7A">
        <w:t>capacity trading</w:t>
      </w:r>
      <w:r>
        <w:t xml:space="preserve"> reforms </w:t>
      </w:r>
      <w:r w:rsidR="007B5A6E">
        <w:t>commenced in</w:t>
      </w:r>
      <w:r w:rsidR="004B1217">
        <w:t xml:space="preserve"> early </w:t>
      </w:r>
      <w:r w:rsidR="007B5A6E">
        <w:t xml:space="preserve">2017 and </w:t>
      </w:r>
      <w:r>
        <w:t xml:space="preserve">was initially expected to be completed during 2018, allowing the recommendations to be considered by </w:t>
      </w:r>
      <w:r w:rsidR="00C76541">
        <w:t xml:space="preserve">the Energy </w:t>
      </w:r>
      <w:r>
        <w:t xml:space="preserve">Council </w:t>
      </w:r>
      <w:r w:rsidR="001460B2">
        <w:t xml:space="preserve">at </w:t>
      </w:r>
      <w:r>
        <w:t xml:space="preserve">the end of 2018 and for the reforms to be implemented by 2021. </w:t>
      </w:r>
      <w:r w:rsidR="003E05CF">
        <w:t>However, i</w:t>
      </w:r>
      <w:r>
        <w:t xml:space="preserve">n response to </w:t>
      </w:r>
      <w:r w:rsidR="009C0C21">
        <w:t>a</w:t>
      </w:r>
      <w:r>
        <w:t xml:space="preserve"> request from </w:t>
      </w:r>
      <w:r w:rsidR="009E46D8">
        <w:t>the Ho</w:t>
      </w:r>
      <w:r w:rsidR="003E05CF">
        <w:t>n</w:t>
      </w:r>
      <w:r w:rsidR="009E46D8">
        <w:t xml:space="preserve">. Josh </w:t>
      </w:r>
      <w:proofErr w:type="spellStart"/>
      <w:r>
        <w:t>Frydenberg</w:t>
      </w:r>
      <w:proofErr w:type="spellEnd"/>
      <w:r w:rsidR="009E46D8">
        <w:t xml:space="preserve"> MP, Minister for the Environment and Energy</w:t>
      </w:r>
      <w:r>
        <w:t xml:space="preserve">, the GMRG examined the opportunities to accelerate this work and </w:t>
      </w:r>
      <w:r w:rsidR="001B7CE2">
        <w:t xml:space="preserve">agreed </w:t>
      </w:r>
      <w:r>
        <w:t xml:space="preserve">to </w:t>
      </w:r>
      <w:r w:rsidR="003E05CF">
        <w:t xml:space="preserve">make its </w:t>
      </w:r>
      <w:r>
        <w:t>recommendations on</w:t>
      </w:r>
      <w:r w:rsidR="00A54E31">
        <w:t xml:space="preserve"> the capacity trading reforms by the end of 2017. </w:t>
      </w:r>
    </w:p>
    <w:p w14:paraId="12FCB624" w14:textId="77777777" w:rsidR="00E353EB" w:rsidRDefault="00A74F85" w:rsidP="00B543A9">
      <w:pPr>
        <w:pStyle w:val="BodyText"/>
      </w:pPr>
      <w:r>
        <w:t xml:space="preserve">This accelerated timetable is expected to </w:t>
      </w:r>
      <w:r w:rsidR="00E353EB">
        <w:t xml:space="preserve">enable the </w:t>
      </w:r>
      <w:r w:rsidR="00D12D36">
        <w:t xml:space="preserve">capacity trading platform </w:t>
      </w:r>
      <w:r w:rsidR="00B543A9">
        <w:t>and day-ahead auction</w:t>
      </w:r>
      <w:r w:rsidR="00E353EB">
        <w:t xml:space="preserve"> to become operational </w:t>
      </w:r>
      <w:r w:rsidR="00916B98">
        <w:t xml:space="preserve">in </w:t>
      </w:r>
      <w:r w:rsidR="00E353EB">
        <w:t>2018-19</w:t>
      </w:r>
      <w:r w:rsidR="00FB0886">
        <w:t>, subject to the passage of amendments to the National Gas Law (NGL), National Gas Rules (NGR) and subordinate instruments</w:t>
      </w:r>
      <w:r>
        <w:t>.</w:t>
      </w:r>
      <w:bookmarkEnd w:id="37"/>
    </w:p>
    <w:p w14:paraId="03E440E6" w14:textId="77777777" w:rsidR="00863FDD" w:rsidRDefault="001B7CE2" w:rsidP="00863FDD">
      <w:pPr>
        <w:pStyle w:val="BodyText"/>
      </w:pPr>
      <w:r>
        <w:t>The GMRG’s recommendations on the organisation(s) that should operate and administer the capacity trading platform(s) and day</w:t>
      </w:r>
      <w:r w:rsidR="00FB0886">
        <w:t>-</w:t>
      </w:r>
      <w:r>
        <w:t xml:space="preserve">ahead auction were presented to the </w:t>
      </w:r>
      <w:r w:rsidR="00C76541">
        <w:t xml:space="preserve">Energy </w:t>
      </w:r>
      <w:r>
        <w:t xml:space="preserve">Council in July. In short, the GMRG recommended </w:t>
      </w:r>
      <w:r w:rsidR="00FB0886">
        <w:t xml:space="preserve">the development of a single capacity trading platform that will form part of the Gas Supply Hub (GSH) trading exchange and a centralised auction platform, both of which would be operated by </w:t>
      </w:r>
      <w:r w:rsidR="00C76541">
        <w:t>the Australian Energy Market Operator (</w:t>
      </w:r>
      <w:r>
        <w:t>AEMO</w:t>
      </w:r>
      <w:r w:rsidR="00FB0886">
        <w:t>)</w:t>
      </w:r>
      <w:r>
        <w:t xml:space="preserve">. These recommendations were endorsed by </w:t>
      </w:r>
      <w:r w:rsidR="00863FDD">
        <w:t xml:space="preserve">the </w:t>
      </w:r>
      <w:r w:rsidR="00693FAD">
        <w:t xml:space="preserve">Energy </w:t>
      </w:r>
      <w:r w:rsidR="00863FDD">
        <w:t xml:space="preserve">Council at its </w:t>
      </w:r>
      <w:r w:rsidR="00F23E45">
        <w:t>14 July 2017</w:t>
      </w:r>
      <w:r w:rsidR="00863FDD">
        <w:t xml:space="preserve"> meeting.</w:t>
      </w:r>
      <w:r w:rsidR="00F23E45">
        <w:rPr>
          <w:rStyle w:val="FootnoteReference"/>
        </w:rPr>
        <w:footnoteReference w:id="7"/>
      </w:r>
      <w:r w:rsidR="00863FDD">
        <w:t xml:space="preserve"> The design of the capacity trading platform and day-ahead auction has therefore proceeded on this basis. </w:t>
      </w:r>
    </w:p>
    <w:p w14:paraId="669A6569" w14:textId="77777777" w:rsidR="00D451FB" w:rsidRDefault="00863FDD" w:rsidP="006D306C">
      <w:pPr>
        <w:pStyle w:val="BodyText"/>
      </w:pPr>
      <w:r>
        <w:t>In keeping with the accelerated timetable outlined above, the GMRG intends to</w:t>
      </w:r>
      <w:r w:rsidR="00E7309F">
        <w:t xml:space="preserve"> make</w:t>
      </w:r>
      <w:r>
        <w:t xml:space="preserve"> its </w:t>
      </w:r>
      <w:r w:rsidR="00E7309F">
        <w:t xml:space="preserve">final </w:t>
      </w:r>
      <w:r>
        <w:t>recommendations on</w:t>
      </w:r>
      <w:r w:rsidR="00D451FB">
        <w:t xml:space="preserve"> the following matters </w:t>
      </w:r>
      <w:r w:rsidR="00916B98">
        <w:t xml:space="preserve">to SCO and the Energy Council in November </w:t>
      </w:r>
      <w:r w:rsidR="00D451FB">
        <w:t>2017:</w:t>
      </w:r>
      <w:r w:rsidR="00060D90">
        <w:t xml:space="preserve"> </w:t>
      </w:r>
    </w:p>
    <w:p w14:paraId="4C314D47" w14:textId="77777777" w:rsidR="007F1DE6" w:rsidRDefault="007F1DE6" w:rsidP="007F1DE6">
      <w:pPr>
        <w:pStyle w:val="ListBullet"/>
      </w:pPr>
      <w:r>
        <w:lastRenderedPageBreak/>
        <w:t>the standardised contractual arrangements that will be required to underpin the capacity trading platform and day-ahead auction and a range of other measures that could be put in place to reduce the barriers to secondary capacity</w:t>
      </w:r>
      <w:r w:rsidR="00A82787">
        <w:t xml:space="preserve"> trading</w:t>
      </w:r>
      <w:r w:rsidR="00553F2B">
        <w:t xml:space="preserve"> and participation in the day-ahead auction</w:t>
      </w:r>
      <w:r>
        <w:t>; and</w:t>
      </w:r>
    </w:p>
    <w:p w14:paraId="1A6E785C" w14:textId="5542FA88" w:rsidR="00D451FB" w:rsidRDefault="00060D90" w:rsidP="00796867">
      <w:pPr>
        <w:pStyle w:val="ListBullet"/>
      </w:pPr>
      <w:r>
        <w:t xml:space="preserve">the </w:t>
      </w:r>
      <w:r w:rsidR="00D451FB">
        <w:t xml:space="preserve">design of </w:t>
      </w:r>
      <w:r>
        <w:t>the capacity trading platform</w:t>
      </w:r>
      <w:r w:rsidR="00D451FB">
        <w:t xml:space="preserve">, </w:t>
      </w:r>
      <w:r w:rsidR="002B63BF">
        <w:t xml:space="preserve">including </w:t>
      </w:r>
      <w:r w:rsidR="00D451FB">
        <w:t>the standardised products that will be available on the exchange and the operational, financial contractual and governance arrangements required to underpin the capacity trading platform</w:t>
      </w:r>
      <w:r w:rsidR="007F1DE6">
        <w:t>.</w:t>
      </w:r>
    </w:p>
    <w:p w14:paraId="281650EA" w14:textId="3B409C5B" w:rsidR="00A15A88" w:rsidRDefault="00A15A88" w:rsidP="00A15A88">
      <w:pPr>
        <w:pStyle w:val="BodyText"/>
      </w:pPr>
      <w:r>
        <w:t xml:space="preserve">To this end, the GMRG has prepared the following </w:t>
      </w:r>
      <w:r w:rsidRPr="00F461C9">
        <w:t>consultation paper, which focuses on</w:t>
      </w:r>
      <w:r w:rsidR="00F10BE4">
        <w:t xml:space="preserve"> </w:t>
      </w:r>
      <w:r>
        <w:t xml:space="preserve">the standardisation related reforms and </w:t>
      </w:r>
      <w:r w:rsidR="00F10BE4">
        <w:t xml:space="preserve">the </w:t>
      </w:r>
      <w:r>
        <w:t>design of the capacity trading platform.</w:t>
      </w:r>
      <w:r w:rsidR="00F10BE4">
        <w:t xml:space="preserve"> A separate consultation paper on the day-ahead auction </w:t>
      </w:r>
      <w:r w:rsidR="00221AD1">
        <w:t xml:space="preserve">and reporting framework for secondary capacity trades </w:t>
      </w:r>
      <w:r w:rsidR="00F10BE4">
        <w:t xml:space="preserve">will be released in late October.  </w:t>
      </w:r>
    </w:p>
    <w:p w14:paraId="3956CF8E" w14:textId="2EA8987B" w:rsidR="007B3554" w:rsidRDefault="00A15A88" w:rsidP="006008A5">
      <w:pPr>
        <w:pStyle w:val="BodyText"/>
        <w:spacing w:after="0"/>
      </w:pPr>
      <w:r>
        <w:t xml:space="preserve">Further detail on the consultation process is provided below.  </w:t>
      </w:r>
      <w:r w:rsidR="007B3554">
        <w:t>Before moving on</w:t>
      </w:r>
      <w:r>
        <w:t xml:space="preserve"> though</w:t>
      </w:r>
      <w:r w:rsidR="007B3554">
        <w:t>, it is worth noting that the Energy Council’s decision to implement the capacity trading reforms was made in response to a review of the east coast gas market</w:t>
      </w:r>
      <w:r w:rsidR="00F63149">
        <w:t>. It is unclear therefor</w:t>
      </w:r>
      <w:r w:rsidR="00916B98">
        <w:t>e</w:t>
      </w:r>
      <w:r w:rsidR="00F63149">
        <w:t xml:space="preserve"> whether the Energy Council intended the reforms to </w:t>
      </w:r>
      <w:r w:rsidR="007B3554">
        <w:t>extend to the Northern Territory (which is expected to become connected to the east coast market in late 2018) and</w:t>
      </w:r>
      <w:r w:rsidR="00F63149">
        <w:t>/or</w:t>
      </w:r>
      <w:r w:rsidR="007B3554">
        <w:t xml:space="preserve"> Western Australia. While the GMRG </w:t>
      </w:r>
      <w:r w:rsidR="006E4AD4">
        <w:t xml:space="preserve">is of the view that </w:t>
      </w:r>
      <w:r w:rsidR="007B3554">
        <w:t xml:space="preserve">there would be merit in </w:t>
      </w:r>
      <w:r w:rsidR="00F63149">
        <w:t xml:space="preserve">implementing </w:t>
      </w:r>
      <w:r w:rsidR="007B3554">
        <w:t xml:space="preserve">the reforms </w:t>
      </w:r>
      <w:r w:rsidR="00F63149">
        <w:t xml:space="preserve">in </w:t>
      </w:r>
      <w:r w:rsidR="007B3554">
        <w:t xml:space="preserve">these jurisdictions and has </w:t>
      </w:r>
      <w:r w:rsidR="00F63149">
        <w:t xml:space="preserve">involved </w:t>
      </w:r>
      <w:r w:rsidR="007B3554">
        <w:t xml:space="preserve">industry participants from these jurisdictions in the project teams, a formal decision </w:t>
      </w:r>
      <w:r w:rsidR="00F63149">
        <w:t xml:space="preserve">on this issue </w:t>
      </w:r>
      <w:r w:rsidR="007B3554">
        <w:t xml:space="preserve">will need to be made by the responsible government and likely the Energy Council. </w:t>
      </w:r>
    </w:p>
    <w:p w14:paraId="5265516D" w14:textId="373BC91C" w:rsidR="000A47B2" w:rsidRDefault="00A15A88" w:rsidP="00207EA2">
      <w:pPr>
        <w:pStyle w:val="Heading2"/>
      </w:pPr>
      <w:bookmarkStart w:id="38" w:name="_Toc492524729"/>
      <w:r>
        <w:t xml:space="preserve">Consultation </w:t>
      </w:r>
      <w:r w:rsidR="009C3AE6">
        <w:t>process and next steps</w:t>
      </w:r>
      <w:bookmarkEnd w:id="38"/>
    </w:p>
    <w:p w14:paraId="35A26334" w14:textId="1212F209" w:rsidR="00F10BE4" w:rsidRDefault="00F10BE4" w:rsidP="00F10BE4">
      <w:pPr>
        <w:pStyle w:val="BodyText"/>
      </w:pPr>
      <w:bookmarkStart w:id="39" w:name="_Hlk487649803"/>
      <w:r>
        <w:t>This consultation paper comprises two parts:</w:t>
      </w:r>
    </w:p>
    <w:p w14:paraId="371E3D06" w14:textId="77777777" w:rsidR="005243E4" w:rsidRDefault="00F10BE4" w:rsidP="00430035">
      <w:pPr>
        <w:pStyle w:val="ListBullet"/>
      </w:pPr>
      <w:r w:rsidRPr="0043556F">
        <w:rPr>
          <w:b/>
        </w:rPr>
        <w:t>Part A</w:t>
      </w:r>
      <w:r w:rsidR="00F56A7E" w:rsidRPr="0043556F">
        <w:rPr>
          <w:b/>
        </w:rPr>
        <w:t xml:space="preserve">: </w:t>
      </w:r>
      <w:r w:rsidR="00BF307E" w:rsidRPr="0043556F">
        <w:rPr>
          <w:b/>
        </w:rPr>
        <w:t>S</w:t>
      </w:r>
      <w:r w:rsidRPr="0043556F">
        <w:rPr>
          <w:b/>
        </w:rPr>
        <w:t>tandardisation related reforms</w:t>
      </w:r>
      <w:r>
        <w:t xml:space="preserve"> </w:t>
      </w:r>
      <w:r w:rsidR="00F56A7E">
        <w:t>–</w:t>
      </w:r>
      <w:r w:rsidR="0043556F">
        <w:t xml:space="preserve">This </w:t>
      </w:r>
      <w:r w:rsidR="00F56A7E">
        <w:t xml:space="preserve">part of the consultation paper </w:t>
      </w:r>
      <w:r w:rsidR="0043556F">
        <w:t>focuses on</w:t>
      </w:r>
      <w:r w:rsidR="005243E4">
        <w:t>:</w:t>
      </w:r>
    </w:p>
    <w:p w14:paraId="59EB2476" w14:textId="77777777" w:rsidR="005243E4" w:rsidRDefault="005243E4" w:rsidP="005243E4">
      <w:pPr>
        <w:pStyle w:val="ListBullet2"/>
      </w:pPr>
      <w:r>
        <w:t>the standardised contractual arrangements that will underpin the capacity trading platform and day-ahead auction and the associated governance arrangements;</w:t>
      </w:r>
    </w:p>
    <w:p w14:paraId="2CE2AC4B" w14:textId="33433E60" w:rsidR="005243E4" w:rsidRDefault="005243E4" w:rsidP="005243E4">
      <w:pPr>
        <w:pStyle w:val="ListBullet2"/>
      </w:pPr>
      <w:r>
        <w:t xml:space="preserve">the options for achieving greater receipt and delivery point flexibility; and </w:t>
      </w:r>
    </w:p>
    <w:p w14:paraId="0EF88287" w14:textId="70133074" w:rsidR="005243E4" w:rsidRDefault="005243E4" w:rsidP="005243E4">
      <w:pPr>
        <w:pStyle w:val="ListBullet2"/>
      </w:pPr>
      <w:r>
        <w:t>other measures that could be put in place to reduce the barriers to secondary capacity trading.</w:t>
      </w:r>
    </w:p>
    <w:p w14:paraId="0A348135" w14:textId="5802025A" w:rsidR="00F10BE4" w:rsidRDefault="0043556F" w:rsidP="005243E4">
      <w:pPr>
        <w:pStyle w:val="ListBullet"/>
        <w:numPr>
          <w:ilvl w:val="0"/>
          <w:numId w:val="0"/>
        </w:numPr>
        <w:ind w:left="357"/>
      </w:pPr>
      <w:r>
        <w:t xml:space="preserve">The development of this part of the consultation paper has been </w:t>
      </w:r>
      <w:r w:rsidR="00F56A7E">
        <w:t xml:space="preserve">informed by the work carried out by the Standardisation project team and advice from the GMRG’s legal advisor, </w:t>
      </w:r>
      <w:r w:rsidR="00F56A7E" w:rsidRPr="00896A82">
        <w:t>Johnson, Winter &amp; Slattery (JWS)</w:t>
      </w:r>
      <w:r>
        <w:t>.</w:t>
      </w:r>
    </w:p>
    <w:p w14:paraId="15A20EBD" w14:textId="696612E9" w:rsidR="005243E4" w:rsidRDefault="00F10BE4" w:rsidP="0043556F">
      <w:pPr>
        <w:pStyle w:val="ListBullet"/>
      </w:pPr>
      <w:r w:rsidRPr="00F56A7E">
        <w:rPr>
          <w:b/>
        </w:rPr>
        <w:t>Part B</w:t>
      </w:r>
      <w:r w:rsidR="00BF307E">
        <w:rPr>
          <w:b/>
        </w:rPr>
        <w:t xml:space="preserve">: </w:t>
      </w:r>
      <w:r w:rsidR="00BF307E" w:rsidRPr="00BF307E">
        <w:rPr>
          <w:b/>
        </w:rPr>
        <w:t>C</w:t>
      </w:r>
      <w:r w:rsidRPr="00BF307E">
        <w:rPr>
          <w:b/>
        </w:rPr>
        <w:t>apacity trading platform</w:t>
      </w:r>
      <w:r w:rsidR="00F56A7E">
        <w:t xml:space="preserve"> – </w:t>
      </w:r>
      <w:r w:rsidR="00B42561">
        <w:t>T</w:t>
      </w:r>
      <w:r w:rsidR="00F56A7E">
        <w:t xml:space="preserve">his part of the consultation paper has been </w:t>
      </w:r>
      <w:r w:rsidR="00B42561">
        <w:t xml:space="preserve">prepared </w:t>
      </w:r>
      <w:r w:rsidR="006A5405">
        <w:t xml:space="preserve">with the assistance of </w:t>
      </w:r>
      <w:r w:rsidR="00B42561">
        <w:t xml:space="preserve">AEMO </w:t>
      </w:r>
      <w:r w:rsidR="0043556F">
        <w:t>and focuses on</w:t>
      </w:r>
      <w:r w:rsidR="00B84272">
        <w:t>:</w:t>
      </w:r>
      <w:r w:rsidR="0043556F">
        <w:t xml:space="preserve"> </w:t>
      </w:r>
    </w:p>
    <w:p w14:paraId="6EF2E1F7" w14:textId="6A01786F" w:rsidR="005243E4" w:rsidRDefault="005243E4" w:rsidP="005243E4">
      <w:pPr>
        <w:pStyle w:val="ListBullet2"/>
      </w:pPr>
      <w:r>
        <w:t>the end-to-end design of the capacity trading platform and the standardised products that will be available on the exchange;</w:t>
      </w:r>
    </w:p>
    <w:p w14:paraId="76D3ABE0" w14:textId="152717AA" w:rsidR="005243E4" w:rsidRDefault="005243E4" w:rsidP="005243E4">
      <w:pPr>
        <w:pStyle w:val="ListBullet2"/>
      </w:pPr>
      <w:r>
        <w:t>the arrangements required to adequately manage and allocate risks associated with secondary trading;</w:t>
      </w:r>
      <w:r w:rsidR="006D73DB">
        <w:t xml:space="preserve"> and</w:t>
      </w:r>
    </w:p>
    <w:p w14:paraId="09940012" w14:textId="48294090" w:rsidR="005243E4" w:rsidRDefault="005243E4" w:rsidP="005243E4">
      <w:pPr>
        <w:pStyle w:val="ListBullet2"/>
      </w:pPr>
      <w:r>
        <w:t>the operational, financial, contractual and governance arrangements required to underpin the capacity trading platform.</w:t>
      </w:r>
    </w:p>
    <w:p w14:paraId="6A9FF522" w14:textId="211FD97F" w:rsidR="00F10BE4" w:rsidRDefault="0043556F" w:rsidP="005243E4">
      <w:pPr>
        <w:pStyle w:val="ListBullet"/>
        <w:numPr>
          <w:ilvl w:val="0"/>
          <w:numId w:val="0"/>
        </w:numPr>
        <w:ind w:left="357"/>
      </w:pPr>
      <w:r>
        <w:lastRenderedPageBreak/>
        <w:t xml:space="preserve">The development of this part of the consultation paper has been informed by </w:t>
      </w:r>
      <w:r w:rsidR="00F56A7E">
        <w:t xml:space="preserve">work carried out by </w:t>
      </w:r>
      <w:r w:rsidR="00B42561">
        <w:t xml:space="preserve">AEMO, </w:t>
      </w:r>
      <w:r w:rsidR="00F56A7E">
        <w:t>the Capacity Trading Platform project team</w:t>
      </w:r>
      <w:r w:rsidR="00B42561">
        <w:t xml:space="preserve"> and JWS</w:t>
      </w:r>
      <w:r w:rsidR="00F10BE4">
        <w:t xml:space="preserve">.  </w:t>
      </w:r>
    </w:p>
    <w:p w14:paraId="29F5807C" w14:textId="77777777" w:rsidR="006E75F9" w:rsidRDefault="00505FFB" w:rsidP="00207EA2">
      <w:pPr>
        <w:pStyle w:val="BodyText"/>
      </w:pPr>
      <w:r w:rsidRPr="006E75F9">
        <w:t>The GMRG is seeking written feedback</w:t>
      </w:r>
      <w:r w:rsidR="009C3AE6" w:rsidRPr="006E75F9">
        <w:t xml:space="preserve"> on this consultation paper</w:t>
      </w:r>
      <w:r w:rsidRPr="006E75F9">
        <w:t xml:space="preserve"> by </w:t>
      </w:r>
      <w:r w:rsidRPr="006E75F9">
        <w:rPr>
          <w:b/>
        </w:rPr>
        <w:t xml:space="preserve">5pm (AEST) </w:t>
      </w:r>
      <w:r w:rsidRPr="006E75F9">
        <w:t xml:space="preserve">on </w:t>
      </w:r>
      <w:r w:rsidR="00616B0F" w:rsidRPr="006E75F9">
        <w:rPr>
          <w:b/>
        </w:rPr>
        <w:t>4</w:t>
      </w:r>
      <w:r w:rsidR="0043556F" w:rsidRPr="006E75F9">
        <w:rPr>
          <w:b/>
        </w:rPr>
        <w:t> </w:t>
      </w:r>
      <w:r w:rsidR="00616B0F" w:rsidRPr="006E75F9">
        <w:rPr>
          <w:b/>
        </w:rPr>
        <w:t xml:space="preserve">October </w:t>
      </w:r>
      <w:r w:rsidRPr="006E75F9">
        <w:rPr>
          <w:b/>
        </w:rPr>
        <w:t>2017</w:t>
      </w:r>
      <w:r w:rsidRPr="006E75F9">
        <w:t xml:space="preserve">.  To assist stakeholders in responding to this consultation paper, </w:t>
      </w:r>
      <w:r w:rsidR="009467E3" w:rsidRPr="006E75F9">
        <w:t>Parts A</w:t>
      </w:r>
      <w:r w:rsidR="009467E3">
        <w:t xml:space="preserve"> and B</w:t>
      </w:r>
      <w:r>
        <w:t xml:space="preserve"> include a number of questions that the GMRG would like to obtain further feedback on and provide an indication of the GMRG’s preliminary view</w:t>
      </w:r>
      <w:r w:rsidR="006E4AD4">
        <w:t>s</w:t>
      </w:r>
      <w:r>
        <w:t xml:space="preserve"> on various issues. The inclusion of the GMRG’s preliminary views is designed to facilitate consultation and should not be interpreted as concluded positions of the GMRG.</w:t>
      </w:r>
      <w:r w:rsidR="00237CF3">
        <w:t xml:space="preserve"> </w:t>
      </w:r>
    </w:p>
    <w:p w14:paraId="525AB86C" w14:textId="5E0EE2D2" w:rsidR="00505FFB" w:rsidRDefault="00237CF3" w:rsidP="00207EA2">
      <w:pPr>
        <w:pStyle w:val="BodyText"/>
      </w:pPr>
      <w:r>
        <w:t xml:space="preserve">A template has been </w:t>
      </w:r>
      <w:r w:rsidR="006E75F9">
        <w:t xml:space="preserve">prepared for </w:t>
      </w:r>
      <w:r>
        <w:t xml:space="preserve">stakeholders to </w:t>
      </w:r>
      <w:r w:rsidR="006E75F9">
        <w:t xml:space="preserve">use to </w:t>
      </w:r>
      <w:r>
        <w:t xml:space="preserve">provide their feedback on the questions posed in this paper and </w:t>
      </w:r>
      <w:r w:rsidR="00E33ADB">
        <w:t>any other issues that they would like to provide feedback on</w:t>
      </w:r>
      <w:r w:rsidR="006E75F9">
        <w:t xml:space="preserve"> (see Attachment 2)</w:t>
      </w:r>
      <w:r w:rsidR="00E33ADB">
        <w:t>. The GMRG strongly encourages stakeholders to use this template, so that it can have due regard to the views expressed by stakeholders on each issue.</w:t>
      </w:r>
      <w:r w:rsidR="009A1444">
        <w:t xml:space="preserve"> </w:t>
      </w:r>
      <w:r w:rsidR="009A1444">
        <w:rPr>
          <w:rFonts w:cs="Arial"/>
        </w:rPr>
        <w:t>Stakeholders should not feel obliged to answer each question, but rather address those issues of particular interest or concern.</w:t>
      </w:r>
    </w:p>
    <w:p w14:paraId="44EB054A" w14:textId="469CEE4E" w:rsidR="009C3AE6" w:rsidRDefault="009C3AE6" w:rsidP="009C3AE6">
      <w:pPr>
        <w:pStyle w:val="BodyText"/>
      </w:pPr>
      <w:r w:rsidRPr="008964B9">
        <w:t xml:space="preserve">In addition to providing a written submission, stakeholders will have an opportunity to </w:t>
      </w:r>
      <w:r>
        <w:t xml:space="preserve">attend a public forum, which </w:t>
      </w:r>
      <w:r w:rsidRPr="00533C69">
        <w:t xml:space="preserve">will be held in Sydney on </w:t>
      </w:r>
      <w:r w:rsidRPr="00533C69">
        <w:rPr>
          <w:b/>
        </w:rPr>
        <w:t>14</w:t>
      </w:r>
      <w:r w:rsidRPr="00533C69">
        <w:t xml:space="preserve"> </w:t>
      </w:r>
      <w:r w:rsidRPr="00533C69">
        <w:rPr>
          <w:b/>
        </w:rPr>
        <w:t>September</w:t>
      </w:r>
      <w:r w:rsidRPr="00533C69">
        <w:t xml:space="preserve"> </w:t>
      </w:r>
      <w:r w:rsidRPr="00533C69">
        <w:rPr>
          <w:b/>
        </w:rPr>
        <w:t>2</w:t>
      </w:r>
      <w:r w:rsidRPr="0088374E">
        <w:rPr>
          <w:b/>
        </w:rPr>
        <w:t>017</w:t>
      </w:r>
      <w:r w:rsidRPr="008964B9">
        <w:t xml:space="preserve">. </w:t>
      </w:r>
      <w:r>
        <w:t xml:space="preserve">Stakeholders are encouraged to express their interest in attending this forum by emailing </w:t>
      </w:r>
      <w:hyperlink r:id="rId21" w:history="1">
        <w:r w:rsidRPr="001D2A44">
          <w:rPr>
            <w:rStyle w:val="Hyperlink"/>
            <w:rFonts w:cs="Arial"/>
          </w:rPr>
          <w:t>enquiries@gmrg.coagenergycouncil.gov.au</w:t>
        </w:r>
      </w:hyperlink>
      <w:r>
        <w:t>.</w:t>
      </w:r>
    </w:p>
    <w:p w14:paraId="0736C53F" w14:textId="77777777" w:rsidR="009C3AE6" w:rsidRDefault="009C3AE6" w:rsidP="009C3AE6">
      <w:pPr>
        <w:pStyle w:val="BodyText"/>
        <w:rPr>
          <w:iCs/>
        </w:rPr>
      </w:pPr>
      <w:r>
        <w:rPr>
          <w:iCs/>
        </w:rPr>
        <w:t>The f</w:t>
      </w:r>
      <w:r w:rsidRPr="000C2607">
        <w:rPr>
          <w:iCs/>
        </w:rPr>
        <w:t xml:space="preserve">eedback received </w:t>
      </w:r>
      <w:r>
        <w:rPr>
          <w:iCs/>
        </w:rPr>
        <w:t xml:space="preserve">through this </w:t>
      </w:r>
      <w:r w:rsidRPr="000C2607">
        <w:rPr>
          <w:iCs/>
        </w:rPr>
        <w:t xml:space="preserve">consultation process will inform the GMRG’s </w:t>
      </w:r>
      <w:r>
        <w:rPr>
          <w:iCs/>
        </w:rPr>
        <w:t xml:space="preserve">final </w:t>
      </w:r>
      <w:r w:rsidRPr="000C2607">
        <w:rPr>
          <w:iCs/>
        </w:rPr>
        <w:t xml:space="preserve">recommendations </w:t>
      </w:r>
      <w:r>
        <w:rPr>
          <w:iCs/>
        </w:rPr>
        <w:t xml:space="preserve">on </w:t>
      </w:r>
      <w:r w:rsidRPr="000C2607">
        <w:rPr>
          <w:iCs/>
        </w:rPr>
        <w:t xml:space="preserve">the </w:t>
      </w:r>
      <w:r>
        <w:rPr>
          <w:iCs/>
        </w:rPr>
        <w:t xml:space="preserve">final design of the </w:t>
      </w:r>
      <w:r w:rsidRPr="000C2607">
        <w:rPr>
          <w:iCs/>
        </w:rPr>
        <w:t xml:space="preserve">standardisation </w:t>
      </w:r>
      <w:r>
        <w:rPr>
          <w:iCs/>
        </w:rPr>
        <w:t xml:space="preserve">related reforms </w:t>
      </w:r>
      <w:r w:rsidRPr="000C2607">
        <w:rPr>
          <w:iCs/>
        </w:rPr>
        <w:t xml:space="preserve">and </w:t>
      </w:r>
      <w:r>
        <w:rPr>
          <w:iCs/>
        </w:rPr>
        <w:t>the capacity trading platform</w:t>
      </w:r>
      <w:r w:rsidRPr="000C2607">
        <w:rPr>
          <w:iCs/>
        </w:rPr>
        <w:t xml:space="preserve">, which are expected to be </w:t>
      </w:r>
      <w:r>
        <w:rPr>
          <w:iCs/>
        </w:rPr>
        <w:t xml:space="preserve">provided to the </w:t>
      </w:r>
      <w:r w:rsidRPr="000C2607">
        <w:rPr>
          <w:iCs/>
        </w:rPr>
        <w:t xml:space="preserve">Energy Council </w:t>
      </w:r>
      <w:r>
        <w:rPr>
          <w:iCs/>
        </w:rPr>
        <w:t xml:space="preserve">in November 2017 for its consideration and approval. </w:t>
      </w:r>
    </w:p>
    <w:p w14:paraId="7E5A3A8C" w14:textId="77777777" w:rsidR="009B3C9F" w:rsidRPr="009B3C9F" w:rsidRDefault="009B3C9F" w:rsidP="002934E1">
      <w:pPr>
        <w:pStyle w:val="BodyText"/>
      </w:pPr>
      <w:bookmarkStart w:id="40" w:name="_Hlk487650011"/>
      <w:bookmarkEnd w:id="39"/>
      <w:r>
        <w:rPr>
          <w:iCs/>
        </w:rPr>
        <w:t xml:space="preserve">If these recommendations are accepted by the Energy Council, then work will commence on drafting the changes that will be required to the NGL, the NGR and other subordinate instruments to give effect to these reforms. At this stage, it is expected that work on drafting these changes will commence in December 2017 and that consultation will be carried out with stakeholders in </w:t>
      </w:r>
      <w:r w:rsidR="006051BF">
        <w:rPr>
          <w:iCs/>
        </w:rPr>
        <w:t xml:space="preserve">February </w:t>
      </w:r>
      <w:r>
        <w:rPr>
          <w:iCs/>
        </w:rPr>
        <w:t xml:space="preserve">2018. </w:t>
      </w:r>
    </w:p>
    <w:p w14:paraId="66851A79" w14:textId="77777777" w:rsidR="00EA5410" w:rsidRDefault="00EA5410" w:rsidP="00207EA2">
      <w:pPr>
        <w:pStyle w:val="Heading2"/>
      </w:pPr>
      <w:bookmarkStart w:id="41" w:name="_Toc492524730"/>
      <w:bookmarkEnd w:id="40"/>
      <w:r>
        <w:t>Structure of this paper</w:t>
      </w:r>
      <w:bookmarkEnd w:id="41"/>
      <w:r>
        <w:t xml:space="preserve"> </w:t>
      </w:r>
    </w:p>
    <w:p w14:paraId="1B55797D" w14:textId="77777777" w:rsidR="000F6CD8" w:rsidRPr="002C7228" w:rsidRDefault="000F6CD8" w:rsidP="00F63149">
      <w:pPr>
        <w:pStyle w:val="BodyText"/>
        <w:spacing w:before="0"/>
      </w:pPr>
      <w:r w:rsidRPr="002C7228">
        <w:t>The remainder of this consultation paper is structured as follows:</w:t>
      </w:r>
    </w:p>
    <w:p w14:paraId="3922689B" w14:textId="6B0F941A" w:rsidR="007103D3" w:rsidRPr="002C7228" w:rsidRDefault="00F543AE" w:rsidP="000C2607">
      <w:pPr>
        <w:pStyle w:val="ListBullet"/>
      </w:pPr>
      <w:bookmarkStart w:id="42" w:name="_Hlk487650023"/>
      <w:r w:rsidRPr="002C7228">
        <w:t xml:space="preserve">Chapter 2 </w:t>
      </w:r>
      <w:r>
        <w:t>provides further detail on the capacity trading reform package</w:t>
      </w:r>
      <w:r w:rsidR="00FD21D1">
        <w:t>,</w:t>
      </w:r>
      <w:r>
        <w:t xml:space="preserve"> </w:t>
      </w:r>
      <w:r w:rsidR="00D73D6E">
        <w:t xml:space="preserve">how </w:t>
      </w:r>
      <w:r w:rsidR="009467E3">
        <w:t xml:space="preserve">trade is expected to occur under the reform package </w:t>
      </w:r>
      <w:r w:rsidR="00FD21D1">
        <w:t xml:space="preserve">and the </w:t>
      </w:r>
      <w:bookmarkEnd w:id="42"/>
      <w:r w:rsidR="007103D3" w:rsidRPr="002C7228">
        <w:t xml:space="preserve">assessment framework </w:t>
      </w:r>
      <w:r w:rsidR="00774992" w:rsidRPr="002C7228">
        <w:t xml:space="preserve">the GMRG intends to use </w:t>
      </w:r>
      <w:r w:rsidR="00CE20FF" w:rsidRPr="002C7228">
        <w:t xml:space="preserve">when </w:t>
      </w:r>
      <w:r w:rsidR="00860AEC">
        <w:t xml:space="preserve">developing </w:t>
      </w:r>
      <w:r w:rsidR="00CE20FF" w:rsidRPr="002C7228">
        <w:t xml:space="preserve">its </w:t>
      </w:r>
      <w:r w:rsidR="0088374E">
        <w:t xml:space="preserve">final </w:t>
      </w:r>
      <w:r w:rsidR="00CE20FF" w:rsidRPr="002C7228">
        <w:t>recommendations</w:t>
      </w:r>
      <w:r w:rsidR="007103D3" w:rsidRPr="002C7228">
        <w:t>;</w:t>
      </w:r>
    </w:p>
    <w:p w14:paraId="66E5527A" w14:textId="3F90FBBD" w:rsidR="009467E3" w:rsidRDefault="009467E3" w:rsidP="000C2607">
      <w:pPr>
        <w:pStyle w:val="ListBullet"/>
      </w:pPr>
      <w:r>
        <w:t xml:space="preserve">Part A focuses on the standardisation related reforms, which is discussed in detail in: </w:t>
      </w:r>
    </w:p>
    <w:p w14:paraId="7813E4FC" w14:textId="00E0F98F" w:rsidR="000F6CD8" w:rsidRPr="002C7228" w:rsidRDefault="000F6CD8" w:rsidP="009467E3">
      <w:pPr>
        <w:pStyle w:val="ListBullet2"/>
      </w:pPr>
      <w:r w:rsidRPr="002C7228">
        <w:t xml:space="preserve">Chapter </w:t>
      </w:r>
      <w:r w:rsidR="00FD21D1">
        <w:t>3</w:t>
      </w:r>
      <w:r w:rsidR="009467E3">
        <w:t>, which</w:t>
      </w:r>
      <w:r w:rsidRPr="002C7228">
        <w:t xml:space="preserve"> </w:t>
      </w:r>
      <w:r w:rsidR="006130F3">
        <w:t xml:space="preserve">focuses on the </w:t>
      </w:r>
      <w:r w:rsidR="00505FFB">
        <w:t xml:space="preserve">contract standardisation </w:t>
      </w:r>
      <w:r w:rsidR="00693FAD">
        <w:t>reforms</w:t>
      </w:r>
      <w:r w:rsidR="0088374E">
        <w:t>;</w:t>
      </w:r>
    </w:p>
    <w:p w14:paraId="2E44A038" w14:textId="0A8E4E18" w:rsidR="008200C8" w:rsidRPr="002C7228" w:rsidRDefault="000F6CD8" w:rsidP="009467E3">
      <w:pPr>
        <w:pStyle w:val="ListBullet2"/>
        <w:rPr>
          <w:sz w:val="2"/>
          <w:szCs w:val="2"/>
        </w:rPr>
      </w:pPr>
      <w:r w:rsidRPr="002C7228">
        <w:t xml:space="preserve">Chapter </w:t>
      </w:r>
      <w:r w:rsidR="00FD21D1">
        <w:t>4</w:t>
      </w:r>
      <w:r w:rsidR="009467E3">
        <w:t xml:space="preserve">, which </w:t>
      </w:r>
      <w:r w:rsidR="00693FAD">
        <w:t xml:space="preserve">focuses on </w:t>
      </w:r>
      <w:r w:rsidR="00505FFB">
        <w:t xml:space="preserve">the </w:t>
      </w:r>
      <w:r w:rsidR="006130F3">
        <w:t xml:space="preserve">receipt and delivery point </w:t>
      </w:r>
      <w:r w:rsidR="00505FFB">
        <w:t>flexibility</w:t>
      </w:r>
      <w:r w:rsidR="00693FAD">
        <w:t xml:space="preserve"> reforms</w:t>
      </w:r>
      <w:r w:rsidR="008200C8" w:rsidRPr="002C7228">
        <w:t>;</w:t>
      </w:r>
      <w:r w:rsidR="00D73D6E">
        <w:t xml:space="preserve"> </w:t>
      </w:r>
      <w:r w:rsidR="0043556F">
        <w:t>and</w:t>
      </w:r>
    </w:p>
    <w:p w14:paraId="19C343D0" w14:textId="400A562B" w:rsidR="002C7228" w:rsidRDefault="00BD62E6" w:rsidP="009467E3">
      <w:pPr>
        <w:pStyle w:val="ListBullet2"/>
      </w:pPr>
      <w:r w:rsidRPr="002C7228">
        <w:t xml:space="preserve">Chapter </w:t>
      </w:r>
      <w:r w:rsidR="00FD21D1">
        <w:t>5</w:t>
      </w:r>
      <w:r w:rsidR="009467E3">
        <w:t>, which</w:t>
      </w:r>
      <w:r w:rsidRPr="002C7228">
        <w:t xml:space="preserve"> </w:t>
      </w:r>
      <w:r w:rsidR="00FE6349">
        <w:t xml:space="preserve">outlines </w:t>
      </w:r>
      <w:r w:rsidR="002C7228" w:rsidRPr="002C7228">
        <w:t xml:space="preserve">other measures that </w:t>
      </w:r>
      <w:r w:rsidR="002C7228">
        <w:t xml:space="preserve">could </w:t>
      </w:r>
      <w:r w:rsidR="006008A5">
        <w:t xml:space="preserve">be implemented to </w:t>
      </w:r>
      <w:r w:rsidR="002C7228">
        <w:t>reduce the barriers to secondary capacity trading and participation in the day-ahead auction;</w:t>
      </w:r>
    </w:p>
    <w:p w14:paraId="09F0AA30" w14:textId="20037EDD" w:rsidR="009467E3" w:rsidRPr="006D73DB" w:rsidRDefault="009467E3" w:rsidP="009467E3">
      <w:pPr>
        <w:pStyle w:val="ListBullet"/>
      </w:pPr>
      <w:r w:rsidRPr="006D73DB">
        <w:t xml:space="preserve">Part B focuses on the capacity trading platform reforms, which is discussed in detail in: </w:t>
      </w:r>
    </w:p>
    <w:p w14:paraId="115E895E" w14:textId="294599D9" w:rsidR="006D73DB" w:rsidRPr="006D73DB" w:rsidRDefault="009467E3" w:rsidP="006D73DB">
      <w:pPr>
        <w:pStyle w:val="ListBullet2"/>
      </w:pPr>
      <w:r w:rsidRPr="006D73DB">
        <w:t xml:space="preserve">Chapter </w:t>
      </w:r>
      <w:r w:rsidR="0043556F" w:rsidRPr="006D73DB">
        <w:t>6</w:t>
      </w:r>
      <w:r w:rsidRPr="006D73DB">
        <w:t xml:space="preserve">, which </w:t>
      </w:r>
      <w:r w:rsidR="00533C69">
        <w:t>provides an overview of the GSH, which the capacity trading platform will form part of</w:t>
      </w:r>
      <w:r w:rsidRPr="006D73DB">
        <w:t>;</w:t>
      </w:r>
    </w:p>
    <w:p w14:paraId="3FBFF63F" w14:textId="403B1C70" w:rsidR="006D73DB" w:rsidRPr="006D73DB" w:rsidRDefault="009467E3" w:rsidP="006D73DB">
      <w:pPr>
        <w:pStyle w:val="ListBullet2"/>
      </w:pPr>
      <w:r w:rsidRPr="006D73DB">
        <w:lastRenderedPageBreak/>
        <w:t xml:space="preserve">Chapter </w:t>
      </w:r>
      <w:r w:rsidR="0043556F" w:rsidRPr="006D73DB">
        <w:t>7</w:t>
      </w:r>
      <w:r w:rsidR="006D73DB" w:rsidRPr="006D73DB">
        <w:t>-10</w:t>
      </w:r>
      <w:r w:rsidRPr="006D73DB">
        <w:t xml:space="preserve">, which </w:t>
      </w:r>
      <w:r w:rsidR="006D73DB" w:rsidRPr="006D73DB">
        <w:t>focuses on key elements of the exchange component of the capacity trading platform</w:t>
      </w:r>
      <w:r w:rsidR="00533C69">
        <w:t>, including the capacity products to be sold on the GSH, the delivery, settlement and credit risk management processes and the options for dealing with delivery risk</w:t>
      </w:r>
      <w:r w:rsidRPr="006D73DB">
        <w:t xml:space="preserve">; </w:t>
      </w:r>
    </w:p>
    <w:p w14:paraId="799B613B" w14:textId="3B26A638" w:rsidR="006D73DB" w:rsidRPr="006D73DB" w:rsidRDefault="006D73DB" w:rsidP="006D73DB">
      <w:pPr>
        <w:pStyle w:val="ListBullet2"/>
      </w:pPr>
      <w:r w:rsidRPr="006D73DB">
        <w:t xml:space="preserve">Chapter 11, which </w:t>
      </w:r>
      <w:r w:rsidR="00533C69">
        <w:t xml:space="preserve">focuses on the key elements of the </w:t>
      </w:r>
      <w:r w:rsidRPr="006D73DB">
        <w:t>listing service; and</w:t>
      </w:r>
    </w:p>
    <w:p w14:paraId="22973C8D" w14:textId="2CD56426" w:rsidR="006D73DB" w:rsidRPr="006D73DB" w:rsidRDefault="006D73DB" w:rsidP="006D73DB">
      <w:pPr>
        <w:pStyle w:val="ListBullet2"/>
      </w:pPr>
      <w:r w:rsidRPr="006D73DB">
        <w:t xml:space="preserve">Chapter 12, which outlines the </w:t>
      </w:r>
      <w:r w:rsidR="00533C69">
        <w:t xml:space="preserve">changes to the </w:t>
      </w:r>
      <w:r w:rsidRPr="006D73DB">
        <w:t xml:space="preserve">governance arrangements that are </w:t>
      </w:r>
      <w:r w:rsidR="00533C69">
        <w:t xml:space="preserve">likely to be required </w:t>
      </w:r>
      <w:r w:rsidRPr="006D73DB">
        <w:t xml:space="preserve">to </w:t>
      </w:r>
      <w:r w:rsidR="00533C69">
        <w:t xml:space="preserve">implement </w:t>
      </w:r>
      <w:r w:rsidRPr="006D73DB">
        <w:t>the capacity trading platform;</w:t>
      </w:r>
    </w:p>
    <w:p w14:paraId="730D3044" w14:textId="09F2D683" w:rsidR="005E08EA" w:rsidRPr="005E08EA" w:rsidRDefault="008200C8" w:rsidP="000C2607">
      <w:pPr>
        <w:pStyle w:val="ListBullet"/>
        <w:rPr>
          <w:sz w:val="2"/>
          <w:szCs w:val="2"/>
        </w:rPr>
      </w:pPr>
      <w:r>
        <w:t xml:space="preserve">Appendix A provides </w:t>
      </w:r>
      <w:r w:rsidR="0088374E">
        <w:t xml:space="preserve">a summary </w:t>
      </w:r>
      <w:r>
        <w:t xml:space="preserve">of the AEMC’s capacity trading </w:t>
      </w:r>
      <w:r w:rsidR="0088374E">
        <w:t xml:space="preserve">reform </w:t>
      </w:r>
      <w:r w:rsidR="006E4AD4">
        <w:t>recommendations</w:t>
      </w:r>
      <w:r w:rsidR="002C7228">
        <w:t>;</w:t>
      </w:r>
    </w:p>
    <w:p w14:paraId="5C019943" w14:textId="6183573C" w:rsidR="0088374E" w:rsidRDefault="005E08EA" w:rsidP="000C2607">
      <w:pPr>
        <w:pStyle w:val="ListBullet"/>
        <w:rPr>
          <w:sz w:val="2"/>
          <w:szCs w:val="2"/>
        </w:rPr>
      </w:pPr>
      <w:r>
        <w:t>Appendix B</w:t>
      </w:r>
      <w:r w:rsidR="002C7228">
        <w:t xml:space="preserve"> </w:t>
      </w:r>
      <w:r>
        <w:t xml:space="preserve">sets out the </w:t>
      </w:r>
      <w:r w:rsidR="001719B2">
        <w:t xml:space="preserve">members of the </w:t>
      </w:r>
      <w:r>
        <w:t>project team</w:t>
      </w:r>
      <w:r w:rsidR="001719B2">
        <w:t>s</w:t>
      </w:r>
      <w:r>
        <w:t xml:space="preserve"> </w:t>
      </w:r>
      <w:r w:rsidR="001719B2">
        <w:t xml:space="preserve">and Advisory Panel; </w:t>
      </w:r>
      <w:r w:rsidR="006E75F9">
        <w:t>and</w:t>
      </w:r>
    </w:p>
    <w:p w14:paraId="44618338" w14:textId="5150C10A" w:rsidR="006E75F9" w:rsidRDefault="00D128A9" w:rsidP="006E75F9">
      <w:pPr>
        <w:pStyle w:val="ListBullet"/>
      </w:pPr>
      <w:r>
        <w:t>Appendix C provides an overview of the transportatio</w:t>
      </w:r>
      <w:r w:rsidR="006E75F9">
        <w:t>n services offered by pipelines.</w:t>
      </w:r>
    </w:p>
    <w:p w14:paraId="6BF3DA0D" w14:textId="3CBAC1C8" w:rsidR="00643282" w:rsidRPr="000463D7" w:rsidRDefault="00643282" w:rsidP="006E75F9">
      <w:pPr>
        <w:pStyle w:val="ListBullet"/>
        <w:numPr>
          <w:ilvl w:val="0"/>
          <w:numId w:val="0"/>
        </w:numPr>
        <w:rPr>
          <w:sz w:val="2"/>
          <w:szCs w:val="2"/>
        </w:rPr>
      </w:pPr>
    </w:p>
    <w:p w14:paraId="4346C58D" w14:textId="77777777" w:rsidR="006E75F9" w:rsidRDefault="006E75F9" w:rsidP="000463D7">
      <w:pPr>
        <w:pStyle w:val="ListBullet"/>
        <w:numPr>
          <w:ilvl w:val="0"/>
          <w:numId w:val="0"/>
        </w:numPr>
      </w:pPr>
      <w:r>
        <w:t>S</w:t>
      </w:r>
      <w:r w:rsidR="000463D7">
        <w:t>eparate attachment</w:t>
      </w:r>
      <w:r>
        <w:t>s</w:t>
      </w:r>
      <w:r w:rsidR="000463D7">
        <w:t xml:space="preserve"> </w:t>
      </w:r>
      <w:r>
        <w:t xml:space="preserve">have also </w:t>
      </w:r>
      <w:r w:rsidR="000463D7">
        <w:t>been prepared</w:t>
      </w:r>
      <w:r>
        <w:t xml:space="preserve">, with: </w:t>
      </w:r>
    </w:p>
    <w:p w14:paraId="312F8E7C" w14:textId="68BB37D0" w:rsidR="006E75F9" w:rsidRDefault="006E75F9" w:rsidP="006E75F9">
      <w:pPr>
        <w:pStyle w:val="ListBullet"/>
      </w:pPr>
      <w:r>
        <w:t xml:space="preserve">Attachment 1 containing </w:t>
      </w:r>
      <w:r w:rsidR="00D128A9">
        <w:t xml:space="preserve">a copy of the </w:t>
      </w:r>
      <w:r w:rsidR="000463D7">
        <w:t>proposed Operational GTA Code (this includes the standard terms and requirements for the facility specific terms</w:t>
      </w:r>
      <w:r w:rsidR="00B170D7">
        <w:t>)</w:t>
      </w:r>
      <w:r>
        <w:t>; and</w:t>
      </w:r>
    </w:p>
    <w:p w14:paraId="05011558" w14:textId="11D2C98D" w:rsidR="00D128A9" w:rsidRPr="00D128A9" w:rsidRDefault="006E75F9" w:rsidP="006E75F9">
      <w:pPr>
        <w:pStyle w:val="ListBullet"/>
        <w:rPr>
          <w:sz w:val="2"/>
          <w:szCs w:val="2"/>
        </w:rPr>
      </w:pPr>
      <w:r>
        <w:t>Attachment 2 containing a template that the GMRG encourages stakeholders to use to provide their feedback.</w:t>
      </w:r>
    </w:p>
    <w:p w14:paraId="159C84BF" w14:textId="77777777" w:rsidR="00911EAF" w:rsidRPr="0088374E" w:rsidRDefault="00911EAF" w:rsidP="0088374E">
      <w:pPr>
        <w:pStyle w:val="ListBullet"/>
        <w:rPr>
          <w:sz w:val="2"/>
          <w:szCs w:val="2"/>
        </w:rPr>
      </w:pPr>
      <w:r w:rsidRPr="0088374E">
        <w:rPr>
          <w:sz w:val="2"/>
          <w:szCs w:val="2"/>
        </w:rPr>
        <w:br w:type="page"/>
      </w:r>
    </w:p>
    <w:p w14:paraId="309D5A92" w14:textId="77777777" w:rsidR="00F23E45" w:rsidRDefault="00D73D6E" w:rsidP="00A86288">
      <w:pPr>
        <w:pStyle w:val="Heading1"/>
        <w:spacing w:before="0" w:after="80"/>
      </w:pPr>
      <w:bookmarkStart w:id="43" w:name="_Toc492524731"/>
      <w:bookmarkStart w:id="44" w:name="_Hlk487650137"/>
      <w:r>
        <w:lastRenderedPageBreak/>
        <w:t>Capacity Trading Reform Package</w:t>
      </w:r>
      <w:bookmarkEnd w:id="43"/>
    </w:p>
    <w:p w14:paraId="1FA85BF2" w14:textId="77777777" w:rsidR="00344A4A" w:rsidRPr="00344A4A" w:rsidRDefault="001326BD" w:rsidP="00F5362D">
      <w:pPr>
        <w:pStyle w:val="BodyText"/>
        <w:spacing w:before="120" w:line="252" w:lineRule="auto"/>
      </w:pPr>
      <w:r w:rsidRPr="00344A4A">
        <w:t xml:space="preserve">The capacity trading reform package was </w:t>
      </w:r>
      <w:r w:rsidR="00AC3BBB">
        <w:t xml:space="preserve">recommended </w:t>
      </w:r>
      <w:r w:rsidRPr="00344A4A">
        <w:t xml:space="preserve">by the AEMC </w:t>
      </w:r>
      <w:r w:rsidR="00AC3BBB">
        <w:t xml:space="preserve">in the </w:t>
      </w:r>
      <w:r w:rsidR="005E3347" w:rsidRPr="005E3347">
        <w:rPr>
          <w:i/>
        </w:rPr>
        <w:t>East Coast Review</w:t>
      </w:r>
      <w:r w:rsidRPr="00344A4A">
        <w:t xml:space="preserve"> and endorsed by the Energy Council at its 14 August 2016 meeting. </w:t>
      </w:r>
      <w:r w:rsidR="00AC3BBB">
        <w:t>T</w:t>
      </w:r>
      <w:r w:rsidRPr="00344A4A">
        <w:t xml:space="preserve">he objective of </w:t>
      </w:r>
      <w:r w:rsidR="00AC3BBB">
        <w:t>this reform package</w:t>
      </w:r>
      <w:r w:rsidRPr="00344A4A">
        <w:t xml:space="preserve"> is</w:t>
      </w:r>
      <w:r w:rsidR="00AC3BBB">
        <w:t>, as noted in Chapter 1,</w:t>
      </w:r>
      <w:r w:rsidRPr="00344A4A">
        <w:t xml:space="preserve"> to improve the efficiency with which transportation capacity is allocated and utilised on contract carriage transmission pipelines and to foster the development of a more liquid market for secondary capacity.</w:t>
      </w:r>
      <w:r w:rsidRPr="00344A4A">
        <w:rPr>
          <w:rStyle w:val="FootnoteReference"/>
          <w:rFonts w:eastAsiaTheme="majorEastAsia" w:cs="Arial"/>
        </w:rPr>
        <w:footnoteReference w:id="8"/>
      </w:r>
      <w:r w:rsidR="000D271C">
        <w:t xml:space="preserve"> </w:t>
      </w:r>
      <w:r w:rsidR="00344A4A" w:rsidRPr="00344A4A">
        <w:t xml:space="preserve">The remainder of this chapter provides further detail on: </w:t>
      </w:r>
    </w:p>
    <w:p w14:paraId="18DC22A4" w14:textId="77777777" w:rsidR="00344A4A" w:rsidRDefault="00344A4A" w:rsidP="00F5362D">
      <w:pPr>
        <w:pStyle w:val="ListBullet"/>
        <w:spacing w:line="252" w:lineRule="auto"/>
      </w:pPr>
      <w:r w:rsidRPr="00344A4A">
        <w:t xml:space="preserve">the key elements of the </w:t>
      </w:r>
      <w:r w:rsidR="00AC3BBB">
        <w:t xml:space="preserve">capacity trading </w:t>
      </w:r>
      <w:r w:rsidRPr="00344A4A">
        <w:t>reform package;</w:t>
      </w:r>
    </w:p>
    <w:p w14:paraId="5029AB3E" w14:textId="77777777" w:rsidR="00DA74CB" w:rsidRDefault="00DA74CB" w:rsidP="00F5362D">
      <w:pPr>
        <w:pStyle w:val="ListBullet"/>
        <w:spacing w:line="252" w:lineRule="auto"/>
      </w:pPr>
      <w:r>
        <w:t>how capacity can be procured under the new capacity trading framework;</w:t>
      </w:r>
    </w:p>
    <w:p w14:paraId="699B562B" w14:textId="77777777" w:rsidR="00344A4A" w:rsidRPr="00344A4A" w:rsidRDefault="007B1EFA" w:rsidP="00F5362D">
      <w:pPr>
        <w:pStyle w:val="ListBullet"/>
        <w:spacing w:line="252" w:lineRule="auto"/>
      </w:pPr>
      <w:r>
        <w:t xml:space="preserve">the </w:t>
      </w:r>
      <w:r w:rsidR="0083791B">
        <w:t xml:space="preserve">scope and objectives of the </w:t>
      </w:r>
      <w:r>
        <w:t xml:space="preserve">standardisation </w:t>
      </w:r>
      <w:r w:rsidR="00CC30F1">
        <w:t>reforms</w:t>
      </w:r>
      <w:r w:rsidR="00344A4A" w:rsidRPr="00344A4A">
        <w:t>; and</w:t>
      </w:r>
    </w:p>
    <w:p w14:paraId="07459800" w14:textId="77777777" w:rsidR="00717A36" w:rsidRPr="00344A4A" w:rsidRDefault="00344A4A" w:rsidP="00F5362D">
      <w:pPr>
        <w:pStyle w:val="ListBullet"/>
        <w:spacing w:line="252" w:lineRule="auto"/>
      </w:pPr>
      <w:r w:rsidRPr="00344A4A">
        <w:t xml:space="preserve">the assessment framework the GMRG intends to use when </w:t>
      </w:r>
      <w:r w:rsidR="00AC3BBB">
        <w:t xml:space="preserve">considering any design options and </w:t>
      </w:r>
      <w:r w:rsidR="00BC0977">
        <w:t xml:space="preserve">developing </w:t>
      </w:r>
      <w:r w:rsidRPr="00344A4A">
        <w:t xml:space="preserve">its final recommendations on </w:t>
      </w:r>
      <w:r w:rsidR="00AC3BBB">
        <w:t xml:space="preserve">the </w:t>
      </w:r>
      <w:r w:rsidRPr="00344A4A">
        <w:t xml:space="preserve">standardisation </w:t>
      </w:r>
      <w:r w:rsidR="00BC0977">
        <w:t>reforms</w:t>
      </w:r>
      <w:r w:rsidRPr="00344A4A">
        <w:t>.</w:t>
      </w:r>
    </w:p>
    <w:p w14:paraId="13E4EC74" w14:textId="77777777" w:rsidR="00717A36" w:rsidRDefault="00717A36" w:rsidP="00F5362D">
      <w:pPr>
        <w:pStyle w:val="Heading2"/>
        <w:spacing w:before="120" w:after="120" w:line="252" w:lineRule="auto"/>
      </w:pPr>
      <w:bookmarkStart w:id="45" w:name="_Toc492524732"/>
      <w:bookmarkEnd w:id="44"/>
      <w:r>
        <w:t>Key elements of the reform package</w:t>
      </w:r>
      <w:bookmarkEnd w:id="45"/>
    </w:p>
    <w:p w14:paraId="504FD74F" w14:textId="598E763E" w:rsidR="00344A4A" w:rsidRPr="00DB66D2" w:rsidRDefault="00344A4A" w:rsidP="00F5362D">
      <w:pPr>
        <w:pStyle w:val="BodyText"/>
        <w:spacing w:before="120" w:line="252" w:lineRule="auto"/>
      </w:pPr>
      <w:r w:rsidRPr="00DB66D2">
        <w:t>The capacity trad</w:t>
      </w:r>
      <w:r w:rsidR="00C67227" w:rsidRPr="00DB66D2">
        <w:t xml:space="preserve">ing reform package </w:t>
      </w:r>
      <w:r w:rsidR="00DA74CB">
        <w:t xml:space="preserve">(see </w:t>
      </w:r>
      <w:r w:rsidR="00DA74CB">
        <w:fldChar w:fldCharType="begin"/>
      </w:r>
      <w:r w:rsidR="00DA74CB">
        <w:instrText xml:space="preserve"> REF _Ref489529866 \h </w:instrText>
      </w:r>
      <w:r w:rsidR="00DA74CB">
        <w:fldChar w:fldCharType="separate"/>
      </w:r>
      <w:r w:rsidR="00947034">
        <w:t xml:space="preserve">Figure </w:t>
      </w:r>
      <w:r w:rsidR="00947034">
        <w:rPr>
          <w:noProof/>
        </w:rPr>
        <w:t>2</w:t>
      </w:r>
      <w:r w:rsidR="00947034">
        <w:t>.</w:t>
      </w:r>
      <w:r w:rsidR="00947034">
        <w:rPr>
          <w:noProof/>
        </w:rPr>
        <w:t>1</w:t>
      </w:r>
      <w:r w:rsidR="00DA74CB">
        <w:fldChar w:fldCharType="end"/>
      </w:r>
      <w:r w:rsidR="00DA74CB">
        <w:t xml:space="preserve">) </w:t>
      </w:r>
      <w:r w:rsidR="00AC3BBB">
        <w:t xml:space="preserve">that the Energy Council </w:t>
      </w:r>
      <w:r w:rsidR="00F030AF">
        <w:t xml:space="preserve">has </w:t>
      </w:r>
      <w:r w:rsidR="00AC3BBB">
        <w:t xml:space="preserve">agreed to implement </w:t>
      </w:r>
      <w:r w:rsidR="00C67227" w:rsidRPr="00DB66D2">
        <w:t>provides for the introduction of:</w:t>
      </w:r>
    </w:p>
    <w:p w14:paraId="2203E23E" w14:textId="77777777" w:rsidR="00344A4A" w:rsidRPr="00DB66D2" w:rsidRDefault="005F64AA" w:rsidP="00F5362D">
      <w:pPr>
        <w:pStyle w:val="ListBullet"/>
        <w:spacing w:before="60" w:after="60" w:line="252" w:lineRule="auto"/>
        <w:rPr>
          <w:rFonts w:cs="Arial"/>
        </w:rPr>
      </w:pPr>
      <w:r>
        <w:rPr>
          <w:rFonts w:cs="Arial"/>
          <w:b/>
        </w:rPr>
        <w:t>A</w:t>
      </w:r>
      <w:r w:rsidR="00450324">
        <w:rPr>
          <w:rFonts w:cs="Arial"/>
          <w:b/>
        </w:rPr>
        <w:t xml:space="preserve"> </w:t>
      </w:r>
      <w:r w:rsidR="00344A4A" w:rsidRPr="00450324">
        <w:rPr>
          <w:rFonts w:cs="Arial"/>
          <w:b/>
        </w:rPr>
        <w:t>capacity trading platform</w:t>
      </w:r>
      <w:r w:rsidR="00344A4A" w:rsidRPr="00DB66D2">
        <w:rPr>
          <w:rFonts w:cs="Arial"/>
        </w:rPr>
        <w:t xml:space="preserve"> that shippers can use to trade secondary transportation capacity </w:t>
      </w:r>
      <w:r w:rsidR="00CA5990">
        <w:rPr>
          <w:rFonts w:cs="Arial"/>
        </w:rPr>
        <w:t xml:space="preserve">prior to </w:t>
      </w:r>
      <w:r w:rsidR="00344A4A" w:rsidRPr="00DB66D2">
        <w:rPr>
          <w:rFonts w:cs="Arial"/>
        </w:rPr>
        <w:t xml:space="preserve">the nomination cut-off time </w:t>
      </w:r>
      <w:r w:rsidR="00CA5990">
        <w:rPr>
          <w:rFonts w:cs="Arial"/>
        </w:rPr>
        <w:t xml:space="preserve">on </w:t>
      </w:r>
      <w:r w:rsidR="00D128A9">
        <w:rPr>
          <w:rFonts w:cs="Arial"/>
        </w:rPr>
        <w:t xml:space="preserve">gas day D-1 (i.e. </w:t>
      </w:r>
      <w:r w:rsidR="006E4AD4">
        <w:rPr>
          <w:rFonts w:cs="Arial"/>
        </w:rPr>
        <w:t xml:space="preserve">the day before the </w:t>
      </w:r>
      <w:r w:rsidR="00CA5990">
        <w:rPr>
          <w:rFonts w:cs="Arial"/>
        </w:rPr>
        <w:t xml:space="preserve">gas </w:t>
      </w:r>
      <w:r w:rsidR="006E4AD4">
        <w:rPr>
          <w:rFonts w:cs="Arial"/>
        </w:rPr>
        <w:t>is due to be transported</w:t>
      </w:r>
      <w:r w:rsidR="00D128A9">
        <w:rPr>
          <w:rFonts w:cs="Arial"/>
        </w:rPr>
        <w:t>)</w:t>
      </w:r>
      <w:r w:rsidR="0014471B">
        <w:rPr>
          <w:rFonts w:cs="Arial"/>
        </w:rPr>
        <w:t xml:space="preserve">, which will consist of </w:t>
      </w:r>
      <w:r w:rsidR="00E86DB2">
        <w:rPr>
          <w:rFonts w:cs="Arial"/>
        </w:rPr>
        <w:t>both</w:t>
      </w:r>
      <w:r w:rsidR="00344A4A" w:rsidRPr="00DB66D2">
        <w:rPr>
          <w:rFonts w:cs="Arial"/>
        </w:rPr>
        <w:t xml:space="preserve">: </w:t>
      </w:r>
    </w:p>
    <w:p w14:paraId="0A0B379F" w14:textId="77777777" w:rsidR="00344A4A" w:rsidRPr="00C06892" w:rsidRDefault="00344A4A" w:rsidP="00F5362D">
      <w:pPr>
        <w:pStyle w:val="ListBullet2"/>
        <w:spacing w:before="60" w:after="60" w:line="252" w:lineRule="auto"/>
      </w:pPr>
      <w:r w:rsidRPr="00DB66D2">
        <w:t>an anonymous exchange mechanism that shippers can use to buy or sell com</w:t>
      </w:r>
      <w:r w:rsidRPr="00C06892">
        <w:t>monly traded transportation products</w:t>
      </w:r>
      <w:r w:rsidR="0014471B" w:rsidRPr="00C06892">
        <w:t xml:space="preserve">, such as firm forward haul services, stand-alone compression services and pipeline storage </w:t>
      </w:r>
      <w:r w:rsidR="00BF243C">
        <w:t xml:space="preserve">(park) </w:t>
      </w:r>
      <w:r w:rsidR="0014471B" w:rsidRPr="00C06892">
        <w:t>services</w:t>
      </w:r>
      <w:r w:rsidR="00D128A9">
        <w:t xml:space="preserve"> (see Appendix </w:t>
      </w:r>
      <w:r w:rsidR="005F64AA">
        <w:t>C</w:t>
      </w:r>
      <w:r w:rsidR="00D128A9">
        <w:t xml:space="preserve"> for more detail on these services)</w:t>
      </w:r>
      <w:r w:rsidRPr="00C06892">
        <w:t xml:space="preserve">; and </w:t>
      </w:r>
    </w:p>
    <w:p w14:paraId="6B619318" w14:textId="77777777" w:rsidR="00344A4A" w:rsidRPr="00C06892" w:rsidRDefault="00344A4A" w:rsidP="00F5362D">
      <w:pPr>
        <w:pStyle w:val="ListBullet2"/>
        <w:spacing w:before="60" w:after="60" w:line="252" w:lineRule="auto"/>
      </w:pPr>
      <w:r w:rsidRPr="00C06892">
        <w:t>a listing service that shippers can use to buy or sell more bespoke products</w:t>
      </w:r>
      <w:r w:rsidR="00CA5990" w:rsidRPr="00C06892">
        <w:t>.</w:t>
      </w:r>
      <w:r w:rsidRPr="00C06892">
        <w:t xml:space="preserve"> </w:t>
      </w:r>
    </w:p>
    <w:p w14:paraId="1954F2BD" w14:textId="77777777" w:rsidR="0014471B" w:rsidRPr="00C06892" w:rsidRDefault="0014471B" w:rsidP="00F5362D">
      <w:pPr>
        <w:pStyle w:val="ListBullet"/>
        <w:numPr>
          <w:ilvl w:val="0"/>
          <w:numId w:val="0"/>
        </w:numPr>
        <w:spacing w:line="252" w:lineRule="auto"/>
        <w:ind w:left="357"/>
        <w:rPr>
          <w:rFonts w:cs="Arial"/>
        </w:rPr>
      </w:pPr>
      <w:r w:rsidRPr="00C06892">
        <w:rPr>
          <w:rFonts w:cs="Arial"/>
        </w:rPr>
        <w:t>The trading platform</w:t>
      </w:r>
      <w:r w:rsidR="00F030AF">
        <w:rPr>
          <w:rFonts w:cs="Arial"/>
        </w:rPr>
        <w:t xml:space="preserve">, which will be operated </w:t>
      </w:r>
      <w:r w:rsidR="00BF243C">
        <w:rPr>
          <w:rFonts w:cs="Arial"/>
        </w:rPr>
        <w:t xml:space="preserve">and administered </w:t>
      </w:r>
      <w:r w:rsidR="00F030AF">
        <w:rPr>
          <w:rFonts w:cs="Arial"/>
        </w:rPr>
        <w:t>by AEMO and form part of the GSH trading exchange,</w:t>
      </w:r>
      <w:r w:rsidRPr="00C06892">
        <w:rPr>
          <w:rFonts w:cs="Arial"/>
        </w:rPr>
        <w:t xml:space="preserve"> is intended to reduce the search and transaction costs that shippers may otherwise face when </w:t>
      </w:r>
      <w:r w:rsidR="00176269" w:rsidRPr="00C06892">
        <w:rPr>
          <w:rFonts w:cs="Arial"/>
        </w:rPr>
        <w:t xml:space="preserve">trying to trade secondary capacity. </w:t>
      </w:r>
    </w:p>
    <w:p w14:paraId="6AF0E93D" w14:textId="77777777" w:rsidR="00176269" w:rsidRPr="00C06892" w:rsidRDefault="005F64AA" w:rsidP="00F5362D">
      <w:pPr>
        <w:pStyle w:val="ListBullet"/>
        <w:spacing w:before="60" w:after="60" w:line="252" w:lineRule="auto"/>
        <w:rPr>
          <w:rFonts w:cs="Arial"/>
        </w:rPr>
      </w:pPr>
      <w:r>
        <w:rPr>
          <w:rFonts w:cs="Arial"/>
          <w:b/>
        </w:rPr>
        <w:t>A</w:t>
      </w:r>
      <w:r w:rsidR="00344A4A" w:rsidRPr="00450324">
        <w:rPr>
          <w:rFonts w:cs="Arial"/>
          <w:b/>
        </w:rPr>
        <w:t xml:space="preserve"> day-ahead auction of contracted but un-nominated transportation capacity</w:t>
      </w:r>
      <w:r w:rsidR="00C67227" w:rsidRPr="00C06892">
        <w:rPr>
          <w:rFonts w:cs="Arial"/>
        </w:rPr>
        <w:t xml:space="preserve"> that will be </w:t>
      </w:r>
      <w:r w:rsidR="00344A4A" w:rsidRPr="00C06892">
        <w:rPr>
          <w:rFonts w:cs="Arial"/>
        </w:rPr>
        <w:t xml:space="preserve">conducted </w:t>
      </w:r>
      <w:r w:rsidR="00176269" w:rsidRPr="00C06892">
        <w:rPr>
          <w:rFonts w:cs="Arial"/>
        </w:rPr>
        <w:t xml:space="preserve">on designated pipelines </w:t>
      </w:r>
      <w:r w:rsidR="00344A4A" w:rsidRPr="00C06892">
        <w:rPr>
          <w:rFonts w:cs="Arial"/>
        </w:rPr>
        <w:t xml:space="preserve">shortly after nomination cut-off </w:t>
      </w:r>
      <w:r>
        <w:rPr>
          <w:rFonts w:cs="Arial"/>
        </w:rPr>
        <w:t xml:space="preserve">on gas day D-1 </w:t>
      </w:r>
      <w:r w:rsidR="00344A4A" w:rsidRPr="00C06892">
        <w:rPr>
          <w:rFonts w:cs="Arial"/>
        </w:rPr>
        <w:t>and subject to a reserve price of zero (with compressor fuel provided in-kind by shippers)</w:t>
      </w:r>
      <w:r w:rsidR="00CA5990" w:rsidRPr="00C06892">
        <w:rPr>
          <w:rFonts w:cs="Arial"/>
        </w:rPr>
        <w:t xml:space="preserve">. </w:t>
      </w:r>
      <w:r w:rsidR="00176269" w:rsidRPr="00C06892">
        <w:rPr>
          <w:rFonts w:cs="Arial"/>
        </w:rPr>
        <w:t xml:space="preserve"> </w:t>
      </w:r>
      <w:r w:rsidR="00176269" w:rsidRPr="00C06892">
        <w:t>The objective of the day-ahead auction is</w:t>
      </w:r>
      <w:r w:rsidR="000B22FB">
        <w:t>, as the AEMC noted,</w:t>
      </w:r>
      <w:r w:rsidR="00C06892">
        <w:t xml:space="preserve"> </w:t>
      </w:r>
      <w:r w:rsidR="00176269" w:rsidRPr="00C06892">
        <w:t>to:</w:t>
      </w:r>
      <w:r w:rsidR="00176269" w:rsidRPr="00C06892">
        <w:rPr>
          <w:rStyle w:val="FootnoteReference"/>
        </w:rPr>
        <w:footnoteReference w:id="9"/>
      </w:r>
      <w:r w:rsidR="00176269" w:rsidRPr="00C06892">
        <w:t xml:space="preserve"> </w:t>
      </w:r>
    </w:p>
    <w:p w14:paraId="3730CC49" w14:textId="07076501" w:rsidR="00176269" w:rsidRPr="00C06892" w:rsidRDefault="00176269" w:rsidP="00F5362D">
      <w:pPr>
        <w:pStyle w:val="ListBullet2"/>
        <w:spacing w:before="60" w:after="60" w:line="252" w:lineRule="auto"/>
        <w:rPr>
          <w:rFonts w:cs="Arial"/>
        </w:rPr>
      </w:pPr>
      <w:r w:rsidRPr="00C06892">
        <w:t xml:space="preserve">encourage capacity holders to sell any spare capacity they may have on the trading platform prior to the nomination cut-off time by allowing the </w:t>
      </w:r>
      <w:r w:rsidR="00852D52">
        <w:t xml:space="preserve">service provider </w:t>
      </w:r>
      <w:r w:rsidRPr="00C06892">
        <w:t>to retain the auction proceeds; and</w:t>
      </w:r>
    </w:p>
    <w:p w14:paraId="6619E190" w14:textId="558EEEEB" w:rsidR="00344A4A" w:rsidRPr="00F030AF" w:rsidRDefault="00176269" w:rsidP="00F5362D">
      <w:pPr>
        <w:pStyle w:val="ListBullet2"/>
        <w:spacing w:before="60" w:after="60" w:line="252" w:lineRule="auto"/>
        <w:rPr>
          <w:rFonts w:cs="Arial"/>
        </w:rPr>
      </w:pPr>
      <w:proofErr w:type="gramStart"/>
      <w:r w:rsidRPr="00C06892">
        <w:t>pose</w:t>
      </w:r>
      <w:proofErr w:type="gramEnd"/>
      <w:r w:rsidRPr="00C06892">
        <w:t xml:space="preserve"> a constraint on the ability of </w:t>
      </w:r>
      <w:r w:rsidR="00852D52">
        <w:t xml:space="preserve">service providers </w:t>
      </w:r>
      <w:r w:rsidRPr="00C06892">
        <w:t xml:space="preserve">to sell day-ahead capacity at prices in excess of what would </w:t>
      </w:r>
      <w:r w:rsidR="005F64AA">
        <w:t xml:space="preserve">prevail </w:t>
      </w:r>
      <w:r w:rsidRPr="00C06892">
        <w:t xml:space="preserve">in a workably competitive market by adopting a zero reserve price and allowing the market </w:t>
      </w:r>
      <w:r w:rsidR="005F64AA">
        <w:t xml:space="preserve">to </w:t>
      </w:r>
      <w:r w:rsidRPr="00C06892">
        <w:t xml:space="preserve">determine the value. </w:t>
      </w:r>
    </w:p>
    <w:p w14:paraId="09EF3160" w14:textId="77777777" w:rsidR="00F030AF" w:rsidRDefault="00F030AF" w:rsidP="00F85F7D">
      <w:pPr>
        <w:pStyle w:val="ListBullet2"/>
        <w:numPr>
          <w:ilvl w:val="0"/>
          <w:numId w:val="0"/>
        </w:numPr>
        <w:spacing w:line="252" w:lineRule="auto"/>
        <w:ind w:left="357"/>
      </w:pPr>
      <w:r>
        <w:t>The day-ahead auction</w:t>
      </w:r>
      <w:r w:rsidR="00036C8E">
        <w:t xml:space="preserve"> </w:t>
      </w:r>
      <w:r>
        <w:t xml:space="preserve">will be operated </w:t>
      </w:r>
      <w:r w:rsidR="00036C8E">
        <w:t xml:space="preserve">and administered </w:t>
      </w:r>
      <w:r>
        <w:t>by AEMO</w:t>
      </w:r>
      <w:r w:rsidR="00036C8E">
        <w:t>.</w:t>
      </w:r>
      <w:r>
        <w:t xml:space="preserve"> </w:t>
      </w:r>
    </w:p>
    <w:p w14:paraId="3845DE1B" w14:textId="77777777" w:rsidR="00F5362D" w:rsidRPr="00C06892" w:rsidRDefault="00F5362D" w:rsidP="00F85F7D">
      <w:pPr>
        <w:pStyle w:val="BodyText"/>
        <w:spacing w:before="60" w:after="60" w:line="252" w:lineRule="auto"/>
      </w:pPr>
      <w:r>
        <w:t>T</w:t>
      </w:r>
      <w:r w:rsidRPr="00C06892">
        <w:t xml:space="preserve">he reform package also provides for the </w:t>
      </w:r>
      <w:r>
        <w:t xml:space="preserve">implementation </w:t>
      </w:r>
      <w:r w:rsidRPr="00C06892">
        <w:t>of:</w:t>
      </w:r>
    </w:p>
    <w:p w14:paraId="6B668E6B" w14:textId="77777777" w:rsidR="00F5362D" w:rsidRDefault="00F5362D" w:rsidP="00F85F7D">
      <w:pPr>
        <w:pStyle w:val="ListBullet"/>
        <w:spacing w:before="60" w:after="60"/>
      </w:pPr>
      <w:r>
        <w:t>a range of standardisation related reforms, which are intended to facilitate a greater level of secondary capacity trading</w:t>
      </w:r>
      <w:r w:rsidRPr="00C06892">
        <w:t>; and</w:t>
      </w:r>
    </w:p>
    <w:p w14:paraId="58728C31" w14:textId="77777777" w:rsidR="00F5362D" w:rsidRPr="006E4AD4" w:rsidRDefault="00F5362D" w:rsidP="00A5684F">
      <w:pPr>
        <w:pStyle w:val="ListBullet"/>
        <w:spacing w:before="60" w:after="0"/>
      </w:pPr>
      <w:r w:rsidRPr="006E4AD4">
        <w:t>a reporting framework for secondary capacity trades, which is intended to reduce information asymmetries and aid the price discovery process.</w:t>
      </w:r>
    </w:p>
    <w:p w14:paraId="3D790E3D" w14:textId="77777777" w:rsidR="00F5362D" w:rsidRDefault="00F5362D" w:rsidP="00A5684F">
      <w:pPr>
        <w:pStyle w:val="ListBullet2"/>
        <w:numPr>
          <w:ilvl w:val="0"/>
          <w:numId w:val="0"/>
        </w:numPr>
        <w:spacing w:after="0"/>
        <w:ind w:left="357"/>
        <w:rPr>
          <w:highlight w:val="yellow"/>
        </w:rPr>
        <w:sectPr w:rsidR="00F5362D" w:rsidSect="00CF1252">
          <w:headerReference w:type="default" r:id="rId22"/>
          <w:footerReference w:type="default" r:id="rId23"/>
          <w:pgSz w:w="11907" w:h="16840" w:code="9"/>
          <w:pgMar w:top="714" w:right="1418" w:bottom="992" w:left="1701" w:header="425" w:footer="397" w:gutter="0"/>
          <w:cols w:space="708"/>
          <w:docGrid w:linePitch="360"/>
        </w:sectPr>
      </w:pPr>
    </w:p>
    <w:p w14:paraId="68241D37" w14:textId="33412BBB" w:rsidR="003917DE" w:rsidRDefault="00C57FAE" w:rsidP="008C568B">
      <w:pPr>
        <w:pStyle w:val="Caption"/>
        <w:spacing w:before="0" w:after="0"/>
        <w:ind w:left="851"/>
        <w:rPr>
          <w:noProof/>
        </w:rPr>
      </w:pPr>
      <w:bookmarkStart w:id="46" w:name="_Ref489529866"/>
      <w:r>
        <w:lastRenderedPageBreak/>
        <w:t xml:space="preserve">Figure </w:t>
      </w:r>
      <w:r w:rsidR="00926D7E">
        <w:fldChar w:fldCharType="begin"/>
      </w:r>
      <w:r w:rsidR="00926D7E">
        <w:instrText xml:space="preserve"> STYLEREF 1 \s </w:instrText>
      </w:r>
      <w:r w:rsidR="00926D7E">
        <w:fldChar w:fldCharType="separate"/>
      </w:r>
      <w:r w:rsidR="00947034">
        <w:rPr>
          <w:noProof/>
        </w:rPr>
        <w:t>2</w:t>
      </w:r>
      <w:r w:rsidR="00926D7E">
        <w:rPr>
          <w:noProof/>
        </w:rPr>
        <w:fldChar w:fldCharType="end"/>
      </w:r>
      <w:r w:rsidR="00446B58">
        <w:t>.</w:t>
      </w:r>
      <w:r w:rsidR="00926D7E">
        <w:fldChar w:fldCharType="begin"/>
      </w:r>
      <w:r w:rsidR="00926D7E">
        <w:instrText xml:space="preserve"> SEQ Figure \* ARABIC \s 1 </w:instrText>
      </w:r>
      <w:r w:rsidR="00926D7E">
        <w:fldChar w:fldCharType="separate"/>
      </w:r>
      <w:r w:rsidR="00947034">
        <w:rPr>
          <w:noProof/>
        </w:rPr>
        <w:t>1</w:t>
      </w:r>
      <w:r w:rsidR="00926D7E">
        <w:rPr>
          <w:noProof/>
        </w:rPr>
        <w:fldChar w:fldCharType="end"/>
      </w:r>
      <w:bookmarkEnd w:id="46"/>
      <w:r>
        <w:t>: Capacity trading reform package</w:t>
      </w:r>
    </w:p>
    <w:p w14:paraId="4C81A5C4" w14:textId="77777777" w:rsidR="00F42C15" w:rsidRDefault="00BD4162" w:rsidP="003917DE">
      <w:pPr>
        <w:pStyle w:val="BodyText"/>
        <w:spacing w:before="0" w:after="0" w:line="240" w:lineRule="auto"/>
      </w:pPr>
      <w:r>
        <w:rPr>
          <w:noProof/>
        </w:rPr>
        <w:drawing>
          <wp:inline distT="0" distB="0" distL="0" distR="0" wp14:anchorId="5915A7F8" wp14:editId="4489DA9E">
            <wp:extent cx="8629650" cy="5044871"/>
            <wp:effectExtent l="0" t="0" r="0" b="3810"/>
            <wp:docPr id="4" name="Picture 4" descr="Overview of capacity trading reform package" title="Figure 2.1: Capacity trading reform pack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634626" cy="5047780"/>
                    </a:xfrm>
                    <a:prstGeom prst="rect">
                      <a:avLst/>
                    </a:prstGeom>
                    <a:noFill/>
                  </pic:spPr>
                </pic:pic>
              </a:graphicData>
            </a:graphic>
          </wp:inline>
        </w:drawing>
      </w:r>
    </w:p>
    <w:p w14:paraId="24C1216D" w14:textId="77777777" w:rsidR="007113CC" w:rsidRPr="003917DE" w:rsidRDefault="007113CC" w:rsidP="003917DE">
      <w:pPr>
        <w:pStyle w:val="BodyText"/>
        <w:spacing w:before="0" w:after="0" w:line="240" w:lineRule="auto"/>
        <w:sectPr w:rsidR="007113CC" w:rsidRPr="003917DE" w:rsidSect="00CF1252">
          <w:pgSz w:w="16839" w:h="11907" w:orient="landscape" w:code="9"/>
          <w:pgMar w:top="1361" w:right="1417" w:bottom="851" w:left="2268" w:header="567" w:footer="397" w:gutter="0"/>
          <w:cols w:space="708"/>
          <w:docGrid w:linePitch="360"/>
        </w:sectPr>
      </w:pPr>
    </w:p>
    <w:p w14:paraId="202C288B" w14:textId="50C3C0F2" w:rsidR="00D12D36" w:rsidRDefault="00D128A9" w:rsidP="006E4AD4">
      <w:pPr>
        <w:pStyle w:val="BodyText"/>
      </w:pPr>
      <w:r>
        <w:lastRenderedPageBreak/>
        <w:t>T</w:t>
      </w:r>
      <w:r w:rsidR="00CB3E76">
        <w:t>he capacity trading reforms will, in effect, result in the implementation of a new access regime for secondary capacity, which will impose new obligations on service providers (i.e. pipeline operators and the operators of compress</w:t>
      </w:r>
      <w:r>
        <w:t xml:space="preserve">ors) as well as </w:t>
      </w:r>
      <w:r w:rsidR="00CB3E76">
        <w:t xml:space="preserve">primary and secondary shippers. </w:t>
      </w:r>
      <w:r>
        <w:t xml:space="preserve">To give effect to these </w:t>
      </w:r>
      <w:r w:rsidR="00326269">
        <w:t>new obligations and the reform package more generally</w:t>
      </w:r>
      <w:r>
        <w:t>, a</w:t>
      </w:r>
      <w:r w:rsidR="00CB3E76">
        <w:t xml:space="preserve">mendments </w:t>
      </w:r>
      <w:r>
        <w:t xml:space="preserve">will need to be made </w:t>
      </w:r>
      <w:r w:rsidR="00CB3E76">
        <w:t xml:space="preserve">to the NGL, NGR, </w:t>
      </w:r>
      <w:r w:rsidR="00522628">
        <w:t>the r</w:t>
      </w:r>
      <w:r w:rsidR="00CB3E76">
        <w:t xml:space="preserve">egulations </w:t>
      </w:r>
      <w:r w:rsidR="00522628">
        <w:t xml:space="preserve">made under the NGL </w:t>
      </w:r>
      <w:r w:rsidR="00CB3E76">
        <w:t>and the GSH Exchange Agreement and a number of new subordinate instruments will need to be developed.  The function</w:t>
      </w:r>
      <w:r w:rsidR="00CB3E76" w:rsidRPr="00D12D36">
        <w:t xml:space="preserve">s and powers of AEMO, the Australian Energy Regulator (AER) and the AEMC will also need to be expanded. </w:t>
      </w:r>
      <w:r w:rsidR="00D12D36" w:rsidRPr="00D12D36">
        <w:t xml:space="preserve"> </w:t>
      </w:r>
      <w:r w:rsidR="002D30F2" w:rsidRPr="00D12D36">
        <w:t>Subject to the passage of amendments to the NGL, the NGR and subordinate instruments, the capacity trading reforms are expected to be implemented in 2018-19.</w:t>
      </w:r>
    </w:p>
    <w:p w14:paraId="591C1D15" w14:textId="77777777" w:rsidR="00DA74CB" w:rsidRDefault="00DA74CB" w:rsidP="00DA74CB">
      <w:pPr>
        <w:pStyle w:val="Heading2"/>
      </w:pPr>
      <w:bookmarkStart w:id="47" w:name="_Toc492524733"/>
      <w:r>
        <w:t>How secondary capacity can be procured under the new framework</w:t>
      </w:r>
      <w:bookmarkEnd w:id="47"/>
    </w:p>
    <w:p w14:paraId="26949E80" w14:textId="4861DA38" w:rsidR="00003094" w:rsidRDefault="00D12D36" w:rsidP="00D12D36">
      <w:pPr>
        <w:pStyle w:val="BodyText"/>
      </w:pPr>
      <w:r>
        <w:t xml:space="preserve">Once the </w:t>
      </w:r>
      <w:r w:rsidR="00BD4162">
        <w:t>reform package</w:t>
      </w:r>
      <w:r w:rsidR="00FE74E7">
        <w:t xml:space="preserve"> is implemented</w:t>
      </w:r>
      <w:r w:rsidR="00BD4162">
        <w:t>, shipper</w:t>
      </w:r>
      <w:r w:rsidR="00FE74E7">
        <w:t>s</w:t>
      </w:r>
      <w:r w:rsidR="00BD4162">
        <w:t xml:space="preserve"> </w:t>
      </w:r>
      <w:r w:rsidR="00BF243C">
        <w:t xml:space="preserve">that want to </w:t>
      </w:r>
      <w:r w:rsidR="00F5362D">
        <w:t xml:space="preserve">buy or sell secondary </w:t>
      </w:r>
      <w:r w:rsidR="00BF243C">
        <w:t xml:space="preserve">capacity will be able to </w:t>
      </w:r>
      <w:r w:rsidR="00003094">
        <w:t xml:space="preserve">have recourse to </w:t>
      </w:r>
      <w:r w:rsidR="00BF243C">
        <w:t>either</w:t>
      </w:r>
      <w:r w:rsidR="00003094">
        <w:t>:</w:t>
      </w:r>
      <w:r w:rsidR="00003094">
        <w:rPr>
          <w:rStyle w:val="FootnoteReference"/>
        </w:rPr>
        <w:footnoteReference w:id="10"/>
      </w:r>
      <w:r w:rsidR="00BF243C">
        <w:t xml:space="preserve"> </w:t>
      </w:r>
    </w:p>
    <w:p w14:paraId="2E914F3F" w14:textId="77777777" w:rsidR="00003094" w:rsidRDefault="00BF243C" w:rsidP="00003094">
      <w:pPr>
        <w:pStyle w:val="ListBullet"/>
      </w:pPr>
      <w:r w:rsidRPr="00F5362D">
        <w:rPr>
          <w:b/>
        </w:rPr>
        <w:t xml:space="preserve">the exchange component of </w:t>
      </w:r>
      <w:r w:rsidR="00F5362D" w:rsidRPr="00F5362D">
        <w:rPr>
          <w:b/>
        </w:rPr>
        <w:t>the GSH</w:t>
      </w:r>
      <w:r w:rsidR="00F5362D">
        <w:rPr>
          <w:b/>
        </w:rPr>
        <w:t xml:space="preserve"> </w:t>
      </w:r>
      <w:r w:rsidR="00F5362D">
        <w:t xml:space="preserve">– the exchange </w:t>
      </w:r>
      <w:r w:rsidR="00003094">
        <w:t xml:space="preserve">will be used to facilitate the trade of </w:t>
      </w:r>
      <w:r>
        <w:t xml:space="preserve">standardised </w:t>
      </w:r>
      <w:r w:rsidR="00003094">
        <w:t xml:space="preserve">transportation </w:t>
      </w:r>
      <w:r>
        <w:t>products</w:t>
      </w:r>
      <w:r w:rsidR="00003094">
        <w:t xml:space="preserve"> (e.g. day-ahead, daily, weekly, monthly and quarterly firm forward haul, compression and park products) </w:t>
      </w:r>
      <w:r w:rsidR="00DA74CB">
        <w:t>through either screen trading or the pre-matched trade service</w:t>
      </w:r>
      <w:r w:rsidR="00003094">
        <w:t>;</w:t>
      </w:r>
      <w:r w:rsidR="00ED6275" w:rsidRPr="00ED6275">
        <w:rPr>
          <w:rStyle w:val="FootnoteReference"/>
        </w:rPr>
        <w:t xml:space="preserve"> </w:t>
      </w:r>
      <w:r w:rsidR="00ED6275">
        <w:rPr>
          <w:rStyle w:val="FootnoteReference"/>
        </w:rPr>
        <w:footnoteReference w:id="11"/>
      </w:r>
      <w:r>
        <w:t xml:space="preserve"> or </w:t>
      </w:r>
    </w:p>
    <w:p w14:paraId="1799E6F3" w14:textId="7DA9560A" w:rsidR="00BD4162" w:rsidRDefault="00BF243C" w:rsidP="00003094">
      <w:pPr>
        <w:pStyle w:val="ListBullet"/>
      </w:pPr>
      <w:r w:rsidRPr="00F5362D">
        <w:rPr>
          <w:b/>
        </w:rPr>
        <w:t xml:space="preserve">the listing service </w:t>
      </w:r>
      <w:r w:rsidR="00003094" w:rsidRPr="00F5362D">
        <w:rPr>
          <w:b/>
        </w:rPr>
        <w:t xml:space="preserve">component of the </w:t>
      </w:r>
      <w:r w:rsidR="00CE7A4F" w:rsidRPr="00F5362D">
        <w:rPr>
          <w:b/>
        </w:rPr>
        <w:t>GSH</w:t>
      </w:r>
      <w:r w:rsidR="00F5362D">
        <w:rPr>
          <w:b/>
        </w:rPr>
        <w:t xml:space="preserve"> </w:t>
      </w:r>
      <w:r w:rsidR="00F5362D">
        <w:t xml:space="preserve">– the listing service </w:t>
      </w:r>
      <w:r w:rsidR="00003094">
        <w:t xml:space="preserve">will be used to facilitate the trade of more bespoke transportation products through bilateral (off-market) trades. </w:t>
      </w:r>
    </w:p>
    <w:p w14:paraId="063DC190" w14:textId="1F8E2AA9" w:rsidR="008251A7" w:rsidRDefault="00003094" w:rsidP="00A874AB">
      <w:pPr>
        <w:pStyle w:val="BodyText"/>
      </w:pPr>
      <w:r>
        <w:t xml:space="preserve">Shippers may also be able to procure day-ahead </w:t>
      </w:r>
      <w:r w:rsidR="00CE7A4F">
        <w:t xml:space="preserve">standardised </w:t>
      </w:r>
      <w:r>
        <w:t xml:space="preserve">capacity </w:t>
      </w:r>
      <w:r w:rsidR="00CE7A4F">
        <w:t xml:space="preserve">products </w:t>
      </w:r>
      <w:r>
        <w:t xml:space="preserve">through the auction on those pipelines and other facilities that will be subject to the auction. </w:t>
      </w:r>
    </w:p>
    <w:p w14:paraId="3A5B81C9" w14:textId="1EBFB6F5" w:rsidR="009C1501" w:rsidRDefault="009C1501" w:rsidP="009C1501">
      <w:pPr>
        <w:pStyle w:val="BodyText"/>
        <w:spacing w:after="60"/>
      </w:pPr>
      <w:r>
        <w:t xml:space="preserve">Before utilising the capacity trading platform exchange or the day-ahead auction, shippers will need to enter into agreements with AEMO. Secondary shippers will also need to enter into a number of other contractual arrangements to utilise the capacity procured through the GSH or the auction. </w:t>
      </w:r>
      <w:r>
        <w:fldChar w:fldCharType="begin"/>
      </w:r>
      <w:r>
        <w:instrText xml:space="preserve"> REF _Ref491410701 \h </w:instrText>
      </w:r>
      <w:r>
        <w:fldChar w:fldCharType="separate"/>
      </w:r>
      <w:r w:rsidR="00947034">
        <w:t xml:space="preserve">Figure </w:t>
      </w:r>
      <w:r w:rsidR="00947034">
        <w:rPr>
          <w:noProof/>
        </w:rPr>
        <w:t>2</w:t>
      </w:r>
      <w:r w:rsidR="00947034">
        <w:t>.</w:t>
      </w:r>
      <w:r w:rsidR="00947034">
        <w:rPr>
          <w:noProof/>
        </w:rPr>
        <w:t>2</w:t>
      </w:r>
      <w:r>
        <w:fldChar w:fldCharType="end"/>
      </w:r>
      <w:r>
        <w:t xml:space="preserve"> provides an overview of the contractual architecture that will underpin the reforms, while </w:t>
      </w:r>
      <w:r>
        <w:fldChar w:fldCharType="begin"/>
      </w:r>
      <w:r>
        <w:instrText xml:space="preserve"> REF _Ref491414461 \h </w:instrText>
      </w:r>
      <w:r>
        <w:fldChar w:fldCharType="separate"/>
      </w:r>
      <w:r w:rsidR="00947034">
        <w:t xml:space="preserve">Table </w:t>
      </w:r>
      <w:r w:rsidR="00947034">
        <w:rPr>
          <w:noProof/>
        </w:rPr>
        <w:t>2</w:t>
      </w:r>
      <w:r w:rsidR="00947034">
        <w:t>.</w:t>
      </w:r>
      <w:r w:rsidR="00947034">
        <w:rPr>
          <w:noProof/>
        </w:rPr>
        <w:t>1</w:t>
      </w:r>
      <w:r>
        <w:fldChar w:fldCharType="end"/>
      </w:r>
      <w:r>
        <w:t xml:space="preserve"> provides more detail on the arrangements shippers will need to have in place.</w:t>
      </w:r>
    </w:p>
    <w:p w14:paraId="13768B24" w14:textId="77777777" w:rsidR="009C1501" w:rsidRDefault="009C1501" w:rsidP="002D30F2">
      <w:pPr>
        <w:pStyle w:val="BodyText"/>
      </w:pPr>
    </w:p>
    <w:p w14:paraId="7F62895F" w14:textId="77777777" w:rsidR="002D30F2" w:rsidRDefault="002D30F2" w:rsidP="00A874AB">
      <w:pPr>
        <w:pStyle w:val="BodyText"/>
      </w:pPr>
    </w:p>
    <w:p w14:paraId="240BE0A3" w14:textId="77777777" w:rsidR="00A874AB" w:rsidRDefault="00A874AB" w:rsidP="00036C8E">
      <w:pPr>
        <w:pStyle w:val="BodyText"/>
        <w:spacing w:before="120"/>
        <w:sectPr w:rsidR="00A874AB" w:rsidSect="00CF1252">
          <w:headerReference w:type="default" r:id="rId25"/>
          <w:footerReference w:type="default" r:id="rId26"/>
          <w:pgSz w:w="11907" w:h="16840" w:code="9"/>
          <w:pgMar w:top="714" w:right="1418" w:bottom="992" w:left="1701" w:header="425" w:footer="397" w:gutter="0"/>
          <w:cols w:space="708"/>
          <w:docGrid w:linePitch="360"/>
        </w:sectPr>
      </w:pPr>
    </w:p>
    <w:p w14:paraId="76B580FD" w14:textId="3389640D" w:rsidR="00A874AB" w:rsidRDefault="00A874AB" w:rsidP="00776D33">
      <w:pPr>
        <w:pStyle w:val="Caption"/>
        <w:spacing w:before="0" w:after="0"/>
        <w:ind w:left="142"/>
        <w:rPr>
          <w:noProof/>
        </w:rPr>
      </w:pPr>
      <w:bookmarkStart w:id="48" w:name="_Ref491410701"/>
      <w:r>
        <w:lastRenderedPageBreak/>
        <w:t xml:space="preserve">Figure </w:t>
      </w:r>
      <w:r w:rsidR="00926D7E">
        <w:fldChar w:fldCharType="begin"/>
      </w:r>
      <w:r w:rsidR="00926D7E">
        <w:instrText xml:space="preserve"> STYLEREF 1 \s </w:instrText>
      </w:r>
      <w:r w:rsidR="00926D7E">
        <w:fldChar w:fldCharType="separate"/>
      </w:r>
      <w:r w:rsidR="00947034">
        <w:rPr>
          <w:noProof/>
        </w:rPr>
        <w:t>2</w:t>
      </w:r>
      <w:r w:rsidR="00926D7E">
        <w:rPr>
          <w:noProof/>
        </w:rPr>
        <w:fldChar w:fldCharType="end"/>
      </w:r>
      <w:r w:rsidR="00446B58">
        <w:t>.</w:t>
      </w:r>
      <w:r w:rsidR="00926D7E">
        <w:fldChar w:fldCharType="begin"/>
      </w:r>
      <w:r w:rsidR="00926D7E">
        <w:instrText xml:space="preserve"> SEQ Figure \* ARABIC \s 1 </w:instrText>
      </w:r>
      <w:r w:rsidR="00926D7E">
        <w:fldChar w:fldCharType="separate"/>
      </w:r>
      <w:r w:rsidR="00947034">
        <w:rPr>
          <w:noProof/>
        </w:rPr>
        <w:t>2</w:t>
      </w:r>
      <w:r w:rsidR="00926D7E">
        <w:rPr>
          <w:noProof/>
        </w:rPr>
        <w:fldChar w:fldCharType="end"/>
      </w:r>
      <w:bookmarkEnd w:id="48"/>
      <w:r>
        <w:t>: Contractual architecture underpinning the capacity trading platform and auction</w:t>
      </w:r>
    </w:p>
    <w:p w14:paraId="2C225775" w14:textId="403A4D17" w:rsidR="00A874AB" w:rsidRDefault="0043556F" w:rsidP="00776D33">
      <w:pPr>
        <w:pStyle w:val="BodyText"/>
        <w:spacing w:before="0"/>
        <w:rPr>
          <w:noProof/>
        </w:rPr>
      </w:pPr>
      <w:r>
        <w:rPr>
          <w:noProof/>
        </w:rPr>
        <w:drawing>
          <wp:inline distT="0" distB="0" distL="0" distR="0" wp14:anchorId="223301CA" wp14:editId="69781955">
            <wp:extent cx="8900795" cy="5304155"/>
            <wp:effectExtent l="0" t="0" r="0" b="0"/>
            <wp:docPr id="17" name="Picture 17" descr="Image of contractual architecture underpinning the capacity trading platform and auction" title="Figure 2.2: Contractual architecture underpinning the capacity trading platform and 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900795" cy="5304155"/>
                    </a:xfrm>
                    <a:prstGeom prst="rect">
                      <a:avLst/>
                    </a:prstGeom>
                    <a:noFill/>
                  </pic:spPr>
                </pic:pic>
              </a:graphicData>
            </a:graphic>
          </wp:inline>
        </w:drawing>
      </w:r>
    </w:p>
    <w:p w14:paraId="6E2390E6" w14:textId="77777777" w:rsidR="0043556F" w:rsidRDefault="0043556F" w:rsidP="00776D33">
      <w:pPr>
        <w:pStyle w:val="BodyText"/>
        <w:spacing w:before="0"/>
        <w:sectPr w:rsidR="0043556F" w:rsidSect="00CF1252">
          <w:pgSz w:w="16839" w:h="11907" w:orient="landscape" w:code="9"/>
          <w:pgMar w:top="1361" w:right="1417" w:bottom="992" w:left="2268" w:header="567" w:footer="397" w:gutter="0"/>
          <w:cols w:space="708"/>
          <w:docGrid w:linePitch="360"/>
        </w:sectPr>
      </w:pPr>
    </w:p>
    <w:tbl>
      <w:tblPr>
        <w:tblStyle w:val="TableGrid"/>
        <w:tblW w:w="5242" w:type="pct"/>
        <w:tblLayout w:type="fixed"/>
        <w:tblLook w:val="0420" w:firstRow="1" w:lastRow="0" w:firstColumn="0" w:lastColumn="0" w:noHBand="0" w:noVBand="1"/>
        <w:tblCaption w:val="Table 2.1: Arrangements shippers will require to access capacity trading measures"/>
        <w:tblDescription w:val="Arrangements shippers will require to access capacity trading measures"/>
      </w:tblPr>
      <w:tblGrid>
        <w:gridCol w:w="1417"/>
        <w:gridCol w:w="7796"/>
      </w:tblGrid>
      <w:tr w:rsidR="00393162" w:rsidRPr="00DF2510" w14:paraId="49EBD50D" w14:textId="77777777" w:rsidTr="00393162">
        <w:trPr>
          <w:cnfStyle w:val="100000000000" w:firstRow="1" w:lastRow="0" w:firstColumn="0" w:lastColumn="0" w:oddVBand="0" w:evenVBand="0" w:oddHBand="0" w:evenHBand="0" w:firstRowFirstColumn="0" w:firstRowLastColumn="0" w:lastRowFirstColumn="0" w:lastRowLastColumn="0"/>
          <w:cantSplit/>
          <w:tblHeader/>
        </w:trPr>
        <w:tc>
          <w:tcPr>
            <w:tcW w:w="5000" w:type="pct"/>
            <w:gridSpan w:val="2"/>
            <w:tcBorders>
              <w:top w:val="nil"/>
              <w:bottom w:val="single" w:sz="4" w:space="0" w:color="auto"/>
            </w:tcBorders>
            <w:shd w:val="clear" w:color="auto" w:fill="auto"/>
          </w:tcPr>
          <w:p w14:paraId="57CF61E8" w14:textId="1F8DE367" w:rsidR="00393162" w:rsidRPr="00393162" w:rsidRDefault="00393162" w:rsidP="00393162">
            <w:pPr>
              <w:pStyle w:val="TableBodyText"/>
              <w:keepNext/>
              <w:spacing w:before="40" w:after="40"/>
              <w:rPr>
                <w:sz w:val="22"/>
                <w:lang w:eastAsia="fr-CA"/>
              </w:rPr>
            </w:pPr>
            <w:bookmarkStart w:id="49" w:name="_Ref491414461"/>
            <w:r w:rsidRPr="00393162">
              <w:rPr>
                <w:color w:val="auto"/>
                <w:sz w:val="22"/>
              </w:rPr>
              <w:lastRenderedPageBreak/>
              <w:t xml:space="preserve">Table </w:t>
            </w:r>
            <w:r w:rsidRPr="00393162">
              <w:rPr>
                <w:sz w:val="22"/>
              </w:rPr>
              <w:fldChar w:fldCharType="begin"/>
            </w:r>
            <w:r w:rsidRPr="00393162">
              <w:rPr>
                <w:color w:val="auto"/>
                <w:sz w:val="22"/>
              </w:rPr>
              <w:instrText xml:space="preserve"> STYLEREF 1 \s </w:instrText>
            </w:r>
            <w:r w:rsidRPr="00393162">
              <w:rPr>
                <w:sz w:val="22"/>
              </w:rPr>
              <w:fldChar w:fldCharType="separate"/>
            </w:r>
            <w:r w:rsidRPr="00393162">
              <w:rPr>
                <w:noProof/>
                <w:color w:val="auto"/>
                <w:sz w:val="22"/>
              </w:rPr>
              <w:t>2</w:t>
            </w:r>
            <w:r w:rsidRPr="00393162">
              <w:rPr>
                <w:noProof/>
                <w:sz w:val="22"/>
              </w:rPr>
              <w:fldChar w:fldCharType="end"/>
            </w:r>
            <w:r w:rsidRPr="00393162">
              <w:rPr>
                <w:color w:val="auto"/>
                <w:sz w:val="22"/>
              </w:rPr>
              <w:t>.</w:t>
            </w:r>
            <w:r w:rsidRPr="00393162">
              <w:rPr>
                <w:sz w:val="22"/>
              </w:rPr>
              <w:fldChar w:fldCharType="begin"/>
            </w:r>
            <w:r w:rsidRPr="00393162">
              <w:rPr>
                <w:color w:val="auto"/>
                <w:sz w:val="22"/>
              </w:rPr>
              <w:instrText xml:space="preserve"> SEQ Table \* ARABIC \s 1 </w:instrText>
            </w:r>
            <w:r w:rsidRPr="00393162">
              <w:rPr>
                <w:sz w:val="22"/>
              </w:rPr>
              <w:fldChar w:fldCharType="separate"/>
            </w:r>
            <w:r w:rsidRPr="00393162">
              <w:rPr>
                <w:noProof/>
                <w:color w:val="auto"/>
                <w:sz w:val="22"/>
              </w:rPr>
              <w:t>1</w:t>
            </w:r>
            <w:r w:rsidRPr="00393162">
              <w:rPr>
                <w:noProof/>
                <w:sz w:val="22"/>
              </w:rPr>
              <w:fldChar w:fldCharType="end"/>
            </w:r>
            <w:bookmarkEnd w:id="49"/>
            <w:r w:rsidRPr="00393162">
              <w:rPr>
                <w:color w:val="auto"/>
                <w:sz w:val="22"/>
              </w:rPr>
              <w:t>: Arrangements shippers will require to access capacity trading measures</w:t>
            </w:r>
          </w:p>
        </w:tc>
      </w:tr>
      <w:tr w:rsidR="004C3FE0" w:rsidRPr="00DF2510" w14:paraId="3E84420A" w14:textId="77777777" w:rsidTr="00393162">
        <w:trPr>
          <w:cantSplit/>
        </w:trPr>
        <w:tc>
          <w:tcPr>
            <w:tcW w:w="5000" w:type="pct"/>
            <w:gridSpan w:val="2"/>
            <w:tcBorders>
              <w:top w:val="single" w:sz="4" w:space="0" w:color="auto"/>
            </w:tcBorders>
            <w:shd w:val="clear" w:color="auto" w:fill="E1E2E7" w:themeFill="background2"/>
          </w:tcPr>
          <w:p w14:paraId="4013467F" w14:textId="77777777" w:rsidR="004C3FE0" w:rsidRPr="00393162" w:rsidRDefault="004C3FE0" w:rsidP="004C3FE0">
            <w:pPr>
              <w:pStyle w:val="TableBodyText"/>
              <w:keepNext/>
              <w:spacing w:before="40" w:after="40"/>
              <w:jc w:val="center"/>
              <w:rPr>
                <w:b/>
                <w:lang w:eastAsia="fr-CA"/>
              </w:rPr>
            </w:pPr>
            <w:r w:rsidRPr="00393162">
              <w:rPr>
                <w:b/>
                <w:lang w:eastAsia="fr-CA"/>
              </w:rPr>
              <w:t>Participation in the GSH capacity trading platform</w:t>
            </w:r>
          </w:p>
        </w:tc>
      </w:tr>
      <w:tr w:rsidR="004C3FE0" w14:paraId="127B64BF" w14:textId="77777777" w:rsidTr="00393162">
        <w:trPr>
          <w:cnfStyle w:val="000000010000" w:firstRow="0" w:lastRow="0" w:firstColumn="0" w:lastColumn="0" w:oddVBand="0" w:evenVBand="0" w:oddHBand="0" w:evenHBand="1" w:firstRowFirstColumn="0" w:firstRowLastColumn="0" w:lastRowFirstColumn="0" w:lastRowLastColumn="0"/>
          <w:cantSplit/>
        </w:trPr>
        <w:tc>
          <w:tcPr>
            <w:tcW w:w="769" w:type="pct"/>
            <w:shd w:val="clear" w:color="auto" w:fill="auto"/>
          </w:tcPr>
          <w:p w14:paraId="72E6538B" w14:textId="77777777" w:rsidR="004C3FE0" w:rsidRPr="00D128A9" w:rsidRDefault="004C3FE0" w:rsidP="004C3FE0">
            <w:pPr>
              <w:pStyle w:val="TableBodyText"/>
              <w:keepNext/>
              <w:spacing w:before="40" w:after="40"/>
              <w:rPr>
                <w:b/>
                <w:lang w:eastAsia="fr-CA"/>
              </w:rPr>
            </w:pPr>
            <w:r w:rsidRPr="00D128A9">
              <w:rPr>
                <w:b/>
                <w:lang w:eastAsia="fr-CA"/>
              </w:rPr>
              <w:t>Membership and contractual obligations</w:t>
            </w:r>
          </w:p>
        </w:tc>
        <w:tc>
          <w:tcPr>
            <w:tcW w:w="4231" w:type="pct"/>
            <w:shd w:val="clear" w:color="auto" w:fill="auto"/>
          </w:tcPr>
          <w:p w14:paraId="091FFA81" w14:textId="77777777" w:rsidR="004C3FE0" w:rsidRDefault="004C3FE0" w:rsidP="004C3FE0">
            <w:pPr>
              <w:pStyle w:val="TableBodyText"/>
              <w:keepNext/>
              <w:spacing w:before="40" w:after="40"/>
              <w:rPr>
                <w:lang w:eastAsia="fr-CA"/>
              </w:rPr>
            </w:pPr>
            <w:r>
              <w:rPr>
                <w:lang w:eastAsia="fr-CA"/>
              </w:rPr>
              <w:t>Primary and secondary shippers that want to use the GSH will need to become members of the GSH exchange and be registered as trading participants.</w:t>
            </w:r>
          </w:p>
          <w:p w14:paraId="2AD9D5D8" w14:textId="77777777" w:rsidR="004C3FE0" w:rsidRDefault="004C3FE0" w:rsidP="004C3FE0">
            <w:pPr>
              <w:pStyle w:val="TableBodyText"/>
              <w:keepNext/>
              <w:spacing w:before="40" w:after="40"/>
              <w:rPr>
                <w:lang w:eastAsia="fr-CA"/>
              </w:rPr>
            </w:pPr>
            <w:r>
              <w:rPr>
                <w:lang w:eastAsia="fr-CA"/>
              </w:rPr>
              <w:t>Shippers can become a trading participant by executing a Membership Agreement with AEMO and then registering as a trading participant. Through the Membership Agreement, shippers will become a party to the Exchange Agreement.</w:t>
            </w:r>
          </w:p>
          <w:p w14:paraId="01ED950A" w14:textId="77777777" w:rsidR="004C3FE0" w:rsidRDefault="004C3FE0" w:rsidP="004C3FE0">
            <w:pPr>
              <w:pStyle w:val="TableBodyText"/>
              <w:keepNext/>
              <w:spacing w:before="40" w:after="40"/>
              <w:rPr>
                <w:lang w:eastAsia="fr-CA"/>
              </w:rPr>
            </w:pPr>
            <w:r>
              <w:rPr>
                <w:lang w:eastAsia="fr-CA"/>
              </w:rPr>
              <w:t>The Exchange Agreement is a multilateral agreement that sets out the terms of participation in the GSH and the terms governing transaction entered into through the exchange. The body of this agreement contains the trading, delivery, prudential and settlement obligations, while the product specifications are set out in schedules.</w:t>
            </w:r>
          </w:p>
        </w:tc>
      </w:tr>
      <w:tr w:rsidR="004C3FE0" w14:paraId="53B62D96" w14:textId="77777777" w:rsidTr="00393162">
        <w:trPr>
          <w:cantSplit/>
        </w:trPr>
        <w:tc>
          <w:tcPr>
            <w:tcW w:w="5000" w:type="pct"/>
            <w:gridSpan w:val="2"/>
            <w:shd w:val="clear" w:color="auto" w:fill="E1E2E7" w:themeFill="background2"/>
          </w:tcPr>
          <w:p w14:paraId="22D4AB23" w14:textId="77777777" w:rsidR="004C3FE0" w:rsidRPr="00D128A9" w:rsidRDefault="004C3FE0" w:rsidP="004C3FE0">
            <w:pPr>
              <w:pStyle w:val="TableBodyText"/>
              <w:keepNext/>
              <w:spacing w:before="40" w:after="40"/>
              <w:jc w:val="center"/>
              <w:rPr>
                <w:b/>
                <w:lang w:eastAsia="fr-CA"/>
              </w:rPr>
            </w:pPr>
            <w:r w:rsidRPr="00D128A9">
              <w:rPr>
                <w:b/>
                <w:lang w:eastAsia="fr-CA"/>
              </w:rPr>
              <w:t>Participation in the day-ahead auction</w:t>
            </w:r>
          </w:p>
        </w:tc>
      </w:tr>
      <w:tr w:rsidR="004C3FE0" w14:paraId="5FA1E78D" w14:textId="77777777" w:rsidTr="00393162">
        <w:trPr>
          <w:cnfStyle w:val="000000010000" w:firstRow="0" w:lastRow="0" w:firstColumn="0" w:lastColumn="0" w:oddVBand="0" w:evenVBand="0" w:oddHBand="0" w:evenHBand="1" w:firstRowFirstColumn="0" w:firstRowLastColumn="0" w:lastRowFirstColumn="0" w:lastRowLastColumn="0"/>
          <w:cantSplit/>
        </w:trPr>
        <w:tc>
          <w:tcPr>
            <w:tcW w:w="769" w:type="pct"/>
            <w:shd w:val="clear" w:color="auto" w:fill="auto"/>
          </w:tcPr>
          <w:p w14:paraId="0EFFC576" w14:textId="77777777" w:rsidR="004C3FE0" w:rsidRPr="00D128A9" w:rsidRDefault="004C3FE0" w:rsidP="004C3FE0">
            <w:pPr>
              <w:pStyle w:val="TableBodyText"/>
              <w:spacing w:before="40" w:after="40"/>
              <w:rPr>
                <w:b/>
                <w:lang w:eastAsia="fr-CA"/>
              </w:rPr>
            </w:pPr>
            <w:r w:rsidRPr="00D128A9">
              <w:rPr>
                <w:b/>
                <w:lang w:eastAsia="fr-CA"/>
              </w:rPr>
              <w:t>Membership and contractual obligations</w:t>
            </w:r>
          </w:p>
        </w:tc>
        <w:tc>
          <w:tcPr>
            <w:tcW w:w="4231" w:type="pct"/>
            <w:shd w:val="clear" w:color="auto" w:fill="auto"/>
          </w:tcPr>
          <w:p w14:paraId="0546FDE9" w14:textId="77777777" w:rsidR="004C3FE0" w:rsidRDefault="004C3FE0" w:rsidP="004C3FE0">
            <w:pPr>
              <w:pStyle w:val="TableBodyText"/>
              <w:spacing w:before="40" w:after="40"/>
              <w:rPr>
                <w:lang w:eastAsia="fr-CA"/>
              </w:rPr>
            </w:pPr>
            <w:r>
              <w:rPr>
                <w:lang w:eastAsia="fr-CA"/>
              </w:rPr>
              <w:t xml:space="preserve">While the participation arrangements for the day-ahead auction have not yet been finalised, they are expected to operate in a similar manner to the GSH. </w:t>
            </w:r>
          </w:p>
          <w:p w14:paraId="0F879669" w14:textId="5101B0D0" w:rsidR="004C3FE0" w:rsidRDefault="004C3FE0" w:rsidP="004C3FE0">
            <w:pPr>
              <w:pStyle w:val="TableBodyText"/>
              <w:spacing w:before="40" w:after="40"/>
              <w:rPr>
                <w:lang w:eastAsia="fr-CA"/>
              </w:rPr>
            </w:pPr>
            <w:r>
              <w:rPr>
                <w:lang w:eastAsia="fr-CA"/>
              </w:rPr>
              <w:t xml:space="preserve">Specifically, it is envisaged that shippers that want to purchase capacity through the day-ahead auction will execute an Auction Agreement with AEMO. The Auction </w:t>
            </w:r>
            <w:r w:rsidR="00522628">
              <w:rPr>
                <w:lang w:eastAsia="fr-CA"/>
              </w:rPr>
              <w:t>A</w:t>
            </w:r>
            <w:r>
              <w:rPr>
                <w:lang w:eastAsia="fr-CA"/>
              </w:rPr>
              <w:t xml:space="preserve">greement will set out the terms of participation in the auction and the terms governing purchases of capacity through the auction, including the prudential and settlement obligations. </w:t>
            </w:r>
          </w:p>
        </w:tc>
      </w:tr>
      <w:tr w:rsidR="004C3FE0" w14:paraId="78C00091" w14:textId="77777777" w:rsidTr="00393162">
        <w:trPr>
          <w:cantSplit/>
        </w:trPr>
        <w:tc>
          <w:tcPr>
            <w:tcW w:w="5000" w:type="pct"/>
            <w:gridSpan w:val="2"/>
            <w:shd w:val="clear" w:color="auto" w:fill="E1E2E7" w:themeFill="background2"/>
          </w:tcPr>
          <w:p w14:paraId="613CE8E8" w14:textId="77777777" w:rsidR="004C3FE0" w:rsidRPr="009065AC" w:rsidRDefault="004C3FE0" w:rsidP="004C3FE0">
            <w:pPr>
              <w:pStyle w:val="TableBodyText"/>
              <w:keepNext/>
              <w:spacing w:before="40" w:after="40"/>
              <w:jc w:val="center"/>
              <w:rPr>
                <w:b/>
                <w:lang w:eastAsia="fr-CA"/>
              </w:rPr>
            </w:pPr>
            <w:r w:rsidRPr="009065AC">
              <w:rPr>
                <w:b/>
                <w:lang w:eastAsia="fr-CA"/>
              </w:rPr>
              <w:t xml:space="preserve">Use of </w:t>
            </w:r>
            <w:r>
              <w:rPr>
                <w:b/>
                <w:lang w:eastAsia="fr-CA"/>
              </w:rPr>
              <w:t xml:space="preserve">secondary </w:t>
            </w:r>
            <w:r w:rsidRPr="009065AC">
              <w:rPr>
                <w:b/>
                <w:lang w:eastAsia="fr-CA"/>
              </w:rPr>
              <w:t>capacity procured through the trading platform or auction</w:t>
            </w:r>
          </w:p>
        </w:tc>
      </w:tr>
      <w:tr w:rsidR="004C3FE0" w14:paraId="3807EA06" w14:textId="77777777" w:rsidTr="00393162">
        <w:trPr>
          <w:cnfStyle w:val="000000010000" w:firstRow="0" w:lastRow="0" w:firstColumn="0" w:lastColumn="0" w:oddVBand="0" w:evenVBand="0" w:oddHBand="0" w:evenHBand="1" w:firstRowFirstColumn="0" w:firstRowLastColumn="0" w:lastRowFirstColumn="0" w:lastRowLastColumn="0"/>
          <w:cantSplit/>
        </w:trPr>
        <w:tc>
          <w:tcPr>
            <w:tcW w:w="769" w:type="pct"/>
            <w:tcBorders>
              <w:bottom w:val="single" w:sz="4" w:space="0" w:color="auto"/>
            </w:tcBorders>
            <w:shd w:val="clear" w:color="auto" w:fill="auto"/>
          </w:tcPr>
          <w:p w14:paraId="78E2B747" w14:textId="77777777" w:rsidR="004C3FE0" w:rsidRPr="00D128A9" w:rsidRDefault="004C3FE0" w:rsidP="004C3FE0">
            <w:pPr>
              <w:pStyle w:val="TableBodyText"/>
              <w:spacing w:before="40" w:after="40"/>
              <w:rPr>
                <w:b/>
                <w:lang w:eastAsia="fr-CA"/>
              </w:rPr>
            </w:pPr>
            <w:r w:rsidRPr="00D128A9">
              <w:rPr>
                <w:b/>
                <w:lang w:eastAsia="fr-CA"/>
              </w:rPr>
              <w:t>Operational transfers</w:t>
            </w:r>
          </w:p>
        </w:tc>
        <w:tc>
          <w:tcPr>
            <w:tcW w:w="4231" w:type="pct"/>
            <w:tcBorders>
              <w:bottom w:val="single" w:sz="4" w:space="0" w:color="auto"/>
            </w:tcBorders>
            <w:shd w:val="clear" w:color="auto" w:fill="auto"/>
          </w:tcPr>
          <w:p w14:paraId="2C9E21B2" w14:textId="7AFD24B1" w:rsidR="004C3FE0" w:rsidRDefault="004C3FE0" w:rsidP="004C3FE0">
            <w:pPr>
              <w:pStyle w:val="TableBodyText"/>
              <w:spacing w:before="40" w:after="40"/>
              <w:rPr>
                <w:lang w:eastAsia="fr-CA"/>
              </w:rPr>
            </w:pPr>
            <w:r>
              <w:rPr>
                <w:lang w:eastAsia="fr-CA"/>
              </w:rPr>
              <w:t xml:space="preserve">If a shipper procures capacity through the exchange or day-ahead auction, the trade will need to be given effect through an operational transfer. Secondary shippers will also have the option to utilise an operational transfer if they enter into a bilateral trade through the listing service or other means. A secondary shipper will therefore need to have entered into an operational GTA with the relevant service provider, or otherwise agreed with the service provider to include an operational transfer mechanism into its primary GTA. </w:t>
            </w:r>
          </w:p>
          <w:p w14:paraId="497F69BA" w14:textId="6177AFD9" w:rsidR="00D70728" w:rsidRPr="00D009A9" w:rsidRDefault="004C3FE0" w:rsidP="00BA7FF7">
            <w:pPr>
              <w:pStyle w:val="TableBodyText"/>
              <w:spacing w:before="40" w:after="40"/>
              <w:rPr>
                <w:rFonts w:asciiTheme="majorHAnsi" w:hAnsiTheme="majorHAnsi" w:cstheme="majorHAnsi"/>
              </w:rPr>
            </w:pPr>
            <w:r w:rsidRPr="00B93BCD">
              <w:rPr>
                <w:rFonts w:asciiTheme="majorHAnsi" w:hAnsiTheme="majorHAnsi" w:cstheme="majorHAnsi"/>
              </w:rPr>
              <w:t xml:space="preserve">Operational GTAs, which are sometimes referred to as ‘zero MDQ’ contracts, </w:t>
            </w:r>
            <w:r w:rsidRPr="00D57924">
              <w:rPr>
                <w:rFonts w:asciiTheme="majorHAnsi" w:hAnsiTheme="majorHAnsi" w:cstheme="majorHAnsi"/>
              </w:rPr>
              <w:t>operate like a master agreement</w:t>
            </w:r>
            <w:r>
              <w:rPr>
                <w:rFonts w:asciiTheme="majorHAnsi" w:hAnsiTheme="majorHAnsi" w:cstheme="majorHAnsi"/>
              </w:rPr>
              <w:t xml:space="preserve"> between the service provider and secondary shipper</w:t>
            </w:r>
            <w:r w:rsidRPr="00D57924">
              <w:rPr>
                <w:rFonts w:asciiTheme="majorHAnsi" w:hAnsiTheme="majorHAnsi" w:cstheme="majorHAnsi"/>
              </w:rPr>
              <w:t xml:space="preserve">, with the </w:t>
            </w:r>
            <w:r>
              <w:rPr>
                <w:rFonts w:asciiTheme="majorHAnsi" w:hAnsiTheme="majorHAnsi" w:cstheme="majorHAnsi"/>
              </w:rPr>
              <w:t xml:space="preserve">operational capacity (measured on a Maximum Daily Quantity (MDQ) basis) </w:t>
            </w:r>
            <w:r w:rsidRPr="00D57924">
              <w:rPr>
                <w:rFonts w:asciiTheme="majorHAnsi" w:hAnsiTheme="majorHAnsi" w:cstheme="majorHAnsi"/>
              </w:rPr>
              <w:t xml:space="preserve">set at zero until </w:t>
            </w:r>
            <w:r>
              <w:rPr>
                <w:rFonts w:asciiTheme="majorHAnsi" w:hAnsiTheme="majorHAnsi" w:cstheme="majorHAnsi"/>
              </w:rPr>
              <w:t>the shipper purchases capacity</w:t>
            </w:r>
            <w:r w:rsidRPr="00D57924">
              <w:rPr>
                <w:rFonts w:asciiTheme="majorHAnsi" w:hAnsiTheme="majorHAnsi" w:cstheme="majorHAnsi"/>
              </w:rPr>
              <w:t>.</w:t>
            </w:r>
            <w:r>
              <w:rPr>
                <w:rFonts w:asciiTheme="majorHAnsi" w:hAnsiTheme="majorHAnsi" w:cstheme="majorHAnsi"/>
              </w:rPr>
              <w:t xml:space="preserve"> The operational GTA</w:t>
            </w:r>
            <w:r w:rsidRPr="00D57924">
              <w:rPr>
                <w:rFonts w:asciiTheme="majorHAnsi" w:hAnsiTheme="majorHAnsi" w:cstheme="majorHAnsi"/>
              </w:rPr>
              <w:t xml:space="preserve"> </w:t>
            </w:r>
            <w:r w:rsidRPr="00B93BCD">
              <w:rPr>
                <w:rFonts w:asciiTheme="majorHAnsi" w:hAnsiTheme="majorHAnsi" w:cstheme="majorHAnsi"/>
              </w:rPr>
              <w:t>set out the terms on which the secondary shipper can utilise the service provider’s assets if it procures secondary capacity</w:t>
            </w:r>
            <w:r>
              <w:rPr>
                <w:rFonts w:asciiTheme="majorHAnsi" w:hAnsiTheme="majorHAnsi" w:cstheme="majorHAnsi"/>
              </w:rPr>
              <w:t xml:space="preserve"> via an operational transfer, including the </w:t>
            </w:r>
            <w:r w:rsidRPr="00B93BCD">
              <w:rPr>
                <w:rFonts w:asciiTheme="majorHAnsi" w:hAnsiTheme="majorHAnsi" w:cstheme="majorHAnsi"/>
              </w:rPr>
              <w:t>operational, prudential and other terms governing the relationship between the service provider and secondary shipper</w:t>
            </w:r>
            <w:r>
              <w:rPr>
                <w:rFonts w:asciiTheme="majorHAnsi" w:hAnsiTheme="majorHAnsi" w:cstheme="majorHAnsi"/>
              </w:rPr>
              <w:t xml:space="preserve">. If capacity is purchased then the MDQ in the shipper’s operational GTA </w:t>
            </w:r>
            <w:r w:rsidRPr="00D57924">
              <w:rPr>
                <w:rFonts w:asciiTheme="majorHAnsi" w:hAnsiTheme="majorHAnsi" w:cstheme="majorHAnsi"/>
              </w:rPr>
              <w:t>will be increased</w:t>
            </w:r>
            <w:r>
              <w:rPr>
                <w:rFonts w:asciiTheme="majorHAnsi" w:hAnsiTheme="majorHAnsi" w:cstheme="majorHAnsi"/>
              </w:rPr>
              <w:t xml:space="preserve"> for the duration of the trade and it will be entitled to make nominations </w:t>
            </w:r>
            <w:r w:rsidRPr="00D57924">
              <w:rPr>
                <w:rFonts w:asciiTheme="majorHAnsi" w:hAnsiTheme="majorHAnsi" w:cstheme="majorHAnsi"/>
              </w:rPr>
              <w:t>directly to the service provider</w:t>
            </w:r>
            <w:r>
              <w:rPr>
                <w:rFonts w:asciiTheme="majorHAnsi" w:hAnsiTheme="majorHAnsi" w:cstheme="majorHAnsi"/>
              </w:rPr>
              <w:t xml:space="preserve"> and liable to pay the </w:t>
            </w:r>
            <w:r w:rsidRPr="00D57924">
              <w:rPr>
                <w:rFonts w:asciiTheme="majorHAnsi" w:hAnsiTheme="majorHAnsi" w:cstheme="majorHAnsi"/>
              </w:rPr>
              <w:t xml:space="preserve">service provider for any </w:t>
            </w:r>
            <w:r w:rsidR="00983BA9">
              <w:rPr>
                <w:rFonts w:asciiTheme="majorHAnsi" w:hAnsiTheme="majorHAnsi" w:cstheme="majorHAnsi"/>
              </w:rPr>
              <w:t xml:space="preserve">specified charges (i.e. </w:t>
            </w:r>
            <w:r w:rsidRPr="00D57924">
              <w:rPr>
                <w:rFonts w:asciiTheme="majorHAnsi" w:hAnsiTheme="majorHAnsi" w:cstheme="majorHAnsi"/>
              </w:rPr>
              <w:t>imbalance or overrun charges</w:t>
            </w:r>
            <w:r w:rsidR="00983BA9">
              <w:rPr>
                <w:rFonts w:asciiTheme="majorHAnsi" w:hAnsiTheme="majorHAnsi" w:cstheme="majorHAnsi"/>
              </w:rPr>
              <w:t>)</w:t>
            </w:r>
            <w:r>
              <w:rPr>
                <w:rFonts w:asciiTheme="majorHAnsi" w:hAnsiTheme="majorHAnsi" w:cstheme="majorHAnsi"/>
              </w:rPr>
              <w:t xml:space="preserve"> set out in the operational GTA</w:t>
            </w:r>
            <w:r w:rsidRPr="00D57924">
              <w:rPr>
                <w:rFonts w:asciiTheme="majorHAnsi" w:hAnsiTheme="majorHAnsi" w:cstheme="majorHAnsi"/>
              </w:rPr>
              <w:t>. The primary shipper, on the other hand, will remain liable to pay the service provider for the capacity sold</w:t>
            </w:r>
            <w:r>
              <w:rPr>
                <w:rFonts w:asciiTheme="majorHAnsi" w:hAnsiTheme="majorHAnsi" w:cstheme="majorHAnsi"/>
              </w:rPr>
              <w:t xml:space="preserve"> to the secondary shipper</w:t>
            </w:r>
            <w:r w:rsidRPr="00D57924">
              <w:rPr>
                <w:rFonts w:asciiTheme="majorHAnsi" w:hAnsiTheme="majorHAnsi" w:cstheme="majorHAnsi"/>
              </w:rPr>
              <w:t>.</w:t>
            </w:r>
            <w:r w:rsidR="00333567">
              <w:rPr>
                <w:rFonts w:asciiTheme="majorHAnsi" w:hAnsiTheme="majorHAnsi" w:cstheme="majorHAnsi"/>
              </w:rPr>
              <w:t xml:space="preserve"> </w:t>
            </w:r>
          </w:p>
        </w:tc>
      </w:tr>
      <w:tr w:rsidR="004C3FE0" w14:paraId="4FD62B14" w14:textId="77777777" w:rsidTr="00393162">
        <w:trPr>
          <w:cantSplit/>
        </w:trPr>
        <w:tc>
          <w:tcPr>
            <w:tcW w:w="769" w:type="pct"/>
            <w:shd w:val="clear" w:color="auto" w:fill="E1E2E7" w:themeFill="background2"/>
          </w:tcPr>
          <w:p w14:paraId="22A9BFC6" w14:textId="77777777" w:rsidR="004C3FE0" w:rsidRPr="00D128A9" w:rsidRDefault="004C3FE0" w:rsidP="004C3FE0">
            <w:pPr>
              <w:pStyle w:val="TableBodyText"/>
              <w:spacing w:before="40" w:after="40"/>
              <w:rPr>
                <w:b/>
                <w:lang w:eastAsia="fr-CA"/>
              </w:rPr>
            </w:pPr>
            <w:r w:rsidRPr="00D128A9">
              <w:rPr>
                <w:b/>
                <w:lang w:eastAsia="fr-CA"/>
              </w:rPr>
              <w:t>Allocation agreements</w:t>
            </w:r>
          </w:p>
        </w:tc>
        <w:tc>
          <w:tcPr>
            <w:tcW w:w="4231" w:type="pct"/>
            <w:shd w:val="clear" w:color="auto" w:fill="E1E2E7" w:themeFill="background2"/>
          </w:tcPr>
          <w:p w14:paraId="652ECF5E" w14:textId="0868BE46" w:rsidR="004C3FE0" w:rsidRDefault="004C3FE0" w:rsidP="004C3FE0">
            <w:pPr>
              <w:pStyle w:val="TableBodyText"/>
              <w:spacing w:before="40" w:after="40"/>
              <w:rPr>
                <w:lang w:eastAsia="fr-CA"/>
              </w:rPr>
            </w:pPr>
            <w:r>
              <w:rPr>
                <w:lang w:eastAsia="fr-CA"/>
              </w:rPr>
              <w:t xml:space="preserve">If a secondary shipper procures capacity through the exchange or day-ahead auction and wants to use a multi-user receipt or delivery point, it will need to become a party to the allocation agreement at that point(s). This agreement sets out the </w:t>
            </w:r>
            <w:r>
              <w:t>rules the allocation agent is required to use to allocate gas metered as having been supplied between shippers.</w:t>
            </w:r>
          </w:p>
        </w:tc>
      </w:tr>
      <w:tr w:rsidR="004C3FE0" w14:paraId="18665F20" w14:textId="77777777" w:rsidTr="00393162">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769" w:type="pct"/>
            <w:shd w:val="clear" w:color="auto" w:fill="auto"/>
          </w:tcPr>
          <w:p w14:paraId="663F879D" w14:textId="77777777" w:rsidR="004C3FE0" w:rsidRPr="00D128A9" w:rsidRDefault="004C3FE0" w:rsidP="004C3FE0">
            <w:pPr>
              <w:pStyle w:val="TableBodyText"/>
              <w:spacing w:before="40" w:after="40"/>
              <w:rPr>
                <w:b/>
                <w:lang w:eastAsia="fr-CA"/>
              </w:rPr>
            </w:pPr>
            <w:r w:rsidRPr="00D128A9">
              <w:rPr>
                <w:b/>
                <w:lang w:eastAsia="fr-CA"/>
              </w:rPr>
              <w:t>Other services and arrangements</w:t>
            </w:r>
          </w:p>
        </w:tc>
        <w:tc>
          <w:tcPr>
            <w:tcW w:w="4231" w:type="pct"/>
            <w:shd w:val="clear" w:color="auto" w:fill="auto"/>
          </w:tcPr>
          <w:p w14:paraId="2E427AB6" w14:textId="77777777" w:rsidR="004C3FE0" w:rsidRDefault="004C3FE0" w:rsidP="004C3FE0">
            <w:pPr>
              <w:pStyle w:val="TableBodyText"/>
              <w:spacing w:before="40" w:after="40"/>
              <w:rPr>
                <w:lang w:eastAsia="fr-CA"/>
              </w:rPr>
            </w:pPr>
            <w:r>
              <w:rPr>
                <w:lang w:eastAsia="fr-CA"/>
              </w:rPr>
              <w:t xml:space="preserve">In some cases, a secondary shipper that procures capacity through the exchange or day-ahead auction may also require: </w:t>
            </w:r>
          </w:p>
          <w:p w14:paraId="476A6871" w14:textId="77777777" w:rsidR="004C3FE0" w:rsidRDefault="004C3FE0" w:rsidP="004C3FE0">
            <w:pPr>
              <w:pStyle w:val="TableBullet1"/>
              <w:spacing w:before="40" w:after="40"/>
              <w:rPr>
                <w:lang w:eastAsia="fr-CA"/>
              </w:rPr>
            </w:pPr>
            <w:r>
              <w:rPr>
                <w:lang w:eastAsia="fr-CA"/>
              </w:rPr>
              <w:t>access to other transportation related services that are not available on the exchange or through the auction (for example, in some locations a shipper will require redirection services and compression services) and will need to enter into arrangements with the relevant service provider for the provision of that service; and</w:t>
            </w:r>
          </w:p>
          <w:p w14:paraId="58358619" w14:textId="77777777" w:rsidR="004C3FE0" w:rsidRDefault="004C3FE0" w:rsidP="004C3FE0">
            <w:pPr>
              <w:pStyle w:val="TableBullet1"/>
              <w:spacing w:before="40" w:after="40"/>
              <w:rPr>
                <w:lang w:eastAsia="fr-CA"/>
              </w:rPr>
            </w:pPr>
            <w:r>
              <w:rPr>
                <w:lang w:eastAsia="fr-CA"/>
              </w:rPr>
              <w:t>access to a receipt or delivery point that is controlled by a third party and will need to enter into arrangements with that party to ensure they can utilise those points.</w:t>
            </w:r>
          </w:p>
        </w:tc>
      </w:tr>
    </w:tbl>
    <w:p w14:paraId="734EF16A" w14:textId="1286F949" w:rsidR="00BA7FF7" w:rsidRDefault="009C1501" w:rsidP="004C3FE0">
      <w:pPr>
        <w:pStyle w:val="BodyText"/>
        <w:rPr>
          <w:rFonts w:asciiTheme="majorHAnsi" w:hAnsiTheme="majorHAnsi" w:cstheme="majorHAnsi"/>
        </w:rPr>
      </w:pPr>
      <w:r>
        <w:t xml:space="preserve">As </w:t>
      </w:r>
      <w:r w:rsidR="004C3FE0">
        <w:fldChar w:fldCharType="begin"/>
      </w:r>
      <w:r w:rsidR="004C3FE0">
        <w:instrText xml:space="preserve"> REF _Ref491410701 \h </w:instrText>
      </w:r>
      <w:r w:rsidR="004C3FE0">
        <w:fldChar w:fldCharType="separate"/>
      </w:r>
      <w:r w:rsidR="00947034">
        <w:t xml:space="preserve">Figure </w:t>
      </w:r>
      <w:r w:rsidR="00947034">
        <w:rPr>
          <w:noProof/>
        </w:rPr>
        <w:t>2</w:t>
      </w:r>
      <w:r w:rsidR="00947034">
        <w:t>.</w:t>
      </w:r>
      <w:r w:rsidR="00947034">
        <w:rPr>
          <w:noProof/>
        </w:rPr>
        <w:t>2</w:t>
      </w:r>
      <w:r w:rsidR="004C3FE0">
        <w:fldChar w:fldCharType="end"/>
      </w:r>
      <w:r w:rsidR="004C3FE0">
        <w:t xml:space="preserve"> </w:t>
      </w:r>
      <w:r>
        <w:t xml:space="preserve">and </w:t>
      </w:r>
      <w:r>
        <w:fldChar w:fldCharType="begin"/>
      </w:r>
      <w:r>
        <w:instrText xml:space="preserve"> REF _Ref491414461 \h </w:instrText>
      </w:r>
      <w:r>
        <w:fldChar w:fldCharType="separate"/>
      </w:r>
      <w:r w:rsidR="00947034">
        <w:t xml:space="preserve">Table </w:t>
      </w:r>
      <w:r w:rsidR="00947034">
        <w:rPr>
          <w:noProof/>
        </w:rPr>
        <w:t>2</w:t>
      </w:r>
      <w:r w:rsidR="00947034">
        <w:t>.</w:t>
      </w:r>
      <w:r w:rsidR="00947034">
        <w:rPr>
          <w:noProof/>
        </w:rPr>
        <w:t>1</w:t>
      </w:r>
      <w:r>
        <w:fldChar w:fldCharType="end"/>
      </w:r>
      <w:r>
        <w:t xml:space="preserve"> highlight</w:t>
      </w:r>
      <w:r w:rsidR="00522628">
        <w:t>,</w:t>
      </w:r>
      <w:r>
        <w:t xml:space="preserve"> </w:t>
      </w:r>
      <w:r w:rsidR="004C3FE0">
        <w:t xml:space="preserve">operational transfers (see </w:t>
      </w:r>
      <w:r w:rsidR="004C3FE0">
        <w:fldChar w:fldCharType="begin"/>
      </w:r>
      <w:r w:rsidR="004C3FE0">
        <w:instrText xml:space="preserve"> REF _Ref489586096 \h </w:instrText>
      </w:r>
      <w:r w:rsidR="004C3FE0">
        <w:fldChar w:fldCharType="separate"/>
      </w:r>
      <w:r w:rsidR="00947034" w:rsidRPr="00EC75C1">
        <w:t xml:space="preserve">Box </w:t>
      </w:r>
      <w:r w:rsidR="00947034">
        <w:rPr>
          <w:noProof/>
        </w:rPr>
        <w:t>2</w:t>
      </w:r>
      <w:r w:rsidR="00947034">
        <w:t>.</w:t>
      </w:r>
      <w:r w:rsidR="00947034">
        <w:rPr>
          <w:noProof/>
        </w:rPr>
        <w:t>1</w:t>
      </w:r>
      <w:r w:rsidR="004C3FE0">
        <w:fldChar w:fldCharType="end"/>
      </w:r>
      <w:r w:rsidR="004C3FE0">
        <w:t xml:space="preserve"> for more detail on operational transfers) </w:t>
      </w:r>
      <w:r w:rsidR="004C3FE0" w:rsidRPr="00C80570">
        <w:t>are expected to play a key role under the reform package</w:t>
      </w:r>
      <w:r w:rsidR="004C3FE0">
        <w:t xml:space="preserve"> and will be given effect through an operational GTA.</w:t>
      </w:r>
      <w:r w:rsidR="004C3FE0">
        <w:rPr>
          <w:rStyle w:val="FootnoteReference"/>
        </w:rPr>
        <w:footnoteReference w:id="12"/>
      </w:r>
      <w:r w:rsidR="004C3FE0">
        <w:t xml:space="preserve"> </w:t>
      </w:r>
      <w:r w:rsidR="004C3FE0" w:rsidRPr="00D57924">
        <w:rPr>
          <w:rFonts w:asciiTheme="majorHAnsi" w:hAnsiTheme="majorHAnsi" w:cstheme="majorHAnsi"/>
        </w:rPr>
        <w:t xml:space="preserve">In contrast to </w:t>
      </w:r>
      <w:r w:rsidR="004C3FE0">
        <w:rPr>
          <w:rFonts w:asciiTheme="majorHAnsi" w:hAnsiTheme="majorHAnsi" w:cstheme="majorHAnsi"/>
        </w:rPr>
        <w:t xml:space="preserve">the </w:t>
      </w:r>
      <w:r w:rsidR="00522628">
        <w:rPr>
          <w:rFonts w:asciiTheme="majorHAnsi" w:hAnsiTheme="majorHAnsi" w:cstheme="majorHAnsi"/>
        </w:rPr>
        <w:t xml:space="preserve">Capacity Trading </w:t>
      </w:r>
      <w:r w:rsidR="00522628">
        <w:rPr>
          <w:rFonts w:asciiTheme="majorHAnsi" w:hAnsiTheme="majorHAnsi" w:cstheme="majorHAnsi"/>
        </w:rPr>
        <w:lastRenderedPageBreak/>
        <w:t>Agreement (CTA)</w:t>
      </w:r>
      <w:r w:rsidR="004C3FE0">
        <w:rPr>
          <w:rFonts w:asciiTheme="majorHAnsi" w:hAnsiTheme="majorHAnsi" w:cstheme="majorHAnsi"/>
        </w:rPr>
        <w:t xml:space="preserve">, Exchange </w:t>
      </w:r>
      <w:r w:rsidR="00522628">
        <w:rPr>
          <w:rFonts w:asciiTheme="majorHAnsi" w:hAnsiTheme="majorHAnsi" w:cstheme="majorHAnsi"/>
        </w:rPr>
        <w:t xml:space="preserve">Agreement </w:t>
      </w:r>
      <w:r w:rsidR="004C3FE0">
        <w:rPr>
          <w:rFonts w:asciiTheme="majorHAnsi" w:hAnsiTheme="majorHAnsi" w:cstheme="majorHAnsi"/>
        </w:rPr>
        <w:t xml:space="preserve">and Auction </w:t>
      </w:r>
      <w:r w:rsidR="00522628">
        <w:rPr>
          <w:rFonts w:asciiTheme="majorHAnsi" w:hAnsiTheme="majorHAnsi" w:cstheme="majorHAnsi"/>
        </w:rPr>
        <w:t>Agreement</w:t>
      </w:r>
      <w:r w:rsidR="004C3FE0" w:rsidRPr="00D57924">
        <w:rPr>
          <w:rFonts w:asciiTheme="majorHAnsi" w:hAnsiTheme="majorHAnsi" w:cstheme="majorHAnsi"/>
        </w:rPr>
        <w:t>, which set out the service and financial aspects of the trade, operational GTA</w:t>
      </w:r>
      <w:r w:rsidR="004C3FE0">
        <w:rPr>
          <w:rFonts w:asciiTheme="majorHAnsi" w:hAnsiTheme="majorHAnsi" w:cstheme="majorHAnsi"/>
        </w:rPr>
        <w:t>s</w:t>
      </w:r>
      <w:r w:rsidR="004C3FE0" w:rsidRPr="00D57924">
        <w:rPr>
          <w:rFonts w:asciiTheme="majorHAnsi" w:hAnsiTheme="majorHAnsi" w:cstheme="majorHAnsi"/>
        </w:rPr>
        <w:t xml:space="preserve"> set out the terms on which the secondary shipper can </w:t>
      </w:r>
      <w:r w:rsidR="004C3FE0">
        <w:rPr>
          <w:rFonts w:asciiTheme="majorHAnsi" w:hAnsiTheme="majorHAnsi" w:cstheme="majorHAnsi"/>
        </w:rPr>
        <w:t xml:space="preserve">use </w:t>
      </w:r>
      <w:r w:rsidR="004C3FE0" w:rsidRPr="00D57924">
        <w:rPr>
          <w:rFonts w:asciiTheme="majorHAnsi" w:hAnsiTheme="majorHAnsi" w:cstheme="majorHAnsi"/>
        </w:rPr>
        <w:t xml:space="preserve">the service provider’s assets if it procures </w:t>
      </w:r>
      <w:r w:rsidR="004C3FE0">
        <w:rPr>
          <w:rFonts w:asciiTheme="majorHAnsi" w:hAnsiTheme="majorHAnsi" w:cstheme="majorHAnsi"/>
        </w:rPr>
        <w:t xml:space="preserve">secondary </w:t>
      </w:r>
      <w:r w:rsidR="004C3FE0" w:rsidRPr="00D57924">
        <w:rPr>
          <w:rFonts w:asciiTheme="majorHAnsi" w:hAnsiTheme="majorHAnsi" w:cstheme="majorHAnsi"/>
        </w:rPr>
        <w:t xml:space="preserve">capacity. </w:t>
      </w:r>
    </w:p>
    <w:p w14:paraId="5066B1BE" w14:textId="5C6E67CC" w:rsidR="004C3FE0" w:rsidRDefault="00BA7FF7" w:rsidP="004C3FE0">
      <w:pPr>
        <w:pStyle w:val="BodyText"/>
        <w:rPr>
          <w:rFonts w:asciiTheme="majorHAnsi" w:hAnsiTheme="majorHAnsi" w:cstheme="majorHAnsi"/>
        </w:rPr>
      </w:pPr>
      <w:r>
        <w:rPr>
          <w:rFonts w:asciiTheme="majorHAnsi" w:hAnsiTheme="majorHAnsi" w:cstheme="majorHAnsi"/>
        </w:rPr>
        <w:t>It is worth noting in this context that while the term ‘transfer’ in operational transfer implies that capacity is being transferred from one shipper to another, this will not occur in relation to the day-ahead auction. In the day-ahead auction, any contracted but un-nominated capacity sold through the auction will be allocated to the auction winners, but there will not be a corresponding reduction in the capacity holdings of primary shippers that have contracted but un-nominated capacity.</w:t>
      </w:r>
    </w:p>
    <w:p w14:paraId="3EEC233E" w14:textId="0CC60C1C" w:rsidR="00D128A9" w:rsidRPr="00EC75C1" w:rsidRDefault="00D128A9" w:rsidP="00D128A9">
      <w:pPr>
        <w:pStyle w:val="Caption"/>
        <w:spacing w:before="0" w:after="0" w:line="240" w:lineRule="auto"/>
        <w:rPr>
          <w:bCs w:val="0"/>
        </w:rPr>
      </w:pPr>
    </w:p>
    <w:tbl>
      <w:tblPr>
        <w:tblStyle w:val="PullOutBoxTable"/>
        <w:tblW w:w="5000" w:type="pct"/>
        <w:shd w:val="clear" w:color="auto" w:fill="D9D9D9" w:themeFill="background1" w:themeFillShade="D9"/>
        <w:tblLook w:val="0600" w:firstRow="0" w:lastRow="0" w:firstColumn="0" w:lastColumn="0" w:noHBand="1" w:noVBand="1"/>
        <w:tblCaption w:val="Box 2.1: Capacity transfer mechanisms"/>
        <w:tblDescription w:val="Description of capacity transfer mechanisms"/>
      </w:tblPr>
      <w:tblGrid>
        <w:gridCol w:w="8788"/>
      </w:tblGrid>
      <w:tr w:rsidR="00926D7E" w:rsidRPr="00AE6D62" w14:paraId="0452F699" w14:textId="77777777" w:rsidTr="00926D7E">
        <w:trPr>
          <w:trHeight w:val="332"/>
          <w:tblHeader/>
        </w:trPr>
        <w:tc>
          <w:tcPr>
            <w:tcW w:w="5000" w:type="pct"/>
            <w:shd w:val="clear" w:color="auto" w:fill="auto"/>
          </w:tcPr>
          <w:p w14:paraId="1CBFC771" w14:textId="770BB40E" w:rsidR="00926D7E" w:rsidRPr="00B96362" w:rsidRDefault="00926D7E" w:rsidP="00926D7E">
            <w:pPr>
              <w:pStyle w:val="ListBullet"/>
              <w:numPr>
                <w:ilvl w:val="0"/>
                <w:numId w:val="0"/>
              </w:numPr>
              <w:spacing w:before="0" w:line="252" w:lineRule="auto"/>
              <w:rPr>
                <w:rFonts w:eastAsiaTheme="majorEastAsia"/>
                <w:sz w:val="20"/>
                <w:szCs w:val="20"/>
              </w:rPr>
            </w:pPr>
            <w:r>
              <w:rPr>
                <w:rFonts w:asciiTheme="majorHAnsi" w:hAnsiTheme="majorHAnsi" w:cstheme="majorHAnsi"/>
                <w:sz w:val="20"/>
                <w:szCs w:val="20"/>
              </w:rPr>
              <w:t xml:space="preserve"> </w:t>
            </w:r>
            <w:bookmarkStart w:id="50" w:name="_Ref489586096"/>
            <w:r w:rsidRPr="00926D7E">
              <w:rPr>
                <w:b/>
              </w:rPr>
              <w:t xml:space="preserve">Box </w:t>
            </w:r>
            <w:r w:rsidRPr="00926D7E">
              <w:rPr>
                <w:b/>
              </w:rPr>
              <w:fldChar w:fldCharType="begin"/>
            </w:r>
            <w:r w:rsidRPr="00926D7E">
              <w:rPr>
                <w:b/>
              </w:rPr>
              <w:instrText xml:space="preserve"> STYLEREF 1 \s </w:instrText>
            </w:r>
            <w:r w:rsidRPr="00926D7E">
              <w:rPr>
                <w:b/>
              </w:rPr>
              <w:fldChar w:fldCharType="separate"/>
            </w:r>
            <w:r w:rsidRPr="00926D7E">
              <w:rPr>
                <w:b/>
                <w:noProof/>
              </w:rPr>
              <w:t>2</w:t>
            </w:r>
            <w:r w:rsidRPr="00926D7E">
              <w:rPr>
                <w:b/>
                <w:noProof/>
              </w:rPr>
              <w:fldChar w:fldCharType="end"/>
            </w:r>
            <w:r w:rsidRPr="00926D7E">
              <w:rPr>
                <w:b/>
              </w:rPr>
              <w:t>.</w:t>
            </w:r>
            <w:r w:rsidRPr="00926D7E">
              <w:rPr>
                <w:b/>
              </w:rPr>
              <w:fldChar w:fldCharType="begin"/>
            </w:r>
            <w:r w:rsidRPr="00926D7E">
              <w:rPr>
                <w:b/>
              </w:rPr>
              <w:instrText xml:space="preserve"> SEQ Box \* ARABIC \s 1 </w:instrText>
            </w:r>
            <w:r w:rsidRPr="00926D7E">
              <w:rPr>
                <w:b/>
              </w:rPr>
              <w:fldChar w:fldCharType="separate"/>
            </w:r>
            <w:r w:rsidRPr="00926D7E">
              <w:rPr>
                <w:b/>
                <w:noProof/>
              </w:rPr>
              <w:t>1</w:t>
            </w:r>
            <w:r w:rsidRPr="00926D7E">
              <w:rPr>
                <w:b/>
                <w:noProof/>
              </w:rPr>
              <w:fldChar w:fldCharType="end"/>
            </w:r>
            <w:bookmarkEnd w:id="50"/>
            <w:r w:rsidRPr="00926D7E">
              <w:rPr>
                <w:b/>
              </w:rPr>
              <w:t>: Capacity transfer mechanisms</w:t>
            </w:r>
          </w:p>
        </w:tc>
      </w:tr>
      <w:tr w:rsidR="00926D7E" w:rsidRPr="00AE6D62" w14:paraId="6F3F62B4" w14:textId="77777777" w:rsidTr="00D128A9">
        <w:tc>
          <w:tcPr>
            <w:tcW w:w="5000" w:type="pct"/>
            <w:shd w:val="clear" w:color="auto" w:fill="D9D9D9" w:themeFill="background1" w:themeFillShade="D9"/>
          </w:tcPr>
          <w:p w14:paraId="52DD17F9" w14:textId="77777777" w:rsidR="00926D7E" w:rsidRPr="00B96362" w:rsidRDefault="00926D7E" w:rsidP="00926D7E">
            <w:pPr>
              <w:pStyle w:val="BodyText"/>
              <w:spacing w:before="0" w:after="40" w:line="252" w:lineRule="auto"/>
              <w:rPr>
                <w:rFonts w:asciiTheme="majorHAnsi" w:eastAsiaTheme="majorEastAsia" w:hAnsiTheme="majorHAnsi" w:cstheme="majorHAnsi"/>
                <w:sz w:val="20"/>
                <w:szCs w:val="20"/>
              </w:rPr>
            </w:pPr>
            <w:r w:rsidRPr="00B96362">
              <w:rPr>
                <w:rFonts w:eastAsiaTheme="majorEastAsia"/>
                <w:sz w:val="20"/>
                <w:szCs w:val="20"/>
              </w:rPr>
              <w:t>T</w:t>
            </w:r>
            <w:r w:rsidRPr="00B96362">
              <w:rPr>
                <w:rFonts w:asciiTheme="majorHAnsi" w:eastAsiaTheme="majorEastAsia" w:hAnsiTheme="majorHAnsi" w:cstheme="majorHAnsi"/>
                <w:sz w:val="20"/>
                <w:szCs w:val="20"/>
              </w:rPr>
              <w:t xml:space="preserve">ransfers of capacity can be given effect through either: </w:t>
            </w:r>
          </w:p>
          <w:p w14:paraId="06ED80BB" w14:textId="77777777" w:rsidR="00926D7E" w:rsidRPr="00594844" w:rsidRDefault="00926D7E" w:rsidP="00926D7E">
            <w:pPr>
              <w:pStyle w:val="ListBullet"/>
              <w:spacing w:before="40" w:line="252" w:lineRule="auto"/>
              <w:rPr>
                <w:rFonts w:asciiTheme="majorHAnsi" w:hAnsiTheme="majorHAnsi" w:cstheme="majorHAnsi"/>
                <w:color w:val="000000"/>
                <w:sz w:val="20"/>
                <w:szCs w:val="20"/>
              </w:rPr>
            </w:pPr>
            <w:r w:rsidRPr="00B96362">
              <w:rPr>
                <w:rFonts w:asciiTheme="majorHAnsi" w:hAnsiTheme="majorHAnsi" w:cstheme="majorHAnsi"/>
                <w:b/>
                <w:color w:val="000000"/>
                <w:sz w:val="20"/>
                <w:szCs w:val="20"/>
              </w:rPr>
              <w:t>an operational transfer</w:t>
            </w:r>
            <w:r w:rsidRPr="00B96362">
              <w:rPr>
                <w:rFonts w:asciiTheme="majorHAnsi" w:hAnsiTheme="majorHAnsi" w:cstheme="majorHAnsi"/>
                <w:color w:val="000000"/>
                <w:sz w:val="20"/>
                <w:szCs w:val="20"/>
              </w:rPr>
              <w:t xml:space="preserve"> - under an operational transfer, the service</w:t>
            </w:r>
            <w:r>
              <w:rPr>
                <w:rFonts w:asciiTheme="majorHAnsi" w:hAnsiTheme="majorHAnsi" w:cstheme="majorHAnsi"/>
                <w:color w:val="000000"/>
                <w:sz w:val="20"/>
                <w:szCs w:val="20"/>
              </w:rPr>
              <w:t xml:space="preserve"> related elements, price, prudential and other legal </w:t>
            </w:r>
            <w:r w:rsidRPr="00B96362">
              <w:rPr>
                <w:rFonts w:asciiTheme="majorHAnsi" w:hAnsiTheme="majorHAnsi" w:cstheme="majorHAnsi"/>
                <w:color w:val="000000"/>
                <w:sz w:val="20"/>
                <w:szCs w:val="20"/>
              </w:rPr>
              <w:t xml:space="preserve">provisions </w:t>
            </w:r>
            <w:r>
              <w:rPr>
                <w:rFonts w:asciiTheme="majorHAnsi" w:hAnsiTheme="majorHAnsi" w:cstheme="majorHAnsi"/>
                <w:color w:val="000000"/>
                <w:sz w:val="20"/>
                <w:szCs w:val="20"/>
              </w:rPr>
              <w:t>re</w:t>
            </w:r>
            <w:r w:rsidRPr="00594844">
              <w:rPr>
                <w:rFonts w:asciiTheme="majorHAnsi" w:hAnsiTheme="majorHAnsi" w:cstheme="majorHAnsi"/>
                <w:color w:val="000000"/>
                <w:sz w:val="20"/>
                <w:szCs w:val="20"/>
              </w:rPr>
              <w:t xml:space="preserve">lating to the sale of capacity are set out in the </w:t>
            </w:r>
            <w:r>
              <w:rPr>
                <w:rFonts w:asciiTheme="majorHAnsi" w:hAnsiTheme="majorHAnsi" w:cstheme="majorHAnsi"/>
                <w:color w:val="000000"/>
                <w:sz w:val="20"/>
                <w:szCs w:val="20"/>
              </w:rPr>
              <w:t xml:space="preserve">secondary CTA, Exchange or Auction agreements </w:t>
            </w:r>
            <w:r w:rsidRPr="00594844">
              <w:rPr>
                <w:rFonts w:asciiTheme="majorHAnsi" w:hAnsiTheme="majorHAnsi" w:cstheme="majorHAnsi"/>
                <w:color w:val="000000"/>
                <w:sz w:val="20"/>
                <w:szCs w:val="20"/>
              </w:rPr>
              <w:t>entered into by the shipper</w:t>
            </w:r>
            <w:r>
              <w:rPr>
                <w:rFonts w:asciiTheme="majorHAnsi" w:hAnsiTheme="majorHAnsi" w:cstheme="majorHAnsi"/>
                <w:color w:val="000000"/>
                <w:sz w:val="20"/>
                <w:szCs w:val="20"/>
              </w:rPr>
              <w:t>s</w:t>
            </w:r>
            <w:r w:rsidRPr="00594844">
              <w:rPr>
                <w:rFonts w:asciiTheme="majorHAnsi" w:hAnsiTheme="majorHAnsi" w:cstheme="majorHAnsi"/>
                <w:color w:val="000000"/>
                <w:sz w:val="20"/>
                <w:szCs w:val="20"/>
              </w:rPr>
              <w:t xml:space="preserve">, while the operational terms are set out in the </w:t>
            </w:r>
            <w:r>
              <w:rPr>
                <w:rFonts w:asciiTheme="majorHAnsi" w:hAnsiTheme="majorHAnsi" w:cstheme="majorHAnsi"/>
                <w:color w:val="000000"/>
                <w:sz w:val="20"/>
                <w:szCs w:val="20"/>
              </w:rPr>
              <w:t>o</w:t>
            </w:r>
            <w:r w:rsidRPr="00594844">
              <w:rPr>
                <w:rFonts w:asciiTheme="majorHAnsi" w:hAnsiTheme="majorHAnsi" w:cstheme="majorHAnsi"/>
                <w:color w:val="000000"/>
                <w:sz w:val="20"/>
                <w:szCs w:val="20"/>
              </w:rPr>
              <w:t>perational GTA entered into by the service provider and secondary shipper; or</w:t>
            </w:r>
          </w:p>
          <w:p w14:paraId="60702E2B" w14:textId="77777777" w:rsidR="00926D7E" w:rsidRPr="00594844" w:rsidRDefault="00926D7E" w:rsidP="00926D7E">
            <w:pPr>
              <w:pStyle w:val="ListBullet"/>
              <w:spacing w:before="40" w:line="252" w:lineRule="auto"/>
              <w:rPr>
                <w:rFonts w:asciiTheme="majorHAnsi" w:hAnsiTheme="majorHAnsi" w:cstheme="majorHAnsi"/>
                <w:color w:val="000000"/>
                <w:sz w:val="20"/>
                <w:szCs w:val="20"/>
              </w:rPr>
            </w:pPr>
            <w:proofErr w:type="gramStart"/>
            <w:r w:rsidRPr="00594844">
              <w:rPr>
                <w:rFonts w:asciiTheme="majorHAnsi" w:eastAsiaTheme="majorEastAsia" w:hAnsiTheme="majorHAnsi" w:cstheme="majorHAnsi"/>
                <w:b/>
                <w:sz w:val="20"/>
                <w:szCs w:val="20"/>
              </w:rPr>
              <w:t>a</w:t>
            </w:r>
            <w:proofErr w:type="gramEnd"/>
            <w:r w:rsidRPr="00594844">
              <w:rPr>
                <w:rFonts w:asciiTheme="majorHAnsi" w:eastAsiaTheme="majorEastAsia" w:hAnsiTheme="majorHAnsi" w:cstheme="majorHAnsi"/>
                <w:b/>
                <w:sz w:val="20"/>
                <w:szCs w:val="20"/>
              </w:rPr>
              <w:t xml:space="preserve"> bare transfer</w:t>
            </w:r>
            <w:r w:rsidRPr="00594844">
              <w:rPr>
                <w:rFonts w:asciiTheme="majorHAnsi" w:eastAsiaTheme="majorEastAsia" w:hAnsiTheme="majorHAnsi" w:cstheme="majorHAnsi"/>
                <w:sz w:val="20"/>
                <w:szCs w:val="20"/>
              </w:rPr>
              <w:t xml:space="preserve"> - under a bare transfer all the terms and conditions applying to the trade are set out in </w:t>
            </w:r>
            <w:r>
              <w:rPr>
                <w:rFonts w:asciiTheme="majorHAnsi" w:eastAsiaTheme="majorEastAsia" w:hAnsiTheme="majorHAnsi" w:cstheme="majorHAnsi"/>
                <w:sz w:val="20"/>
                <w:szCs w:val="20"/>
              </w:rPr>
              <w:t xml:space="preserve">the CTA </w:t>
            </w:r>
            <w:r w:rsidRPr="00594844">
              <w:rPr>
                <w:rFonts w:asciiTheme="majorHAnsi" w:eastAsiaTheme="majorEastAsia" w:hAnsiTheme="majorHAnsi" w:cstheme="majorHAnsi"/>
                <w:sz w:val="20"/>
                <w:szCs w:val="20"/>
              </w:rPr>
              <w:t xml:space="preserve">entered into by the primary and secondary shipper. </w:t>
            </w:r>
          </w:p>
          <w:p w14:paraId="4AA81637" w14:textId="77777777" w:rsidR="00926D7E" w:rsidRPr="00E836FA" w:rsidRDefault="00926D7E" w:rsidP="00926D7E">
            <w:pPr>
              <w:pStyle w:val="Default"/>
              <w:rPr>
                <w:rFonts w:asciiTheme="majorHAnsi" w:hAnsiTheme="majorHAnsi" w:cstheme="majorHAnsi"/>
                <w:sz w:val="20"/>
                <w:szCs w:val="20"/>
              </w:rPr>
            </w:pPr>
            <w:r w:rsidRPr="00E836FA">
              <w:rPr>
                <w:rFonts w:asciiTheme="majorHAnsi" w:hAnsiTheme="majorHAnsi" w:cstheme="majorHAnsi"/>
                <w:sz w:val="20"/>
                <w:szCs w:val="20"/>
              </w:rPr>
              <w:t xml:space="preserve">Under both types of transfers, the </w:t>
            </w:r>
            <w:r>
              <w:rPr>
                <w:rFonts w:asciiTheme="majorHAnsi" w:hAnsiTheme="majorHAnsi" w:cstheme="majorHAnsi"/>
                <w:sz w:val="20"/>
                <w:szCs w:val="20"/>
              </w:rPr>
              <w:t xml:space="preserve">primary shipper’s </w:t>
            </w:r>
            <w:r w:rsidRPr="00E836FA">
              <w:rPr>
                <w:rFonts w:asciiTheme="majorHAnsi" w:hAnsiTheme="majorHAnsi" w:cstheme="majorHAnsi"/>
                <w:sz w:val="20"/>
                <w:szCs w:val="20"/>
              </w:rPr>
              <w:t xml:space="preserve">capacity rights (or part thereof) are temporarily transferred to the </w:t>
            </w:r>
            <w:r>
              <w:rPr>
                <w:rFonts w:asciiTheme="majorHAnsi" w:hAnsiTheme="majorHAnsi" w:cstheme="majorHAnsi"/>
                <w:sz w:val="20"/>
                <w:szCs w:val="20"/>
              </w:rPr>
              <w:t xml:space="preserve">secondary shipper </w:t>
            </w:r>
            <w:r w:rsidRPr="00E836FA">
              <w:rPr>
                <w:rFonts w:asciiTheme="majorHAnsi" w:hAnsiTheme="majorHAnsi" w:cstheme="majorHAnsi"/>
                <w:sz w:val="20"/>
                <w:szCs w:val="20"/>
              </w:rPr>
              <w:t xml:space="preserve">and the obligation to pay </w:t>
            </w:r>
            <w:r>
              <w:rPr>
                <w:rFonts w:asciiTheme="majorHAnsi" w:hAnsiTheme="majorHAnsi" w:cstheme="majorHAnsi"/>
                <w:sz w:val="20"/>
                <w:szCs w:val="20"/>
              </w:rPr>
              <w:t xml:space="preserve">the service provider </w:t>
            </w:r>
            <w:r w:rsidRPr="00E836FA">
              <w:rPr>
                <w:rFonts w:asciiTheme="majorHAnsi" w:hAnsiTheme="majorHAnsi" w:cstheme="majorHAnsi"/>
                <w:sz w:val="20"/>
                <w:szCs w:val="20"/>
              </w:rPr>
              <w:t xml:space="preserve">remains with the </w:t>
            </w:r>
            <w:r>
              <w:rPr>
                <w:rFonts w:asciiTheme="majorHAnsi" w:hAnsiTheme="majorHAnsi" w:cstheme="majorHAnsi"/>
                <w:sz w:val="20"/>
                <w:szCs w:val="20"/>
              </w:rPr>
              <w:t>primary shipper</w:t>
            </w:r>
            <w:r w:rsidRPr="00E836FA">
              <w:rPr>
                <w:rFonts w:asciiTheme="majorHAnsi" w:hAnsiTheme="majorHAnsi" w:cstheme="majorHAnsi"/>
                <w:sz w:val="20"/>
                <w:szCs w:val="20"/>
              </w:rPr>
              <w:t>. The key difference betw</w:t>
            </w:r>
            <w:r>
              <w:rPr>
                <w:rFonts w:asciiTheme="majorHAnsi" w:hAnsiTheme="majorHAnsi" w:cstheme="majorHAnsi"/>
                <w:sz w:val="20"/>
                <w:szCs w:val="20"/>
              </w:rPr>
              <w:t>een these two forms of transfer mechanisms</w:t>
            </w:r>
            <w:r w:rsidRPr="00E836FA">
              <w:rPr>
                <w:rFonts w:asciiTheme="majorHAnsi" w:hAnsiTheme="majorHAnsi" w:cstheme="majorHAnsi"/>
                <w:sz w:val="20"/>
                <w:szCs w:val="20"/>
              </w:rPr>
              <w:t xml:space="preserve"> is that</w:t>
            </w:r>
            <w:r>
              <w:rPr>
                <w:rFonts w:asciiTheme="majorHAnsi" w:hAnsiTheme="majorHAnsi" w:cstheme="majorHAnsi"/>
                <w:sz w:val="20"/>
                <w:szCs w:val="20"/>
              </w:rPr>
              <w:t xml:space="preserve"> under the</w:t>
            </w:r>
            <w:r w:rsidRPr="00E836FA">
              <w:rPr>
                <w:rFonts w:asciiTheme="majorHAnsi" w:hAnsiTheme="majorHAnsi" w:cstheme="majorHAnsi"/>
                <w:sz w:val="20"/>
                <w:szCs w:val="20"/>
              </w:rPr>
              <w:t xml:space="preserve">: </w:t>
            </w:r>
          </w:p>
          <w:p w14:paraId="2D6919B8" w14:textId="77777777" w:rsidR="00926D7E" w:rsidRPr="00F94CA6" w:rsidRDefault="00926D7E" w:rsidP="00926D7E">
            <w:pPr>
              <w:pStyle w:val="ListBullet"/>
              <w:rPr>
                <w:rFonts w:eastAsia="Calibri"/>
                <w:sz w:val="20"/>
                <w:szCs w:val="20"/>
              </w:rPr>
            </w:pPr>
            <w:r w:rsidRPr="00F94CA6">
              <w:rPr>
                <w:rFonts w:eastAsia="Calibri"/>
                <w:sz w:val="20"/>
                <w:szCs w:val="20"/>
              </w:rPr>
              <w:t>bare transfer, the primary shipper is responsible for making nominations on behalf of the buyer of the secondary capacity and complying with the operational and legal obligations imposed by the service provider under its primary GTA for the capacity that it has sold</w:t>
            </w:r>
            <w:r>
              <w:rPr>
                <w:rFonts w:eastAsia="Calibri"/>
                <w:sz w:val="20"/>
                <w:szCs w:val="20"/>
              </w:rPr>
              <w:t>; and</w:t>
            </w:r>
            <w:r w:rsidRPr="00F94CA6">
              <w:rPr>
                <w:rFonts w:eastAsia="Calibri"/>
                <w:sz w:val="20"/>
                <w:szCs w:val="20"/>
              </w:rPr>
              <w:t xml:space="preserve"> </w:t>
            </w:r>
          </w:p>
          <w:p w14:paraId="340C643D" w14:textId="77777777" w:rsidR="00926D7E" w:rsidRPr="00E836FA" w:rsidRDefault="00926D7E" w:rsidP="00926D7E">
            <w:pPr>
              <w:pStyle w:val="ListBullet"/>
              <w:rPr>
                <w:rFonts w:eastAsia="Calibri"/>
                <w:sz w:val="20"/>
                <w:szCs w:val="20"/>
              </w:rPr>
            </w:pPr>
            <w:proofErr w:type="gramStart"/>
            <w:r w:rsidRPr="00E836FA">
              <w:rPr>
                <w:rFonts w:eastAsia="Calibri"/>
                <w:sz w:val="20"/>
                <w:szCs w:val="20"/>
              </w:rPr>
              <w:t>operational</w:t>
            </w:r>
            <w:proofErr w:type="gramEnd"/>
            <w:r w:rsidRPr="00E836FA">
              <w:rPr>
                <w:rFonts w:eastAsia="Calibri"/>
                <w:sz w:val="20"/>
                <w:szCs w:val="20"/>
              </w:rPr>
              <w:t xml:space="preserve"> transfer, the </w:t>
            </w:r>
            <w:r>
              <w:rPr>
                <w:rFonts w:eastAsia="Calibri"/>
                <w:sz w:val="20"/>
                <w:szCs w:val="20"/>
              </w:rPr>
              <w:t xml:space="preserve">secondary shipper </w:t>
            </w:r>
            <w:r w:rsidRPr="00E836FA">
              <w:rPr>
                <w:rFonts w:eastAsia="Calibri"/>
                <w:sz w:val="20"/>
                <w:szCs w:val="20"/>
              </w:rPr>
              <w:t xml:space="preserve">is responsible for making nominations directly to the service provider and complying with the operational and legal obligations in the </w:t>
            </w:r>
            <w:r>
              <w:rPr>
                <w:rFonts w:eastAsia="Calibri"/>
                <w:sz w:val="20"/>
                <w:szCs w:val="20"/>
              </w:rPr>
              <w:t>o</w:t>
            </w:r>
            <w:r w:rsidRPr="00E836FA">
              <w:rPr>
                <w:rFonts w:eastAsia="Calibri"/>
                <w:sz w:val="20"/>
                <w:szCs w:val="20"/>
              </w:rPr>
              <w:t>perational GTA</w:t>
            </w:r>
            <w:r>
              <w:rPr>
                <w:rFonts w:eastAsia="Calibri"/>
                <w:sz w:val="20"/>
                <w:szCs w:val="20"/>
              </w:rPr>
              <w:t xml:space="preserve"> it has entered into with the service provider in relation to the capacity that has been purchased</w:t>
            </w:r>
            <w:r w:rsidRPr="00E836FA">
              <w:rPr>
                <w:rFonts w:eastAsia="Calibri"/>
                <w:sz w:val="20"/>
                <w:szCs w:val="20"/>
              </w:rPr>
              <w:t xml:space="preserve">. </w:t>
            </w:r>
          </w:p>
          <w:p w14:paraId="375FBF6C" w14:textId="5A6E3B12" w:rsidR="00926D7E" w:rsidRPr="00B96362" w:rsidRDefault="00926D7E" w:rsidP="00926D7E">
            <w:pPr>
              <w:pStyle w:val="BodyText"/>
              <w:spacing w:before="0" w:after="40" w:line="252" w:lineRule="auto"/>
              <w:rPr>
                <w:rFonts w:eastAsiaTheme="majorEastAsia"/>
                <w:sz w:val="20"/>
                <w:szCs w:val="20"/>
              </w:rPr>
            </w:pPr>
            <w:r>
              <w:rPr>
                <w:rFonts w:asciiTheme="majorHAnsi" w:hAnsiTheme="majorHAnsi" w:cstheme="majorHAnsi"/>
                <w:sz w:val="20"/>
                <w:szCs w:val="20"/>
              </w:rPr>
              <w:t>O</w:t>
            </w:r>
            <w:r w:rsidRPr="00E836FA">
              <w:rPr>
                <w:rFonts w:asciiTheme="majorHAnsi" w:hAnsiTheme="majorHAnsi" w:cstheme="majorHAnsi"/>
                <w:sz w:val="20"/>
                <w:szCs w:val="20"/>
              </w:rPr>
              <w:t>perational transfer</w:t>
            </w:r>
            <w:r>
              <w:rPr>
                <w:rFonts w:asciiTheme="majorHAnsi" w:hAnsiTheme="majorHAnsi" w:cstheme="majorHAnsi"/>
                <w:sz w:val="20"/>
                <w:szCs w:val="20"/>
              </w:rPr>
              <w:t>s</w:t>
            </w:r>
            <w:r w:rsidRPr="00E836FA">
              <w:rPr>
                <w:rFonts w:asciiTheme="majorHAnsi" w:hAnsiTheme="majorHAnsi" w:cstheme="majorHAnsi"/>
                <w:sz w:val="20"/>
                <w:szCs w:val="20"/>
              </w:rPr>
              <w:t xml:space="preserve"> </w:t>
            </w:r>
            <w:r>
              <w:rPr>
                <w:rFonts w:asciiTheme="majorHAnsi" w:hAnsiTheme="majorHAnsi" w:cstheme="majorHAnsi"/>
                <w:sz w:val="20"/>
                <w:szCs w:val="20"/>
              </w:rPr>
              <w:t>can therefore result</w:t>
            </w:r>
            <w:r w:rsidRPr="00E836FA">
              <w:rPr>
                <w:rFonts w:asciiTheme="majorHAnsi" w:hAnsiTheme="majorHAnsi" w:cstheme="majorHAnsi"/>
                <w:sz w:val="20"/>
                <w:szCs w:val="20"/>
              </w:rPr>
              <w:t xml:space="preserve"> in lower administrative and monitoring costs for the primary </w:t>
            </w:r>
            <w:r>
              <w:rPr>
                <w:rFonts w:asciiTheme="majorHAnsi" w:hAnsiTheme="majorHAnsi" w:cstheme="majorHAnsi"/>
                <w:sz w:val="20"/>
                <w:szCs w:val="20"/>
              </w:rPr>
              <w:t xml:space="preserve">shipper </w:t>
            </w:r>
            <w:r w:rsidRPr="00E836FA">
              <w:rPr>
                <w:rFonts w:asciiTheme="majorHAnsi" w:hAnsiTheme="majorHAnsi" w:cstheme="majorHAnsi"/>
                <w:sz w:val="20"/>
                <w:szCs w:val="20"/>
              </w:rPr>
              <w:t xml:space="preserve">and </w:t>
            </w:r>
            <w:r>
              <w:rPr>
                <w:rFonts w:asciiTheme="majorHAnsi" w:hAnsiTheme="majorHAnsi" w:cstheme="majorHAnsi"/>
                <w:sz w:val="20"/>
                <w:szCs w:val="20"/>
              </w:rPr>
              <w:t>enhance commercial confidentiality</w:t>
            </w:r>
            <w:r w:rsidRPr="00E836FA">
              <w:rPr>
                <w:rFonts w:asciiTheme="majorHAnsi" w:hAnsiTheme="majorHAnsi" w:cstheme="majorHAnsi"/>
                <w:sz w:val="20"/>
                <w:szCs w:val="20"/>
              </w:rPr>
              <w:t xml:space="preserve"> for the </w:t>
            </w:r>
            <w:r>
              <w:rPr>
                <w:rFonts w:asciiTheme="majorHAnsi" w:hAnsiTheme="majorHAnsi" w:cstheme="majorHAnsi"/>
                <w:sz w:val="20"/>
                <w:szCs w:val="20"/>
              </w:rPr>
              <w:t>secondary shipper</w:t>
            </w:r>
            <w:r w:rsidRPr="00E836FA">
              <w:rPr>
                <w:rFonts w:asciiTheme="majorHAnsi" w:hAnsiTheme="majorHAnsi" w:cstheme="majorHAnsi"/>
                <w:sz w:val="20"/>
                <w:szCs w:val="20"/>
              </w:rPr>
              <w:t xml:space="preserve">. </w:t>
            </w:r>
            <w:r>
              <w:rPr>
                <w:rFonts w:asciiTheme="majorHAnsi" w:hAnsiTheme="majorHAnsi" w:cstheme="majorHAnsi"/>
                <w:sz w:val="20"/>
                <w:szCs w:val="20"/>
              </w:rPr>
              <w:t xml:space="preserve"> </w:t>
            </w:r>
          </w:p>
        </w:tc>
      </w:tr>
    </w:tbl>
    <w:p w14:paraId="0F25AC1F" w14:textId="77777777" w:rsidR="00926D7E" w:rsidRDefault="00926D7E"/>
    <w:tbl>
      <w:tblPr>
        <w:tblStyle w:val="PullOutBoxTable"/>
        <w:tblW w:w="5000" w:type="pct"/>
        <w:shd w:val="clear" w:color="auto" w:fill="D9D9D9" w:themeFill="background1" w:themeFillShade="D9"/>
        <w:tblLook w:val="0600" w:firstRow="0" w:lastRow="0" w:firstColumn="0" w:lastColumn="0" w:noHBand="1" w:noVBand="1"/>
        <w:tblCaption w:val="Box 2.1: Capacity transfer mechanisms"/>
        <w:tblDescription w:val="Description of capacity transfer mechanisms"/>
      </w:tblPr>
      <w:tblGrid>
        <w:gridCol w:w="8788"/>
      </w:tblGrid>
      <w:tr w:rsidR="00926D7E" w:rsidRPr="00AE6D62" w14:paraId="1F80DDEF" w14:textId="77777777" w:rsidTr="00926D7E">
        <w:trPr>
          <w:tblHeader/>
        </w:trPr>
        <w:tc>
          <w:tcPr>
            <w:tcW w:w="5000" w:type="pct"/>
            <w:shd w:val="clear" w:color="auto" w:fill="D9D9D9" w:themeFill="background1" w:themeFillShade="D9"/>
          </w:tcPr>
          <w:p w14:paraId="059AD242" w14:textId="5B7F1ACB" w:rsidR="00926D7E" w:rsidRPr="00594844" w:rsidRDefault="00926D7E" w:rsidP="00926D7E">
            <w:pPr>
              <w:pStyle w:val="BodyText"/>
              <w:keepNext/>
              <w:spacing w:before="0" w:after="0" w:line="252" w:lineRule="auto"/>
              <w:ind w:left="-164"/>
              <w:rPr>
                <w:rFonts w:eastAsiaTheme="majorEastAsia"/>
                <w:b/>
                <w:sz w:val="20"/>
                <w:szCs w:val="20"/>
              </w:rPr>
            </w:pPr>
            <w:r w:rsidRPr="00594844">
              <w:rPr>
                <w:rFonts w:eastAsiaTheme="majorEastAsia"/>
                <w:b/>
                <w:sz w:val="20"/>
                <w:szCs w:val="20"/>
              </w:rPr>
              <w:lastRenderedPageBreak/>
              <w:t>Operational Transfer</w:t>
            </w:r>
            <w:r>
              <w:rPr>
                <w:rFonts w:eastAsiaTheme="majorEastAsia"/>
                <w:b/>
                <w:noProof/>
                <w:sz w:val="20"/>
                <w:szCs w:val="20"/>
              </w:rPr>
              <w:t xml:space="preserve"> </w:t>
            </w:r>
          </w:p>
        </w:tc>
      </w:tr>
      <w:tr w:rsidR="00926D7E" w:rsidRPr="00AE6D62" w14:paraId="73833F43" w14:textId="77777777" w:rsidTr="00D128A9">
        <w:tc>
          <w:tcPr>
            <w:tcW w:w="5000" w:type="pct"/>
            <w:shd w:val="clear" w:color="auto" w:fill="D9D9D9" w:themeFill="background1" w:themeFillShade="D9"/>
          </w:tcPr>
          <w:p w14:paraId="4C910BEC" w14:textId="4D2786B2" w:rsidR="00926D7E" w:rsidRDefault="00926D7E" w:rsidP="00926D7E">
            <w:pPr>
              <w:pStyle w:val="BodyText"/>
              <w:keepNext/>
              <w:spacing w:before="0" w:after="0" w:line="252" w:lineRule="auto"/>
              <w:ind w:left="-164"/>
              <w:rPr>
                <w:rFonts w:eastAsiaTheme="majorEastAsia"/>
                <w:b/>
                <w:noProof/>
                <w:sz w:val="20"/>
                <w:szCs w:val="20"/>
              </w:rPr>
            </w:pPr>
            <w:r>
              <w:rPr>
                <w:rFonts w:eastAsiaTheme="majorEastAsia"/>
                <w:b/>
                <w:noProof/>
                <w:sz w:val="20"/>
                <w:szCs w:val="20"/>
              </w:rPr>
              <w:drawing>
                <wp:inline distT="0" distB="0" distL="0" distR="0" wp14:anchorId="00672F6A" wp14:editId="7C0F635C">
                  <wp:extent cx="5619750" cy="3239770"/>
                  <wp:effectExtent l="0" t="0" r="0" b="0"/>
                  <wp:docPr id="14" name="Picture 14" descr="Overview of operational transfer" title="Operational transfer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Op transfer.PNG"/>
                          <pic:cNvPicPr/>
                        </pic:nvPicPr>
                        <pic:blipFill>
                          <a:blip r:embed="rId28">
                            <a:extLst>
                              <a:ext uri="{28A0092B-C50C-407E-A947-70E740481C1C}">
                                <a14:useLocalDpi xmlns:a14="http://schemas.microsoft.com/office/drawing/2010/main" val="0"/>
                              </a:ext>
                            </a:extLst>
                          </a:blip>
                          <a:stretch>
                            <a:fillRect/>
                          </a:stretch>
                        </pic:blipFill>
                        <pic:spPr>
                          <a:xfrm>
                            <a:off x="0" y="0"/>
                            <a:ext cx="5620149" cy="3240000"/>
                          </a:xfrm>
                          <a:prstGeom prst="rect">
                            <a:avLst/>
                          </a:prstGeom>
                        </pic:spPr>
                      </pic:pic>
                    </a:graphicData>
                  </a:graphic>
                </wp:inline>
              </w:drawing>
            </w:r>
          </w:p>
        </w:tc>
      </w:tr>
    </w:tbl>
    <w:p w14:paraId="6A450EF6" w14:textId="77777777" w:rsidR="00926D7E" w:rsidRDefault="00926D7E"/>
    <w:p w14:paraId="56390F4B" w14:textId="77777777" w:rsidR="00926D7E" w:rsidRDefault="00926D7E"/>
    <w:tbl>
      <w:tblPr>
        <w:tblStyle w:val="PullOutBoxTable"/>
        <w:tblW w:w="5000" w:type="pct"/>
        <w:shd w:val="clear" w:color="auto" w:fill="D9D9D9" w:themeFill="background1" w:themeFillShade="D9"/>
        <w:tblLook w:val="0600" w:firstRow="0" w:lastRow="0" w:firstColumn="0" w:lastColumn="0" w:noHBand="1" w:noVBand="1"/>
        <w:tblCaption w:val="Box 2.1: Capacity transfer mechanisms"/>
        <w:tblDescription w:val="Description of capacity transfer mechanisms"/>
      </w:tblPr>
      <w:tblGrid>
        <w:gridCol w:w="8788"/>
      </w:tblGrid>
      <w:tr w:rsidR="00926D7E" w:rsidRPr="00AE6D62" w14:paraId="69FE6BD1" w14:textId="77777777" w:rsidTr="00926D7E">
        <w:trPr>
          <w:tblHeader/>
        </w:trPr>
        <w:tc>
          <w:tcPr>
            <w:tcW w:w="5000" w:type="pct"/>
            <w:shd w:val="clear" w:color="auto" w:fill="D9D9D9" w:themeFill="background1" w:themeFillShade="D9"/>
          </w:tcPr>
          <w:p w14:paraId="5BF891CE" w14:textId="7D9744D1" w:rsidR="00926D7E" w:rsidRPr="00926D7E" w:rsidRDefault="00926D7E" w:rsidP="00926D7E">
            <w:pPr>
              <w:pStyle w:val="BodyText"/>
              <w:spacing w:before="0" w:after="0" w:line="252" w:lineRule="auto"/>
              <w:ind w:left="-165"/>
              <w:rPr>
                <w:rFonts w:eastAsiaTheme="majorEastAsia"/>
                <w:b/>
                <w:sz w:val="20"/>
                <w:szCs w:val="20"/>
              </w:rPr>
            </w:pPr>
            <w:r>
              <w:rPr>
                <w:rFonts w:eastAsiaTheme="majorEastAsia"/>
                <w:b/>
                <w:sz w:val="20"/>
                <w:szCs w:val="20"/>
              </w:rPr>
              <w:t>Bare Transfer</w:t>
            </w:r>
          </w:p>
        </w:tc>
      </w:tr>
      <w:tr w:rsidR="00926D7E" w:rsidRPr="00AE6D62" w14:paraId="1F9D109C" w14:textId="77777777" w:rsidTr="00D128A9">
        <w:tc>
          <w:tcPr>
            <w:tcW w:w="5000" w:type="pct"/>
            <w:shd w:val="clear" w:color="auto" w:fill="D9D9D9" w:themeFill="background1" w:themeFillShade="D9"/>
          </w:tcPr>
          <w:p w14:paraId="6F4405BD" w14:textId="74C213D9" w:rsidR="00926D7E" w:rsidRPr="00B96362" w:rsidRDefault="00926D7E" w:rsidP="00D128A9">
            <w:pPr>
              <w:pStyle w:val="BodyText"/>
              <w:spacing w:before="0" w:after="40" w:line="252" w:lineRule="auto"/>
              <w:rPr>
                <w:rFonts w:eastAsiaTheme="majorEastAsia"/>
                <w:sz w:val="20"/>
                <w:szCs w:val="20"/>
              </w:rPr>
            </w:pPr>
            <w:r>
              <w:rPr>
                <w:rFonts w:eastAsiaTheme="majorEastAsia"/>
                <w:noProof/>
                <w:sz w:val="20"/>
                <w:szCs w:val="20"/>
              </w:rPr>
              <w:drawing>
                <wp:inline distT="0" distB="0" distL="0" distR="0" wp14:anchorId="5480637E" wp14:editId="5C75B5C2">
                  <wp:extent cx="5569200" cy="3240000"/>
                  <wp:effectExtent l="0" t="0" r="0" b="0"/>
                  <wp:docPr id="15" name="Picture 15" descr="Overview of bare transfer" title="Bare Transfe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Bare transfer.PNG"/>
                          <pic:cNvPicPr/>
                        </pic:nvPicPr>
                        <pic:blipFill>
                          <a:blip r:embed="rId29">
                            <a:extLst>
                              <a:ext uri="{28A0092B-C50C-407E-A947-70E740481C1C}">
                                <a14:useLocalDpi xmlns:a14="http://schemas.microsoft.com/office/drawing/2010/main" val="0"/>
                              </a:ext>
                            </a:extLst>
                          </a:blip>
                          <a:stretch>
                            <a:fillRect/>
                          </a:stretch>
                        </pic:blipFill>
                        <pic:spPr>
                          <a:xfrm>
                            <a:off x="0" y="0"/>
                            <a:ext cx="5569200" cy="3240000"/>
                          </a:xfrm>
                          <a:prstGeom prst="rect">
                            <a:avLst/>
                          </a:prstGeom>
                        </pic:spPr>
                      </pic:pic>
                    </a:graphicData>
                  </a:graphic>
                </wp:inline>
              </w:drawing>
            </w:r>
          </w:p>
        </w:tc>
      </w:tr>
    </w:tbl>
    <w:p w14:paraId="326B5554" w14:textId="77777777" w:rsidR="00D128A9" w:rsidRDefault="00D128A9" w:rsidP="00D128A9">
      <w:pPr>
        <w:pStyle w:val="BodyText"/>
        <w:spacing w:before="0" w:after="0" w:line="240" w:lineRule="auto"/>
        <w:rPr>
          <w:sz w:val="18"/>
          <w:szCs w:val="18"/>
        </w:rPr>
      </w:pPr>
      <w:r w:rsidRPr="00EC75C1">
        <w:rPr>
          <w:sz w:val="18"/>
          <w:szCs w:val="18"/>
        </w:rPr>
        <w:t xml:space="preserve">Source: AEMC, </w:t>
      </w:r>
      <w:r>
        <w:rPr>
          <w:sz w:val="18"/>
          <w:szCs w:val="18"/>
        </w:rPr>
        <w:t xml:space="preserve">Stage 2 Final Report: </w:t>
      </w:r>
      <w:r w:rsidR="005E3347" w:rsidRPr="005E3347">
        <w:rPr>
          <w:i/>
          <w:sz w:val="18"/>
          <w:szCs w:val="18"/>
        </w:rPr>
        <w:t>East Coast Review</w:t>
      </w:r>
      <w:r w:rsidRPr="00EC75C1">
        <w:rPr>
          <w:sz w:val="18"/>
          <w:szCs w:val="18"/>
        </w:rPr>
        <w:t xml:space="preserve">, </w:t>
      </w:r>
      <w:r>
        <w:rPr>
          <w:sz w:val="18"/>
          <w:szCs w:val="18"/>
        </w:rPr>
        <w:t>23</w:t>
      </w:r>
      <w:r w:rsidRPr="00EC75C1">
        <w:rPr>
          <w:sz w:val="18"/>
          <w:szCs w:val="18"/>
        </w:rPr>
        <w:t xml:space="preserve"> </w:t>
      </w:r>
      <w:r>
        <w:rPr>
          <w:sz w:val="18"/>
          <w:szCs w:val="18"/>
        </w:rPr>
        <w:t xml:space="preserve">May </w:t>
      </w:r>
      <w:r w:rsidRPr="00EC75C1">
        <w:rPr>
          <w:sz w:val="18"/>
          <w:szCs w:val="18"/>
        </w:rPr>
        <w:t>2016, p</w:t>
      </w:r>
      <w:r>
        <w:rPr>
          <w:sz w:val="18"/>
          <w:szCs w:val="18"/>
        </w:rPr>
        <w:t>p</w:t>
      </w:r>
      <w:r w:rsidRPr="00EC75C1">
        <w:rPr>
          <w:sz w:val="18"/>
          <w:szCs w:val="18"/>
        </w:rPr>
        <w:t xml:space="preserve">. </w:t>
      </w:r>
      <w:r>
        <w:rPr>
          <w:sz w:val="18"/>
          <w:szCs w:val="18"/>
        </w:rPr>
        <w:t>99-</w:t>
      </w:r>
      <w:r w:rsidRPr="00EC75C1">
        <w:rPr>
          <w:sz w:val="18"/>
          <w:szCs w:val="18"/>
        </w:rPr>
        <w:t>1</w:t>
      </w:r>
      <w:r>
        <w:rPr>
          <w:sz w:val="18"/>
          <w:szCs w:val="18"/>
        </w:rPr>
        <w:t>00 and Pipeline Access Discussion Paper, 3 March 2016, pp. 18-19</w:t>
      </w:r>
      <w:r w:rsidRPr="00EC75C1">
        <w:rPr>
          <w:sz w:val="18"/>
          <w:szCs w:val="18"/>
        </w:rPr>
        <w:t>.</w:t>
      </w:r>
    </w:p>
    <w:p w14:paraId="5AB54C09" w14:textId="77777777" w:rsidR="00AE7A92" w:rsidRDefault="00AE7A92" w:rsidP="00D128A9">
      <w:pPr>
        <w:pStyle w:val="BodyText"/>
        <w:spacing w:before="0" w:after="0" w:line="240" w:lineRule="auto"/>
        <w:rPr>
          <w:sz w:val="18"/>
          <w:szCs w:val="18"/>
        </w:rPr>
      </w:pPr>
    </w:p>
    <w:p w14:paraId="63097575" w14:textId="7BEB9BEF" w:rsidR="00A45719" w:rsidRDefault="00A45719" w:rsidP="0022152C">
      <w:pPr>
        <w:pStyle w:val="Heading2"/>
        <w:spacing w:before="120" w:after="120"/>
      </w:pPr>
      <w:bookmarkStart w:id="51" w:name="_Ref490565600"/>
      <w:bookmarkStart w:id="52" w:name="_Ref491754432"/>
      <w:bookmarkStart w:id="53" w:name="_Ref491756890"/>
      <w:bookmarkStart w:id="54" w:name="_Toc492524734"/>
      <w:bookmarkStart w:id="55" w:name="_Hlk490588821"/>
      <w:r>
        <w:lastRenderedPageBreak/>
        <w:t xml:space="preserve">Assessment </w:t>
      </w:r>
      <w:r w:rsidR="00717A36">
        <w:t>f</w:t>
      </w:r>
      <w:r>
        <w:t>ramework</w:t>
      </w:r>
      <w:bookmarkEnd w:id="51"/>
      <w:r w:rsidR="00C203FF">
        <w:t xml:space="preserve"> for the reform</w:t>
      </w:r>
      <w:bookmarkEnd w:id="52"/>
      <w:bookmarkEnd w:id="53"/>
      <w:r w:rsidR="003604E5">
        <w:t xml:space="preserve"> package</w:t>
      </w:r>
      <w:bookmarkEnd w:id="54"/>
      <w:r w:rsidR="00C203FF">
        <w:t xml:space="preserve"> </w:t>
      </w:r>
    </w:p>
    <w:p w14:paraId="7CEBFC5E" w14:textId="77777777" w:rsidR="00B92A32" w:rsidRDefault="0083791B" w:rsidP="00B92A32">
      <w:pPr>
        <w:pStyle w:val="BodyText"/>
      </w:pPr>
      <w:r>
        <w:t>There are</w:t>
      </w:r>
      <w:r w:rsidR="00CF7960">
        <w:t xml:space="preserve"> </w:t>
      </w:r>
      <w:r>
        <w:t xml:space="preserve">a number of different ways in which the standardisation related reforms could be designed and implemented. </w:t>
      </w:r>
      <w:r w:rsidR="00D626B8">
        <w:t>When</w:t>
      </w:r>
      <w:r w:rsidR="00D22507">
        <w:t xml:space="preserve"> assess</w:t>
      </w:r>
      <w:r w:rsidR="00D626B8">
        <w:t>ing</w:t>
      </w:r>
      <w:r w:rsidR="00D22507">
        <w:t xml:space="preserve"> these options</w:t>
      </w:r>
      <w:r w:rsidR="00D626B8">
        <w:t xml:space="preserve"> and developing its final recommendations for </w:t>
      </w:r>
      <w:r w:rsidR="00036C8E">
        <w:t xml:space="preserve">the </w:t>
      </w:r>
      <w:r w:rsidR="00D626B8">
        <w:t>SCO and the Energy Council</w:t>
      </w:r>
      <w:r w:rsidR="00D22507">
        <w:t xml:space="preserve">, the </w:t>
      </w:r>
      <w:r w:rsidR="00A83FAB">
        <w:t xml:space="preserve">GMRG </w:t>
      </w:r>
      <w:r w:rsidR="00036C8E">
        <w:t xml:space="preserve">intends to </w:t>
      </w:r>
      <w:r w:rsidR="00D22507">
        <w:t xml:space="preserve">use the </w:t>
      </w:r>
      <w:r w:rsidR="00CE20FF">
        <w:t>rule making test that the AEMC is required to consider when exercising its rule making functions</w:t>
      </w:r>
      <w:r w:rsidR="00D626B8">
        <w:t>.</w:t>
      </w:r>
      <w:r w:rsidR="00CE20FF">
        <w:rPr>
          <w:rStyle w:val="FootnoteReference"/>
        </w:rPr>
        <w:footnoteReference w:id="13"/>
      </w:r>
      <w:r w:rsidR="00326E4B">
        <w:t xml:space="preserve"> </w:t>
      </w:r>
      <w:r w:rsidR="00D626B8">
        <w:t xml:space="preserve">This test </w:t>
      </w:r>
      <w:r w:rsidR="00B92A32">
        <w:t>states that:</w:t>
      </w:r>
      <w:r w:rsidR="00B92A32">
        <w:rPr>
          <w:rStyle w:val="FootnoteReference"/>
        </w:rPr>
        <w:footnoteReference w:id="14"/>
      </w:r>
    </w:p>
    <w:p w14:paraId="043D8D73" w14:textId="77777777" w:rsidR="00B92A32" w:rsidRPr="00F25A6F" w:rsidRDefault="00B92A32" w:rsidP="00674F2D">
      <w:pPr>
        <w:pStyle w:val="ListBullet"/>
        <w:numPr>
          <w:ilvl w:val="0"/>
          <w:numId w:val="16"/>
        </w:numPr>
        <w:rPr>
          <w:bCs/>
          <w:i/>
          <w:sz w:val="20"/>
          <w:szCs w:val="20"/>
        </w:rPr>
      </w:pPr>
      <w:r w:rsidRPr="00465134">
        <w:rPr>
          <w:bCs/>
        </w:rPr>
        <w:t>the AEMC may only make a rule if it is satisfied it will, or is likely to, contribute to the achievement of the NGO</w:t>
      </w:r>
      <w:r>
        <w:rPr>
          <w:bCs/>
        </w:rPr>
        <w:t>; and</w:t>
      </w:r>
    </w:p>
    <w:p w14:paraId="48682C73" w14:textId="77777777" w:rsidR="00B92A32" w:rsidRDefault="00B92A32" w:rsidP="00674F2D">
      <w:pPr>
        <w:pStyle w:val="ListBullet"/>
        <w:numPr>
          <w:ilvl w:val="0"/>
          <w:numId w:val="16"/>
        </w:numPr>
      </w:pPr>
      <w:r w:rsidRPr="00465134">
        <w:rPr>
          <w:bCs/>
        </w:rPr>
        <w:t>the AEMC may give such weight to any aspect of the NGO as it considers appropriate, having regard to any relevant Council statement of policy principles.</w:t>
      </w:r>
      <w:r>
        <w:t xml:space="preserve"> </w:t>
      </w:r>
    </w:p>
    <w:p w14:paraId="5F7E100B" w14:textId="029FD646" w:rsidR="00087AE7" w:rsidRPr="00643282" w:rsidRDefault="00B92A32" w:rsidP="00643282">
      <w:pPr>
        <w:pStyle w:val="BodyText"/>
      </w:pPr>
      <w:r w:rsidRPr="00643282">
        <w:t xml:space="preserve">In keeping with this test, the GMRG </w:t>
      </w:r>
      <w:r w:rsidR="00D73D6E" w:rsidRPr="00643282">
        <w:t xml:space="preserve">will </w:t>
      </w:r>
      <w:r w:rsidR="00D83ABC" w:rsidRPr="00643282">
        <w:t xml:space="preserve">have regard to the </w:t>
      </w:r>
      <w:r w:rsidRPr="00643282">
        <w:rPr>
          <w:bCs/>
        </w:rPr>
        <w:t>NGO</w:t>
      </w:r>
      <w:r w:rsidR="00643282">
        <w:rPr>
          <w:bCs/>
        </w:rPr>
        <w:t xml:space="preserve"> (see </w:t>
      </w:r>
      <w:r w:rsidR="00643282" w:rsidRPr="00643282">
        <w:rPr>
          <w:bCs/>
        </w:rPr>
        <w:fldChar w:fldCharType="begin"/>
      </w:r>
      <w:r w:rsidR="00643282" w:rsidRPr="00643282">
        <w:rPr>
          <w:bCs/>
        </w:rPr>
        <w:instrText xml:space="preserve"> REF _Ref482330736 \h  \* MERGEFORMAT </w:instrText>
      </w:r>
      <w:r w:rsidR="00643282" w:rsidRPr="00643282">
        <w:rPr>
          <w:bCs/>
        </w:rPr>
      </w:r>
      <w:r w:rsidR="00643282" w:rsidRPr="00643282">
        <w:rPr>
          <w:bCs/>
        </w:rPr>
        <w:fldChar w:fldCharType="separate"/>
      </w:r>
      <w:r w:rsidR="00947034" w:rsidRPr="00947034">
        <w:t xml:space="preserve">Box </w:t>
      </w:r>
      <w:r w:rsidR="00947034" w:rsidRPr="00947034">
        <w:rPr>
          <w:noProof/>
        </w:rPr>
        <w:t>1.1</w:t>
      </w:r>
      <w:r w:rsidR="00643282" w:rsidRPr="00643282">
        <w:rPr>
          <w:bCs/>
        </w:rPr>
        <w:fldChar w:fldCharType="end"/>
      </w:r>
      <w:r w:rsidR="00643282">
        <w:rPr>
          <w:bCs/>
        </w:rPr>
        <w:t>)</w:t>
      </w:r>
      <w:r w:rsidR="00643282" w:rsidRPr="00643282">
        <w:rPr>
          <w:bCs/>
        </w:rPr>
        <w:t xml:space="preserve">. </w:t>
      </w:r>
    </w:p>
    <w:p w14:paraId="023A4ECA" w14:textId="77777777" w:rsidR="00F475B1" w:rsidRDefault="00087AE7" w:rsidP="00087AE7">
      <w:pPr>
        <w:pStyle w:val="BodyText"/>
      </w:pPr>
      <w:r>
        <w:t>As the AEMC has previously observed, q</w:t>
      </w:r>
      <w:r w:rsidRPr="006270F8">
        <w:t xml:space="preserve">uantifying </w:t>
      </w:r>
      <w:r>
        <w:t xml:space="preserve">the </w:t>
      </w:r>
      <w:r w:rsidRPr="006270F8">
        <w:t>costs</w:t>
      </w:r>
      <w:r w:rsidR="00C65C60">
        <w:t>,</w:t>
      </w:r>
      <w:r w:rsidRPr="006270F8">
        <w:t xml:space="preserve"> benefits </w:t>
      </w:r>
      <w:r w:rsidR="00C65C60">
        <w:t xml:space="preserve">and efficiency improvements </w:t>
      </w:r>
      <w:r>
        <w:t>associated with these types of reforms can be difficult.</w:t>
      </w:r>
      <w:r>
        <w:rPr>
          <w:rStyle w:val="FootnoteReference"/>
        </w:rPr>
        <w:footnoteReference w:id="15"/>
      </w:r>
      <w:r>
        <w:t xml:space="preserve"> The GMRG’s assessment </w:t>
      </w:r>
      <w:r w:rsidR="00036C8E">
        <w:t>of whether the proposed design of the reforms will, or is likely to</w:t>
      </w:r>
      <w:r w:rsidR="00D128A9">
        <w:t>,</w:t>
      </w:r>
      <w:r w:rsidR="00036C8E">
        <w:t xml:space="preserve"> contribute to the NGO, </w:t>
      </w:r>
      <w:r>
        <w:t xml:space="preserve">will therefore be carried out qualitatively having regard to whether the </w:t>
      </w:r>
      <w:r w:rsidR="00D626B8">
        <w:t xml:space="preserve">reforms </w:t>
      </w:r>
      <w:r w:rsidR="000542A1">
        <w:t xml:space="preserve">are </w:t>
      </w:r>
      <w:r w:rsidR="00ED315B">
        <w:t>consistent with</w:t>
      </w:r>
      <w:r w:rsidR="00F475B1">
        <w:t xml:space="preserve">: </w:t>
      </w:r>
    </w:p>
    <w:p w14:paraId="11ED583A" w14:textId="2A65AFAF" w:rsidR="000542A1" w:rsidRPr="000542A1" w:rsidRDefault="000542A1" w:rsidP="000542A1">
      <w:pPr>
        <w:pStyle w:val="ListBullet"/>
        <w:rPr>
          <w:sz w:val="20"/>
          <w:szCs w:val="20"/>
        </w:rPr>
      </w:pPr>
      <w:r w:rsidRPr="000542A1">
        <w:t>t</w:t>
      </w:r>
      <w:r w:rsidR="00ED315B" w:rsidRPr="000542A1">
        <w:t xml:space="preserve">he AEMC’s </w:t>
      </w:r>
      <w:r w:rsidR="00D22507" w:rsidRPr="000542A1">
        <w:t xml:space="preserve">required and preferred outcomes for the </w:t>
      </w:r>
      <w:r w:rsidR="00D36F45">
        <w:t xml:space="preserve">capacity trading </w:t>
      </w:r>
      <w:r w:rsidR="00D22507" w:rsidRPr="000542A1">
        <w:t xml:space="preserve">reforms </w:t>
      </w:r>
      <w:r w:rsidR="00147EA6" w:rsidRPr="000542A1">
        <w:t>(</w:t>
      </w:r>
      <w:r w:rsidR="00D36F45">
        <w:t>Appendix A</w:t>
      </w:r>
      <w:r w:rsidR="00147EA6" w:rsidRPr="000542A1">
        <w:t xml:space="preserve">) </w:t>
      </w:r>
      <w:r w:rsidR="000A5C39" w:rsidRPr="000542A1">
        <w:t xml:space="preserve">and </w:t>
      </w:r>
      <w:r w:rsidRPr="000542A1">
        <w:t>will facilitate more trade in secondary capacity by</w:t>
      </w:r>
      <w:r>
        <w:t xml:space="preserve"> </w:t>
      </w:r>
      <w:r w:rsidRPr="000542A1">
        <w:t xml:space="preserve">making </w:t>
      </w:r>
      <w:r w:rsidRPr="00CA246F">
        <w:t>capacity products more fungible</w:t>
      </w:r>
      <w:r>
        <w:t>, reducing search and transaction costs, removing unnecessary impediments to trade across pipelines and increasing the pool of buyers and sellers</w:t>
      </w:r>
      <w:r w:rsidR="00567180">
        <w:t>;</w:t>
      </w:r>
    </w:p>
    <w:p w14:paraId="595E6F6E" w14:textId="77777777" w:rsidR="00147EA6" w:rsidRPr="00147EA6" w:rsidRDefault="000542A1" w:rsidP="00ED315B">
      <w:pPr>
        <w:pStyle w:val="ListBullet"/>
        <w:rPr>
          <w:bCs/>
          <w:sz w:val="20"/>
          <w:szCs w:val="20"/>
        </w:rPr>
      </w:pPr>
      <w:r>
        <w:t>t</w:t>
      </w:r>
      <w:r w:rsidR="000A5C39">
        <w:t xml:space="preserve">he </w:t>
      </w:r>
      <w:r w:rsidR="00147EA6">
        <w:t xml:space="preserve">broader objectives </w:t>
      </w:r>
      <w:r w:rsidR="00D128A9">
        <w:t xml:space="preserve">of </w:t>
      </w:r>
      <w:r w:rsidR="00147EA6">
        <w:t>the capacity trading reform package</w:t>
      </w:r>
      <w:r w:rsidR="00ED315B">
        <w:t xml:space="preserve">, which were described </w:t>
      </w:r>
      <w:r w:rsidR="00D22507">
        <w:t xml:space="preserve">by the AEMC </w:t>
      </w:r>
      <w:r w:rsidR="00ED315B" w:rsidRPr="00F475B1">
        <w:t>as</w:t>
      </w:r>
      <w:r w:rsidR="00ED315B">
        <w:t xml:space="preserve"> being to improve the efficiency with which transportation capacity is allocated and utilised and foster the development of a more liquid market for secondary capacity</w:t>
      </w:r>
      <w:r w:rsidR="000A5C39">
        <w:t>;</w:t>
      </w:r>
      <w:r w:rsidR="00147EA6">
        <w:rPr>
          <w:rStyle w:val="FootnoteReference"/>
        </w:rPr>
        <w:footnoteReference w:id="16"/>
      </w:r>
      <w:r w:rsidR="000A5C39">
        <w:t xml:space="preserve"> and</w:t>
      </w:r>
    </w:p>
    <w:p w14:paraId="16E5AEF2" w14:textId="19D37FC4" w:rsidR="00B92A32" w:rsidRPr="00220B2D" w:rsidRDefault="000542A1" w:rsidP="00F475B1">
      <w:pPr>
        <w:pStyle w:val="ListBullet"/>
        <w:rPr>
          <w:bCs/>
        </w:rPr>
      </w:pPr>
      <w:proofErr w:type="gramStart"/>
      <w:r>
        <w:t>t</w:t>
      </w:r>
      <w:r w:rsidR="00B92A32" w:rsidRPr="00BF56B3">
        <w:t>he</w:t>
      </w:r>
      <w:proofErr w:type="gramEnd"/>
      <w:r w:rsidR="00B92A32" w:rsidRPr="00BF56B3">
        <w:t xml:space="preserve"> </w:t>
      </w:r>
      <w:r w:rsidR="00F475B1">
        <w:t xml:space="preserve">Energy </w:t>
      </w:r>
      <w:r w:rsidR="00B92A32" w:rsidRPr="00BF56B3">
        <w:t xml:space="preserve">Council’s </w:t>
      </w:r>
      <w:r w:rsidR="00B92A32" w:rsidRPr="00F475B1">
        <w:t>Vision</w:t>
      </w:r>
      <w:r w:rsidR="00916B98">
        <w:t xml:space="preserve"> of the </w:t>
      </w:r>
      <w:r w:rsidR="00D22507" w:rsidRPr="00465134">
        <w:t>direction gas market developme</w:t>
      </w:r>
      <w:r w:rsidR="00D22507">
        <w:t>nt should take to meet the NGO</w:t>
      </w:r>
      <w:r w:rsidR="004151CC" w:rsidRPr="004151CC">
        <w:rPr>
          <w:rStyle w:val="FootnoteReference"/>
          <w:bCs/>
        </w:rPr>
        <w:t xml:space="preserve"> </w:t>
      </w:r>
      <w:r w:rsidR="004151CC">
        <w:rPr>
          <w:bCs/>
        </w:rPr>
        <w:t xml:space="preserve">and </w:t>
      </w:r>
      <w:r w:rsidR="00D22507">
        <w:rPr>
          <w:bCs/>
        </w:rPr>
        <w:t xml:space="preserve">the </w:t>
      </w:r>
      <w:r w:rsidR="00B92A32">
        <w:t xml:space="preserve">outcomes </w:t>
      </w:r>
      <w:r w:rsidR="00D22507">
        <w:t xml:space="preserve">the Energy Council </w:t>
      </w:r>
      <w:r w:rsidR="004151CC">
        <w:t xml:space="preserve">agreed to </w:t>
      </w:r>
      <w:r w:rsidR="00B92A32">
        <w:t>pursue in the next phase of gas market reform</w:t>
      </w:r>
      <w:r w:rsidR="00D22507">
        <w:t xml:space="preserve"> </w:t>
      </w:r>
      <w:r w:rsidR="00D22507" w:rsidRPr="00BF56B3">
        <w:t xml:space="preserve">(see </w:t>
      </w:r>
      <w:r w:rsidR="00D22507" w:rsidRPr="00BF56B3">
        <w:rPr>
          <w:bCs/>
        </w:rPr>
        <w:fldChar w:fldCharType="begin"/>
      </w:r>
      <w:r w:rsidR="00D22507" w:rsidRPr="00BF56B3">
        <w:rPr>
          <w:bCs/>
        </w:rPr>
        <w:instrText xml:space="preserve"> REF _Ref482330736 \h  \* MERGEFORMAT </w:instrText>
      </w:r>
      <w:r w:rsidR="00D22507" w:rsidRPr="00BF56B3">
        <w:rPr>
          <w:bCs/>
        </w:rPr>
      </w:r>
      <w:r w:rsidR="00D22507" w:rsidRPr="00BF56B3">
        <w:rPr>
          <w:bCs/>
        </w:rPr>
        <w:fldChar w:fldCharType="separate"/>
      </w:r>
      <w:r w:rsidR="00947034" w:rsidRPr="00947034">
        <w:t xml:space="preserve">Box </w:t>
      </w:r>
      <w:r w:rsidR="00947034" w:rsidRPr="00947034">
        <w:rPr>
          <w:noProof/>
        </w:rPr>
        <w:t>1.1</w:t>
      </w:r>
      <w:r w:rsidR="00D22507" w:rsidRPr="00BF56B3">
        <w:rPr>
          <w:bCs/>
        </w:rPr>
        <w:fldChar w:fldCharType="end"/>
      </w:r>
      <w:r w:rsidR="00D22507" w:rsidRPr="00BF56B3">
        <w:rPr>
          <w:bCs/>
        </w:rPr>
        <w:t>)</w:t>
      </w:r>
      <w:r w:rsidR="00D22507">
        <w:rPr>
          <w:bCs/>
        </w:rPr>
        <w:t>.</w:t>
      </w:r>
      <w:r w:rsidR="004151CC">
        <w:rPr>
          <w:rStyle w:val="FootnoteReference"/>
          <w:bCs/>
        </w:rPr>
        <w:footnoteReference w:id="17"/>
      </w:r>
    </w:p>
    <w:p w14:paraId="0475478B" w14:textId="77777777" w:rsidR="000A5C39" w:rsidRPr="009050CE" w:rsidRDefault="008A6399" w:rsidP="000A5C39">
      <w:pPr>
        <w:pStyle w:val="BodyText"/>
        <w:rPr>
          <w:rFonts w:asciiTheme="majorHAnsi" w:hAnsiTheme="majorHAnsi" w:cstheme="majorHAnsi"/>
          <w:color w:val="000000"/>
        </w:rPr>
      </w:pPr>
      <w:r>
        <w:t>T</w:t>
      </w:r>
      <w:r w:rsidR="00EF39D4">
        <w:t xml:space="preserve">he </w:t>
      </w:r>
      <w:r w:rsidR="000A5C39">
        <w:t>GMRG</w:t>
      </w:r>
      <w:r>
        <w:t>’s assessment</w:t>
      </w:r>
      <w:r w:rsidR="00087AE7">
        <w:t xml:space="preserve"> </w:t>
      </w:r>
      <w:r w:rsidR="00EF39D4">
        <w:t xml:space="preserve">will </w:t>
      </w:r>
      <w:r>
        <w:t xml:space="preserve">also be guided by </w:t>
      </w:r>
      <w:r w:rsidR="00EF39D4">
        <w:t xml:space="preserve">the </w:t>
      </w:r>
      <w:r w:rsidR="000A5C39" w:rsidRPr="009050CE">
        <w:t xml:space="preserve">following principles that the AEMC usually employs when </w:t>
      </w:r>
      <w:r w:rsidR="000A5C39">
        <w:t>applying the NGO</w:t>
      </w:r>
      <w:r w:rsidR="000A5C39" w:rsidRPr="009050CE">
        <w:rPr>
          <w:rFonts w:asciiTheme="majorHAnsi" w:hAnsiTheme="majorHAnsi" w:cstheme="majorHAnsi"/>
          <w:color w:val="000000"/>
        </w:rPr>
        <w:t>:</w:t>
      </w:r>
      <w:r w:rsidR="000A5C39">
        <w:rPr>
          <w:rStyle w:val="FootnoteReference"/>
          <w:rFonts w:asciiTheme="majorHAnsi" w:hAnsiTheme="majorHAnsi" w:cstheme="majorHAnsi"/>
          <w:color w:val="000000"/>
        </w:rPr>
        <w:footnoteReference w:id="18"/>
      </w:r>
      <w:r w:rsidR="000A5C39" w:rsidRPr="009050CE">
        <w:rPr>
          <w:rFonts w:asciiTheme="majorHAnsi" w:hAnsiTheme="majorHAnsi" w:cstheme="majorHAnsi"/>
          <w:color w:val="000000"/>
        </w:rPr>
        <w:t xml:space="preserve"> </w:t>
      </w:r>
    </w:p>
    <w:p w14:paraId="224659DE" w14:textId="77777777" w:rsidR="000A5C39" w:rsidRDefault="000A5C39" w:rsidP="0022152C">
      <w:pPr>
        <w:pStyle w:val="ListBullet"/>
        <w:numPr>
          <w:ilvl w:val="0"/>
          <w:numId w:val="18"/>
        </w:numPr>
        <w:spacing w:before="80" w:after="80"/>
        <w:ind w:left="357" w:hanging="357"/>
      </w:pPr>
      <w:r>
        <w:t>Competition and market signals will generally lead to better outcomes than centralised planning and regulation, as competing energy businesses have an incentive to meet consumers’ needs efficiently.</w:t>
      </w:r>
    </w:p>
    <w:p w14:paraId="7FF2603A" w14:textId="3A95BD3A" w:rsidR="000A5C39" w:rsidRPr="00960021" w:rsidRDefault="000A5C39" w:rsidP="0022152C">
      <w:pPr>
        <w:pStyle w:val="ListBullet"/>
        <w:numPr>
          <w:ilvl w:val="0"/>
          <w:numId w:val="18"/>
        </w:numPr>
        <w:spacing w:before="80" w:after="80"/>
        <w:ind w:left="357" w:hanging="357"/>
      </w:pPr>
      <w:r>
        <w:t>W</w:t>
      </w:r>
      <w:r w:rsidRPr="00960021">
        <w:t xml:space="preserve">here it is required, regulation should be targeted, fit-for-purpose, provide incentives that imitate the outcomes of a workably competitive market, and involve regulatory costs proportionate to the materiality of </w:t>
      </w:r>
      <w:r w:rsidR="00CE0F95">
        <w:t xml:space="preserve">the </w:t>
      </w:r>
      <w:r w:rsidRPr="00960021">
        <w:t>issue</w:t>
      </w:r>
      <w:r>
        <w:t>.</w:t>
      </w:r>
    </w:p>
    <w:p w14:paraId="10629552" w14:textId="77777777" w:rsidR="000A5C39" w:rsidRPr="00960021" w:rsidRDefault="000A5C39" w:rsidP="0022152C">
      <w:pPr>
        <w:pStyle w:val="ListBullet"/>
        <w:numPr>
          <w:ilvl w:val="0"/>
          <w:numId w:val="18"/>
        </w:numPr>
        <w:spacing w:before="80" w:after="80"/>
        <w:ind w:left="357" w:hanging="357"/>
      </w:pPr>
      <w:r>
        <w:t>R</w:t>
      </w:r>
      <w:r w:rsidRPr="00960021">
        <w:t>isk allocation and the accountability for investment decisions should rest with those parties best placed to manage them</w:t>
      </w:r>
      <w:r>
        <w:t>.</w:t>
      </w:r>
    </w:p>
    <w:p w14:paraId="31073532" w14:textId="77777777" w:rsidR="000A5C39" w:rsidRDefault="000A5C39" w:rsidP="0022152C">
      <w:pPr>
        <w:pStyle w:val="ListBullet"/>
        <w:numPr>
          <w:ilvl w:val="0"/>
          <w:numId w:val="18"/>
        </w:numPr>
        <w:spacing w:before="80" w:after="80"/>
        <w:ind w:left="357" w:hanging="357"/>
      </w:pPr>
      <w:r>
        <w:lastRenderedPageBreak/>
        <w:t>Market and r</w:t>
      </w:r>
      <w:r w:rsidRPr="00960021">
        <w:t>egulatory frameworks should be flexible and provide firms with a clear and consistent set of rules that allow them to independently develop strategies and adjust to changes in the market.</w:t>
      </w:r>
      <w:r>
        <w:t xml:space="preserve"> These frameworks should also be resilient to changing supply and demand conditions, and patterns of flow, over the longer term.</w:t>
      </w:r>
    </w:p>
    <w:p w14:paraId="7C9080CC" w14:textId="0E8F0462" w:rsidR="008A6399" w:rsidRDefault="008A6399" w:rsidP="008A6399">
      <w:pPr>
        <w:pStyle w:val="BodyText"/>
      </w:pPr>
      <w:r>
        <w:t>Given the nature of the reforms</w:t>
      </w:r>
      <w:r w:rsidR="00430035">
        <w:t>,</w:t>
      </w:r>
      <w:r w:rsidR="00FE4986">
        <w:t xml:space="preserve"> </w:t>
      </w:r>
      <w:r>
        <w:t xml:space="preserve">the GMRG will also </w:t>
      </w:r>
      <w:r w:rsidR="00F85769">
        <w:t>consider the extent to which the proposed reforms</w:t>
      </w:r>
      <w:r>
        <w:t>:</w:t>
      </w:r>
    </w:p>
    <w:p w14:paraId="4EAA16CF" w14:textId="77777777" w:rsidR="008A6399" w:rsidRDefault="00F85769" w:rsidP="0022152C">
      <w:pPr>
        <w:pStyle w:val="ListBullet"/>
        <w:spacing w:before="80" w:after="80"/>
      </w:pPr>
      <w:r>
        <w:t>provide s</w:t>
      </w:r>
      <w:r w:rsidR="008A6399">
        <w:t xml:space="preserve">econdary shippers with access to </w:t>
      </w:r>
      <w:r w:rsidR="00FE4986">
        <w:t xml:space="preserve">secondary capacity </w:t>
      </w:r>
      <w:r w:rsidR="008A6399">
        <w:t>on reasonable terms</w:t>
      </w:r>
      <w:r w:rsidR="006008A5">
        <w:t xml:space="preserve"> (i.e. </w:t>
      </w:r>
      <w:r w:rsidR="008A6399">
        <w:t>at prices and on other terms and conditions that, so far as practical, reflect the outcomes of a workably competitive market</w:t>
      </w:r>
      <w:r w:rsidR="006008A5">
        <w:t>)</w:t>
      </w:r>
      <w:r>
        <w:t>;</w:t>
      </w:r>
      <w:r w:rsidR="008A6399">
        <w:t xml:space="preserve"> </w:t>
      </w:r>
    </w:p>
    <w:p w14:paraId="6E39D10C" w14:textId="3D690AAF" w:rsidR="008A6399" w:rsidRDefault="006008A5" w:rsidP="0022152C">
      <w:pPr>
        <w:pStyle w:val="ListBullet"/>
        <w:spacing w:before="80" w:after="80"/>
      </w:pPr>
      <w:r>
        <w:t xml:space="preserve">appropriately reflect the </w:t>
      </w:r>
      <w:r w:rsidR="008A6399">
        <w:t xml:space="preserve">legitimate business interests of </w:t>
      </w:r>
      <w:r w:rsidR="009C3484">
        <w:t>service</w:t>
      </w:r>
      <w:r w:rsidR="008A6399">
        <w:t xml:space="preserve"> </w:t>
      </w:r>
      <w:r w:rsidR="009C3484">
        <w:t xml:space="preserve">providers </w:t>
      </w:r>
      <w:r>
        <w:t xml:space="preserve">and other parties that </w:t>
      </w:r>
      <w:r w:rsidR="008A6399">
        <w:t>have rights to use the transportation services</w:t>
      </w:r>
      <w:r w:rsidR="007F3CDA">
        <w:t xml:space="preserve">, including </w:t>
      </w:r>
      <w:r w:rsidR="008A6399">
        <w:t>primary and secondary capacity</w:t>
      </w:r>
      <w:r w:rsidR="00FE4986">
        <w:t xml:space="preserve"> holders</w:t>
      </w:r>
      <w:r w:rsidR="00F85769">
        <w:t>;</w:t>
      </w:r>
    </w:p>
    <w:p w14:paraId="3B15AEFF" w14:textId="77777777" w:rsidR="00FE4986" w:rsidRDefault="00F85769" w:rsidP="0022152C">
      <w:pPr>
        <w:pStyle w:val="ListBullet"/>
        <w:spacing w:before="80" w:after="80"/>
      </w:pPr>
      <w:r>
        <w:t xml:space="preserve">are </w:t>
      </w:r>
      <w:r w:rsidR="00FE4986">
        <w:t xml:space="preserve">operationally feasible and recognise the operational and technical requirements necessary for the safe and reliable operation of </w:t>
      </w:r>
      <w:r w:rsidR="00245558">
        <w:t>the assets used in the provision of transportation services</w:t>
      </w:r>
      <w:r>
        <w:t xml:space="preserve">; </w:t>
      </w:r>
    </w:p>
    <w:bookmarkEnd w:id="55"/>
    <w:p w14:paraId="49E74D5E" w14:textId="77777777" w:rsidR="005C3BB7" w:rsidRDefault="005C3BB7" w:rsidP="0022152C">
      <w:pPr>
        <w:pStyle w:val="ListBullet"/>
        <w:spacing w:before="80" w:after="80"/>
      </w:pPr>
      <w:r>
        <w:t xml:space="preserve">facilitate the efficient operation and use of the capacity trading platform and day-ahead auction; and </w:t>
      </w:r>
    </w:p>
    <w:p w14:paraId="498FFC18" w14:textId="79425594" w:rsidR="005C3BB7" w:rsidRDefault="005C3BB7" w:rsidP="0022152C">
      <w:pPr>
        <w:pStyle w:val="ListBullet"/>
        <w:spacing w:before="80" w:after="80"/>
      </w:pPr>
      <w:r>
        <w:t xml:space="preserve">more generally promote efficient investment in, and efficient operation and use of, natural gas services. </w:t>
      </w:r>
    </w:p>
    <w:p w14:paraId="1662F0C7" w14:textId="00EFFD13" w:rsidR="00430035" w:rsidRDefault="00430035" w:rsidP="00430035">
      <w:pPr>
        <w:pStyle w:val="BodyText"/>
      </w:pPr>
      <w:r w:rsidRPr="003D2F88">
        <w:t xml:space="preserve">When evaluating the design of the capacity trading platform, </w:t>
      </w:r>
      <w:r w:rsidR="00FF5365">
        <w:t xml:space="preserve">the </w:t>
      </w:r>
      <w:r w:rsidRPr="003D2F88">
        <w:t xml:space="preserve">GMRG </w:t>
      </w:r>
      <w:r>
        <w:t xml:space="preserve">will </w:t>
      </w:r>
      <w:r w:rsidRPr="003D2F88">
        <w:t xml:space="preserve">also </w:t>
      </w:r>
      <w:r>
        <w:t xml:space="preserve">have </w:t>
      </w:r>
      <w:r w:rsidRPr="003D2F88">
        <w:t xml:space="preserve">regard to the attributes that the </w:t>
      </w:r>
      <w:r w:rsidR="00FF5365">
        <w:t xml:space="preserve">Capacity Trading Platform and Day-Ahead Auction </w:t>
      </w:r>
      <w:r w:rsidRPr="003D2F88">
        <w:t>project teams thought the capacity trading platform would need to emulate if it was to become the ‘platforms of choice’ for market participant. Thes</w:t>
      </w:r>
      <w:r>
        <w:t xml:space="preserve">e attributes are set out </w:t>
      </w:r>
      <w:r w:rsidR="00FF5365">
        <w:t xml:space="preserve">the table </w:t>
      </w:r>
      <w:r w:rsidRPr="003D2F88">
        <w:t xml:space="preserve">below. </w:t>
      </w:r>
    </w:p>
    <w:p w14:paraId="6CBBCC52" w14:textId="3F0D0B76" w:rsidR="00430035" w:rsidRDefault="00FF5365" w:rsidP="00FF5365">
      <w:pPr>
        <w:pStyle w:val="Caption"/>
      </w:pPr>
      <w:r>
        <w:t xml:space="preserve">Table </w:t>
      </w:r>
      <w:r w:rsidR="00926D7E">
        <w:fldChar w:fldCharType="begin"/>
      </w:r>
      <w:r w:rsidR="00926D7E">
        <w:instrText xml:space="preserve"> STYLEREF 1 \s </w:instrText>
      </w:r>
      <w:r w:rsidR="00926D7E">
        <w:fldChar w:fldCharType="separate"/>
      </w:r>
      <w:r w:rsidR="00947034">
        <w:rPr>
          <w:noProof/>
        </w:rPr>
        <w:t>2</w:t>
      </w:r>
      <w:r w:rsidR="00926D7E">
        <w:rPr>
          <w:noProof/>
        </w:rPr>
        <w:fldChar w:fldCharType="end"/>
      </w:r>
      <w:r w:rsidR="001C4739">
        <w:t>.</w:t>
      </w:r>
      <w:r w:rsidR="00926D7E">
        <w:fldChar w:fldCharType="begin"/>
      </w:r>
      <w:r w:rsidR="00926D7E">
        <w:instrText xml:space="preserve"> SEQ Table \* ARABIC \s 1 </w:instrText>
      </w:r>
      <w:r w:rsidR="00926D7E">
        <w:fldChar w:fldCharType="separate"/>
      </w:r>
      <w:r w:rsidR="00947034">
        <w:rPr>
          <w:noProof/>
        </w:rPr>
        <w:t>2</w:t>
      </w:r>
      <w:r w:rsidR="00926D7E">
        <w:rPr>
          <w:noProof/>
        </w:rPr>
        <w:fldChar w:fldCharType="end"/>
      </w:r>
      <w:r w:rsidR="00430035">
        <w:t>: ‘Platform of Choice’ evaluation criteria</w:t>
      </w:r>
    </w:p>
    <w:tbl>
      <w:tblPr>
        <w:tblStyle w:val="TableGrid"/>
        <w:tblW w:w="5162" w:type="pct"/>
        <w:tblLook w:val="04A0" w:firstRow="1" w:lastRow="0" w:firstColumn="1" w:lastColumn="0" w:noHBand="0" w:noVBand="1"/>
        <w:tblCaption w:val="Table 2.2: ‘Platform of Choice’ evaluation criteria"/>
        <w:tblDescription w:val="Overview of 'Platform of Choice’ evaluation criteria"/>
      </w:tblPr>
      <w:tblGrid>
        <w:gridCol w:w="1701"/>
        <w:gridCol w:w="7372"/>
      </w:tblGrid>
      <w:tr w:rsidR="00430035" w:rsidRPr="0088707A" w14:paraId="6A2E36B6" w14:textId="77777777" w:rsidTr="004A29FC">
        <w:trPr>
          <w:cnfStyle w:val="100000000000" w:firstRow="1" w:lastRow="0" w:firstColumn="0" w:lastColumn="0" w:oddVBand="0" w:evenVBand="0" w:oddHBand="0" w:evenHBand="0" w:firstRowFirstColumn="0" w:firstRowLastColumn="0" w:lastRowFirstColumn="0" w:lastRowLastColumn="0"/>
          <w:trHeight w:val="168"/>
          <w:tblHeader/>
        </w:trPr>
        <w:tc>
          <w:tcPr>
            <w:tcW w:w="9072" w:type="dxa"/>
            <w:gridSpan w:val="2"/>
            <w:shd w:val="clear" w:color="auto" w:fill="0099CC"/>
            <w:vAlign w:val="bottom"/>
          </w:tcPr>
          <w:p w14:paraId="7B9A514F" w14:textId="77777777" w:rsidR="00430035" w:rsidRPr="0088707A" w:rsidRDefault="00430035" w:rsidP="00430035">
            <w:pPr>
              <w:pStyle w:val="BodyText"/>
              <w:keepNext/>
              <w:spacing w:before="20" w:after="20"/>
              <w:rPr>
                <w:szCs w:val="18"/>
              </w:rPr>
            </w:pPr>
            <w:r w:rsidRPr="0088707A">
              <w:rPr>
                <w:szCs w:val="18"/>
              </w:rPr>
              <w:t>Evaluation criteria</w:t>
            </w:r>
          </w:p>
        </w:tc>
      </w:tr>
      <w:tr w:rsidR="00430035" w:rsidRPr="0088707A" w14:paraId="03554D52" w14:textId="77777777" w:rsidTr="00430035">
        <w:trPr>
          <w:trHeight w:val="60"/>
        </w:trPr>
        <w:tc>
          <w:tcPr>
            <w:tcW w:w="1701" w:type="dxa"/>
            <w:vMerge w:val="restart"/>
            <w:shd w:val="clear" w:color="auto" w:fill="auto"/>
            <w:vAlign w:val="center"/>
          </w:tcPr>
          <w:p w14:paraId="09F5DD6E" w14:textId="77777777" w:rsidR="00430035" w:rsidRPr="0088707A" w:rsidRDefault="00430035" w:rsidP="00430035">
            <w:pPr>
              <w:pStyle w:val="BodyText"/>
              <w:keepNext/>
              <w:spacing w:before="20" w:after="20"/>
              <w:rPr>
                <w:b/>
                <w:szCs w:val="18"/>
              </w:rPr>
            </w:pPr>
            <w:r w:rsidRPr="0088707A">
              <w:rPr>
                <w:b/>
                <w:szCs w:val="18"/>
              </w:rPr>
              <w:t xml:space="preserve">Operation of </w:t>
            </w:r>
            <w:r>
              <w:rPr>
                <w:b/>
                <w:szCs w:val="18"/>
              </w:rPr>
              <w:t xml:space="preserve">the </w:t>
            </w:r>
            <w:r w:rsidRPr="0088707A">
              <w:rPr>
                <w:b/>
                <w:szCs w:val="18"/>
              </w:rPr>
              <w:t>platform:</w:t>
            </w:r>
          </w:p>
        </w:tc>
        <w:tc>
          <w:tcPr>
            <w:tcW w:w="7371" w:type="dxa"/>
            <w:shd w:val="clear" w:color="auto" w:fill="auto"/>
            <w:vAlign w:val="center"/>
          </w:tcPr>
          <w:p w14:paraId="383C7B5C" w14:textId="77777777" w:rsidR="00430035" w:rsidRPr="0088707A" w:rsidRDefault="00430035" w:rsidP="00430035">
            <w:pPr>
              <w:pStyle w:val="BodyText"/>
              <w:keepNext/>
              <w:spacing w:before="20" w:after="20"/>
              <w:rPr>
                <w:szCs w:val="18"/>
              </w:rPr>
            </w:pPr>
            <w:r w:rsidRPr="0088707A">
              <w:rPr>
                <w:szCs w:val="18"/>
              </w:rPr>
              <w:t xml:space="preserve">Operated by independent </w:t>
            </w:r>
            <w:r>
              <w:rPr>
                <w:szCs w:val="18"/>
              </w:rPr>
              <w:t xml:space="preserve">(i.e. a party that has no commercial interests in the outcome of the trades) </w:t>
            </w:r>
            <w:r w:rsidRPr="0088707A">
              <w:rPr>
                <w:szCs w:val="18"/>
              </w:rPr>
              <w:t xml:space="preserve">and experienced operator </w:t>
            </w:r>
          </w:p>
        </w:tc>
      </w:tr>
      <w:tr w:rsidR="00430035" w:rsidRPr="0088707A" w14:paraId="26A89888" w14:textId="77777777" w:rsidTr="00430035">
        <w:trPr>
          <w:cnfStyle w:val="000000010000" w:firstRow="0" w:lastRow="0" w:firstColumn="0" w:lastColumn="0" w:oddVBand="0" w:evenVBand="0" w:oddHBand="0" w:evenHBand="1" w:firstRowFirstColumn="0" w:firstRowLastColumn="0" w:lastRowFirstColumn="0" w:lastRowLastColumn="0"/>
          <w:trHeight w:val="265"/>
        </w:trPr>
        <w:tc>
          <w:tcPr>
            <w:tcW w:w="1701" w:type="dxa"/>
            <w:vMerge/>
            <w:shd w:val="clear" w:color="auto" w:fill="auto"/>
          </w:tcPr>
          <w:p w14:paraId="7A83EE8B" w14:textId="77777777" w:rsidR="00430035" w:rsidRPr="0088707A" w:rsidRDefault="00430035" w:rsidP="00430035">
            <w:pPr>
              <w:pStyle w:val="BodyText"/>
              <w:keepNext/>
              <w:spacing w:before="20" w:after="20"/>
              <w:rPr>
                <w:szCs w:val="18"/>
              </w:rPr>
            </w:pPr>
          </w:p>
        </w:tc>
        <w:tc>
          <w:tcPr>
            <w:tcW w:w="7371" w:type="dxa"/>
            <w:shd w:val="clear" w:color="auto" w:fill="auto"/>
            <w:vAlign w:val="center"/>
          </w:tcPr>
          <w:p w14:paraId="32634DB3" w14:textId="77777777" w:rsidR="00430035" w:rsidRPr="0088707A" w:rsidRDefault="00430035" w:rsidP="00430035">
            <w:pPr>
              <w:pStyle w:val="BodyText"/>
              <w:keepNext/>
              <w:spacing w:before="20" w:after="20"/>
              <w:rPr>
                <w:szCs w:val="18"/>
              </w:rPr>
            </w:pPr>
            <w:r w:rsidRPr="0088707A">
              <w:rPr>
                <w:szCs w:val="18"/>
              </w:rPr>
              <w:t>Operated in a predictable and reliable manner</w:t>
            </w:r>
          </w:p>
        </w:tc>
      </w:tr>
      <w:tr w:rsidR="00430035" w:rsidRPr="0088707A" w14:paraId="2BF824D8" w14:textId="77777777" w:rsidTr="00430035">
        <w:trPr>
          <w:trHeight w:val="98"/>
        </w:trPr>
        <w:tc>
          <w:tcPr>
            <w:tcW w:w="1701" w:type="dxa"/>
            <w:vMerge/>
            <w:shd w:val="clear" w:color="auto" w:fill="auto"/>
          </w:tcPr>
          <w:p w14:paraId="2CF05E57" w14:textId="77777777" w:rsidR="00430035" w:rsidRPr="0088707A" w:rsidRDefault="00430035" w:rsidP="00430035">
            <w:pPr>
              <w:pStyle w:val="BodyText"/>
              <w:keepNext/>
              <w:spacing w:before="20" w:after="20"/>
              <w:rPr>
                <w:szCs w:val="18"/>
              </w:rPr>
            </w:pPr>
          </w:p>
        </w:tc>
        <w:tc>
          <w:tcPr>
            <w:tcW w:w="7371" w:type="dxa"/>
            <w:shd w:val="clear" w:color="auto" w:fill="auto"/>
            <w:vAlign w:val="center"/>
          </w:tcPr>
          <w:p w14:paraId="1C600DA5" w14:textId="77777777" w:rsidR="00430035" w:rsidRPr="0088707A" w:rsidRDefault="00430035" w:rsidP="00430035">
            <w:pPr>
              <w:pStyle w:val="BodyText"/>
              <w:keepNext/>
              <w:spacing w:before="20" w:after="20"/>
              <w:rPr>
                <w:szCs w:val="18"/>
              </w:rPr>
            </w:pPr>
            <w:r w:rsidRPr="0088707A">
              <w:rPr>
                <w:szCs w:val="18"/>
              </w:rPr>
              <w:t>Operation of platform underpinned by a robust governance framework</w:t>
            </w:r>
          </w:p>
        </w:tc>
      </w:tr>
      <w:tr w:rsidR="00430035" w:rsidRPr="0088707A" w14:paraId="78F7FF6E" w14:textId="77777777" w:rsidTr="00430035">
        <w:trPr>
          <w:cnfStyle w:val="000000010000" w:firstRow="0" w:lastRow="0" w:firstColumn="0" w:lastColumn="0" w:oddVBand="0" w:evenVBand="0" w:oddHBand="0" w:evenHBand="1" w:firstRowFirstColumn="0" w:firstRowLastColumn="0" w:lastRowFirstColumn="0" w:lastRowLastColumn="0"/>
          <w:trHeight w:val="217"/>
        </w:trPr>
        <w:tc>
          <w:tcPr>
            <w:tcW w:w="1701" w:type="dxa"/>
            <w:vMerge/>
            <w:shd w:val="clear" w:color="auto" w:fill="auto"/>
          </w:tcPr>
          <w:p w14:paraId="69AA4B42" w14:textId="77777777" w:rsidR="00430035" w:rsidRPr="0088707A" w:rsidRDefault="00430035" w:rsidP="00430035">
            <w:pPr>
              <w:pStyle w:val="BodyText"/>
              <w:keepNext/>
              <w:spacing w:before="20" w:after="20"/>
              <w:rPr>
                <w:szCs w:val="18"/>
              </w:rPr>
            </w:pPr>
          </w:p>
        </w:tc>
        <w:tc>
          <w:tcPr>
            <w:tcW w:w="7371" w:type="dxa"/>
            <w:shd w:val="clear" w:color="auto" w:fill="auto"/>
            <w:vAlign w:val="center"/>
          </w:tcPr>
          <w:p w14:paraId="4516062E" w14:textId="77777777" w:rsidR="00430035" w:rsidRPr="0088707A" w:rsidRDefault="00430035" w:rsidP="00430035">
            <w:pPr>
              <w:pStyle w:val="BodyText"/>
              <w:keepNext/>
              <w:spacing w:before="20" w:after="20"/>
              <w:rPr>
                <w:szCs w:val="18"/>
              </w:rPr>
            </w:pPr>
            <w:r w:rsidRPr="0088707A">
              <w:rPr>
                <w:szCs w:val="18"/>
              </w:rPr>
              <w:t>Transparency in costs and operation of platform</w:t>
            </w:r>
          </w:p>
        </w:tc>
      </w:tr>
      <w:tr w:rsidR="00430035" w:rsidRPr="0088707A" w14:paraId="372EB532" w14:textId="77777777" w:rsidTr="00430035">
        <w:trPr>
          <w:trHeight w:val="386"/>
        </w:trPr>
        <w:tc>
          <w:tcPr>
            <w:tcW w:w="1701" w:type="dxa"/>
            <w:vMerge w:val="restart"/>
            <w:shd w:val="clear" w:color="auto" w:fill="auto"/>
            <w:vAlign w:val="center"/>
          </w:tcPr>
          <w:p w14:paraId="5D0F0E4E" w14:textId="77777777" w:rsidR="00430035" w:rsidRPr="0088707A" w:rsidRDefault="00430035" w:rsidP="00430035">
            <w:pPr>
              <w:pStyle w:val="BodyText"/>
              <w:keepNext/>
              <w:spacing w:before="20" w:after="20"/>
              <w:rPr>
                <w:b/>
                <w:szCs w:val="18"/>
              </w:rPr>
            </w:pPr>
            <w:r w:rsidRPr="0088707A">
              <w:rPr>
                <w:b/>
                <w:szCs w:val="18"/>
              </w:rPr>
              <w:t>Trading Platform</w:t>
            </w:r>
            <w:r>
              <w:rPr>
                <w:b/>
                <w:szCs w:val="18"/>
              </w:rPr>
              <w:t>-</w:t>
            </w:r>
            <w:r w:rsidRPr="0088707A">
              <w:rPr>
                <w:b/>
                <w:szCs w:val="18"/>
              </w:rPr>
              <w:t xml:space="preserve"> </w:t>
            </w:r>
            <w:r>
              <w:rPr>
                <w:b/>
                <w:szCs w:val="18"/>
              </w:rPr>
              <w:t>f</w:t>
            </w:r>
            <w:r w:rsidRPr="0088707A">
              <w:rPr>
                <w:b/>
                <w:szCs w:val="18"/>
              </w:rPr>
              <w:t>eatures:</w:t>
            </w:r>
          </w:p>
        </w:tc>
        <w:tc>
          <w:tcPr>
            <w:tcW w:w="7371" w:type="dxa"/>
            <w:shd w:val="clear" w:color="auto" w:fill="auto"/>
            <w:vAlign w:val="center"/>
          </w:tcPr>
          <w:p w14:paraId="25A49D2E" w14:textId="77777777" w:rsidR="00430035" w:rsidRPr="0088707A" w:rsidRDefault="00430035" w:rsidP="00430035">
            <w:pPr>
              <w:pStyle w:val="BodyText"/>
              <w:keepNext/>
              <w:spacing w:before="20" w:after="20"/>
              <w:rPr>
                <w:szCs w:val="18"/>
              </w:rPr>
            </w:pPr>
            <w:r w:rsidRPr="0088707A">
              <w:rPr>
                <w:szCs w:val="18"/>
              </w:rPr>
              <w:t>Provides for low transaction costs and quick and effective execution of trades</w:t>
            </w:r>
          </w:p>
        </w:tc>
      </w:tr>
      <w:tr w:rsidR="00430035" w:rsidRPr="0088707A" w14:paraId="632B87AD" w14:textId="77777777" w:rsidTr="00430035">
        <w:trPr>
          <w:cnfStyle w:val="000000010000" w:firstRow="0" w:lastRow="0" w:firstColumn="0" w:lastColumn="0" w:oddVBand="0" w:evenVBand="0" w:oddHBand="0" w:evenHBand="1" w:firstRowFirstColumn="0" w:firstRowLastColumn="0" w:lastRowFirstColumn="0" w:lastRowLastColumn="0"/>
        </w:trPr>
        <w:tc>
          <w:tcPr>
            <w:tcW w:w="1701" w:type="dxa"/>
            <w:vMerge/>
            <w:shd w:val="clear" w:color="auto" w:fill="auto"/>
          </w:tcPr>
          <w:p w14:paraId="15E9FD95" w14:textId="77777777" w:rsidR="00430035" w:rsidRPr="0088707A" w:rsidRDefault="00430035" w:rsidP="00430035">
            <w:pPr>
              <w:pStyle w:val="BodyText"/>
              <w:keepNext/>
              <w:spacing w:before="20" w:after="20"/>
              <w:rPr>
                <w:szCs w:val="18"/>
              </w:rPr>
            </w:pPr>
          </w:p>
        </w:tc>
        <w:tc>
          <w:tcPr>
            <w:tcW w:w="7371" w:type="dxa"/>
            <w:shd w:val="clear" w:color="auto" w:fill="auto"/>
            <w:vAlign w:val="center"/>
          </w:tcPr>
          <w:p w14:paraId="4CB1FC5E" w14:textId="23444562" w:rsidR="00430035" w:rsidRPr="0088707A" w:rsidRDefault="00430035" w:rsidP="00430035">
            <w:pPr>
              <w:pStyle w:val="BodyText"/>
              <w:keepNext/>
              <w:spacing w:before="20" w:after="20"/>
              <w:rPr>
                <w:szCs w:val="18"/>
              </w:rPr>
            </w:pPr>
            <w:r w:rsidRPr="0088707A">
              <w:rPr>
                <w:szCs w:val="18"/>
              </w:rPr>
              <w:t xml:space="preserve">Readily integrated with </w:t>
            </w:r>
            <w:r w:rsidR="00852D52">
              <w:rPr>
                <w:szCs w:val="18"/>
              </w:rPr>
              <w:t>service providers</w:t>
            </w:r>
            <w:r w:rsidRPr="0088707A">
              <w:rPr>
                <w:szCs w:val="18"/>
              </w:rPr>
              <w:t xml:space="preserve">’ nominations and scheduling processes </w:t>
            </w:r>
          </w:p>
        </w:tc>
      </w:tr>
      <w:tr w:rsidR="00430035" w:rsidRPr="0088707A" w14:paraId="4EEC2F2C" w14:textId="77777777" w:rsidTr="00430035">
        <w:trPr>
          <w:trHeight w:val="253"/>
        </w:trPr>
        <w:tc>
          <w:tcPr>
            <w:tcW w:w="1701" w:type="dxa"/>
            <w:vMerge w:val="restart"/>
            <w:shd w:val="clear" w:color="auto" w:fill="auto"/>
            <w:vAlign w:val="center"/>
          </w:tcPr>
          <w:p w14:paraId="1800D669" w14:textId="77777777" w:rsidR="00430035" w:rsidRPr="0088707A" w:rsidRDefault="00430035" w:rsidP="00430035">
            <w:pPr>
              <w:pStyle w:val="BodyText"/>
              <w:keepNext/>
              <w:spacing w:before="20" w:after="20"/>
              <w:rPr>
                <w:b/>
                <w:szCs w:val="18"/>
              </w:rPr>
            </w:pPr>
            <w:r w:rsidRPr="0088707A">
              <w:rPr>
                <w:b/>
                <w:szCs w:val="18"/>
              </w:rPr>
              <w:t xml:space="preserve">Co-ordination benefits: </w:t>
            </w:r>
          </w:p>
        </w:tc>
        <w:tc>
          <w:tcPr>
            <w:tcW w:w="7371" w:type="dxa"/>
            <w:shd w:val="clear" w:color="auto" w:fill="auto"/>
            <w:vAlign w:val="center"/>
          </w:tcPr>
          <w:p w14:paraId="732E3676" w14:textId="77777777" w:rsidR="00430035" w:rsidRPr="0088707A" w:rsidRDefault="00430035" w:rsidP="00430035">
            <w:pPr>
              <w:pStyle w:val="BodyText"/>
              <w:keepNext/>
              <w:spacing w:before="20" w:after="20"/>
              <w:rPr>
                <w:szCs w:val="18"/>
              </w:rPr>
            </w:pPr>
            <w:r w:rsidRPr="0088707A">
              <w:rPr>
                <w:szCs w:val="18"/>
              </w:rPr>
              <w:t>Shippers can readily co-ordinate trades across pipelines</w:t>
            </w:r>
          </w:p>
        </w:tc>
      </w:tr>
      <w:tr w:rsidR="00430035" w:rsidRPr="0088707A" w14:paraId="36E5CC0C" w14:textId="77777777" w:rsidTr="00430035">
        <w:trPr>
          <w:cnfStyle w:val="000000010000" w:firstRow="0" w:lastRow="0" w:firstColumn="0" w:lastColumn="0" w:oddVBand="0" w:evenVBand="0" w:oddHBand="0" w:evenHBand="1" w:firstRowFirstColumn="0" w:firstRowLastColumn="0" w:lastRowFirstColumn="0" w:lastRowLastColumn="0"/>
          <w:trHeight w:val="253"/>
        </w:trPr>
        <w:tc>
          <w:tcPr>
            <w:tcW w:w="1701" w:type="dxa"/>
            <w:vMerge/>
            <w:shd w:val="clear" w:color="auto" w:fill="auto"/>
          </w:tcPr>
          <w:p w14:paraId="55DA90D0" w14:textId="77777777" w:rsidR="00430035" w:rsidRPr="0088707A" w:rsidRDefault="00430035" w:rsidP="00430035">
            <w:pPr>
              <w:pStyle w:val="BodyText"/>
              <w:keepNext/>
              <w:spacing w:before="20" w:after="20"/>
              <w:rPr>
                <w:b/>
                <w:szCs w:val="18"/>
              </w:rPr>
            </w:pPr>
          </w:p>
        </w:tc>
        <w:tc>
          <w:tcPr>
            <w:tcW w:w="7371" w:type="dxa"/>
            <w:shd w:val="clear" w:color="auto" w:fill="auto"/>
            <w:vAlign w:val="center"/>
          </w:tcPr>
          <w:p w14:paraId="3CF24FA2" w14:textId="77777777" w:rsidR="00430035" w:rsidRPr="0088707A" w:rsidRDefault="00430035" w:rsidP="00430035">
            <w:pPr>
              <w:pStyle w:val="BodyText"/>
              <w:keepNext/>
              <w:spacing w:before="20" w:after="20"/>
              <w:rPr>
                <w:szCs w:val="18"/>
              </w:rPr>
            </w:pPr>
            <w:r w:rsidRPr="0088707A">
              <w:rPr>
                <w:szCs w:val="18"/>
              </w:rPr>
              <w:t>Shippers can readily co-ordinate trades through the capacity trading platform and the day-ahead auction</w:t>
            </w:r>
          </w:p>
        </w:tc>
      </w:tr>
      <w:tr w:rsidR="00430035" w:rsidRPr="0088707A" w14:paraId="6C87B15F" w14:textId="77777777" w:rsidTr="00430035">
        <w:trPr>
          <w:trHeight w:val="375"/>
        </w:trPr>
        <w:tc>
          <w:tcPr>
            <w:tcW w:w="1701" w:type="dxa"/>
            <w:vMerge/>
            <w:shd w:val="clear" w:color="auto" w:fill="auto"/>
          </w:tcPr>
          <w:p w14:paraId="28D1CC2A" w14:textId="77777777" w:rsidR="00430035" w:rsidRPr="0088707A" w:rsidRDefault="00430035" w:rsidP="00430035">
            <w:pPr>
              <w:pStyle w:val="BodyText"/>
              <w:keepNext/>
              <w:spacing w:before="20" w:after="20"/>
              <w:rPr>
                <w:szCs w:val="18"/>
              </w:rPr>
            </w:pPr>
          </w:p>
        </w:tc>
        <w:tc>
          <w:tcPr>
            <w:tcW w:w="7371" w:type="dxa"/>
            <w:shd w:val="clear" w:color="auto" w:fill="auto"/>
            <w:vAlign w:val="center"/>
          </w:tcPr>
          <w:p w14:paraId="13923F00" w14:textId="77777777" w:rsidR="00430035" w:rsidRPr="0088707A" w:rsidRDefault="00430035" w:rsidP="00430035">
            <w:pPr>
              <w:pStyle w:val="BodyText"/>
              <w:keepNext/>
              <w:spacing w:before="20" w:after="20"/>
              <w:rPr>
                <w:szCs w:val="18"/>
              </w:rPr>
            </w:pPr>
            <w:r w:rsidRPr="0088707A">
              <w:rPr>
                <w:szCs w:val="18"/>
              </w:rPr>
              <w:t xml:space="preserve">Shippers can readily co-ordinate trades with other gas services on the </w:t>
            </w:r>
            <w:r>
              <w:rPr>
                <w:szCs w:val="18"/>
              </w:rPr>
              <w:t>GSH</w:t>
            </w:r>
            <w:r w:rsidRPr="0088707A">
              <w:rPr>
                <w:szCs w:val="18"/>
              </w:rPr>
              <w:t xml:space="preserve">  </w:t>
            </w:r>
          </w:p>
        </w:tc>
      </w:tr>
      <w:tr w:rsidR="00430035" w:rsidRPr="0088707A" w14:paraId="40F7D4A6" w14:textId="77777777" w:rsidTr="00430035">
        <w:trPr>
          <w:cnfStyle w:val="000000010000" w:firstRow="0" w:lastRow="0" w:firstColumn="0" w:lastColumn="0" w:oddVBand="0" w:evenVBand="0" w:oddHBand="0" w:evenHBand="1" w:firstRowFirstColumn="0" w:firstRowLastColumn="0" w:lastRowFirstColumn="0" w:lastRowLastColumn="0"/>
        </w:trPr>
        <w:tc>
          <w:tcPr>
            <w:tcW w:w="1701" w:type="dxa"/>
            <w:vMerge w:val="restart"/>
            <w:shd w:val="clear" w:color="auto" w:fill="auto"/>
            <w:vAlign w:val="center"/>
          </w:tcPr>
          <w:p w14:paraId="2CAC8991" w14:textId="77777777" w:rsidR="00430035" w:rsidRPr="0088707A" w:rsidRDefault="00430035" w:rsidP="00430035">
            <w:pPr>
              <w:pStyle w:val="BodyText"/>
              <w:keepNext/>
              <w:spacing w:before="20" w:after="20"/>
              <w:rPr>
                <w:b/>
                <w:szCs w:val="18"/>
              </w:rPr>
            </w:pPr>
            <w:r w:rsidRPr="0088707A">
              <w:rPr>
                <w:b/>
                <w:szCs w:val="18"/>
              </w:rPr>
              <w:t>Scale and scope benefits and adaptability:</w:t>
            </w:r>
          </w:p>
        </w:tc>
        <w:tc>
          <w:tcPr>
            <w:tcW w:w="7371" w:type="dxa"/>
            <w:shd w:val="clear" w:color="auto" w:fill="auto"/>
            <w:vAlign w:val="center"/>
          </w:tcPr>
          <w:p w14:paraId="7226437C" w14:textId="77777777" w:rsidR="00430035" w:rsidRPr="0088707A" w:rsidRDefault="00430035" w:rsidP="00430035">
            <w:pPr>
              <w:pStyle w:val="BodyText"/>
              <w:keepNext/>
              <w:spacing w:before="20" w:after="20"/>
              <w:rPr>
                <w:szCs w:val="18"/>
              </w:rPr>
            </w:pPr>
            <w:r w:rsidRPr="0088707A">
              <w:rPr>
                <w:szCs w:val="18"/>
              </w:rPr>
              <w:t>Capable of capturing scale and scope benefits</w:t>
            </w:r>
          </w:p>
        </w:tc>
      </w:tr>
      <w:tr w:rsidR="00430035" w:rsidRPr="0088707A" w14:paraId="75702920" w14:textId="77777777" w:rsidTr="00430035">
        <w:tc>
          <w:tcPr>
            <w:tcW w:w="1701" w:type="dxa"/>
            <w:vMerge/>
            <w:shd w:val="clear" w:color="auto" w:fill="auto"/>
          </w:tcPr>
          <w:p w14:paraId="7EA5ADA8" w14:textId="77777777" w:rsidR="00430035" w:rsidRPr="0088707A" w:rsidRDefault="00430035" w:rsidP="00430035">
            <w:pPr>
              <w:pStyle w:val="BodyText"/>
              <w:keepNext/>
              <w:spacing w:before="20" w:after="20"/>
              <w:rPr>
                <w:szCs w:val="18"/>
              </w:rPr>
            </w:pPr>
          </w:p>
        </w:tc>
        <w:tc>
          <w:tcPr>
            <w:tcW w:w="7371" w:type="dxa"/>
            <w:shd w:val="clear" w:color="auto" w:fill="auto"/>
            <w:vAlign w:val="center"/>
          </w:tcPr>
          <w:p w14:paraId="3503FF91" w14:textId="77777777" w:rsidR="00430035" w:rsidRPr="0088707A" w:rsidRDefault="00430035" w:rsidP="00430035">
            <w:pPr>
              <w:pStyle w:val="BodyText"/>
              <w:keepNext/>
              <w:spacing w:before="20" w:after="20"/>
              <w:rPr>
                <w:szCs w:val="18"/>
              </w:rPr>
            </w:pPr>
            <w:r w:rsidRPr="0088707A">
              <w:rPr>
                <w:szCs w:val="18"/>
              </w:rPr>
              <w:t>Future proof, scalable and adaptable</w:t>
            </w:r>
          </w:p>
        </w:tc>
      </w:tr>
    </w:tbl>
    <w:p w14:paraId="2F555D41" w14:textId="77777777" w:rsidR="00430035" w:rsidRDefault="00430035" w:rsidP="00430035">
      <w:pPr>
        <w:pStyle w:val="ListBullet"/>
        <w:numPr>
          <w:ilvl w:val="0"/>
          <w:numId w:val="0"/>
        </w:numPr>
        <w:spacing w:before="80" w:after="80"/>
        <w:ind w:left="357" w:hanging="357"/>
      </w:pPr>
    </w:p>
    <w:p w14:paraId="33C7029B" w14:textId="77777777" w:rsidR="00A45719" w:rsidRPr="00777F22" w:rsidRDefault="00A45719" w:rsidP="00777F22">
      <w:pPr>
        <w:pStyle w:val="ListBullet"/>
        <w:numPr>
          <w:ilvl w:val="0"/>
          <w:numId w:val="0"/>
        </w:numPr>
        <w:spacing w:before="0" w:after="0"/>
        <w:ind w:left="357" w:hanging="357"/>
        <w:rPr>
          <w:sz w:val="2"/>
          <w:szCs w:val="2"/>
        </w:rPr>
      </w:pPr>
      <w:r w:rsidRPr="00777F22">
        <w:rPr>
          <w:sz w:val="2"/>
          <w:szCs w:val="2"/>
        </w:rPr>
        <w:br w:type="page"/>
      </w:r>
    </w:p>
    <w:p w14:paraId="0970D283" w14:textId="2A9945D1" w:rsidR="009467E3" w:rsidRDefault="009467E3" w:rsidP="009467E3">
      <w:pPr>
        <w:pStyle w:val="ExecSummHeading1"/>
        <w:spacing w:after="0"/>
      </w:pPr>
      <w:bookmarkStart w:id="56" w:name="_Toc492524735"/>
      <w:r>
        <w:lastRenderedPageBreak/>
        <w:t>Part A: Standardisation Reforms</w:t>
      </w:r>
      <w:bookmarkEnd w:id="56"/>
    </w:p>
    <w:p w14:paraId="724D0C90" w14:textId="77777777" w:rsidR="009467E3" w:rsidRDefault="009467E3" w:rsidP="003604E5">
      <w:pPr>
        <w:pStyle w:val="BodyText"/>
        <w:spacing w:before="120"/>
        <w:rPr>
          <w:rFonts w:asciiTheme="majorHAnsi" w:hAnsiTheme="majorHAnsi" w:cstheme="majorHAnsi"/>
        </w:rPr>
      </w:pPr>
      <w:r>
        <w:t xml:space="preserve">In the </w:t>
      </w:r>
      <w:r w:rsidRPr="005E3347">
        <w:rPr>
          <w:i/>
        </w:rPr>
        <w:t>East Coast Review</w:t>
      </w:r>
      <w:r>
        <w:t>, the AEMC noted that t</w:t>
      </w:r>
      <w:r w:rsidRPr="00CA246F">
        <w:t xml:space="preserve">he contracts underpinning primary and secondary capacity trades </w:t>
      </w:r>
      <w:r>
        <w:t xml:space="preserve">on contract carriage pipelines </w:t>
      </w:r>
      <w:r w:rsidRPr="00CA246F">
        <w:t xml:space="preserve">have historically been quite bespoke, with a range of terms and conditions customised to meet the requirements of the contracting parties. While the </w:t>
      </w:r>
      <w:r>
        <w:t xml:space="preserve">AEMC recognised </w:t>
      </w:r>
      <w:r w:rsidRPr="00CA246F">
        <w:t xml:space="preserve">there may be value in </w:t>
      </w:r>
      <w:r>
        <w:t xml:space="preserve">having customised </w:t>
      </w:r>
      <w:r w:rsidRPr="00CA246F">
        <w:t xml:space="preserve">service </w:t>
      </w:r>
      <w:r>
        <w:t>provisions</w:t>
      </w:r>
      <w:r w:rsidRPr="00CA246F">
        <w:t xml:space="preserve">, it </w:t>
      </w:r>
      <w:r>
        <w:t xml:space="preserve">recommended that the </w:t>
      </w:r>
      <w:r w:rsidRPr="005A2003">
        <w:t xml:space="preserve">operational, prudential and other provisions </w:t>
      </w:r>
      <w:r>
        <w:t xml:space="preserve">governing the relationship between contracting parties and their contractual obligations in primary, secondary and operational transportation agreements be standardised. The AEMC also recommended that all trades conducted through the exchange or auction be given effect through an operational transfer and that </w:t>
      </w:r>
      <w:r>
        <w:rPr>
          <w:rFonts w:asciiTheme="majorHAnsi" w:hAnsiTheme="majorHAnsi" w:cstheme="majorHAnsi"/>
        </w:rPr>
        <w:t xml:space="preserve">shippers be provided with greater </w:t>
      </w:r>
      <w:r w:rsidRPr="00291D93">
        <w:t>flexibility</w:t>
      </w:r>
      <w:r>
        <w:rPr>
          <w:rFonts w:asciiTheme="majorHAnsi" w:hAnsiTheme="majorHAnsi" w:cstheme="majorHAnsi"/>
        </w:rPr>
        <w:t xml:space="preserve"> to change their receipt and delivery points.</w:t>
      </w:r>
      <w:r w:rsidRPr="002D30F2">
        <w:rPr>
          <w:rStyle w:val="FootnoteReference"/>
        </w:rPr>
        <w:t xml:space="preserve"> </w:t>
      </w:r>
      <w:r>
        <w:rPr>
          <w:rStyle w:val="FootnoteReference"/>
        </w:rPr>
        <w:footnoteReference w:id="19"/>
      </w:r>
      <w:r>
        <w:rPr>
          <w:rFonts w:asciiTheme="majorHAnsi" w:hAnsiTheme="majorHAnsi" w:cstheme="majorHAnsi"/>
        </w:rPr>
        <w:t xml:space="preserve"> </w:t>
      </w:r>
    </w:p>
    <w:p w14:paraId="10E7ECFF" w14:textId="77777777" w:rsidR="009467E3" w:rsidRDefault="009467E3" w:rsidP="003604E5">
      <w:pPr>
        <w:pStyle w:val="BodyText"/>
        <w:spacing w:before="120"/>
      </w:pPr>
      <w:r>
        <w:t>Together, the AEMC expected these reforms to facilitate a greater level of secondary capacity trading by:</w:t>
      </w:r>
      <w:r>
        <w:rPr>
          <w:rStyle w:val="FootnoteReference"/>
        </w:rPr>
        <w:footnoteReference w:id="20"/>
      </w:r>
    </w:p>
    <w:p w14:paraId="2C7BAFB4" w14:textId="77777777" w:rsidR="009467E3" w:rsidRDefault="009467E3" w:rsidP="003604E5">
      <w:pPr>
        <w:pStyle w:val="ListBullet"/>
        <w:spacing w:after="60"/>
      </w:pPr>
      <w:bookmarkStart w:id="57" w:name="_Hlk489780672"/>
      <w:r>
        <w:t xml:space="preserve">making </w:t>
      </w:r>
      <w:r w:rsidRPr="00CA246F">
        <w:t>capacity products more fungible</w:t>
      </w:r>
      <w:r>
        <w:t>;</w:t>
      </w:r>
    </w:p>
    <w:p w14:paraId="201067A8" w14:textId="77777777" w:rsidR="009467E3" w:rsidRDefault="009467E3" w:rsidP="003604E5">
      <w:pPr>
        <w:pStyle w:val="ListBullet"/>
        <w:spacing w:after="60"/>
      </w:pPr>
      <w:r>
        <w:t xml:space="preserve">reducing search and transaction costs (i.e. </w:t>
      </w:r>
      <w:r w:rsidRPr="00CA246F">
        <w:t xml:space="preserve">by </w:t>
      </w:r>
      <w:r>
        <w:t>making it easier for shippers to value and compare offers and reducing the number of provisions to be negotiated);</w:t>
      </w:r>
      <w:r w:rsidRPr="00CA246F">
        <w:t xml:space="preserve"> </w:t>
      </w:r>
    </w:p>
    <w:p w14:paraId="306554A6" w14:textId="77777777" w:rsidR="009467E3" w:rsidRDefault="009467E3" w:rsidP="003604E5">
      <w:pPr>
        <w:pStyle w:val="ListBullet"/>
        <w:spacing w:after="60"/>
      </w:pPr>
      <w:r>
        <w:t>removing any unnecessary impediments to trade across pipelines; and</w:t>
      </w:r>
    </w:p>
    <w:p w14:paraId="3A6D3C1F" w14:textId="77777777" w:rsidR="009467E3" w:rsidRDefault="009467E3" w:rsidP="003604E5">
      <w:pPr>
        <w:pStyle w:val="ListBullet"/>
        <w:spacing w:after="60"/>
      </w:pPr>
      <w:r>
        <w:t>increasing</w:t>
      </w:r>
      <w:r w:rsidRPr="00CA246F">
        <w:t xml:space="preserve"> the pool of prospective </w:t>
      </w:r>
      <w:r>
        <w:t xml:space="preserve">buyers and </w:t>
      </w:r>
      <w:r w:rsidRPr="00CA246F">
        <w:t xml:space="preserve">sellers of secondary capacity by </w:t>
      </w:r>
      <w:r>
        <w:t xml:space="preserve">aggregating </w:t>
      </w:r>
      <w:r w:rsidRPr="00CA246F">
        <w:t>receipt and delivery points</w:t>
      </w:r>
      <w:r>
        <w:t xml:space="preserve"> and, in so doing, increasing market liquidity</w:t>
      </w:r>
      <w:r w:rsidRPr="00CA246F">
        <w:t xml:space="preserve">. </w:t>
      </w:r>
    </w:p>
    <w:bookmarkEnd w:id="57"/>
    <w:p w14:paraId="0BA8469C" w14:textId="241AB3CC" w:rsidR="009467E3" w:rsidRDefault="00F42B92" w:rsidP="003604E5">
      <w:pPr>
        <w:pStyle w:val="BodyText"/>
        <w:spacing w:before="120" w:after="60" w:line="252" w:lineRule="auto"/>
      </w:pPr>
      <w:r>
        <w:t xml:space="preserve">Table A.1 </w:t>
      </w:r>
      <w:r w:rsidR="009467E3">
        <w:t>provides further detail on the scope of the standardisation related reforms, which were categorised by the AEMC as either:</w:t>
      </w:r>
    </w:p>
    <w:p w14:paraId="51A97DE0" w14:textId="77777777" w:rsidR="009467E3" w:rsidRDefault="009467E3" w:rsidP="003604E5">
      <w:pPr>
        <w:pStyle w:val="ListBullet"/>
        <w:spacing w:after="60"/>
      </w:pPr>
      <w:r w:rsidRPr="72697DF9">
        <w:rPr>
          <w:b/>
          <w:bCs/>
        </w:rPr>
        <w:t xml:space="preserve">required outcomes </w:t>
      </w:r>
      <w:r>
        <w:t>– these recommendations were described by the AEMC as outcomes that must be progressed by the GMRG and are necessary to the implementation of the reforms; or</w:t>
      </w:r>
    </w:p>
    <w:p w14:paraId="6E4EE4D8" w14:textId="77777777" w:rsidR="009467E3" w:rsidRDefault="009467E3" w:rsidP="003604E5">
      <w:pPr>
        <w:pStyle w:val="ListBullet"/>
      </w:pPr>
      <w:r w:rsidRPr="72697DF9">
        <w:rPr>
          <w:b/>
          <w:bCs/>
        </w:rPr>
        <w:t xml:space="preserve">preferred outcomes </w:t>
      </w:r>
      <w:r>
        <w:t>– these recommendations were described by the AEMC as outcomes that should be pursued by the GMRG unless it is clear there are greater benefits in alternative approaches.</w:t>
      </w:r>
    </w:p>
    <w:tbl>
      <w:tblPr>
        <w:tblStyle w:val="TableGrid"/>
        <w:tblW w:w="4920" w:type="pct"/>
        <w:tblLayout w:type="fixed"/>
        <w:tblLook w:val="0480" w:firstRow="0" w:lastRow="0" w:firstColumn="1" w:lastColumn="0" w:noHBand="0" w:noVBand="1"/>
        <w:tblCaption w:val="Table A.1: AEMC’s Recommendations: Standardisation related reforms"/>
        <w:tblDescription w:val="AEMC’s Recommendations: Standardisation related reforms (required and preferred)"/>
      </w:tblPr>
      <w:tblGrid>
        <w:gridCol w:w="8647"/>
      </w:tblGrid>
      <w:tr w:rsidR="000E0767" w:rsidRPr="007A3DFE" w14:paraId="61549B9E" w14:textId="77777777" w:rsidTr="000E0767">
        <w:trPr>
          <w:cnfStyle w:val="000000010000" w:firstRow="0" w:lastRow="0" w:firstColumn="0" w:lastColumn="0" w:oddVBand="0" w:evenVBand="0" w:oddHBand="0" w:evenHBand="1" w:firstRowFirstColumn="0" w:firstRowLastColumn="0" w:lastRowFirstColumn="0" w:lastRowLastColumn="0"/>
          <w:tblHeader/>
        </w:trPr>
        <w:tc>
          <w:tcPr>
            <w:tcW w:w="8647" w:type="dxa"/>
            <w:tcBorders>
              <w:top w:val="nil"/>
              <w:bottom w:val="single" w:sz="4" w:space="0" w:color="auto"/>
            </w:tcBorders>
            <w:shd w:val="clear" w:color="auto" w:fill="auto"/>
          </w:tcPr>
          <w:p w14:paraId="5F47D21D" w14:textId="527993F2" w:rsidR="000E0767" w:rsidRPr="007A3DFE" w:rsidRDefault="000E0767" w:rsidP="000E0767">
            <w:pPr>
              <w:pStyle w:val="TableBodyText"/>
              <w:keepNext/>
              <w:spacing w:before="20" w:after="20"/>
              <w:rPr>
                <w:b/>
                <w:color w:val="FFFFFF" w:themeColor="background1"/>
                <w:sz w:val="20"/>
                <w:szCs w:val="20"/>
              </w:rPr>
            </w:pPr>
            <w:r w:rsidRPr="00926D7E">
              <w:rPr>
                <w:b/>
                <w:sz w:val="22"/>
              </w:rPr>
              <w:t>Table A.1: AEMC’s Recommendations: Standardisation related reforms</w:t>
            </w:r>
          </w:p>
        </w:tc>
      </w:tr>
      <w:tr w:rsidR="000E0767" w:rsidRPr="007A3DFE" w14:paraId="633FFE4C" w14:textId="77777777" w:rsidTr="000E0767">
        <w:tc>
          <w:tcPr>
            <w:tcW w:w="8647" w:type="dxa"/>
            <w:tcBorders>
              <w:top w:val="single" w:sz="4" w:space="0" w:color="auto"/>
              <w:bottom w:val="single" w:sz="4" w:space="0" w:color="auto"/>
            </w:tcBorders>
            <w:shd w:val="clear" w:color="auto" w:fill="0099CC"/>
          </w:tcPr>
          <w:p w14:paraId="148C3E55" w14:textId="387A64F7" w:rsidR="000E0767" w:rsidRPr="007A3DFE" w:rsidRDefault="000E0767" w:rsidP="000E0767">
            <w:pPr>
              <w:pStyle w:val="TableBodyText"/>
              <w:keepNext/>
              <w:spacing w:before="20" w:after="20"/>
              <w:jc w:val="center"/>
              <w:rPr>
                <w:b/>
                <w:color w:val="FFFFFF" w:themeColor="background1"/>
                <w:sz w:val="20"/>
                <w:szCs w:val="20"/>
              </w:rPr>
            </w:pPr>
            <w:r w:rsidRPr="007A3DFE">
              <w:rPr>
                <w:b/>
                <w:color w:val="FFFFFF" w:themeColor="background1"/>
                <w:sz w:val="20"/>
                <w:szCs w:val="20"/>
              </w:rPr>
              <w:t>Required Outcomes</w:t>
            </w:r>
          </w:p>
        </w:tc>
      </w:tr>
      <w:tr w:rsidR="00926D7E" w:rsidRPr="007A3DFE" w14:paraId="27D7FAC0" w14:textId="77777777" w:rsidTr="00926D7E">
        <w:trPr>
          <w:cnfStyle w:val="000000010000" w:firstRow="0" w:lastRow="0" w:firstColumn="0" w:lastColumn="0" w:oddVBand="0" w:evenVBand="0" w:oddHBand="0" w:evenHBand="1" w:firstRowFirstColumn="0" w:firstRowLastColumn="0" w:lastRowFirstColumn="0" w:lastRowLastColumn="0"/>
        </w:trPr>
        <w:tc>
          <w:tcPr>
            <w:tcW w:w="8647" w:type="dxa"/>
            <w:tcBorders>
              <w:bottom w:val="single" w:sz="4" w:space="0" w:color="auto"/>
            </w:tcBorders>
            <w:shd w:val="clear" w:color="auto" w:fill="auto"/>
          </w:tcPr>
          <w:p w14:paraId="5A54CC2D" w14:textId="77777777" w:rsidR="00926D7E" w:rsidRDefault="00926D7E" w:rsidP="00926D7E">
            <w:pPr>
              <w:pStyle w:val="TableBullet1"/>
              <w:keepNext/>
              <w:spacing w:before="20" w:after="40" w:line="240" w:lineRule="auto"/>
              <w:rPr>
                <w:sz w:val="20"/>
                <w:szCs w:val="20"/>
              </w:rPr>
            </w:pPr>
            <w:r>
              <w:rPr>
                <w:sz w:val="20"/>
                <w:szCs w:val="20"/>
              </w:rPr>
              <w:t xml:space="preserve">Trades carried out through the capacity trading platform to be given effect through an operational transfer. Bare transfers will be allowed but the seller will be required to offer the buyer the option to use an operational transfer. </w:t>
            </w:r>
          </w:p>
          <w:p w14:paraId="0229B624" w14:textId="77777777" w:rsidR="00926D7E" w:rsidRPr="007B1EFA" w:rsidRDefault="00926D7E" w:rsidP="00926D7E">
            <w:pPr>
              <w:pStyle w:val="TableBullet1"/>
              <w:keepNext/>
              <w:spacing w:before="20" w:after="40" w:line="240" w:lineRule="auto"/>
              <w:rPr>
                <w:sz w:val="20"/>
                <w:szCs w:val="20"/>
              </w:rPr>
            </w:pPr>
            <w:r w:rsidRPr="007B1EFA">
              <w:rPr>
                <w:sz w:val="20"/>
                <w:szCs w:val="20"/>
              </w:rPr>
              <w:t xml:space="preserve">Standardisation of key primary and secondary capacity contractual terms for pipeline and hub (compression) services.  Where possible and appropriate the standards should apply across the eastern Australian gas market. </w:t>
            </w:r>
          </w:p>
          <w:p w14:paraId="153D23C0" w14:textId="77777777" w:rsidR="00926D7E" w:rsidRPr="007A3DFE" w:rsidRDefault="00926D7E" w:rsidP="00926D7E">
            <w:pPr>
              <w:pStyle w:val="TableBullet1"/>
              <w:keepNext/>
              <w:spacing w:before="20" w:after="40" w:line="240" w:lineRule="auto"/>
              <w:rPr>
                <w:sz w:val="20"/>
                <w:szCs w:val="20"/>
              </w:rPr>
            </w:pPr>
            <w:r w:rsidRPr="007A3DFE">
              <w:rPr>
                <w:sz w:val="20"/>
                <w:szCs w:val="20"/>
              </w:rPr>
              <w:t xml:space="preserve">Standards to be developed are for key operational, prudential and other contractual provisions in </w:t>
            </w:r>
            <w:r>
              <w:rPr>
                <w:sz w:val="20"/>
                <w:szCs w:val="20"/>
              </w:rPr>
              <w:t>primary GTAs, secondary CTAs and o</w:t>
            </w:r>
            <w:r w:rsidRPr="007A3DFE">
              <w:rPr>
                <w:sz w:val="20"/>
                <w:szCs w:val="20"/>
              </w:rPr>
              <w:t xml:space="preserve">perational </w:t>
            </w:r>
            <w:r>
              <w:rPr>
                <w:sz w:val="20"/>
                <w:szCs w:val="20"/>
              </w:rPr>
              <w:t>GTAs</w:t>
            </w:r>
            <w:r w:rsidRPr="007A3DFE">
              <w:rPr>
                <w:sz w:val="20"/>
                <w:szCs w:val="20"/>
              </w:rPr>
              <w:t xml:space="preserve">, and provisions in contracts used for exchange based trading on the capacity trading platform. </w:t>
            </w:r>
          </w:p>
          <w:p w14:paraId="7CA02C7F" w14:textId="659137B8" w:rsidR="00926D7E" w:rsidRDefault="00926D7E" w:rsidP="000E0767">
            <w:pPr>
              <w:pStyle w:val="TableBullet1"/>
              <w:keepNext/>
              <w:spacing w:before="20" w:after="40" w:line="240" w:lineRule="auto"/>
            </w:pPr>
            <w:r w:rsidRPr="000E0767">
              <w:rPr>
                <w:sz w:val="20"/>
                <w:szCs w:val="20"/>
              </w:rPr>
              <w:t>Counterparties to existing contracts should not be materially disadvantaged through the standardisation process.</w:t>
            </w:r>
          </w:p>
        </w:tc>
      </w:tr>
      <w:tr w:rsidR="009467E3" w:rsidRPr="007A3DFE" w14:paraId="0D9ED40A" w14:textId="77777777" w:rsidTr="00926D7E">
        <w:tblPrEx>
          <w:tblLook w:val="04A0" w:firstRow="1" w:lastRow="0" w:firstColumn="1" w:lastColumn="0" w:noHBand="0" w:noVBand="1"/>
        </w:tblPrEx>
        <w:tc>
          <w:tcPr>
            <w:tcW w:w="8647" w:type="dxa"/>
            <w:tcBorders>
              <w:bottom w:val="single" w:sz="4" w:space="0" w:color="auto"/>
            </w:tcBorders>
            <w:shd w:val="clear" w:color="auto" w:fill="0099CC"/>
          </w:tcPr>
          <w:p w14:paraId="01C214A6" w14:textId="77777777" w:rsidR="009467E3" w:rsidRPr="007A3DFE" w:rsidRDefault="009467E3" w:rsidP="003604E5">
            <w:pPr>
              <w:pStyle w:val="TableBodyText"/>
              <w:keepNext/>
              <w:spacing w:before="20" w:after="40"/>
              <w:jc w:val="center"/>
              <w:rPr>
                <w:b/>
                <w:color w:val="FFFFFF" w:themeColor="background1"/>
                <w:sz w:val="20"/>
                <w:szCs w:val="20"/>
              </w:rPr>
            </w:pPr>
            <w:r w:rsidRPr="007A3DFE">
              <w:rPr>
                <w:b/>
                <w:color w:val="FFFFFF" w:themeColor="background1"/>
                <w:sz w:val="20"/>
                <w:szCs w:val="20"/>
              </w:rPr>
              <w:t>Preferred outcomes</w:t>
            </w:r>
          </w:p>
        </w:tc>
      </w:tr>
      <w:tr w:rsidR="009467E3" w:rsidRPr="007A3DFE" w14:paraId="29520960" w14:textId="77777777" w:rsidTr="00926D7E">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8647" w:type="dxa"/>
            <w:shd w:val="clear" w:color="auto" w:fill="auto"/>
          </w:tcPr>
          <w:p w14:paraId="21392BCD" w14:textId="59D2B84D" w:rsidR="009467E3" w:rsidRPr="007A3DFE" w:rsidRDefault="009467E3" w:rsidP="003604E5">
            <w:pPr>
              <w:pStyle w:val="TableBullet1"/>
              <w:spacing w:before="20" w:after="40"/>
              <w:rPr>
                <w:sz w:val="20"/>
                <w:szCs w:val="20"/>
              </w:rPr>
            </w:pPr>
            <w:r w:rsidRPr="007A3DFE">
              <w:rPr>
                <w:sz w:val="20"/>
                <w:szCs w:val="20"/>
              </w:rPr>
              <w:t>Shippers provided greater flexibility to change their receipt and delivery points</w:t>
            </w:r>
            <w:r w:rsidR="00522628">
              <w:rPr>
                <w:sz w:val="20"/>
                <w:szCs w:val="20"/>
              </w:rPr>
              <w:t>.</w:t>
            </w:r>
          </w:p>
        </w:tc>
      </w:tr>
    </w:tbl>
    <w:p w14:paraId="4B3E80AA" w14:textId="77777777" w:rsidR="009467E3" w:rsidRDefault="009467E3" w:rsidP="009467E3">
      <w:pPr>
        <w:pStyle w:val="BodyText"/>
        <w:widowControl w:val="0"/>
        <w:spacing w:before="0" w:after="0"/>
        <w:rPr>
          <w:sz w:val="18"/>
          <w:szCs w:val="18"/>
        </w:rPr>
      </w:pPr>
      <w:r w:rsidRPr="00095979">
        <w:rPr>
          <w:sz w:val="18"/>
          <w:szCs w:val="18"/>
        </w:rPr>
        <w:t xml:space="preserve">Source: AEMC, Stage 2 Final Report: </w:t>
      </w:r>
      <w:r w:rsidRPr="005E3347">
        <w:rPr>
          <w:rFonts w:cs="Arial"/>
          <w:i/>
          <w:iCs/>
          <w:sz w:val="18"/>
          <w:szCs w:val="18"/>
        </w:rPr>
        <w:t>East Coast Review</w:t>
      </w:r>
      <w:r w:rsidRPr="00095979">
        <w:rPr>
          <w:rFonts w:cs="Arial"/>
          <w:iCs/>
          <w:sz w:val="18"/>
          <w:szCs w:val="18"/>
        </w:rPr>
        <w:t>, 23 May 2016,</w:t>
      </w:r>
      <w:r w:rsidRPr="00095979">
        <w:rPr>
          <w:sz w:val="18"/>
          <w:szCs w:val="18"/>
        </w:rPr>
        <w:t xml:space="preserve"> p. 17.</w:t>
      </w:r>
    </w:p>
    <w:p w14:paraId="7B5EE1C6" w14:textId="77777777" w:rsidR="00AC48D8" w:rsidRDefault="009467E3" w:rsidP="009467E3">
      <w:pPr>
        <w:pStyle w:val="BodyText"/>
      </w:pPr>
      <w:r>
        <w:lastRenderedPageBreak/>
        <w:t xml:space="preserve">In addition to the measures outlined in </w:t>
      </w:r>
      <w:r w:rsidR="003604E5">
        <w:t>the table above</w:t>
      </w:r>
      <w:r>
        <w:t>, the AEMC recommended that</w:t>
      </w:r>
      <w:r w:rsidR="00AC48D8">
        <w:t>:</w:t>
      </w:r>
    </w:p>
    <w:p w14:paraId="0A316773" w14:textId="5BE6AFD6" w:rsidR="00AC48D8" w:rsidRDefault="009467E3" w:rsidP="00AC48D8">
      <w:pPr>
        <w:pStyle w:val="ListBullet"/>
      </w:pPr>
      <w:r>
        <w:t xml:space="preserve">products sold through the </w:t>
      </w:r>
      <w:r w:rsidR="00AC48D8" w:rsidRPr="00AC48D8">
        <w:rPr>
          <w:b/>
        </w:rPr>
        <w:t xml:space="preserve">capacity trading </w:t>
      </w:r>
      <w:r w:rsidRPr="00AC48D8">
        <w:rPr>
          <w:b/>
        </w:rPr>
        <w:t>exchange</w:t>
      </w:r>
      <w:r>
        <w:t xml:space="preserve"> and the terms on which these products are sold (i.e. under the Exchange Agreement) also be standardised</w:t>
      </w:r>
      <w:r w:rsidR="00AC48D8">
        <w:t>; and</w:t>
      </w:r>
    </w:p>
    <w:p w14:paraId="575F846F" w14:textId="6C6A59C0" w:rsidR="00AC48D8" w:rsidRDefault="00AC48D8" w:rsidP="00AC48D8">
      <w:pPr>
        <w:pStyle w:val="ListBullet"/>
      </w:pPr>
      <w:r>
        <w:t xml:space="preserve">products sold through the </w:t>
      </w:r>
      <w:r w:rsidRPr="00AC48D8">
        <w:rPr>
          <w:b/>
        </w:rPr>
        <w:t>day-ahead auction</w:t>
      </w:r>
      <w:r>
        <w:t xml:space="preserve"> and the terms on which these products are sold (i.e. under the Auction Agreement) also be standardised.</w:t>
      </w:r>
    </w:p>
    <w:p w14:paraId="625BB616" w14:textId="470E228D" w:rsidR="009467E3" w:rsidRDefault="00AC48D8" w:rsidP="00AC48D8">
      <w:pPr>
        <w:pStyle w:val="BodyText"/>
      </w:pPr>
      <w:r>
        <w:t xml:space="preserve">Work on the first of these </w:t>
      </w:r>
      <w:r w:rsidR="00983BA9">
        <w:t>recommendations</w:t>
      </w:r>
      <w:r>
        <w:t xml:space="preserve"> has been carried out by the </w:t>
      </w:r>
      <w:r w:rsidR="009467E3">
        <w:t xml:space="preserve">Capacity Trading Platform </w:t>
      </w:r>
      <w:r>
        <w:t xml:space="preserve">and is discussed in further detail in Part B, while work on the second </w:t>
      </w:r>
      <w:r w:rsidR="00983BA9">
        <w:t>recommendation</w:t>
      </w:r>
      <w:r>
        <w:t xml:space="preserve"> is being carried out by the </w:t>
      </w:r>
      <w:r w:rsidR="009467E3">
        <w:t xml:space="preserve">Day-Ahead Auction project teams and will be consulted on </w:t>
      </w:r>
      <w:r>
        <w:t>in October</w:t>
      </w:r>
      <w:r w:rsidR="009467E3">
        <w:t xml:space="preserve">.  The scope of the Standardisation work stream is limited therefore to primary GTAs, CTAs and operational GTAs as highlighted by the red dotted area in </w:t>
      </w:r>
      <w:r w:rsidR="00F42B92">
        <w:t>Figure A.1</w:t>
      </w:r>
      <w:r w:rsidR="009467E3">
        <w:t>.</w:t>
      </w:r>
    </w:p>
    <w:p w14:paraId="3B242447" w14:textId="70F0782B" w:rsidR="003604E5" w:rsidRDefault="003604E5" w:rsidP="003604E5">
      <w:pPr>
        <w:pStyle w:val="Caption"/>
        <w:spacing w:after="0"/>
      </w:pPr>
      <w:r>
        <w:t xml:space="preserve">Figure </w:t>
      </w:r>
      <w:r w:rsidR="00F42B92">
        <w:t>A.1</w:t>
      </w:r>
      <w:r>
        <w:t>: Scope of contract standardisation reforms</w:t>
      </w:r>
    </w:p>
    <w:p w14:paraId="531B462C" w14:textId="2DE87BA5" w:rsidR="003604E5" w:rsidRDefault="00FF5365" w:rsidP="003604E5">
      <w:pPr>
        <w:pStyle w:val="BodyText"/>
        <w:spacing w:before="0"/>
      </w:pPr>
      <w:r w:rsidRPr="00FF5365">
        <w:rPr>
          <w:noProof/>
        </w:rPr>
        <w:drawing>
          <wp:inline distT="0" distB="0" distL="0" distR="0" wp14:anchorId="4ADC3C30" wp14:editId="78DFD51D">
            <wp:extent cx="4878774" cy="4071620"/>
            <wp:effectExtent l="0" t="0" r="0" b="5080"/>
            <wp:docPr id="2" name="Picture 1" descr="Scope of contract standardisation reforms" title="Figure A.1: Scope of contract standardisation reforms">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AE93F4B9-37C7-46BA-9ED2-469A105B9B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AE93F4B9-37C7-46BA-9ED2-469A105B9B86}"/>
                        </a:ext>
                      </a:extLst>
                    </pic:cNvPr>
                    <pic:cNvPicPr>
                      <a:picLocks noChangeAspect="1"/>
                    </pic:cNvPicPr>
                  </pic:nvPicPr>
                  <pic:blipFill>
                    <a:blip r:embed="rId30"/>
                    <a:stretch>
                      <a:fillRect/>
                    </a:stretch>
                  </pic:blipFill>
                  <pic:spPr>
                    <a:xfrm>
                      <a:off x="0" y="0"/>
                      <a:ext cx="4880259" cy="4072859"/>
                    </a:xfrm>
                    <a:prstGeom prst="rect">
                      <a:avLst/>
                    </a:prstGeom>
                  </pic:spPr>
                </pic:pic>
              </a:graphicData>
            </a:graphic>
          </wp:inline>
        </w:drawing>
      </w:r>
    </w:p>
    <w:p w14:paraId="4D365C77" w14:textId="6A6F67A3" w:rsidR="009467E3" w:rsidRDefault="003604E5" w:rsidP="00AC48D8">
      <w:pPr>
        <w:pStyle w:val="BodyText"/>
        <w:spacing w:before="60" w:after="60"/>
      </w:pPr>
      <w:r>
        <w:t xml:space="preserve">The remainder of this part of the consultation paper is structured as follows: </w:t>
      </w:r>
    </w:p>
    <w:p w14:paraId="19BBE367" w14:textId="23B61DB7" w:rsidR="003604E5" w:rsidRPr="002C7228" w:rsidRDefault="003604E5" w:rsidP="00AC48D8">
      <w:pPr>
        <w:pStyle w:val="ListBullet"/>
        <w:spacing w:before="60" w:after="60"/>
      </w:pPr>
      <w:r w:rsidRPr="002C7228">
        <w:t xml:space="preserve">Chapter </w:t>
      </w:r>
      <w:r>
        <w:t>3</w:t>
      </w:r>
      <w:r w:rsidRPr="002C7228">
        <w:t xml:space="preserve"> </w:t>
      </w:r>
      <w:r>
        <w:t>focuses on the contract standardisation reforms;</w:t>
      </w:r>
    </w:p>
    <w:p w14:paraId="580F9F5D" w14:textId="1A905AB2" w:rsidR="003604E5" w:rsidRPr="002C7228" w:rsidRDefault="003604E5" w:rsidP="00AC48D8">
      <w:pPr>
        <w:pStyle w:val="ListBullet"/>
        <w:spacing w:before="60" w:after="60"/>
        <w:rPr>
          <w:sz w:val="2"/>
          <w:szCs w:val="2"/>
        </w:rPr>
      </w:pPr>
      <w:r w:rsidRPr="002C7228">
        <w:t xml:space="preserve">Chapter </w:t>
      </w:r>
      <w:r>
        <w:t>4 focuses on the receipt and delivery point flexibility reforms</w:t>
      </w:r>
      <w:r w:rsidRPr="002C7228">
        <w:t>;</w:t>
      </w:r>
      <w:r>
        <w:t xml:space="preserve"> and</w:t>
      </w:r>
    </w:p>
    <w:p w14:paraId="03D36530" w14:textId="2A3B172E" w:rsidR="009467E3" w:rsidRDefault="003604E5" w:rsidP="00AC48D8">
      <w:pPr>
        <w:pStyle w:val="ListBullet"/>
        <w:spacing w:before="60" w:after="60"/>
      </w:pPr>
      <w:r w:rsidRPr="002C7228">
        <w:t xml:space="preserve">Chapter </w:t>
      </w:r>
      <w:r>
        <w:t xml:space="preserve">5 outlines </w:t>
      </w:r>
      <w:r w:rsidRPr="002C7228">
        <w:t xml:space="preserve">other measures that </w:t>
      </w:r>
      <w:r>
        <w:t xml:space="preserve">could be implemented to reduce the barriers to secondary capacity trading and participation in the day-ahead auction. </w:t>
      </w:r>
      <w:r w:rsidR="009467E3">
        <w:br w:type="page"/>
      </w:r>
    </w:p>
    <w:p w14:paraId="74BBBEA2" w14:textId="363AAB89" w:rsidR="00A74F85" w:rsidRDefault="009134D7" w:rsidP="00267C47">
      <w:pPr>
        <w:pStyle w:val="Heading1"/>
        <w:spacing w:after="120"/>
      </w:pPr>
      <w:bookmarkStart w:id="58" w:name="_Toc492524736"/>
      <w:r>
        <w:lastRenderedPageBreak/>
        <w:t>Standard</w:t>
      </w:r>
      <w:r w:rsidR="00EF39D4">
        <w:t>isation of Contracts</w:t>
      </w:r>
      <w:bookmarkEnd w:id="58"/>
    </w:p>
    <w:p w14:paraId="618D543F" w14:textId="77777777" w:rsidR="00A95EF5" w:rsidRDefault="00E07481" w:rsidP="00C17052">
      <w:pPr>
        <w:pStyle w:val="BodyText"/>
        <w:spacing w:before="0"/>
        <w:rPr>
          <w:rFonts w:asciiTheme="majorHAnsi" w:eastAsiaTheme="majorEastAsia" w:hAnsiTheme="majorHAnsi" w:cstheme="majorBidi"/>
        </w:rPr>
      </w:pPr>
      <w:r>
        <w:t xml:space="preserve">To facilitate a greater level of trade in secondary capacity, the AEMC recommended that </w:t>
      </w:r>
      <w:r w:rsidR="004E2D09">
        <w:t xml:space="preserve">capacity trades conducted through the exchange and auction be given effect through an operational transfer and that key terms and conditions in </w:t>
      </w:r>
      <w:r>
        <w:rPr>
          <w:rFonts w:asciiTheme="majorHAnsi" w:eastAsiaTheme="majorEastAsia" w:hAnsiTheme="majorHAnsi" w:cstheme="majorBidi"/>
        </w:rPr>
        <w:t xml:space="preserve">primary, secondary and operational </w:t>
      </w:r>
      <w:r w:rsidR="0043439D">
        <w:rPr>
          <w:rFonts w:asciiTheme="majorHAnsi" w:eastAsiaTheme="majorEastAsia" w:hAnsiTheme="majorHAnsi" w:cstheme="majorBidi"/>
        </w:rPr>
        <w:t xml:space="preserve">transportation agreements </w:t>
      </w:r>
      <w:r>
        <w:rPr>
          <w:rFonts w:asciiTheme="majorHAnsi" w:eastAsiaTheme="majorEastAsia" w:hAnsiTheme="majorHAnsi" w:cstheme="majorBidi"/>
        </w:rPr>
        <w:t>be standardised</w:t>
      </w:r>
      <w:r w:rsidR="00146643">
        <w:rPr>
          <w:rFonts w:asciiTheme="majorHAnsi" w:eastAsiaTheme="majorEastAsia" w:hAnsiTheme="majorHAnsi" w:cstheme="majorBidi"/>
        </w:rPr>
        <w:t>.</w:t>
      </w:r>
      <w:r w:rsidR="00146643" w:rsidRPr="72697DF9">
        <w:rPr>
          <w:rStyle w:val="FootnoteReference"/>
          <w:rFonts w:asciiTheme="majorHAnsi" w:eastAsiaTheme="majorEastAsia" w:hAnsiTheme="majorHAnsi" w:cstheme="majorBidi"/>
          <w:color w:val="000000"/>
        </w:rPr>
        <w:footnoteReference w:id="21"/>
      </w:r>
      <w:r w:rsidR="00146643" w:rsidRPr="72697DF9">
        <w:rPr>
          <w:rFonts w:asciiTheme="majorHAnsi" w:eastAsiaTheme="majorEastAsia" w:hAnsiTheme="majorHAnsi" w:cstheme="majorBidi"/>
        </w:rPr>
        <w:t xml:space="preserve"> </w:t>
      </w:r>
    </w:p>
    <w:p w14:paraId="05E5D76C" w14:textId="77777777" w:rsidR="00D359F7" w:rsidRDefault="00996A46" w:rsidP="00996A46">
      <w:pPr>
        <w:pStyle w:val="BodyText"/>
        <w:rPr>
          <w:rFonts w:asciiTheme="majorHAnsi" w:eastAsiaTheme="majorEastAsia" w:hAnsiTheme="majorHAnsi" w:cstheme="majorBidi"/>
        </w:rPr>
      </w:pPr>
      <w:r>
        <w:rPr>
          <w:rFonts w:asciiTheme="majorHAnsi" w:eastAsiaTheme="majorEastAsia" w:hAnsiTheme="majorHAnsi" w:cstheme="majorBidi"/>
        </w:rPr>
        <w:t>These recommendations have been considered in some detail by the Standardisation project team</w:t>
      </w:r>
      <w:r w:rsidR="00EB5597">
        <w:rPr>
          <w:rFonts w:asciiTheme="majorHAnsi" w:eastAsiaTheme="majorEastAsia" w:hAnsiTheme="majorHAnsi" w:cstheme="majorBidi"/>
        </w:rPr>
        <w:t xml:space="preserve">. </w:t>
      </w:r>
      <w:r w:rsidR="000F5626">
        <w:rPr>
          <w:rFonts w:asciiTheme="majorHAnsi" w:eastAsiaTheme="majorEastAsia" w:hAnsiTheme="majorHAnsi" w:cstheme="majorBidi"/>
        </w:rPr>
        <w:t>In doing so, the project team considered</w:t>
      </w:r>
      <w:r w:rsidR="00D359F7">
        <w:rPr>
          <w:rFonts w:asciiTheme="majorHAnsi" w:eastAsiaTheme="majorEastAsia" w:hAnsiTheme="majorHAnsi" w:cstheme="majorBidi"/>
        </w:rPr>
        <w:t>:</w:t>
      </w:r>
    </w:p>
    <w:p w14:paraId="5D85F83D" w14:textId="77777777" w:rsidR="00D359F7" w:rsidRDefault="00062536" w:rsidP="00062536">
      <w:pPr>
        <w:pStyle w:val="ListBullet"/>
        <w:rPr>
          <w:rFonts w:eastAsiaTheme="majorEastAsia"/>
        </w:rPr>
      </w:pPr>
      <w:r>
        <w:rPr>
          <w:rFonts w:eastAsiaTheme="majorEastAsia"/>
        </w:rPr>
        <w:t>t</w:t>
      </w:r>
      <w:r w:rsidR="00D359F7">
        <w:rPr>
          <w:rFonts w:eastAsiaTheme="majorEastAsia"/>
        </w:rPr>
        <w:t>he types of contracts that should be standardised;</w:t>
      </w:r>
    </w:p>
    <w:p w14:paraId="77912A3A" w14:textId="77777777" w:rsidR="00D359F7" w:rsidRDefault="00062536" w:rsidP="00062536">
      <w:pPr>
        <w:pStyle w:val="ListBullet"/>
        <w:rPr>
          <w:rFonts w:eastAsiaTheme="majorEastAsia"/>
        </w:rPr>
      </w:pPr>
      <w:r>
        <w:rPr>
          <w:rFonts w:eastAsiaTheme="majorEastAsia"/>
        </w:rPr>
        <w:t>t</w:t>
      </w:r>
      <w:r w:rsidR="00D359F7">
        <w:rPr>
          <w:rFonts w:eastAsiaTheme="majorEastAsia"/>
        </w:rPr>
        <w:t>he level of standardisation that could be achieved</w:t>
      </w:r>
      <w:r w:rsidR="006008A5">
        <w:rPr>
          <w:rFonts w:eastAsiaTheme="majorEastAsia"/>
        </w:rPr>
        <w:t xml:space="preserve"> </w:t>
      </w:r>
      <w:r>
        <w:rPr>
          <w:rFonts w:eastAsiaTheme="majorEastAsia"/>
        </w:rPr>
        <w:t xml:space="preserve">and the form that the standardised </w:t>
      </w:r>
      <w:r w:rsidR="00A95EF5">
        <w:rPr>
          <w:rFonts w:eastAsiaTheme="majorEastAsia"/>
        </w:rPr>
        <w:t>provisions</w:t>
      </w:r>
      <w:r>
        <w:rPr>
          <w:rFonts w:eastAsiaTheme="majorEastAsia"/>
        </w:rPr>
        <w:t xml:space="preserve"> could take</w:t>
      </w:r>
      <w:r w:rsidR="00D359F7">
        <w:rPr>
          <w:rFonts w:eastAsiaTheme="majorEastAsia"/>
        </w:rPr>
        <w:t>;</w:t>
      </w:r>
    </w:p>
    <w:p w14:paraId="170DECC2" w14:textId="77777777" w:rsidR="006008A5" w:rsidRDefault="006008A5" w:rsidP="00062536">
      <w:pPr>
        <w:pStyle w:val="ListBullet"/>
        <w:rPr>
          <w:rFonts w:eastAsiaTheme="majorEastAsia"/>
        </w:rPr>
      </w:pPr>
      <w:r>
        <w:rPr>
          <w:rFonts w:eastAsiaTheme="majorEastAsia"/>
        </w:rPr>
        <w:t xml:space="preserve">whether </w:t>
      </w:r>
      <w:r w:rsidR="00062536">
        <w:rPr>
          <w:rFonts w:eastAsiaTheme="majorEastAsia"/>
        </w:rPr>
        <w:t xml:space="preserve">the standardised </w:t>
      </w:r>
      <w:r w:rsidR="00D359F7">
        <w:rPr>
          <w:rFonts w:eastAsiaTheme="majorEastAsia"/>
        </w:rPr>
        <w:t>terms</w:t>
      </w:r>
      <w:r>
        <w:rPr>
          <w:rFonts w:eastAsiaTheme="majorEastAsia"/>
        </w:rPr>
        <w:t xml:space="preserve"> should be voluntary or mandatory and if parties would be able to negotiate particular terms</w:t>
      </w:r>
      <w:r w:rsidR="00062536">
        <w:rPr>
          <w:rFonts w:eastAsiaTheme="majorEastAsia"/>
        </w:rPr>
        <w:t xml:space="preserve">; </w:t>
      </w:r>
    </w:p>
    <w:p w14:paraId="0C40815B" w14:textId="77777777" w:rsidR="00062536" w:rsidRDefault="006008A5" w:rsidP="00062536">
      <w:pPr>
        <w:pStyle w:val="ListBullet"/>
        <w:rPr>
          <w:rFonts w:eastAsiaTheme="majorEastAsia"/>
        </w:rPr>
      </w:pPr>
      <w:r>
        <w:rPr>
          <w:rFonts w:eastAsiaTheme="majorEastAsia"/>
        </w:rPr>
        <w:t xml:space="preserve">how the </w:t>
      </w:r>
      <w:r w:rsidR="00916B98">
        <w:rPr>
          <w:rFonts w:eastAsiaTheme="majorEastAsia"/>
        </w:rPr>
        <w:t xml:space="preserve">incremental </w:t>
      </w:r>
      <w:r>
        <w:rPr>
          <w:rFonts w:eastAsiaTheme="majorEastAsia"/>
        </w:rPr>
        <w:t xml:space="preserve">costs that service providers incur providing operational transfer services will be recovered; </w:t>
      </w:r>
      <w:r w:rsidR="00062536">
        <w:rPr>
          <w:rFonts w:eastAsiaTheme="majorEastAsia"/>
        </w:rPr>
        <w:t>and</w:t>
      </w:r>
    </w:p>
    <w:p w14:paraId="21AF4059" w14:textId="77777777" w:rsidR="004E2D09" w:rsidRDefault="00062536" w:rsidP="00062536">
      <w:pPr>
        <w:pStyle w:val="ListBullet"/>
        <w:rPr>
          <w:rFonts w:eastAsiaTheme="majorEastAsia"/>
        </w:rPr>
      </w:pPr>
      <w:r>
        <w:rPr>
          <w:rFonts w:eastAsiaTheme="majorEastAsia"/>
        </w:rPr>
        <w:t xml:space="preserve">the governance arrangements </w:t>
      </w:r>
      <w:r w:rsidR="00A95EF5">
        <w:rPr>
          <w:rFonts w:eastAsiaTheme="majorEastAsia"/>
        </w:rPr>
        <w:t xml:space="preserve">that could apply to the </w:t>
      </w:r>
      <w:r>
        <w:rPr>
          <w:rFonts w:eastAsiaTheme="majorEastAsia"/>
        </w:rPr>
        <w:t xml:space="preserve">standardised terms. </w:t>
      </w:r>
    </w:p>
    <w:p w14:paraId="5B446A53" w14:textId="50E31E1F" w:rsidR="00916B98" w:rsidRDefault="00C17052" w:rsidP="00E52016">
      <w:pPr>
        <w:pStyle w:val="BodyText"/>
      </w:pPr>
      <w:r>
        <w:t xml:space="preserve">Further detail on the position the Standardisation project team </w:t>
      </w:r>
      <w:r w:rsidR="00825C03">
        <w:t>reache</w:t>
      </w:r>
      <w:r w:rsidR="00693FAD">
        <w:t>d</w:t>
      </w:r>
      <w:r w:rsidR="00825C03">
        <w:t xml:space="preserve"> </w:t>
      </w:r>
      <w:r>
        <w:t xml:space="preserve">on each of these issues and the GMRG’s preliminary views is provided in the remainder of this chapter, </w:t>
      </w:r>
      <w:r w:rsidR="00A95EF5">
        <w:t xml:space="preserve">which commences with an overview of the </w:t>
      </w:r>
      <w:r w:rsidR="00CA246F">
        <w:t>AEMC’s recommendations</w:t>
      </w:r>
      <w:r w:rsidR="00EB5597">
        <w:t xml:space="preserve">. </w:t>
      </w:r>
      <w:r w:rsidR="00916B98">
        <w:t xml:space="preserve"> As noted in Chapter 1, the </w:t>
      </w:r>
      <w:r w:rsidR="00D128A9">
        <w:t xml:space="preserve">inclusion of the </w:t>
      </w:r>
      <w:r w:rsidR="00916B98">
        <w:t>GMRG</w:t>
      </w:r>
      <w:r w:rsidR="00D128A9">
        <w:t>’s</w:t>
      </w:r>
      <w:r w:rsidR="00916B98">
        <w:t xml:space="preserve"> </w:t>
      </w:r>
      <w:r w:rsidR="00D128A9">
        <w:t xml:space="preserve">preliminary view </w:t>
      </w:r>
      <w:r w:rsidR="00916B98">
        <w:t xml:space="preserve">in this consultation paper </w:t>
      </w:r>
      <w:r w:rsidR="00D128A9">
        <w:t xml:space="preserve">is intended to </w:t>
      </w:r>
      <w:r w:rsidR="00916B98">
        <w:t>facilitate consultation and elicit feedback from stakeholders. It should not therefore be interpreted as a concluded position of the GMRG.</w:t>
      </w:r>
    </w:p>
    <w:p w14:paraId="6AAFE3BE" w14:textId="77777777" w:rsidR="0088219D" w:rsidRDefault="00F543AE" w:rsidP="00C17052">
      <w:pPr>
        <w:pStyle w:val="Heading2"/>
        <w:spacing w:before="240" w:after="120"/>
      </w:pPr>
      <w:bookmarkStart w:id="59" w:name="_Toc492524737"/>
      <w:r>
        <w:t>AEMC r</w:t>
      </w:r>
      <w:r w:rsidR="0088219D">
        <w:t>ecommendations</w:t>
      </w:r>
      <w:bookmarkEnd w:id="59"/>
      <w:r w:rsidR="0088219D">
        <w:t xml:space="preserve"> </w:t>
      </w:r>
    </w:p>
    <w:p w14:paraId="78C0D7F2" w14:textId="77777777" w:rsidR="00845B97" w:rsidRDefault="00E07481" w:rsidP="00C17052">
      <w:pPr>
        <w:pStyle w:val="BodyText"/>
        <w:spacing w:before="0"/>
      </w:pPr>
      <w:r w:rsidRPr="00C900A9">
        <w:t xml:space="preserve">In </w:t>
      </w:r>
      <w:r w:rsidR="008A6399" w:rsidRPr="00C900A9">
        <w:t xml:space="preserve">the </w:t>
      </w:r>
      <w:r w:rsidR="005E3347" w:rsidRPr="005E3347">
        <w:rPr>
          <w:i/>
        </w:rPr>
        <w:t>East Coast Review</w:t>
      </w:r>
      <w:r w:rsidRPr="00C900A9">
        <w:t xml:space="preserve">, the AEMC </w:t>
      </w:r>
      <w:r w:rsidR="0091536A" w:rsidRPr="00C900A9">
        <w:t>recommended that</w:t>
      </w:r>
      <w:r w:rsidR="00845B97">
        <w:t>:</w:t>
      </w:r>
    </w:p>
    <w:p w14:paraId="19295CA5" w14:textId="77777777" w:rsidR="00C900A9" w:rsidRDefault="006B6CBE" w:rsidP="00845B97">
      <w:pPr>
        <w:pStyle w:val="ListBullet"/>
        <w:rPr>
          <w:rFonts w:eastAsiaTheme="majorEastAsia"/>
        </w:rPr>
      </w:pPr>
      <w:r>
        <w:t xml:space="preserve">operational transfers be used to give effect to </w:t>
      </w:r>
      <w:r w:rsidR="00845B97">
        <w:t xml:space="preserve">capacity purchased through </w:t>
      </w:r>
      <w:r w:rsidR="0091536A" w:rsidRPr="00C900A9">
        <w:t xml:space="preserve">the capacity trading exchange </w:t>
      </w:r>
      <w:r w:rsidR="00C17052">
        <w:t xml:space="preserve">and </w:t>
      </w:r>
      <w:r w:rsidR="00845B97">
        <w:t xml:space="preserve">the </w:t>
      </w:r>
      <w:r w:rsidR="0091536A" w:rsidRPr="00C900A9">
        <w:t>day-ahead auction</w:t>
      </w:r>
      <w:r w:rsidR="00845B97">
        <w:rPr>
          <w:rFonts w:eastAsiaTheme="majorEastAsia"/>
        </w:rPr>
        <w:t>; and</w:t>
      </w:r>
    </w:p>
    <w:p w14:paraId="62D3F7FC" w14:textId="77777777" w:rsidR="00845B97" w:rsidRDefault="006B6CBE" w:rsidP="00845B97">
      <w:pPr>
        <w:pStyle w:val="ListBullet"/>
        <w:rPr>
          <w:rFonts w:eastAsiaTheme="majorEastAsia"/>
        </w:rPr>
      </w:pPr>
      <w:r>
        <w:rPr>
          <w:rFonts w:eastAsiaTheme="majorEastAsia"/>
        </w:rPr>
        <w:t>bare transfers be allowed in case</w:t>
      </w:r>
      <w:r w:rsidR="00916B98">
        <w:rPr>
          <w:rFonts w:eastAsiaTheme="majorEastAsia"/>
        </w:rPr>
        <w:t>s</w:t>
      </w:r>
      <w:r>
        <w:rPr>
          <w:rFonts w:eastAsiaTheme="majorEastAsia"/>
        </w:rPr>
        <w:t xml:space="preserve"> </w:t>
      </w:r>
      <w:r w:rsidR="00916B98">
        <w:rPr>
          <w:rFonts w:eastAsiaTheme="majorEastAsia"/>
        </w:rPr>
        <w:t xml:space="preserve">where </w:t>
      </w:r>
      <w:r w:rsidR="00845B97">
        <w:rPr>
          <w:rFonts w:eastAsiaTheme="majorEastAsia"/>
        </w:rPr>
        <w:t xml:space="preserve">capacity </w:t>
      </w:r>
      <w:r w:rsidR="00916B98">
        <w:rPr>
          <w:rFonts w:eastAsiaTheme="majorEastAsia"/>
        </w:rPr>
        <w:t xml:space="preserve">is </w:t>
      </w:r>
      <w:r w:rsidR="00845B97">
        <w:rPr>
          <w:rFonts w:eastAsiaTheme="majorEastAsia"/>
        </w:rPr>
        <w:t>purchased through bilateral trades</w:t>
      </w:r>
      <w:r w:rsidR="00916B98">
        <w:rPr>
          <w:rFonts w:eastAsiaTheme="majorEastAsia"/>
        </w:rPr>
        <w:t xml:space="preserve">, subject to the caveat that the </w:t>
      </w:r>
      <w:r>
        <w:rPr>
          <w:rFonts w:eastAsiaTheme="majorEastAsia"/>
        </w:rPr>
        <w:t>sellers</w:t>
      </w:r>
      <w:r w:rsidR="00845B97">
        <w:rPr>
          <w:rFonts w:eastAsiaTheme="majorEastAsia"/>
        </w:rPr>
        <w:t xml:space="preserve"> </w:t>
      </w:r>
      <w:r w:rsidR="00916B98">
        <w:rPr>
          <w:rFonts w:eastAsiaTheme="majorEastAsia"/>
        </w:rPr>
        <w:t xml:space="preserve">of secondary capacity </w:t>
      </w:r>
      <w:r>
        <w:rPr>
          <w:rFonts w:eastAsiaTheme="majorEastAsia"/>
        </w:rPr>
        <w:t xml:space="preserve">must </w:t>
      </w:r>
      <w:r w:rsidR="00845B97">
        <w:rPr>
          <w:rFonts w:eastAsiaTheme="majorEastAsia"/>
        </w:rPr>
        <w:t xml:space="preserve">offer the buyer the option </w:t>
      </w:r>
      <w:r>
        <w:rPr>
          <w:rFonts w:eastAsiaTheme="majorEastAsia"/>
        </w:rPr>
        <w:t xml:space="preserve">of using </w:t>
      </w:r>
      <w:r w:rsidR="00845B97">
        <w:rPr>
          <w:rFonts w:eastAsiaTheme="majorEastAsia"/>
        </w:rPr>
        <w:t xml:space="preserve">an operational transfer. </w:t>
      </w:r>
    </w:p>
    <w:p w14:paraId="78DD7AC6" w14:textId="77777777" w:rsidR="00032806" w:rsidRPr="00032806" w:rsidRDefault="00032806" w:rsidP="00032806">
      <w:pPr>
        <w:pStyle w:val="ListBullet"/>
        <w:numPr>
          <w:ilvl w:val="0"/>
          <w:numId w:val="0"/>
        </w:numPr>
      </w:pPr>
      <w:r>
        <w:t>In making this recommendation, the AEMC noted that</w:t>
      </w:r>
      <w:r w:rsidR="00825C03">
        <w:t xml:space="preserve"> operational transfers will</w:t>
      </w:r>
      <w:r w:rsidRPr="00032806">
        <w:t>:</w:t>
      </w:r>
      <w:r>
        <w:rPr>
          <w:rStyle w:val="FootnoteReference"/>
        </w:rPr>
        <w:footnoteReference w:id="22"/>
      </w:r>
      <w:r w:rsidRPr="00032806">
        <w:t xml:space="preserve"> </w:t>
      </w:r>
    </w:p>
    <w:p w14:paraId="63BC0446" w14:textId="77777777" w:rsidR="00032806" w:rsidRPr="00032806" w:rsidRDefault="00032806" w:rsidP="00032806">
      <w:pPr>
        <w:pStyle w:val="ListBullet"/>
      </w:pPr>
      <w:r w:rsidRPr="00032806">
        <w:t xml:space="preserve">provide </w:t>
      </w:r>
      <w:r w:rsidR="00825C03">
        <w:t xml:space="preserve">secondary shippers </w:t>
      </w:r>
      <w:r w:rsidRPr="00032806">
        <w:t>greater anonymity in terms of nominations and its use of the pipeline</w:t>
      </w:r>
      <w:r w:rsidR="00825C03">
        <w:t>, which may encourage more trade</w:t>
      </w:r>
      <w:r>
        <w:t>; and</w:t>
      </w:r>
    </w:p>
    <w:p w14:paraId="3EFCE57E" w14:textId="77777777" w:rsidR="00032806" w:rsidRPr="00C17052" w:rsidRDefault="00032806" w:rsidP="00032806">
      <w:pPr>
        <w:pStyle w:val="ListBullet"/>
        <w:rPr>
          <w:rFonts w:eastAsiaTheme="majorEastAsia"/>
        </w:rPr>
      </w:pPr>
      <w:r w:rsidRPr="00032806">
        <w:t xml:space="preserve">alleviate </w:t>
      </w:r>
      <w:r w:rsidR="00825C03">
        <w:t xml:space="preserve">primary shippers </w:t>
      </w:r>
      <w:r w:rsidRPr="00032806">
        <w:t xml:space="preserve">of the costs that it would otherwise incur in administering the trade and monitoring the </w:t>
      </w:r>
      <w:r w:rsidR="00825C03">
        <w:t>secondary shipper’s</w:t>
      </w:r>
      <w:r w:rsidRPr="00032806">
        <w:t xml:space="preserve"> compliance with various obligations,</w:t>
      </w:r>
      <w:r w:rsidRPr="00032806">
        <w:rPr>
          <w:sz w:val="18"/>
          <w:szCs w:val="18"/>
        </w:rPr>
        <w:t xml:space="preserve"> </w:t>
      </w:r>
      <w:r w:rsidRPr="00032806">
        <w:t xml:space="preserve">which should encourage more primary </w:t>
      </w:r>
      <w:r w:rsidR="00825C03">
        <w:t xml:space="preserve">shippers </w:t>
      </w:r>
      <w:r w:rsidRPr="00032806">
        <w:t>to sell any spare capacity they have.</w:t>
      </w:r>
    </w:p>
    <w:p w14:paraId="06FCFA7A" w14:textId="18B103F5" w:rsidR="00C17052" w:rsidRDefault="00C17052" w:rsidP="00C17052">
      <w:pPr>
        <w:pStyle w:val="BodyText"/>
        <w:rPr>
          <w:rFonts w:eastAsiaTheme="majorEastAsia"/>
        </w:rPr>
      </w:pPr>
      <w:r>
        <w:rPr>
          <w:rFonts w:eastAsiaTheme="majorEastAsia"/>
        </w:rPr>
        <w:t xml:space="preserve">Further detail on operational and bare transfers can be found in </w:t>
      </w:r>
      <w:r w:rsidRPr="00C900A9">
        <w:rPr>
          <w:rFonts w:eastAsiaTheme="majorEastAsia"/>
        </w:rPr>
        <w:fldChar w:fldCharType="begin"/>
      </w:r>
      <w:r w:rsidRPr="00C900A9">
        <w:rPr>
          <w:rFonts w:eastAsiaTheme="majorEastAsia"/>
        </w:rPr>
        <w:instrText xml:space="preserve"> REF _Ref489586096 \h </w:instrText>
      </w:r>
      <w:r>
        <w:rPr>
          <w:rFonts w:eastAsiaTheme="majorEastAsia"/>
        </w:rPr>
        <w:instrText xml:space="preserve"> \* MERGEFORMAT </w:instrText>
      </w:r>
      <w:r w:rsidRPr="00C900A9">
        <w:rPr>
          <w:rFonts w:eastAsiaTheme="majorEastAsia"/>
        </w:rPr>
      </w:r>
      <w:r w:rsidRPr="00C900A9">
        <w:rPr>
          <w:rFonts w:eastAsiaTheme="majorEastAsia"/>
        </w:rPr>
        <w:fldChar w:fldCharType="separate"/>
      </w:r>
      <w:r w:rsidR="00947034" w:rsidRPr="00EC75C1">
        <w:t xml:space="preserve">Box </w:t>
      </w:r>
      <w:r w:rsidR="00947034">
        <w:rPr>
          <w:noProof/>
        </w:rPr>
        <w:t>2.1</w:t>
      </w:r>
      <w:r w:rsidRPr="00C900A9">
        <w:rPr>
          <w:rFonts w:eastAsiaTheme="majorEastAsia"/>
        </w:rPr>
        <w:fldChar w:fldCharType="end"/>
      </w:r>
      <w:r>
        <w:rPr>
          <w:rFonts w:eastAsiaTheme="majorEastAsia"/>
        </w:rPr>
        <w:t xml:space="preserve">. </w:t>
      </w:r>
    </w:p>
    <w:p w14:paraId="3221DCC8" w14:textId="77777777" w:rsidR="003F10B9" w:rsidRDefault="0091536A" w:rsidP="0004619B">
      <w:pPr>
        <w:pStyle w:val="BodyText"/>
        <w:rPr>
          <w:rFonts w:eastAsiaTheme="majorEastAsia"/>
        </w:rPr>
      </w:pPr>
      <w:r w:rsidRPr="00C900A9">
        <w:rPr>
          <w:rFonts w:eastAsiaTheme="majorEastAsia"/>
        </w:rPr>
        <w:t xml:space="preserve">The AEMC also recommended that </w:t>
      </w:r>
      <w:r w:rsidR="00A82787" w:rsidRPr="00C900A9">
        <w:rPr>
          <w:rFonts w:eastAsiaTheme="majorEastAsia"/>
        </w:rPr>
        <w:t xml:space="preserve">the operational, prudential and other contractual provisions </w:t>
      </w:r>
      <w:r w:rsidR="006B6CBE">
        <w:t xml:space="preserve">governing the relationship between the contracting parties and their contractual </w:t>
      </w:r>
      <w:r w:rsidR="006B6CBE">
        <w:lastRenderedPageBreak/>
        <w:t xml:space="preserve">obligations </w:t>
      </w:r>
      <w:r w:rsidR="008B3812" w:rsidRPr="00C900A9">
        <w:rPr>
          <w:rFonts w:eastAsiaTheme="majorEastAsia"/>
        </w:rPr>
        <w:t xml:space="preserve">in </w:t>
      </w:r>
      <w:r w:rsidR="00C900A9">
        <w:rPr>
          <w:rFonts w:eastAsiaTheme="majorEastAsia"/>
        </w:rPr>
        <w:t>primary</w:t>
      </w:r>
      <w:r w:rsidR="00C203FF">
        <w:rPr>
          <w:rFonts w:eastAsiaTheme="majorEastAsia"/>
        </w:rPr>
        <w:t xml:space="preserve"> GTAs</w:t>
      </w:r>
      <w:r w:rsidR="00C900A9">
        <w:rPr>
          <w:rFonts w:eastAsiaTheme="majorEastAsia"/>
        </w:rPr>
        <w:t xml:space="preserve">, operational </w:t>
      </w:r>
      <w:r w:rsidR="00C203FF">
        <w:rPr>
          <w:rFonts w:eastAsiaTheme="majorEastAsia"/>
        </w:rPr>
        <w:t xml:space="preserve">GTAs </w:t>
      </w:r>
      <w:r w:rsidR="008576DB">
        <w:rPr>
          <w:rFonts w:eastAsiaTheme="majorEastAsia"/>
        </w:rPr>
        <w:t xml:space="preserve">and secondary capacity agreements </w:t>
      </w:r>
      <w:r w:rsidR="00C900A9">
        <w:rPr>
          <w:rFonts w:eastAsiaTheme="majorEastAsia"/>
        </w:rPr>
        <w:t>be standardised</w:t>
      </w:r>
      <w:r w:rsidR="00A874AB">
        <w:rPr>
          <w:rFonts w:eastAsiaTheme="majorEastAsia"/>
        </w:rPr>
        <w:t xml:space="preserve"> </w:t>
      </w:r>
      <w:r w:rsidR="00A874AB" w:rsidRPr="00C900A9">
        <w:rPr>
          <w:rFonts w:eastAsiaTheme="majorEastAsia"/>
        </w:rPr>
        <w:t xml:space="preserve">(see </w:t>
      </w:r>
      <w:r w:rsidR="004B6C67">
        <w:rPr>
          <w:rFonts w:eastAsiaTheme="majorEastAsia"/>
        </w:rPr>
        <w:t>Box 3.2</w:t>
      </w:r>
      <w:r w:rsidR="008576DB">
        <w:rPr>
          <w:rFonts w:eastAsiaTheme="majorEastAsia"/>
        </w:rPr>
        <w:t xml:space="preserve"> for more detail on contract terms</w:t>
      </w:r>
      <w:r w:rsidR="00A874AB">
        <w:rPr>
          <w:rFonts w:eastAsiaTheme="majorEastAsia"/>
        </w:rPr>
        <w:t>)</w:t>
      </w:r>
      <w:r w:rsidR="00C900A9">
        <w:rPr>
          <w:rFonts w:eastAsiaTheme="majorEastAsia"/>
        </w:rPr>
        <w:t>.</w:t>
      </w:r>
      <w:r w:rsidRPr="00C900A9">
        <w:rPr>
          <w:rStyle w:val="FootnoteReference"/>
          <w:rFonts w:asciiTheme="majorHAnsi" w:eastAsiaTheme="majorEastAsia" w:hAnsiTheme="majorHAnsi" w:cstheme="majorBidi"/>
          <w:color w:val="000000"/>
        </w:rPr>
        <w:t xml:space="preserve"> </w:t>
      </w:r>
      <w:r w:rsidR="00825C03">
        <w:rPr>
          <w:rFonts w:asciiTheme="majorHAnsi" w:eastAsiaTheme="majorEastAsia" w:hAnsiTheme="majorHAnsi" w:cstheme="majorBidi"/>
          <w:color w:val="000000"/>
        </w:rPr>
        <w:t>However, i</w:t>
      </w:r>
      <w:r w:rsidR="003F10B9">
        <w:rPr>
          <w:rFonts w:asciiTheme="majorHAnsi" w:eastAsiaTheme="majorEastAsia" w:hAnsiTheme="majorHAnsi" w:cstheme="majorBidi"/>
          <w:color w:val="000000"/>
        </w:rPr>
        <w:t xml:space="preserve">n response to feedback provided by a number of stakeholders in the </w:t>
      </w:r>
      <w:r w:rsidR="005E3347" w:rsidRPr="005E3347">
        <w:rPr>
          <w:rFonts w:asciiTheme="majorHAnsi" w:eastAsiaTheme="majorEastAsia" w:hAnsiTheme="majorHAnsi" w:cstheme="majorBidi"/>
          <w:i/>
          <w:color w:val="000000"/>
        </w:rPr>
        <w:t>East Coast Review</w:t>
      </w:r>
      <w:r w:rsidR="003F10B9">
        <w:rPr>
          <w:rFonts w:asciiTheme="majorHAnsi" w:eastAsiaTheme="majorEastAsia" w:hAnsiTheme="majorHAnsi" w:cstheme="majorBidi"/>
          <w:color w:val="000000"/>
        </w:rPr>
        <w:t>, the AEMC noted</w:t>
      </w:r>
      <w:r w:rsidR="00825C03">
        <w:rPr>
          <w:rFonts w:asciiTheme="majorHAnsi" w:eastAsiaTheme="majorEastAsia" w:hAnsiTheme="majorHAnsi" w:cstheme="majorBidi"/>
          <w:color w:val="000000"/>
        </w:rPr>
        <w:t xml:space="preserve"> </w:t>
      </w:r>
      <w:r w:rsidR="003F10B9">
        <w:rPr>
          <w:rFonts w:asciiTheme="majorHAnsi" w:eastAsiaTheme="majorEastAsia" w:hAnsiTheme="majorHAnsi" w:cstheme="majorBidi"/>
          <w:color w:val="000000"/>
        </w:rPr>
        <w:t>that it may be appropriate to</w:t>
      </w:r>
      <w:r w:rsidR="00C17052">
        <w:rPr>
          <w:rFonts w:asciiTheme="majorHAnsi" w:eastAsiaTheme="majorEastAsia" w:hAnsiTheme="majorHAnsi" w:cstheme="majorBidi"/>
          <w:color w:val="000000"/>
        </w:rPr>
        <w:t xml:space="preserve"> </w:t>
      </w:r>
      <w:r w:rsidR="003F10B9">
        <w:rPr>
          <w:rFonts w:eastAsiaTheme="majorEastAsia"/>
        </w:rPr>
        <w:t xml:space="preserve">prioritise the standardisation of operational GTAs and </w:t>
      </w:r>
      <w:r w:rsidR="008576DB">
        <w:rPr>
          <w:rFonts w:eastAsiaTheme="majorEastAsia"/>
        </w:rPr>
        <w:t xml:space="preserve">secondary capacity agreements </w:t>
      </w:r>
      <w:r w:rsidR="003F10B9">
        <w:rPr>
          <w:rFonts w:eastAsiaTheme="majorEastAsia"/>
        </w:rPr>
        <w:t>(</w:t>
      </w:r>
      <w:r w:rsidR="00EF1EB5">
        <w:rPr>
          <w:rFonts w:eastAsiaTheme="majorEastAsia"/>
        </w:rPr>
        <w:t xml:space="preserve">i.e. </w:t>
      </w:r>
      <w:r w:rsidR="003F10B9">
        <w:rPr>
          <w:rFonts w:eastAsiaTheme="majorEastAsia"/>
        </w:rPr>
        <w:t>CTAs</w:t>
      </w:r>
      <w:r w:rsidR="00EF1EB5">
        <w:rPr>
          <w:rFonts w:eastAsiaTheme="majorEastAsia"/>
        </w:rPr>
        <w:t>, the Exchange Agreement and Auction Agreement</w:t>
      </w:r>
      <w:r w:rsidR="003F10B9">
        <w:rPr>
          <w:rFonts w:eastAsiaTheme="majorEastAsia"/>
        </w:rPr>
        <w:t>)</w:t>
      </w:r>
      <w:r w:rsidR="00C17052">
        <w:rPr>
          <w:rFonts w:eastAsiaTheme="majorEastAsia"/>
        </w:rPr>
        <w:t xml:space="preserve">. </w:t>
      </w:r>
    </w:p>
    <w:p w14:paraId="581FC2EA" w14:textId="77777777" w:rsidR="0004619B" w:rsidRDefault="0004619B" w:rsidP="0004619B">
      <w:pPr>
        <w:pStyle w:val="BodyText"/>
      </w:pPr>
      <w:r>
        <w:t>Elaborating further on this recommendation, the AEMC noted that, with the exception of the exchange based capacity trading and auction products, it did not expect the service related provisions in transportation contracts to be standardised. It did, however, think there would be value in making capacity more fungible and reducing search and transaction costs by standardising the operational, prudential and other contract provisions.</w:t>
      </w:r>
      <w:r>
        <w:rPr>
          <w:rStyle w:val="FootnoteReference"/>
        </w:rPr>
        <w:footnoteReference w:id="23"/>
      </w:r>
      <w:r>
        <w:t xml:space="preserve"> At a minimum, the AEMC expected common standards to be developed for prudential and other contract provisions governing the relationships between contracting parties and their contractual obligations, and many of the operational provisions. It did, however, acknowledge that it may be more difficult to develop common standards for more technical provisions, such as imbalance and overrun allowances, because these can depend on the physical characteristics and operating conditions of the pipeline.</w:t>
      </w:r>
      <w:r>
        <w:rPr>
          <w:rStyle w:val="FootnoteReference"/>
        </w:rPr>
        <w:footnoteReference w:id="24"/>
      </w:r>
      <w:r>
        <w:t xml:space="preserve"> </w:t>
      </w:r>
      <w:bookmarkStart w:id="60" w:name="_Hlk490589006"/>
    </w:p>
    <w:tbl>
      <w:tblPr>
        <w:tblStyle w:val="PullOutBoxTable"/>
        <w:tblW w:w="5000" w:type="pct"/>
        <w:tblLook w:val="0600" w:firstRow="0" w:lastRow="0" w:firstColumn="0" w:lastColumn="0" w:noHBand="1" w:noVBand="1"/>
        <w:tblCaption w:val="Box 3.1: Contract terms "/>
        <w:tblDescription w:val="Overview of contract terms "/>
      </w:tblPr>
      <w:tblGrid>
        <w:gridCol w:w="8788"/>
      </w:tblGrid>
      <w:tr w:rsidR="00EC75C1" w:rsidRPr="00AE6D62" w14:paraId="233F711E" w14:textId="77777777" w:rsidTr="000E0767">
        <w:trPr>
          <w:trHeight w:val="13"/>
          <w:tblHeader/>
        </w:trPr>
        <w:tc>
          <w:tcPr>
            <w:tcW w:w="5000" w:type="pct"/>
            <w:shd w:val="clear" w:color="auto" w:fill="auto"/>
          </w:tcPr>
          <w:p w14:paraId="62098BA7" w14:textId="1CCAAF4C" w:rsidR="00B1074C" w:rsidRPr="000E0767" w:rsidRDefault="000E0767" w:rsidP="000E0767">
            <w:pPr>
              <w:pStyle w:val="ListBullet"/>
              <w:keepNext/>
              <w:numPr>
                <w:ilvl w:val="0"/>
                <w:numId w:val="0"/>
              </w:numPr>
              <w:spacing w:before="0" w:after="0"/>
              <w:ind w:left="357" w:hanging="357"/>
              <w:rPr>
                <w:rFonts w:asciiTheme="majorHAnsi" w:eastAsiaTheme="majorEastAsia" w:hAnsiTheme="majorHAnsi" w:cstheme="majorBidi"/>
                <w:b/>
                <w:sz w:val="20"/>
                <w:szCs w:val="20"/>
              </w:rPr>
            </w:pPr>
            <w:bookmarkStart w:id="61" w:name="_Ref487634854"/>
            <w:bookmarkEnd w:id="60"/>
            <w:r w:rsidRPr="000E0767">
              <w:rPr>
                <w:b/>
              </w:rPr>
              <w:t xml:space="preserve">Box </w:t>
            </w:r>
            <w:r w:rsidRPr="000E0767">
              <w:rPr>
                <w:b/>
              </w:rPr>
              <w:fldChar w:fldCharType="begin"/>
            </w:r>
            <w:r w:rsidRPr="000E0767">
              <w:rPr>
                <w:b/>
              </w:rPr>
              <w:instrText xml:space="preserve"> STYLEREF 1 \s </w:instrText>
            </w:r>
            <w:r w:rsidRPr="000E0767">
              <w:rPr>
                <w:b/>
              </w:rPr>
              <w:fldChar w:fldCharType="separate"/>
            </w:r>
            <w:r w:rsidRPr="000E0767">
              <w:rPr>
                <w:b/>
                <w:noProof/>
              </w:rPr>
              <w:t>3</w:t>
            </w:r>
            <w:r w:rsidRPr="000E0767">
              <w:rPr>
                <w:b/>
                <w:noProof/>
              </w:rPr>
              <w:fldChar w:fldCharType="end"/>
            </w:r>
            <w:r w:rsidRPr="000E0767">
              <w:rPr>
                <w:b/>
              </w:rPr>
              <w:t>.</w:t>
            </w:r>
            <w:r w:rsidRPr="000E0767">
              <w:rPr>
                <w:b/>
              </w:rPr>
              <w:fldChar w:fldCharType="begin"/>
            </w:r>
            <w:r w:rsidRPr="000E0767">
              <w:rPr>
                <w:b/>
              </w:rPr>
              <w:instrText xml:space="preserve"> SEQ Box \* ARABIC \s 1 </w:instrText>
            </w:r>
            <w:r w:rsidRPr="000E0767">
              <w:rPr>
                <w:b/>
              </w:rPr>
              <w:fldChar w:fldCharType="separate"/>
            </w:r>
            <w:r w:rsidRPr="000E0767">
              <w:rPr>
                <w:b/>
                <w:noProof/>
              </w:rPr>
              <w:t>1</w:t>
            </w:r>
            <w:r w:rsidRPr="000E0767">
              <w:rPr>
                <w:b/>
                <w:noProof/>
              </w:rPr>
              <w:fldChar w:fldCharType="end"/>
            </w:r>
            <w:bookmarkEnd w:id="61"/>
            <w:r w:rsidRPr="000E0767">
              <w:rPr>
                <w:b/>
              </w:rPr>
              <w:t xml:space="preserve">: </w:t>
            </w:r>
            <w:r w:rsidRPr="000E0767">
              <w:rPr>
                <w:b/>
                <w:bCs/>
              </w:rPr>
              <w:t>Contract terms</w:t>
            </w:r>
          </w:p>
        </w:tc>
      </w:tr>
      <w:tr w:rsidR="000E0767" w:rsidRPr="00AE6D62" w14:paraId="40F8B91C" w14:textId="77777777" w:rsidTr="004D7652">
        <w:tc>
          <w:tcPr>
            <w:tcW w:w="5000" w:type="pct"/>
          </w:tcPr>
          <w:p w14:paraId="1FBFBD5B" w14:textId="77777777" w:rsidR="000E0767" w:rsidRPr="00AE6D62" w:rsidRDefault="000E0767" w:rsidP="000E0767">
            <w:pPr>
              <w:pStyle w:val="Default"/>
              <w:keepNext/>
              <w:spacing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A capacity holder’s right to access pipeline or compression capacity will usually be defined by reference to the service related elements, which include: </w:t>
            </w:r>
          </w:p>
          <w:p w14:paraId="19D00A54" w14:textId="77777777" w:rsidR="000E0767" w:rsidRPr="00AE6D62" w:rsidRDefault="000E0767" w:rsidP="000E0767">
            <w:pPr>
              <w:pStyle w:val="ListBullet"/>
              <w:keepNext/>
              <w:tabs>
                <w:tab w:val="num" w:pos="357"/>
              </w:tabs>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the type of service that the capacity is to be used for (e.g. transportation services (forward haul, backhaul or bi-directional), </w:t>
            </w:r>
            <w:r>
              <w:rPr>
                <w:rFonts w:asciiTheme="majorHAnsi" w:eastAsiaTheme="majorEastAsia" w:hAnsiTheme="majorHAnsi" w:cstheme="majorBidi"/>
                <w:sz w:val="20"/>
                <w:szCs w:val="20"/>
              </w:rPr>
              <w:t xml:space="preserve">stand-alone compression </w:t>
            </w:r>
            <w:r w:rsidRPr="72697DF9">
              <w:rPr>
                <w:rFonts w:asciiTheme="majorHAnsi" w:eastAsiaTheme="majorEastAsia" w:hAnsiTheme="majorHAnsi" w:cstheme="majorBidi"/>
                <w:sz w:val="20"/>
                <w:szCs w:val="20"/>
              </w:rPr>
              <w:t xml:space="preserve">services or storage services); </w:t>
            </w:r>
          </w:p>
          <w:p w14:paraId="5D28E9D1" w14:textId="77777777" w:rsidR="000E0767" w:rsidRPr="00AE6D62" w:rsidRDefault="000E0767" w:rsidP="000E0767">
            <w:pPr>
              <w:pStyle w:val="ListBullet"/>
              <w:keepNext/>
              <w:tabs>
                <w:tab w:val="num" w:pos="357"/>
              </w:tabs>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the firmness of the seller’s obligation to provide the service (e.g. firm, as available or interruptible) and the priority in scheduling and curtailment; </w:t>
            </w:r>
          </w:p>
          <w:p w14:paraId="059EE4B3" w14:textId="77777777" w:rsidR="000E0767" w:rsidRPr="00AE6D62" w:rsidRDefault="000E0767" w:rsidP="000E0767">
            <w:pPr>
              <w:pStyle w:val="ListBullet"/>
              <w:keepNext/>
              <w:tabs>
                <w:tab w:val="num" w:pos="357"/>
              </w:tabs>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the receipt and delivery points (or zones) that services are provided between and any technical restrictions at those points (e.g. operating pressures); and </w:t>
            </w:r>
          </w:p>
          <w:p w14:paraId="3BB85E7A" w14:textId="77777777" w:rsidR="000E0767" w:rsidRPr="00AE6D62" w:rsidRDefault="000E0767" w:rsidP="000E0767">
            <w:pPr>
              <w:pStyle w:val="ListBullet"/>
              <w:keepNext/>
              <w:tabs>
                <w:tab w:val="num" w:pos="357"/>
              </w:tabs>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the maximum capacity the shipper can nominate to be supplied at receipt and delivery points, which is usually measured on a daily and hourly basis and renomination rights. </w:t>
            </w:r>
          </w:p>
          <w:p w14:paraId="2B0D31AF" w14:textId="77777777" w:rsidR="000E0767" w:rsidRPr="00AE6D62" w:rsidRDefault="000E0767" w:rsidP="000E0767">
            <w:pPr>
              <w:pStyle w:val="Default"/>
              <w:keepNext/>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The contracts will also contain: </w:t>
            </w:r>
          </w:p>
          <w:p w14:paraId="3437C55D" w14:textId="77777777" w:rsidR="000E0767" w:rsidRPr="00AE6D62" w:rsidRDefault="000E0767" w:rsidP="000E0767">
            <w:pPr>
              <w:pStyle w:val="ListBullet"/>
              <w:keepNext/>
              <w:tabs>
                <w:tab w:val="num" w:pos="357"/>
              </w:tabs>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operational terms and conditions, such as </w:t>
            </w:r>
          </w:p>
          <w:p w14:paraId="5A9B62DD" w14:textId="77777777" w:rsidR="000E0767" w:rsidRPr="00AE6D62" w:rsidRDefault="000E0767" w:rsidP="000E0767">
            <w:pPr>
              <w:pStyle w:val="Default"/>
              <w:keepNext/>
              <w:numPr>
                <w:ilvl w:val="0"/>
                <w:numId w:val="17"/>
              </w:numPr>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start of gas day and nomination cut-off times; </w:t>
            </w:r>
          </w:p>
          <w:p w14:paraId="162CAF93" w14:textId="77777777" w:rsidR="000E0767" w:rsidRPr="00AE6D62" w:rsidRDefault="000E0767" w:rsidP="000E0767">
            <w:pPr>
              <w:pStyle w:val="Default"/>
              <w:keepNext/>
              <w:numPr>
                <w:ilvl w:val="0"/>
                <w:numId w:val="17"/>
              </w:numPr>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gas specification, gas quality and metering provisions; </w:t>
            </w:r>
          </w:p>
          <w:p w14:paraId="4B585479" w14:textId="77777777" w:rsidR="000E0767" w:rsidRPr="00AE6D62" w:rsidRDefault="000E0767" w:rsidP="000E0767">
            <w:pPr>
              <w:pStyle w:val="Default"/>
              <w:keepNext/>
              <w:numPr>
                <w:ilvl w:val="0"/>
                <w:numId w:val="17"/>
              </w:numPr>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service definition and the priority accorded to firm, as available and interruptible services in the scheduling and curtailment processes; </w:t>
            </w:r>
          </w:p>
          <w:p w14:paraId="16AD7708" w14:textId="77777777" w:rsidR="000E0767" w:rsidRPr="00AE6D62" w:rsidRDefault="000E0767" w:rsidP="000E0767">
            <w:pPr>
              <w:pStyle w:val="Default"/>
              <w:keepNext/>
              <w:numPr>
                <w:ilvl w:val="0"/>
                <w:numId w:val="17"/>
              </w:numPr>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nomination, scheduling, curtailment and allocation procedures; </w:t>
            </w:r>
          </w:p>
          <w:p w14:paraId="17BC35EA" w14:textId="77777777" w:rsidR="000E0767" w:rsidRPr="00AE6D62" w:rsidRDefault="000E0767" w:rsidP="000E0767">
            <w:pPr>
              <w:pStyle w:val="Default"/>
              <w:keepNext/>
              <w:numPr>
                <w:ilvl w:val="0"/>
                <w:numId w:val="17"/>
              </w:numPr>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imbalance and overrun tolerance levels and </w:t>
            </w:r>
            <w:r>
              <w:rPr>
                <w:rFonts w:asciiTheme="majorHAnsi" w:eastAsiaTheme="majorEastAsia" w:hAnsiTheme="majorHAnsi" w:cstheme="majorBidi"/>
                <w:sz w:val="20"/>
                <w:szCs w:val="20"/>
              </w:rPr>
              <w:t>charges</w:t>
            </w:r>
            <w:r w:rsidRPr="72697DF9">
              <w:rPr>
                <w:rFonts w:asciiTheme="majorHAnsi" w:eastAsiaTheme="majorEastAsia" w:hAnsiTheme="majorHAnsi" w:cstheme="majorBidi"/>
                <w:sz w:val="20"/>
                <w:szCs w:val="20"/>
              </w:rPr>
              <w:t xml:space="preserve">; </w:t>
            </w:r>
          </w:p>
          <w:p w14:paraId="2A6D1AD7" w14:textId="77777777" w:rsidR="000E0767" w:rsidRPr="00AE6D62" w:rsidRDefault="000E0767" w:rsidP="000E0767">
            <w:pPr>
              <w:pStyle w:val="Default"/>
              <w:keepNext/>
              <w:numPr>
                <w:ilvl w:val="0"/>
                <w:numId w:val="17"/>
              </w:numPr>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the process for making changes to receipt and delivery points; and </w:t>
            </w:r>
          </w:p>
          <w:p w14:paraId="36AB72DD" w14:textId="77777777" w:rsidR="000E0767" w:rsidRPr="00AE6D62" w:rsidRDefault="000E0767" w:rsidP="000E0767">
            <w:pPr>
              <w:pStyle w:val="Default"/>
              <w:keepNext/>
              <w:numPr>
                <w:ilvl w:val="0"/>
                <w:numId w:val="17"/>
              </w:numPr>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provisions relating to transfers, assignments and </w:t>
            </w:r>
            <w:proofErr w:type="spellStart"/>
            <w:r w:rsidRPr="72697DF9">
              <w:rPr>
                <w:rFonts w:asciiTheme="majorHAnsi" w:eastAsiaTheme="majorEastAsia" w:hAnsiTheme="majorHAnsi" w:cstheme="majorBidi"/>
                <w:sz w:val="20"/>
                <w:szCs w:val="20"/>
              </w:rPr>
              <w:t>novations</w:t>
            </w:r>
            <w:proofErr w:type="spellEnd"/>
            <w:r w:rsidRPr="72697DF9">
              <w:rPr>
                <w:rFonts w:asciiTheme="majorHAnsi" w:eastAsiaTheme="majorEastAsia" w:hAnsiTheme="majorHAnsi" w:cstheme="majorBidi"/>
                <w:sz w:val="20"/>
                <w:szCs w:val="20"/>
              </w:rPr>
              <w:t xml:space="preserve"> of capacity; </w:t>
            </w:r>
          </w:p>
          <w:p w14:paraId="2AB8FF70" w14:textId="77777777" w:rsidR="000E0767" w:rsidRDefault="000E0767" w:rsidP="000E0767">
            <w:pPr>
              <w:pStyle w:val="ListBullet"/>
              <w:keepNext/>
              <w:tabs>
                <w:tab w:val="num" w:pos="357"/>
              </w:tabs>
              <w:spacing w:before="80" w:after="40"/>
              <w:rPr>
                <w:rFonts w:asciiTheme="majorHAnsi" w:eastAsiaTheme="majorEastAsia" w:hAnsiTheme="majorHAnsi" w:cstheme="majorBidi"/>
                <w:sz w:val="20"/>
                <w:szCs w:val="20"/>
              </w:rPr>
            </w:pPr>
            <w:r w:rsidRPr="72697DF9">
              <w:rPr>
                <w:rFonts w:asciiTheme="majorHAnsi" w:eastAsiaTheme="majorEastAsia" w:hAnsiTheme="majorHAnsi" w:cstheme="majorBidi"/>
                <w:sz w:val="20"/>
                <w:szCs w:val="20"/>
              </w:rPr>
              <w:t xml:space="preserve">prudential requirements; and </w:t>
            </w:r>
          </w:p>
          <w:p w14:paraId="6E57FFAE" w14:textId="162C2E60" w:rsidR="000E0767" w:rsidRPr="000E0767" w:rsidRDefault="000E0767" w:rsidP="000E0767">
            <w:pPr>
              <w:pStyle w:val="ListBullet"/>
              <w:keepNext/>
              <w:tabs>
                <w:tab w:val="num" w:pos="357"/>
              </w:tabs>
              <w:spacing w:before="80" w:after="40"/>
              <w:rPr>
                <w:rFonts w:asciiTheme="majorHAnsi" w:eastAsiaTheme="majorEastAsia" w:hAnsiTheme="majorHAnsi" w:cstheme="majorBidi"/>
                <w:sz w:val="20"/>
                <w:szCs w:val="20"/>
              </w:rPr>
            </w:pPr>
            <w:r w:rsidRPr="000E0767">
              <w:rPr>
                <w:rFonts w:asciiTheme="majorHAnsi" w:eastAsiaTheme="majorEastAsia" w:hAnsiTheme="majorHAnsi" w:cstheme="majorBidi"/>
                <w:sz w:val="20"/>
                <w:szCs w:val="20"/>
              </w:rPr>
              <w:t>other contract provisions governing the relationships and contractual obligations between parties, such as warranties, representations, possession, responsibility, title, control, liability and indemnities, default, force majeure, confidentiality and dispute resolution.</w:t>
            </w:r>
          </w:p>
        </w:tc>
      </w:tr>
    </w:tbl>
    <w:p w14:paraId="53E35182" w14:textId="77777777" w:rsidR="00EC75C1" w:rsidRPr="00EC75C1" w:rsidRDefault="00EC75C1" w:rsidP="00EC75C1">
      <w:pPr>
        <w:pStyle w:val="BodyText"/>
        <w:spacing w:before="0" w:after="0"/>
        <w:rPr>
          <w:sz w:val="18"/>
          <w:szCs w:val="18"/>
        </w:rPr>
      </w:pPr>
      <w:r w:rsidRPr="00EC75C1">
        <w:rPr>
          <w:sz w:val="18"/>
          <w:szCs w:val="18"/>
        </w:rPr>
        <w:t>Source: AEMC, Pipeline Access Discussion Paper, 3 March 2016, p. 12.</w:t>
      </w:r>
    </w:p>
    <w:p w14:paraId="52BAB840" w14:textId="77777777" w:rsidR="00AF0EEF" w:rsidRDefault="00AF0EEF" w:rsidP="00053FEC">
      <w:pPr>
        <w:pStyle w:val="BodyText"/>
        <w:spacing w:line="252" w:lineRule="auto"/>
      </w:pPr>
      <w:r>
        <w:lastRenderedPageBreak/>
        <w:t>Some of the other matters that the AEMC recommended the GMRG consider in this context include whether:</w:t>
      </w:r>
      <w:r>
        <w:rPr>
          <w:rStyle w:val="FootnoteReference"/>
        </w:rPr>
        <w:footnoteReference w:id="25"/>
      </w:r>
    </w:p>
    <w:p w14:paraId="603B48CA" w14:textId="77777777" w:rsidR="00AF0EEF" w:rsidRPr="00E10DF6" w:rsidRDefault="00AF0EEF" w:rsidP="00053FEC">
      <w:pPr>
        <w:pStyle w:val="ListBullet"/>
        <w:spacing w:line="252" w:lineRule="auto"/>
      </w:pPr>
      <w:r>
        <w:t>a single standard can be developed for each term and condition</w:t>
      </w:r>
      <w:r w:rsidR="00D1703E">
        <w:t>,</w:t>
      </w:r>
      <w:r>
        <w:t xml:space="preserve"> or if a range of standards may be more appropriate in some circumstances; </w:t>
      </w:r>
    </w:p>
    <w:p w14:paraId="5D64498B" w14:textId="77777777" w:rsidR="00AF0EEF" w:rsidRPr="00E10DF6" w:rsidRDefault="00AF0EEF" w:rsidP="00053FEC">
      <w:pPr>
        <w:pStyle w:val="ListBullet"/>
        <w:spacing w:line="252" w:lineRule="auto"/>
        <w:rPr>
          <w:color w:val="000000" w:themeColor="text1"/>
        </w:rPr>
      </w:pPr>
      <w:r w:rsidRPr="72697DF9">
        <w:rPr>
          <w:color w:val="000000" w:themeColor="text1"/>
        </w:rPr>
        <w:t xml:space="preserve">a credit support mechanism should be developed to manage the risk to one counterparty when the other counterparty has low credit worthiness because this would no longer be managed through bespoke prudential requirements; </w:t>
      </w:r>
    </w:p>
    <w:p w14:paraId="6B66435E" w14:textId="77777777" w:rsidR="00AF0EEF" w:rsidRPr="006B6CBE" w:rsidRDefault="00B70854" w:rsidP="00053FEC">
      <w:pPr>
        <w:pStyle w:val="ListBullet"/>
        <w:spacing w:line="252" w:lineRule="auto"/>
      </w:pPr>
      <w:r>
        <w:rPr>
          <w:color w:val="000000" w:themeColor="text1"/>
        </w:rPr>
        <w:t>the adoption of the</w:t>
      </w:r>
      <w:r w:rsidR="00AF0EEF" w:rsidRPr="72697DF9">
        <w:rPr>
          <w:color w:val="000000" w:themeColor="text1"/>
        </w:rPr>
        <w:t xml:space="preserve"> standardised </w:t>
      </w:r>
      <w:r>
        <w:rPr>
          <w:color w:val="000000" w:themeColor="text1"/>
        </w:rPr>
        <w:t xml:space="preserve">terms </w:t>
      </w:r>
      <w:r w:rsidR="00AF0EEF" w:rsidRPr="72697DF9">
        <w:rPr>
          <w:color w:val="000000" w:themeColor="text1"/>
        </w:rPr>
        <w:t>should be compulsory, or if shippers and pipelines should be able to negotiate around any provisions</w:t>
      </w:r>
      <w:r w:rsidR="006B6CBE">
        <w:rPr>
          <w:color w:val="000000" w:themeColor="text1"/>
        </w:rPr>
        <w:t>; and</w:t>
      </w:r>
    </w:p>
    <w:p w14:paraId="4D33603D" w14:textId="77777777" w:rsidR="006B6CBE" w:rsidRPr="00A839BE" w:rsidRDefault="006B6CBE" w:rsidP="00053FEC">
      <w:pPr>
        <w:pStyle w:val="ListBullet"/>
        <w:spacing w:line="252" w:lineRule="auto"/>
      </w:pPr>
      <w:r>
        <w:rPr>
          <w:color w:val="000000" w:themeColor="text1"/>
        </w:rPr>
        <w:t xml:space="preserve">changes to the </w:t>
      </w:r>
      <w:r w:rsidR="00A839BE">
        <w:rPr>
          <w:color w:val="000000" w:themeColor="text1"/>
        </w:rPr>
        <w:t>fu</w:t>
      </w:r>
      <w:r w:rsidR="00A839BE">
        <w:t xml:space="preserve">nctions and powers of the AEMC, AER or AEMO and/or the NGL, the NGR or subordinate instruments would </w:t>
      </w:r>
      <w:r w:rsidR="00BB0225">
        <w:rPr>
          <w:color w:val="000000" w:themeColor="text1"/>
        </w:rPr>
        <w:t xml:space="preserve">be required </w:t>
      </w:r>
      <w:r>
        <w:rPr>
          <w:color w:val="000000" w:themeColor="text1"/>
        </w:rPr>
        <w:t xml:space="preserve">to give effect to the </w:t>
      </w:r>
      <w:r w:rsidR="00536D6E">
        <w:rPr>
          <w:color w:val="000000" w:themeColor="text1"/>
        </w:rPr>
        <w:t xml:space="preserve">standardised terms and what, if any, governance arrangements </w:t>
      </w:r>
      <w:r w:rsidR="00B44D97">
        <w:rPr>
          <w:color w:val="000000" w:themeColor="text1"/>
        </w:rPr>
        <w:t xml:space="preserve">would need to </w:t>
      </w:r>
      <w:r w:rsidR="00536D6E">
        <w:rPr>
          <w:color w:val="000000" w:themeColor="text1"/>
        </w:rPr>
        <w:t>be implemented to enable the standards to be amended over time.</w:t>
      </w:r>
    </w:p>
    <w:p w14:paraId="46FFDE00" w14:textId="77777777" w:rsidR="008B3812" w:rsidRDefault="008B3812" w:rsidP="00053FEC">
      <w:pPr>
        <w:pStyle w:val="Heading2"/>
        <w:spacing w:before="0" w:after="120" w:line="252" w:lineRule="auto"/>
      </w:pPr>
      <w:bookmarkStart w:id="62" w:name="_Toc492524738"/>
      <w:r>
        <w:t xml:space="preserve">Contracts to be </w:t>
      </w:r>
      <w:r w:rsidR="00F543AE">
        <w:t>s</w:t>
      </w:r>
      <w:r>
        <w:t>tandardised</w:t>
      </w:r>
      <w:bookmarkEnd w:id="62"/>
      <w:r>
        <w:t xml:space="preserve"> </w:t>
      </w:r>
    </w:p>
    <w:p w14:paraId="60F477AC" w14:textId="77777777" w:rsidR="00D1703E" w:rsidRDefault="00D1703E" w:rsidP="00053FEC">
      <w:pPr>
        <w:pStyle w:val="Heading6"/>
        <w:spacing w:line="252" w:lineRule="auto"/>
        <w:rPr>
          <w:color w:val="0099CC"/>
        </w:rPr>
      </w:pPr>
      <w:r w:rsidRPr="00D1703E">
        <w:rPr>
          <w:color w:val="0099CC"/>
        </w:rPr>
        <w:t>Background</w:t>
      </w:r>
    </w:p>
    <w:p w14:paraId="1D9FDAE0" w14:textId="77777777" w:rsidR="00C018EA" w:rsidRDefault="00C018EA" w:rsidP="00053FEC">
      <w:pPr>
        <w:pStyle w:val="BodyText"/>
        <w:spacing w:before="0" w:line="252" w:lineRule="auto"/>
      </w:pPr>
      <w:r>
        <w:t xml:space="preserve">One of the first </w:t>
      </w:r>
      <w:r w:rsidR="00606C29">
        <w:t xml:space="preserve">issues </w:t>
      </w:r>
      <w:r w:rsidR="0011526B">
        <w:t xml:space="preserve">the Standardisation project team </w:t>
      </w:r>
      <w:r w:rsidR="004C675D">
        <w:t>consider</w:t>
      </w:r>
      <w:r>
        <w:t>ed</w:t>
      </w:r>
      <w:r w:rsidR="004C675D">
        <w:t xml:space="preserve"> </w:t>
      </w:r>
      <w:r w:rsidR="0011526B">
        <w:t xml:space="preserve">was </w:t>
      </w:r>
      <w:r w:rsidR="0004619B">
        <w:t xml:space="preserve">whether </w:t>
      </w:r>
      <w:r w:rsidR="00606C29">
        <w:t xml:space="preserve">it was necessary to standardise </w:t>
      </w:r>
      <w:r w:rsidR="00A010AB">
        <w:t xml:space="preserve">both </w:t>
      </w:r>
      <w:r w:rsidR="00F474FB">
        <w:t>primary</w:t>
      </w:r>
      <w:r w:rsidR="00606C29">
        <w:t xml:space="preserve"> GTAs</w:t>
      </w:r>
      <w:r w:rsidR="00A010AB">
        <w:t xml:space="preserve"> </w:t>
      </w:r>
      <w:r w:rsidR="00F474FB">
        <w:t xml:space="preserve">and operational </w:t>
      </w:r>
      <w:r w:rsidR="00606C29">
        <w:t xml:space="preserve">GTAs </w:t>
      </w:r>
      <w:r w:rsidR="0004619B">
        <w:t xml:space="preserve">to </w:t>
      </w:r>
      <w:r w:rsidR="00606C29">
        <w:t xml:space="preserve">make </w:t>
      </w:r>
      <w:r w:rsidR="0004619B">
        <w:t>cap</w:t>
      </w:r>
      <w:r w:rsidR="00606C29">
        <w:t>acity more fungible and reduce</w:t>
      </w:r>
      <w:r w:rsidR="0004619B">
        <w:t xml:space="preserve"> search and transaction costs</w:t>
      </w:r>
      <w:r w:rsidR="00606C29">
        <w:t>.</w:t>
      </w:r>
      <w:r w:rsidR="009330FA">
        <w:t xml:space="preserve"> </w:t>
      </w:r>
    </w:p>
    <w:p w14:paraId="189C919A" w14:textId="77777777" w:rsidR="00A010AB" w:rsidRDefault="00606C29" w:rsidP="00053FEC">
      <w:pPr>
        <w:pStyle w:val="BodyText"/>
        <w:spacing w:line="252" w:lineRule="auto"/>
      </w:pPr>
      <w:r>
        <w:t>In short, t</w:t>
      </w:r>
      <w:r w:rsidR="0004619B">
        <w:t xml:space="preserve">he Standardisation project team </w:t>
      </w:r>
      <w:r w:rsidR="00A010AB">
        <w:t xml:space="preserve">was of the view that if operational transfers are to become the primary means by which capacity trades are given effect, then it may be sufficient to standardise operational GTAs because any </w:t>
      </w:r>
      <w:r w:rsidR="00CA1B13">
        <w:t xml:space="preserve">capacity released by the primary shipper would be subject to the terms in the operational GTA rather than the primary GTA. </w:t>
      </w:r>
      <w:r w:rsidR="00A010AB">
        <w:t xml:space="preserve">The project team decided therefore to prioritise the standardisation of </w:t>
      </w:r>
      <w:r w:rsidR="00825C03">
        <w:t>the operational GTA</w:t>
      </w:r>
      <w:r w:rsidR="00A010AB">
        <w:t xml:space="preserve"> and to only consider amending primary GTAs where it was necessary </w:t>
      </w:r>
      <w:r w:rsidR="003563BB">
        <w:t xml:space="preserve">to </w:t>
      </w:r>
      <w:r w:rsidR="003B21BA">
        <w:t xml:space="preserve">give effect to operational GTAs or to </w:t>
      </w:r>
      <w:r w:rsidR="003824E2">
        <w:t xml:space="preserve">facilitate </w:t>
      </w:r>
      <w:r w:rsidR="000D77EE">
        <w:t>secondary trading</w:t>
      </w:r>
      <w:r w:rsidR="00A010AB">
        <w:t>.</w:t>
      </w:r>
    </w:p>
    <w:p w14:paraId="498A8CB3" w14:textId="77777777" w:rsidR="004C675D" w:rsidRDefault="00A010AB" w:rsidP="00053FEC">
      <w:pPr>
        <w:pStyle w:val="BodyText"/>
        <w:spacing w:line="252" w:lineRule="auto"/>
      </w:pPr>
      <w:r>
        <w:t xml:space="preserve">The position the project team reached on this issue </w:t>
      </w:r>
      <w:r w:rsidR="00CA1B13">
        <w:t xml:space="preserve">is consistent with the </w:t>
      </w:r>
      <w:r>
        <w:t xml:space="preserve">feedback that other stakeholders provided during the </w:t>
      </w:r>
      <w:r w:rsidR="005E3347" w:rsidRPr="005E3347">
        <w:rPr>
          <w:i/>
        </w:rPr>
        <w:t>East Coast Review</w:t>
      </w:r>
      <w:r>
        <w:t xml:space="preserve">. It is also consistent with the following </w:t>
      </w:r>
      <w:r w:rsidR="00CA1B13">
        <w:t xml:space="preserve">observation </w:t>
      </w:r>
      <w:r>
        <w:t xml:space="preserve">that </w:t>
      </w:r>
      <w:r w:rsidR="00CA1B13">
        <w:t xml:space="preserve">the AEMC made in </w:t>
      </w:r>
      <w:r>
        <w:t>one of its initial d</w:t>
      </w:r>
      <w:r w:rsidR="00CA1B13">
        <w:t xml:space="preserve">iscussion </w:t>
      </w:r>
      <w:r>
        <w:t>p</w:t>
      </w:r>
      <w:r w:rsidR="00CA1B13">
        <w:t>aper</w:t>
      </w:r>
      <w:r>
        <w:t>s</w:t>
      </w:r>
      <w:r w:rsidR="00CA1B13">
        <w:t>:</w:t>
      </w:r>
      <w:r w:rsidR="00CA1B13" w:rsidRPr="00CA1B13">
        <w:rPr>
          <w:rStyle w:val="FootnoteReference"/>
        </w:rPr>
        <w:t xml:space="preserve"> </w:t>
      </w:r>
      <w:r w:rsidR="00CA1B13">
        <w:rPr>
          <w:rStyle w:val="FootnoteReference"/>
        </w:rPr>
        <w:footnoteReference w:id="26"/>
      </w:r>
    </w:p>
    <w:p w14:paraId="63447B01" w14:textId="77777777" w:rsidR="00CA1B13" w:rsidRDefault="00CA1B13" w:rsidP="00053FEC">
      <w:pPr>
        <w:pStyle w:val="Quote"/>
        <w:spacing w:line="252" w:lineRule="auto"/>
      </w:pPr>
      <w:r>
        <w:t>“</w:t>
      </w:r>
      <w:r w:rsidRPr="00D14CF9">
        <w:t xml:space="preserve">For trades that are given effect through an operational transfer there may be less of a need to align the primary capacity holder’s GTA and the CTA because the Operational GTA will set out the operational and many of the other contractual provisions that apply to the trade </w:t>
      </w:r>
      <w:r>
        <w:t>..</w:t>
      </w:r>
      <w:r w:rsidRPr="00D14CF9">
        <w:t>. That is not to say that some degree of standardisation would not be required in the CTAs and Operational GTAs, in order to facilitate a more liquid secondary capacity trading market. It is just that the terms and conditions in the Operational GTA do not necessarily need to align with the primary capacity holder’s GTA.</w:t>
      </w:r>
      <w:r>
        <w:t>”</w:t>
      </w:r>
      <w:r w:rsidRPr="00D14CF9">
        <w:t xml:space="preserve"> </w:t>
      </w:r>
      <w:r>
        <w:t xml:space="preserve"> </w:t>
      </w:r>
    </w:p>
    <w:p w14:paraId="552FB63F" w14:textId="77777777" w:rsidR="006B0DE2" w:rsidRDefault="003563BB" w:rsidP="00053FEC">
      <w:pPr>
        <w:pStyle w:val="BodyText"/>
        <w:spacing w:line="252" w:lineRule="auto"/>
      </w:pPr>
      <w:r>
        <w:t>T</w:t>
      </w:r>
      <w:r w:rsidR="00A010AB">
        <w:t xml:space="preserve">he project team </w:t>
      </w:r>
      <w:r>
        <w:t xml:space="preserve">also observed that while standardisation of primary GTAs was not required to </w:t>
      </w:r>
      <w:r w:rsidR="006C651F">
        <w:t xml:space="preserve">achieve the AEMC’s objectives, the </w:t>
      </w:r>
      <w:r>
        <w:t xml:space="preserve">standards developed for the </w:t>
      </w:r>
      <w:r w:rsidR="00D1703E">
        <w:t xml:space="preserve">operational, prudential and other legal provisions in the </w:t>
      </w:r>
      <w:r w:rsidR="00A67BDE">
        <w:t xml:space="preserve">operational GTA </w:t>
      </w:r>
      <w:r w:rsidR="006C651F">
        <w:t xml:space="preserve">could </w:t>
      </w:r>
      <w:r w:rsidR="003824E2">
        <w:t xml:space="preserve">drive </w:t>
      </w:r>
      <w:r w:rsidR="00D74A5C">
        <w:t xml:space="preserve">standardisation of primary </w:t>
      </w:r>
      <w:r>
        <w:t xml:space="preserve">GTAs </w:t>
      </w:r>
      <w:r w:rsidR="006C651F">
        <w:t>over time.</w:t>
      </w:r>
    </w:p>
    <w:p w14:paraId="226F6368" w14:textId="77777777" w:rsidR="00432D3D" w:rsidRDefault="003563BB" w:rsidP="00053FEC">
      <w:pPr>
        <w:pStyle w:val="BodyText"/>
        <w:widowControl w:val="0"/>
        <w:spacing w:line="252" w:lineRule="auto"/>
      </w:pPr>
      <w:r>
        <w:t xml:space="preserve">In relation to CTAs, the project team </w:t>
      </w:r>
      <w:r w:rsidR="00432D3D">
        <w:t xml:space="preserve">noted </w:t>
      </w:r>
      <w:r w:rsidR="00EA6498">
        <w:t>that AEMO has</w:t>
      </w:r>
      <w:r w:rsidR="00EA6498" w:rsidRPr="00EA6498">
        <w:t xml:space="preserve"> already developed a standardised CTA for bilateral trades</w:t>
      </w:r>
      <w:r w:rsidR="00EA6498">
        <w:t xml:space="preserve"> that are given effect through a bare transfer</w:t>
      </w:r>
      <w:r w:rsidR="00EA6498">
        <w:rPr>
          <w:rStyle w:val="FootnoteReference"/>
        </w:rPr>
        <w:footnoteReference w:id="27"/>
      </w:r>
      <w:r w:rsidR="00EA6498">
        <w:t xml:space="preserve"> and </w:t>
      </w:r>
      <w:r w:rsidR="00EA6498">
        <w:lastRenderedPageBreak/>
        <w:t xml:space="preserve">that </w:t>
      </w:r>
      <w:r w:rsidR="00BE2600">
        <w:t xml:space="preserve">there would be little value in </w:t>
      </w:r>
      <w:r w:rsidR="00EA6498">
        <w:t xml:space="preserve">carrying out any more work to standardise </w:t>
      </w:r>
      <w:r>
        <w:t xml:space="preserve">these </w:t>
      </w:r>
      <w:r w:rsidR="00EA6498">
        <w:t xml:space="preserve">types of </w:t>
      </w:r>
      <w:r>
        <w:t>contracts because</w:t>
      </w:r>
      <w:r w:rsidR="00432D3D">
        <w:t>:</w:t>
      </w:r>
      <w:r>
        <w:t xml:space="preserve"> </w:t>
      </w:r>
    </w:p>
    <w:p w14:paraId="2645626D" w14:textId="3DB9C753" w:rsidR="00432D3D" w:rsidRDefault="003563BB" w:rsidP="00053FEC">
      <w:pPr>
        <w:pStyle w:val="ListBullet"/>
        <w:widowControl w:val="0"/>
        <w:spacing w:line="252" w:lineRule="auto"/>
      </w:pPr>
      <w:r>
        <w:t xml:space="preserve">secondary shippers would always have the option to use </w:t>
      </w:r>
      <w:r w:rsidR="00786D70">
        <w:t xml:space="preserve">an operational transfer so </w:t>
      </w:r>
      <w:r w:rsidR="00983BA9">
        <w:t xml:space="preserve">any </w:t>
      </w:r>
      <w:r>
        <w:t xml:space="preserve">standardised </w:t>
      </w:r>
      <w:r w:rsidR="00825C03">
        <w:t xml:space="preserve">CTA would only need to set out the details of the </w:t>
      </w:r>
      <w:r w:rsidR="00D1703E">
        <w:t xml:space="preserve">capacity </w:t>
      </w:r>
      <w:r w:rsidR="00825C03">
        <w:t>being sold and the financial terms of the sale</w:t>
      </w:r>
      <w:r w:rsidR="00D1703E">
        <w:t xml:space="preserve"> between the primary shipper and the secondary shipper</w:t>
      </w:r>
      <w:r w:rsidR="00825C03">
        <w:t>, which would be trade specific</w:t>
      </w:r>
      <w:r w:rsidR="00432D3D">
        <w:t>;</w:t>
      </w:r>
      <w:r>
        <w:t xml:space="preserve"> and </w:t>
      </w:r>
    </w:p>
    <w:p w14:paraId="4EDDBAAD" w14:textId="77777777" w:rsidR="00432D3D" w:rsidRDefault="003563BB" w:rsidP="00053FEC">
      <w:pPr>
        <w:pStyle w:val="ListBullet"/>
        <w:spacing w:line="252" w:lineRule="auto"/>
      </w:pPr>
      <w:r>
        <w:t xml:space="preserve">if </w:t>
      </w:r>
      <w:r w:rsidR="00432D3D">
        <w:t xml:space="preserve">the secondary shipper </w:t>
      </w:r>
      <w:r>
        <w:t xml:space="preserve">decided to </w:t>
      </w:r>
      <w:r w:rsidR="00432D3D">
        <w:t xml:space="preserve">proceed with </w:t>
      </w:r>
      <w:r>
        <w:t xml:space="preserve">a bare transfer, the </w:t>
      </w:r>
      <w:r w:rsidR="00BE2600">
        <w:t xml:space="preserve">terms in the </w:t>
      </w:r>
      <w:r>
        <w:t xml:space="preserve">CTA </w:t>
      </w:r>
      <w:r w:rsidR="00432D3D">
        <w:t xml:space="preserve">would in most cases need to mirror those in the primary </w:t>
      </w:r>
      <w:r w:rsidR="00EA6498">
        <w:t xml:space="preserve">shipper’s </w:t>
      </w:r>
      <w:r>
        <w:t xml:space="preserve">GTA to minimise </w:t>
      </w:r>
      <w:r w:rsidR="00EA6498">
        <w:t xml:space="preserve">its </w:t>
      </w:r>
      <w:r>
        <w:t xml:space="preserve">risk exposure. </w:t>
      </w:r>
      <w:r w:rsidR="00432D3D">
        <w:t xml:space="preserve"> </w:t>
      </w:r>
    </w:p>
    <w:p w14:paraId="2B4F58D7" w14:textId="77777777" w:rsidR="00D1703E" w:rsidRPr="00D1703E" w:rsidRDefault="00D1703E" w:rsidP="00053FEC">
      <w:pPr>
        <w:pStyle w:val="Heading6"/>
        <w:spacing w:line="252" w:lineRule="auto"/>
        <w:rPr>
          <w:color w:val="0099CC"/>
        </w:rPr>
      </w:pPr>
      <w:bookmarkStart w:id="63" w:name="_Hlk490978136"/>
      <w:r>
        <w:rPr>
          <w:color w:val="0099CC"/>
        </w:rPr>
        <w:t>GMRG’s preliminary view and questions for stakeholders</w:t>
      </w:r>
    </w:p>
    <w:bookmarkEnd w:id="63"/>
    <w:p w14:paraId="1E0FE95A" w14:textId="77777777" w:rsidR="00B21801" w:rsidRDefault="007472D2" w:rsidP="00053FEC">
      <w:pPr>
        <w:pStyle w:val="BodyText"/>
        <w:spacing w:before="0" w:line="252" w:lineRule="auto"/>
      </w:pPr>
      <w:r>
        <w:t xml:space="preserve">Having regard to the </w:t>
      </w:r>
      <w:r w:rsidR="00F474FB">
        <w:t xml:space="preserve">objectives of </w:t>
      </w:r>
      <w:r w:rsidR="004F356F">
        <w:t xml:space="preserve">the standardisation </w:t>
      </w:r>
      <w:r>
        <w:t>reforms</w:t>
      </w:r>
      <w:r w:rsidR="00432D3D">
        <w:t xml:space="preserve"> and</w:t>
      </w:r>
      <w:r w:rsidR="00BE2600">
        <w:t xml:space="preserve"> the feedback provided by the Standardisation project team and stakeholders </w:t>
      </w:r>
      <w:r w:rsidR="00C629A1">
        <w:t xml:space="preserve">in </w:t>
      </w:r>
      <w:r w:rsidR="00BE2600">
        <w:t xml:space="preserve">the </w:t>
      </w:r>
      <w:r w:rsidR="005E3347" w:rsidRPr="005E3347">
        <w:rPr>
          <w:i/>
        </w:rPr>
        <w:t>East Coast Review</w:t>
      </w:r>
      <w:r w:rsidR="00BE2600">
        <w:t>, the GMRG</w:t>
      </w:r>
      <w:r w:rsidR="00432D3D">
        <w:t xml:space="preserve"> </w:t>
      </w:r>
      <w:r w:rsidR="005143D4">
        <w:t xml:space="preserve">broadly </w:t>
      </w:r>
      <w:r w:rsidR="00432D3D">
        <w:t xml:space="preserve">agrees </w:t>
      </w:r>
      <w:r w:rsidR="005143D4">
        <w:t xml:space="preserve">with the position the project team has reached on this issue. </w:t>
      </w:r>
      <w:r w:rsidR="00825C03">
        <w:t>T</w:t>
      </w:r>
      <w:r w:rsidR="005143D4">
        <w:t>he GMRG</w:t>
      </w:r>
      <w:r w:rsidR="00825C03">
        <w:t>’s preliminary view is therefore</w:t>
      </w:r>
      <w:r w:rsidR="005143D4">
        <w:t xml:space="preserve"> </w:t>
      </w:r>
      <w:r w:rsidR="00B21801">
        <w:t>that:</w:t>
      </w:r>
    </w:p>
    <w:p w14:paraId="4F5A27C1" w14:textId="77777777" w:rsidR="002276FF" w:rsidRDefault="002276FF" w:rsidP="00053FEC">
      <w:pPr>
        <w:pStyle w:val="ListBullet"/>
        <w:spacing w:line="252" w:lineRule="auto"/>
      </w:pPr>
      <w:r>
        <w:t>Priority should be given to developing a standardised operational GTA given that all trades conducted through the exchange and day-ahead auction will need to be given effect through an operational transfer and secondary shippers will need to be offered the option of using an operational transfer.</w:t>
      </w:r>
    </w:p>
    <w:p w14:paraId="0BAC1772" w14:textId="57D7DA62" w:rsidR="001C4E1C" w:rsidRDefault="006C3467" w:rsidP="00053FEC">
      <w:pPr>
        <w:pStyle w:val="ListBullet"/>
        <w:spacing w:line="252" w:lineRule="auto"/>
      </w:pPr>
      <w:r>
        <w:t>T</w:t>
      </w:r>
      <w:r w:rsidR="00B21801">
        <w:t xml:space="preserve">here is likely to </w:t>
      </w:r>
      <w:r w:rsidR="005143D4">
        <w:t xml:space="preserve">be </w:t>
      </w:r>
      <w:r w:rsidR="00B21801">
        <w:t xml:space="preserve">little value in standardising primary GTAs if operational transfers become the primary means by which trades are conducted, but some changes to </w:t>
      </w:r>
      <w:r w:rsidR="00E87773">
        <w:t xml:space="preserve">primary GTAs </w:t>
      </w:r>
      <w:r w:rsidR="00983BA9">
        <w:t xml:space="preserve">will </w:t>
      </w:r>
      <w:r w:rsidR="00B21801">
        <w:t>be necessary to</w:t>
      </w:r>
      <w:r w:rsidR="001C4E1C">
        <w:t>:</w:t>
      </w:r>
      <w:r w:rsidR="00B21801">
        <w:t xml:space="preserve"> </w:t>
      </w:r>
    </w:p>
    <w:p w14:paraId="640C351F" w14:textId="77777777" w:rsidR="001C4E1C" w:rsidRDefault="000D77EE" w:rsidP="00053FEC">
      <w:pPr>
        <w:pStyle w:val="ListBullet2"/>
        <w:spacing w:line="252" w:lineRule="auto"/>
      </w:pPr>
      <w:r>
        <w:t xml:space="preserve">accommodate secondary trading and/or </w:t>
      </w:r>
      <w:r w:rsidR="005143D4">
        <w:t>facilitate the operation of the trading platform and/or auction</w:t>
      </w:r>
      <w:r w:rsidR="001C4E1C">
        <w:t>;</w:t>
      </w:r>
      <w:r w:rsidR="001C4E1C">
        <w:rPr>
          <w:rStyle w:val="FootnoteReference"/>
        </w:rPr>
        <w:footnoteReference w:id="28"/>
      </w:r>
      <w:r w:rsidR="005143D4">
        <w:t xml:space="preserve"> </w:t>
      </w:r>
      <w:r w:rsidR="001C4E1C">
        <w:t xml:space="preserve">and </w:t>
      </w:r>
    </w:p>
    <w:p w14:paraId="435ED5C1" w14:textId="728ADFB6" w:rsidR="005143D4" w:rsidRDefault="001C4E1C" w:rsidP="00053FEC">
      <w:pPr>
        <w:pStyle w:val="ListBullet2"/>
        <w:spacing w:line="252" w:lineRule="auto"/>
      </w:pPr>
      <w:proofErr w:type="gramStart"/>
      <w:r>
        <w:t>remove</w:t>
      </w:r>
      <w:proofErr w:type="gramEnd"/>
      <w:r>
        <w:t xml:space="preserve"> other impediments to trade </w:t>
      </w:r>
      <w:r w:rsidR="005143D4">
        <w:t xml:space="preserve">(see section </w:t>
      </w:r>
      <w:r w:rsidR="005143D4">
        <w:fldChar w:fldCharType="begin"/>
      </w:r>
      <w:r w:rsidR="005143D4">
        <w:instrText xml:space="preserve"> REF _Ref490307070 \r \h </w:instrText>
      </w:r>
      <w:r w:rsidR="005143D4">
        <w:fldChar w:fldCharType="separate"/>
      </w:r>
      <w:r w:rsidR="00947034">
        <w:t>5.4</w:t>
      </w:r>
      <w:r w:rsidR="005143D4">
        <w:fldChar w:fldCharType="end"/>
      </w:r>
      <w:r w:rsidR="005143D4">
        <w:t>)</w:t>
      </w:r>
      <w:r w:rsidR="006C3467">
        <w:t>.</w:t>
      </w:r>
    </w:p>
    <w:p w14:paraId="283B31BE" w14:textId="0D9D3606" w:rsidR="00B21801" w:rsidRDefault="006C3467" w:rsidP="00053FEC">
      <w:pPr>
        <w:pStyle w:val="ListBullet"/>
        <w:spacing w:line="252" w:lineRule="auto"/>
      </w:pPr>
      <w:r>
        <w:t>T</w:t>
      </w:r>
      <w:r w:rsidR="00B21801">
        <w:t xml:space="preserve">here is </w:t>
      </w:r>
      <w:r w:rsidR="005143D4">
        <w:t xml:space="preserve">likely to be little </w:t>
      </w:r>
      <w:r w:rsidR="00B21801">
        <w:t xml:space="preserve">value in </w:t>
      </w:r>
      <w:r w:rsidR="005143D4">
        <w:t>carrying out any more work on developing a standardised</w:t>
      </w:r>
      <w:r w:rsidR="00B21801">
        <w:t xml:space="preserve"> CTA </w:t>
      </w:r>
      <w:r w:rsidR="005143D4">
        <w:t>that use</w:t>
      </w:r>
      <w:r w:rsidR="005B364C">
        <w:t>s</w:t>
      </w:r>
      <w:r w:rsidR="005143D4">
        <w:t xml:space="preserve"> </w:t>
      </w:r>
      <w:r w:rsidR="00B21801">
        <w:t>a bare transfer</w:t>
      </w:r>
      <w:r w:rsidR="005143D4">
        <w:t xml:space="preserve"> mechanism</w:t>
      </w:r>
      <w:r w:rsidR="00B21801">
        <w:t>, but standardised terms will be available</w:t>
      </w:r>
      <w:r w:rsidR="005143D4">
        <w:t xml:space="preserve"> for </w:t>
      </w:r>
      <w:r w:rsidR="00B21801">
        <w:t xml:space="preserve">trades conducted </w:t>
      </w:r>
      <w:r w:rsidR="005143D4">
        <w:t xml:space="preserve">through the capacity trading platform and </w:t>
      </w:r>
      <w:r w:rsidR="00E87773">
        <w:t xml:space="preserve">the </w:t>
      </w:r>
      <w:r w:rsidR="005143D4">
        <w:t>day-ahead auction</w:t>
      </w:r>
      <w:r w:rsidR="00E87773">
        <w:t xml:space="preserve"> and for bilateral trades that use the operational transfer mechanism</w:t>
      </w:r>
      <w:r w:rsidR="005143D4">
        <w:t xml:space="preserve">. </w:t>
      </w:r>
    </w:p>
    <w:p w14:paraId="01F01DB2" w14:textId="5CD20D3C" w:rsidR="007472D2" w:rsidRDefault="006C3467" w:rsidP="000E0767">
      <w:pPr>
        <w:pStyle w:val="BodyText"/>
        <w:spacing w:line="240" w:lineRule="auto"/>
      </w:pPr>
      <w:r>
        <w:t xml:space="preserve">The </w:t>
      </w:r>
      <w:r w:rsidR="007906A8">
        <w:t xml:space="preserve">GMRG </w:t>
      </w:r>
      <w:r>
        <w:t xml:space="preserve">welcomes feedback on this preliminary view and the </w:t>
      </w:r>
      <w:r w:rsidR="007906A8">
        <w:t xml:space="preserve">questions in </w:t>
      </w:r>
      <w:r w:rsidR="009E2677">
        <w:rPr>
          <w:highlight w:val="yellow"/>
        </w:rPr>
        <w:fldChar w:fldCharType="begin"/>
      </w:r>
      <w:r w:rsidR="009E2677">
        <w:instrText xml:space="preserve"> REF _Ref490311117 \h </w:instrText>
      </w:r>
      <w:r w:rsidR="009E2677">
        <w:rPr>
          <w:highlight w:val="yellow"/>
        </w:rPr>
      </w:r>
      <w:r w:rsidR="009E2677">
        <w:rPr>
          <w:highlight w:val="yellow"/>
        </w:rPr>
        <w:fldChar w:fldCharType="separate"/>
      </w:r>
      <w:r w:rsidR="00947034" w:rsidRPr="00EC75C1">
        <w:t xml:space="preserve">Box </w:t>
      </w:r>
      <w:r w:rsidR="00947034">
        <w:rPr>
          <w:noProof/>
        </w:rPr>
        <w:t>3</w:t>
      </w:r>
      <w:r w:rsidR="00947034">
        <w:t>.</w:t>
      </w:r>
      <w:r w:rsidR="00947034">
        <w:rPr>
          <w:noProof/>
        </w:rPr>
        <w:t>2</w:t>
      </w:r>
      <w:r w:rsidR="009E2677">
        <w:rPr>
          <w:highlight w:val="yellow"/>
        </w:rPr>
        <w:fldChar w:fldCharType="end"/>
      </w:r>
      <w:r w:rsidR="007906A8">
        <w:t>.</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3.2: Questions on contracts to be standardised"/>
        <w:tblDescription w:val="Questions on contracts to be standardised"/>
      </w:tblPr>
      <w:tblGrid>
        <w:gridCol w:w="8788"/>
      </w:tblGrid>
      <w:tr w:rsidR="0020005A" w:rsidRPr="002F5B6B" w14:paraId="378D2F97" w14:textId="77777777" w:rsidTr="00274EE7">
        <w:trPr>
          <w:trHeight w:val="113"/>
          <w:tblHeader/>
        </w:trPr>
        <w:tc>
          <w:tcPr>
            <w:tcW w:w="5000" w:type="pct"/>
            <w:shd w:val="clear" w:color="auto" w:fill="auto"/>
          </w:tcPr>
          <w:p w14:paraId="3844841D" w14:textId="7670D5C3" w:rsidR="0020005A" w:rsidRPr="000E0767" w:rsidRDefault="000E0767" w:rsidP="00274EE7">
            <w:pPr>
              <w:pStyle w:val="ListNumber"/>
              <w:numPr>
                <w:ilvl w:val="0"/>
                <w:numId w:val="0"/>
              </w:numPr>
              <w:spacing w:before="0" w:after="0"/>
              <w:rPr>
                <w:rFonts w:eastAsiaTheme="majorEastAsia"/>
                <w:b/>
                <w:sz w:val="20"/>
                <w:szCs w:val="20"/>
              </w:rPr>
            </w:pPr>
            <w:bookmarkStart w:id="64" w:name="_Ref490311117"/>
            <w:r w:rsidRPr="000E0767">
              <w:rPr>
                <w:b/>
              </w:rPr>
              <w:t xml:space="preserve">Box </w:t>
            </w:r>
            <w:r w:rsidRPr="000E0767">
              <w:rPr>
                <w:b/>
              </w:rPr>
              <w:fldChar w:fldCharType="begin"/>
            </w:r>
            <w:r w:rsidRPr="000E0767">
              <w:rPr>
                <w:b/>
              </w:rPr>
              <w:instrText xml:space="preserve"> STYLEREF 1 \s </w:instrText>
            </w:r>
            <w:r w:rsidRPr="000E0767">
              <w:rPr>
                <w:b/>
              </w:rPr>
              <w:fldChar w:fldCharType="separate"/>
            </w:r>
            <w:r w:rsidRPr="000E0767">
              <w:rPr>
                <w:b/>
                <w:noProof/>
              </w:rPr>
              <w:t>3</w:t>
            </w:r>
            <w:r w:rsidRPr="000E0767">
              <w:rPr>
                <w:b/>
                <w:noProof/>
              </w:rPr>
              <w:fldChar w:fldCharType="end"/>
            </w:r>
            <w:r w:rsidRPr="000E0767">
              <w:rPr>
                <w:b/>
              </w:rPr>
              <w:t>.</w:t>
            </w:r>
            <w:r w:rsidRPr="000E0767">
              <w:rPr>
                <w:b/>
              </w:rPr>
              <w:fldChar w:fldCharType="begin"/>
            </w:r>
            <w:r w:rsidRPr="000E0767">
              <w:rPr>
                <w:b/>
              </w:rPr>
              <w:instrText xml:space="preserve"> SEQ Box \* ARABIC \s 1 </w:instrText>
            </w:r>
            <w:r w:rsidRPr="000E0767">
              <w:rPr>
                <w:b/>
              </w:rPr>
              <w:fldChar w:fldCharType="separate"/>
            </w:r>
            <w:r w:rsidRPr="000E0767">
              <w:rPr>
                <w:b/>
                <w:noProof/>
              </w:rPr>
              <w:t>2</w:t>
            </w:r>
            <w:r w:rsidRPr="000E0767">
              <w:rPr>
                <w:b/>
                <w:noProof/>
              </w:rPr>
              <w:fldChar w:fldCharType="end"/>
            </w:r>
            <w:bookmarkEnd w:id="64"/>
            <w:r w:rsidRPr="000E0767">
              <w:rPr>
                <w:b/>
              </w:rPr>
              <w:t xml:space="preserve">: </w:t>
            </w:r>
            <w:r w:rsidRPr="000E0767">
              <w:rPr>
                <w:b/>
                <w:bCs/>
              </w:rPr>
              <w:t>Questions on contracts to be standardised</w:t>
            </w:r>
          </w:p>
        </w:tc>
      </w:tr>
      <w:tr w:rsidR="000E0767" w:rsidRPr="002F5B6B" w14:paraId="0BCAB589" w14:textId="77777777" w:rsidTr="00274EE7">
        <w:trPr>
          <w:trHeight w:val="227"/>
        </w:trPr>
        <w:tc>
          <w:tcPr>
            <w:tcW w:w="5000" w:type="pct"/>
            <w:shd w:val="clear" w:color="auto" w:fill="B7E7FF"/>
          </w:tcPr>
          <w:p w14:paraId="5C40FBA4" w14:textId="77777777" w:rsidR="000E0767" w:rsidRPr="002F5B6B" w:rsidRDefault="000E0767" w:rsidP="000E0767">
            <w:pPr>
              <w:pStyle w:val="ListNumber"/>
              <w:numPr>
                <w:ilvl w:val="0"/>
                <w:numId w:val="23"/>
              </w:numPr>
              <w:spacing w:before="0" w:after="40"/>
              <w:ind w:left="357" w:hanging="357"/>
              <w:rPr>
                <w:rFonts w:eastAsiaTheme="majorEastAsia"/>
                <w:sz w:val="21"/>
                <w:szCs w:val="21"/>
              </w:rPr>
            </w:pPr>
            <w:r w:rsidRPr="002F5B6B">
              <w:rPr>
                <w:rFonts w:eastAsiaTheme="majorEastAsia"/>
                <w:sz w:val="21"/>
                <w:szCs w:val="21"/>
              </w:rPr>
              <w:t xml:space="preserve">Given the objective of the standardisation reforms is to facilitate more secondary capacity trading and the majority of trade </w:t>
            </w:r>
            <w:r>
              <w:rPr>
                <w:rFonts w:eastAsiaTheme="majorEastAsia"/>
                <w:sz w:val="21"/>
                <w:szCs w:val="21"/>
              </w:rPr>
              <w:t xml:space="preserve">is </w:t>
            </w:r>
            <w:r w:rsidRPr="002F5B6B">
              <w:rPr>
                <w:rFonts w:eastAsiaTheme="majorEastAsia"/>
                <w:sz w:val="21"/>
                <w:szCs w:val="21"/>
              </w:rPr>
              <w:t xml:space="preserve">expected to be conducted using operational transfers, do you think it is sufficient to standardise terms for operational GTAs, or do you think primary GTAs also need to be standardised? </w:t>
            </w:r>
          </w:p>
          <w:p w14:paraId="0D54DDB9" w14:textId="4402B8D1" w:rsidR="000E0767" w:rsidRPr="002F5B6B" w:rsidRDefault="000E0767" w:rsidP="000E0767">
            <w:pPr>
              <w:pStyle w:val="ListNumber"/>
              <w:numPr>
                <w:ilvl w:val="0"/>
                <w:numId w:val="23"/>
              </w:numPr>
              <w:spacing w:before="0" w:after="40"/>
              <w:ind w:left="357" w:hanging="357"/>
              <w:rPr>
                <w:rFonts w:eastAsiaTheme="majorEastAsia"/>
                <w:sz w:val="21"/>
                <w:szCs w:val="21"/>
              </w:rPr>
            </w:pPr>
            <w:r w:rsidRPr="002F5B6B">
              <w:rPr>
                <w:rFonts w:eastAsiaTheme="majorEastAsia"/>
                <w:sz w:val="21"/>
                <w:szCs w:val="21"/>
              </w:rPr>
              <w:t xml:space="preserve">Do you think there is any value in </w:t>
            </w:r>
            <w:r>
              <w:rPr>
                <w:rFonts w:eastAsiaTheme="majorEastAsia"/>
                <w:sz w:val="21"/>
                <w:szCs w:val="21"/>
              </w:rPr>
              <w:t>carrying out more work to standardise</w:t>
            </w:r>
            <w:r w:rsidRPr="002F5B6B">
              <w:rPr>
                <w:rFonts w:eastAsiaTheme="majorEastAsia"/>
                <w:sz w:val="21"/>
                <w:szCs w:val="21"/>
              </w:rPr>
              <w:t xml:space="preserve"> </w:t>
            </w:r>
            <w:r>
              <w:rPr>
                <w:rFonts w:eastAsiaTheme="majorEastAsia"/>
                <w:sz w:val="21"/>
                <w:szCs w:val="21"/>
              </w:rPr>
              <w:t xml:space="preserve">the </w:t>
            </w:r>
            <w:r w:rsidRPr="002F5B6B">
              <w:rPr>
                <w:rFonts w:eastAsiaTheme="majorEastAsia"/>
                <w:sz w:val="21"/>
                <w:szCs w:val="21"/>
              </w:rPr>
              <w:t>CTA for bilateral trades that are given effect through a bare transfer</w:t>
            </w:r>
            <w:r>
              <w:rPr>
                <w:rFonts w:eastAsiaTheme="majorEastAsia"/>
                <w:sz w:val="21"/>
                <w:szCs w:val="21"/>
              </w:rPr>
              <w:t xml:space="preserve">? If so, what amendments do you think need to be made to the </w:t>
            </w:r>
            <w:r w:rsidRPr="002F5B6B">
              <w:rPr>
                <w:rFonts w:eastAsiaTheme="majorEastAsia"/>
                <w:sz w:val="21"/>
                <w:szCs w:val="21"/>
              </w:rPr>
              <w:t>contract that AEMO has developed?</w:t>
            </w:r>
          </w:p>
        </w:tc>
      </w:tr>
    </w:tbl>
    <w:p w14:paraId="3E6792A4" w14:textId="77777777" w:rsidR="003B6D60" w:rsidRDefault="003B6D60" w:rsidP="00E87773">
      <w:pPr>
        <w:pStyle w:val="Heading2"/>
        <w:spacing w:before="200" w:after="120"/>
      </w:pPr>
      <w:bookmarkStart w:id="65" w:name="_Ref491757029"/>
      <w:bookmarkStart w:id="66" w:name="_Ref491775536"/>
      <w:bookmarkStart w:id="67" w:name="_Toc492524739"/>
      <w:r>
        <w:lastRenderedPageBreak/>
        <w:t>Standardis</w:t>
      </w:r>
      <w:r w:rsidR="00A55205">
        <w:t>ation of</w:t>
      </w:r>
      <w:r>
        <w:t xml:space="preserve"> </w:t>
      </w:r>
      <w:r w:rsidR="00B70854">
        <w:t>the operational GTA</w:t>
      </w:r>
      <w:bookmarkEnd w:id="65"/>
      <w:bookmarkEnd w:id="66"/>
      <w:bookmarkEnd w:id="67"/>
    </w:p>
    <w:p w14:paraId="26716ECD" w14:textId="0EC0762B" w:rsidR="00A2464A" w:rsidRDefault="00C629A1" w:rsidP="00053FEC">
      <w:pPr>
        <w:pStyle w:val="BodyText"/>
        <w:spacing w:before="60" w:line="252" w:lineRule="auto"/>
      </w:pPr>
      <w:r>
        <w:t xml:space="preserve">In keeping with the priorities outlined above, the </w:t>
      </w:r>
      <w:r w:rsidR="005D313B">
        <w:t>Standardisation project team has</w:t>
      </w:r>
      <w:r w:rsidR="00FE6EA7">
        <w:t xml:space="preserve"> </w:t>
      </w:r>
      <w:r w:rsidR="005D313B">
        <w:t>worked with the GMRG and its legal advisor, JWS</w:t>
      </w:r>
      <w:r w:rsidR="000C2607">
        <w:t>,</w:t>
      </w:r>
      <w:r w:rsidR="005D313B">
        <w:t xml:space="preserve"> to develop </w:t>
      </w:r>
      <w:r w:rsidR="00D1703E">
        <w:t xml:space="preserve">the key elements of the </w:t>
      </w:r>
      <w:r w:rsidR="005D313B">
        <w:t>standardised operational GTA</w:t>
      </w:r>
      <w:r w:rsidR="00983BA9">
        <w:t xml:space="preserve"> that will establish the contractual terms between secondary shippers and service providers for </w:t>
      </w:r>
      <w:r w:rsidR="00053FEC">
        <w:t xml:space="preserve">capacity procured through the </w:t>
      </w:r>
      <w:r w:rsidR="00983BA9">
        <w:t xml:space="preserve">capacity trading </w:t>
      </w:r>
      <w:r w:rsidR="00053FEC">
        <w:t>platform, day-ahead auction or bilaterally if an operational transfer is used. The key elements of the operational GTA</w:t>
      </w:r>
      <w:r w:rsidR="00A2464A">
        <w:t xml:space="preserve"> include:</w:t>
      </w:r>
      <w:r w:rsidR="00FE6EA7">
        <w:t xml:space="preserve"> </w:t>
      </w:r>
    </w:p>
    <w:p w14:paraId="68B4846A" w14:textId="6B2F5056" w:rsidR="00D1703E" w:rsidRDefault="00996004" w:rsidP="00053FEC">
      <w:pPr>
        <w:pStyle w:val="ListBullet"/>
        <w:spacing w:before="60" w:line="252" w:lineRule="auto"/>
      </w:pPr>
      <w:r w:rsidRPr="00996004">
        <w:rPr>
          <w:b/>
        </w:rPr>
        <w:t>s</w:t>
      </w:r>
      <w:r w:rsidR="00D1703E" w:rsidRPr="00996004">
        <w:rPr>
          <w:b/>
        </w:rPr>
        <w:t xml:space="preserve">tandard </w:t>
      </w:r>
      <w:r w:rsidRPr="00996004">
        <w:rPr>
          <w:b/>
        </w:rPr>
        <w:t>t</w:t>
      </w:r>
      <w:r w:rsidR="00D1703E" w:rsidRPr="00996004">
        <w:rPr>
          <w:b/>
        </w:rPr>
        <w:t>erms</w:t>
      </w:r>
      <w:r w:rsidR="00D1703E">
        <w:t xml:space="preserve"> that apply to all service providers</w:t>
      </w:r>
      <w:r w:rsidR="00813AB6">
        <w:t xml:space="preserve"> </w:t>
      </w:r>
      <w:r w:rsidR="000C2607">
        <w:t xml:space="preserve">of </w:t>
      </w:r>
      <w:r w:rsidR="00813AB6">
        <w:t>transportation assets</w:t>
      </w:r>
      <w:r w:rsidR="009831AA">
        <w:t xml:space="preserve"> that are providing third party access</w:t>
      </w:r>
      <w:r w:rsidR="00813AB6">
        <w:t>; and</w:t>
      </w:r>
    </w:p>
    <w:p w14:paraId="7048BD75" w14:textId="2DB7AE58" w:rsidR="00813AB6" w:rsidRDefault="00996004" w:rsidP="00BA7FF7">
      <w:pPr>
        <w:pStyle w:val="ListBullet"/>
        <w:spacing w:line="252" w:lineRule="auto"/>
      </w:pPr>
      <w:r w:rsidRPr="00996004">
        <w:rPr>
          <w:b/>
        </w:rPr>
        <w:t>f</w:t>
      </w:r>
      <w:r w:rsidR="00857698" w:rsidRPr="00996004">
        <w:rPr>
          <w:b/>
        </w:rPr>
        <w:t xml:space="preserve">acility </w:t>
      </w:r>
      <w:r w:rsidRPr="00996004">
        <w:rPr>
          <w:b/>
        </w:rPr>
        <w:t>s</w:t>
      </w:r>
      <w:r w:rsidR="00813AB6" w:rsidRPr="00996004">
        <w:rPr>
          <w:b/>
        </w:rPr>
        <w:t xml:space="preserve">pecific </w:t>
      </w:r>
      <w:r w:rsidRPr="00996004">
        <w:rPr>
          <w:b/>
        </w:rPr>
        <w:t>t</w:t>
      </w:r>
      <w:r w:rsidR="00813AB6" w:rsidRPr="00996004">
        <w:rPr>
          <w:b/>
        </w:rPr>
        <w:t>erms</w:t>
      </w:r>
      <w:r w:rsidR="00813AB6">
        <w:t xml:space="preserve">, which may differ across service providers or </w:t>
      </w:r>
      <w:r w:rsidR="003A00BE">
        <w:t>facilities</w:t>
      </w:r>
      <w:r w:rsidR="00053FEC">
        <w:t xml:space="preserve"> (e.g. pipeline or compression assets)</w:t>
      </w:r>
      <w:r w:rsidR="00813AB6">
        <w:t>.</w:t>
      </w:r>
    </w:p>
    <w:p w14:paraId="31992160" w14:textId="0712CBE6" w:rsidR="000C2607" w:rsidRDefault="005C3BB7" w:rsidP="00BA7FF7">
      <w:pPr>
        <w:pStyle w:val="BodyText"/>
        <w:spacing w:line="252" w:lineRule="auto"/>
      </w:pPr>
      <w:r>
        <w:t xml:space="preserve">Provision has been made for </w:t>
      </w:r>
      <w:r w:rsidR="00996004">
        <w:t>f</w:t>
      </w:r>
      <w:r w:rsidR="00857698">
        <w:t xml:space="preserve">acility </w:t>
      </w:r>
      <w:r w:rsidR="00996004">
        <w:t>s</w:t>
      </w:r>
      <w:r w:rsidR="00857698">
        <w:t xml:space="preserve">pecific </w:t>
      </w:r>
      <w:r w:rsidR="00996004">
        <w:t>t</w:t>
      </w:r>
      <w:r w:rsidR="00857698">
        <w:t>erms</w:t>
      </w:r>
      <w:r>
        <w:t xml:space="preserve"> to be included in the operational GTA because there are provisions </w:t>
      </w:r>
      <w:r w:rsidR="00E87773">
        <w:t xml:space="preserve">that </w:t>
      </w:r>
      <w:r w:rsidR="000C2607">
        <w:t>are not practicable to standardise due to differences in:</w:t>
      </w:r>
    </w:p>
    <w:p w14:paraId="5AA21AB1" w14:textId="77777777" w:rsidR="000C2607" w:rsidRDefault="000C2607" w:rsidP="00BA7FF7">
      <w:pPr>
        <w:pStyle w:val="ListBullet"/>
        <w:spacing w:line="252" w:lineRule="auto"/>
      </w:pPr>
      <w:r>
        <w:t xml:space="preserve">the operational </w:t>
      </w:r>
      <w:r w:rsidR="005C3BB7">
        <w:t xml:space="preserve">characteristics of the </w:t>
      </w:r>
      <w:r>
        <w:t xml:space="preserve">facility </w:t>
      </w:r>
      <w:r w:rsidR="005C3BB7">
        <w:t>(</w:t>
      </w:r>
      <w:r>
        <w:t>for example,</w:t>
      </w:r>
      <w:r w:rsidR="005C3BB7">
        <w:t xml:space="preserve"> hourly limitations, pressure</w:t>
      </w:r>
      <w:r>
        <w:t>,</w:t>
      </w:r>
      <w:r w:rsidR="005C3BB7">
        <w:t xml:space="preserve"> temperature </w:t>
      </w:r>
      <w:r>
        <w:t xml:space="preserve">and metering </w:t>
      </w:r>
      <w:r w:rsidR="005C3BB7">
        <w:t>requirements)</w:t>
      </w:r>
      <w:r>
        <w:t>; and</w:t>
      </w:r>
    </w:p>
    <w:p w14:paraId="17E6E8B2" w14:textId="77777777" w:rsidR="000C2607" w:rsidRDefault="000C2607" w:rsidP="00BA7FF7">
      <w:pPr>
        <w:pStyle w:val="ListBullet"/>
        <w:spacing w:line="252" w:lineRule="auto"/>
      </w:pPr>
      <w:r>
        <w:t>the contractual arrangements of the facility (for example, differences in the prioritisation principles that apply to scheduling and curtailment).</w:t>
      </w:r>
      <w:r>
        <w:rPr>
          <w:rStyle w:val="FootnoteReference"/>
        </w:rPr>
        <w:footnoteReference w:id="29"/>
      </w:r>
      <w:r>
        <w:t xml:space="preserve"> </w:t>
      </w:r>
    </w:p>
    <w:p w14:paraId="3693BB5A" w14:textId="03AD7B2F" w:rsidR="001C729B" w:rsidRPr="0057020B" w:rsidRDefault="00B43DCB" w:rsidP="00BA7FF7">
      <w:pPr>
        <w:pStyle w:val="BodyText"/>
        <w:spacing w:before="120" w:line="252" w:lineRule="auto"/>
        <w:rPr>
          <w:lang w:eastAsia="en-US"/>
        </w:rPr>
      </w:pPr>
      <w:r>
        <w:t>As t</w:t>
      </w:r>
      <w:r w:rsidRPr="0057020B">
        <w:t xml:space="preserve">he success of the </w:t>
      </w:r>
      <w:r w:rsidR="00522628">
        <w:t xml:space="preserve">capacity </w:t>
      </w:r>
      <w:r w:rsidRPr="0057020B">
        <w:t xml:space="preserve">trading platform and day-ahead auction is critically dependent on the operational GTA, any discretion service providers have </w:t>
      </w:r>
      <w:r>
        <w:t xml:space="preserve">in relation to the </w:t>
      </w:r>
      <w:r w:rsidR="00996004">
        <w:t>f</w:t>
      </w:r>
      <w:r>
        <w:t xml:space="preserve">acility </w:t>
      </w:r>
      <w:r w:rsidR="00996004">
        <w:t>s</w:t>
      </w:r>
      <w:r>
        <w:t xml:space="preserve">pecific </w:t>
      </w:r>
      <w:r w:rsidR="00996004">
        <w:t>t</w:t>
      </w:r>
      <w:r>
        <w:t xml:space="preserve">erms will need </w:t>
      </w:r>
      <w:r w:rsidR="007F6614">
        <w:t xml:space="preserve">to be </w:t>
      </w:r>
      <w:r w:rsidRPr="0057020B">
        <w:t xml:space="preserve">subject to </w:t>
      </w:r>
      <w:r>
        <w:t>some form of regulatory oversight</w:t>
      </w:r>
      <w:r w:rsidRPr="0057020B">
        <w:t>.</w:t>
      </w:r>
      <w:r>
        <w:t xml:space="preserve">  The GMRG proposes that, w</w:t>
      </w:r>
      <w:r w:rsidR="001C729B">
        <w:t xml:space="preserve">hile service providers will have some discretion in relation to the </w:t>
      </w:r>
      <w:r w:rsidR="00996004">
        <w:t>f</w:t>
      </w:r>
      <w:r w:rsidR="001C729B">
        <w:t xml:space="preserve">acility </w:t>
      </w:r>
      <w:r w:rsidR="00996004">
        <w:t>s</w:t>
      </w:r>
      <w:r w:rsidR="001C729B">
        <w:t xml:space="preserve">pecific </w:t>
      </w:r>
      <w:r w:rsidR="00996004">
        <w:t>t</w:t>
      </w:r>
      <w:r w:rsidR="001C729B">
        <w:t xml:space="preserve">erms, </w:t>
      </w:r>
      <w:r w:rsidR="00A2464A">
        <w:t xml:space="preserve">they will need to comply with a number of </w:t>
      </w:r>
      <w:r w:rsidR="001C729B">
        <w:t xml:space="preserve">principles </w:t>
      </w:r>
      <w:r w:rsidR="00A2464A">
        <w:t xml:space="preserve">that </w:t>
      </w:r>
      <w:r w:rsidR="001C729B">
        <w:t xml:space="preserve">will be </w:t>
      </w:r>
      <w:r w:rsidR="00A2464A">
        <w:t xml:space="preserve">set out in the </w:t>
      </w:r>
      <w:r w:rsidR="001C729B">
        <w:t>NGR</w:t>
      </w:r>
      <w:r w:rsidR="00B45B76">
        <w:t xml:space="preserve"> </w:t>
      </w:r>
      <w:r w:rsidR="00FF2DE7">
        <w:t xml:space="preserve">(see section </w:t>
      </w:r>
      <w:r w:rsidR="00FF2DE7">
        <w:fldChar w:fldCharType="begin"/>
      </w:r>
      <w:r w:rsidR="00FF2DE7">
        <w:instrText xml:space="preserve"> REF _Ref492198635 \r \h </w:instrText>
      </w:r>
      <w:r w:rsidR="00FF2DE7">
        <w:fldChar w:fldCharType="separate"/>
      </w:r>
      <w:r w:rsidR="00947034">
        <w:t>3.5.3</w:t>
      </w:r>
      <w:r w:rsidR="00FF2DE7">
        <w:fldChar w:fldCharType="end"/>
      </w:r>
      <w:r w:rsidR="00FF2DE7">
        <w:t xml:space="preserve"> </w:t>
      </w:r>
      <w:r w:rsidR="00B45B76">
        <w:t>for more detail)</w:t>
      </w:r>
      <w:r w:rsidR="00A2464A">
        <w:t xml:space="preserve">. </w:t>
      </w:r>
    </w:p>
    <w:p w14:paraId="2A087136" w14:textId="713507EF" w:rsidR="00BA7FF7" w:rsidRDefault="008E189C" w:rsidP="00BA7FF7">
      <w:pPr>
        <w:pStyle w:val="BodyText"/>
        <w:spacing w:before="200" w:line="252" w:lineRule="auto"/>
      </w:pPr>
      <w:r>
        <w:t xml:space="preserve">Further detail on the delineation between the standard terms and </w:t>
      </w:r>
      <w:r w:rsidR="00857698">
        <w:t>facility specific terms</w:t>
      </w:r>
      <w:r>
        <w:t xml:space="preserve"> can be found in </w:t>
      </w:r>
      <w:r w:rsidR="001C729B" w:rsidRPr="001C729B">
        <w:fldChar w:fldCharType="begin"/>
      </w:r>
      <w:r w:rsidR="001C729B" w:rsidRPr="001C729B">
        <w:instrText xml:space="preserve"> REF _Ref491003089 \h  \* MERGEFORMAT </w:instrText>
      </w:r>
      <w:r w:rsidR="001C729B" w:rsidRPr="001C729B">
        <w:fldChar w:fldCharType="separate"/>
      </w:r>
      <w:r w:rsidR="00947034" w:rsidRPr="00947034">
        <w:rPr>
          <w:rFonts w:eastAsiaTheme="minorHAnsi" w:cstheme="minorBidi"/>
          <w:bCs/>
          <w:lang w:eastAsia="fr-CA"/>
        </w:rPr>
        <w:t xml:space="preserve">Table </w:t>
      </w:r>
      <w:r w:rsidR="00947034" w:rsidRPr="00947034">
        <w:rPr>
          <w:rFonts w:eastAsiaTheme="minorHAnsi" w:cstheme="minorBidi"/>
          <w:bCs/>
          <w:noProof/>
          <w:lang w:eastAsia="fr-CA"/>
        </w:rPr>
        <w:t>3.1</w:t>
      </w:r>
      <w:r w:rsidR="001C729B" w:rsidRPr="001C729B">
        <w:fldChar w:fldCharType="end"/>
      </w:r>
      <w:r w:rsidR="001C729B">
        <w:t>, which provides a high-</w:t>
      </w:r>
      <w:r w:rsidR="001C729B" w:rsidRPr="0057020B">
        <w:t xml:space="preserve">level overview of the </w:t>
      </w:r>
      <w:r w:rsidR="00AF665D">
        <w:t xml:space="preserve">draft </w:t>
      </w:r>
      <w:r w:rsidR="00996004">
        <w:t xml:space="preserve">standard </w:t>
      </w:r>
      <w:r w:rsidR="001C729B" w:rsidRPr="0057020B">
        <w:t xml:space="preserve">terms </w:t>
      </w:r>
      <w:r w:rsidR="00996004">
        <w:t xml:space="preserve">and facility specific requirements </w:t>
      </w:r>
      <w:r w:rsidR="001C729B" w:rsidRPr="0057020B">
        <w:t xml:space="preserve">that have been developed in </w:t>
      </w:r>
      <w:r w:rsidR="00AF665D">
        <w:t xml:space="preserve">consultation </w:t>
      </w:r>
      <w:r w:rsidR="001C729B" w:rsidRPr="0057020B">
        <w:t>with the Standardisation project team and JWS</w:t>
      </w:r>
      <w:r w:rsidR="00AF665D">
        <w:t xml:space="preserve"> (</w:t>
      </w:r>
      <w:r w:rsidR="00996004">
        <w:t xml:space="preserve">see </w:t>
      </w:r>
      <w:r w:rsidR="000463D7">
        <w:t xml:space="preserve">Attachment 1 </w:t>
      </w:r>
      <w:r w:rsidR="00996004">
        <w:t>for more detail</w:t>
      </w:r>
      <w:r w:rsidR="00AF665D">
        <w:t>)</w:t>
      </w:r>
      <w:r w:rsidR="001C729B">
        <w:t>.</w:t>
      </w:r>
      <w:r w:rsidR="00AF665D">
        <w:t xml:space="preserve"> The draft terms </w:t>
      </w:r>
      <w:r w:rsidR="00996004">
        <w:t xml:space="preserve">and requirements </w:t>
      </w:r>
      <w:r w:rsidR="00AF665D">
        <w:t xml:space="preserve">have been developed having regard to the NGO, the Vision, the objectives of the capacity trading reforms and the other principles set out </w:t>
      </w:r>
      <w:r w:rsidR="00245558">
        <w:t xml:space="preserve">in </w:t>
      </w:r>
      <w:r w:rsidR="00813AB6">
        <w:t xml:space="preserve">section </w:t>
      </w:r>
      <w:r w:rsidR="00813AB6">
        <w:fldChar w:fldCharType="begin"/>
      </w:r>
      <w:r w:rsidR="00813AB6">
        <w:instrText xml:space="preserve"> REF _Ref490565600 \r \h </w:instrText>
      </w:r>
      <w:r w:rsidR="00813AB6">
        <w:fldChar w:fldCharType="separate"/>
      </w:r>
      <w:r w:rsidR="00947034">
        <w:t>2.3</w:t>
      </w:r>
      <w:r w:rsidR="00813AB6">
        <w:fldChar w:fldCharType="end"/>
      </w:r>
      <w:r w:rsidR="001C729B">
        <w:t>.</w:t>
      </w:r>
      <w:r w:rsidR="00813AB6">
        <w:t xml:space="preserve"> </w:t>
      </w:r>
    </w:p>
    <w:p w14:paraId="3B67A7FE" w14:textId="15D04C31" w:rsidR="00053FEC" w:rsidRDefault="00AF665D" w:rsidP="00053FEC">
      <w:pPr>
        <w:pStyle w:val="BodyText"/>
        <w:spacing w:before="200" w:line="252" w:lineRule="auto"/>
      </w:pPr>
      <w:r>
        <w:t xml:space="preserve">Before examining </w:t>
      </w:r>
      <w:r w:rsidRPr="001C729B">
        <w:fldChar w:fldCharType="begin"/>
      </w:r>
      <w:r w:rsidRPr="001C729B">
        <w:instrText xml:space="preserve"> REF _Ref491003089 \h  \* MERGEFORMAT </w:instrText>
      </w:r>
      <w:r w:rsidRPr="001C729B">
        <w:fldChar w:fldCharType="separate"/>
      </w:r>
      <w:r w:rsidR="00947034" w:rsidRPr="00947034">
        <w:rPr>
          <w:rFonts w:eastAsiaTheme="minorHAnsi" w:cstheme="minorBidi"/>
          <w:bCs/>
          <w:lang w:eastAsia="fr-CA"/>
        </w:rPr>
        <w:t xml:space="preserve">Table </w:t>
      </w:r>
      <w:r w:rsidR="00947034" w:rsidRPr="00947034">
        <w:rPr>
          <w:rFonts w:eastAsiaTheme="minorHAnsi" w:cstheme="minorBidi"/>
          <w:bCs/>
          <w:noProof/>
          <w:lang w:eastAsia="fr-CA"/>
        </w:rPr>
        <w:t>3.1</w:t>
      </w:r>
      <w:r w:rsidRPr="001C729B">
        <w:fldChar w:fldCharType="end"/>
      </w:r>
      <w:r>
        <w:t xml:space="preserve">, it is worth </w:t>
      </w:r>
      <w:r w:rsidR="00291D93">
        <w:t xml:space="preserve">noting </w:t>
      </w:r>
      <w:r w:rsidR="00C629A1">
        <w:t xml:space="preserve">that while most of the terms in </w:t>
      </w:r>
      <w:r w:rsidR="00245558">
        <w:t>the operational GTA</w:t>
      </w:r>
      <w:r w:rsidR="00C629A1">
        <w:t xml:space="preserve"> will apply equally to capacity transferred as a result of exchange</w:t>
      </w:r>
      <w:r w:rsidR="00B04342">
        <w:t xml:space="preserve"> based trades</w:t>
      </w:r>
      <w:r w:rsidR="00C629A1">
        <w:t>, bilateral trades and the day-ahead auction, some additional provisions may need to be included to deal with the day-ahead auction product</w:t>
      </w:r>
      <w:r w:rsidR="00BA7FF7">
        <w:t xml:space="preserve"> (for example, to specify the firmness of the product and the priority of the auction product)</w:t>
      </w:r>
      <w:r w:rsidR="00C629A1">
        <w:t xml:space="preserve">. </w:t>
      </w:r>
      <w:r w:rsidR="00B04342">
        <w:t xml:space="preserve">These additional provisions will be </w:t>
      </w:r>
      <w:r w:rsidR="00C629A1">
        <w:t xml:space="preserve">separately consulted upon once </w:t>
      </w:r>
      <w:r w:rsidR="00B04342">
        <w:t xml:space="preserve">work on the </w:t>
      </w:r>
      <w:r w:rsidR="00C629A1">
        <w:t xml:space="preserve">design of </w:t>
      </w:r>
      <w:r w:rsidR="00B04342">
        <w:t xml:space="preserve">the day-ahead auction </w:t>
      </w:r>
      <w:r w:rsidR="00C629A1">
        <w:t xml:space="preserve">is </w:t>
      </w:r>
      <w:r w:rsidR="00B04342">
        <w:t>complete</w:t>
      </w:r>
      <w:r w:rsidR="00C629A1">
        <w:t xml:space="preserve">. </w:t>
      </w:r>
      <w:r w:rsidR="00BA7FF7">
        <w:t xml:space="preserve">Some additional provisions may also be required to deal with stand-alone compression products sold through the exchange, as outlined in section </w:t>
      </w:r>
      <w:r w:rsidR="00BA7FF7">
        <w:fldChar w:fldCharType="begin"/>
      </w:r>
      <w:r w:rsidR="00BA7FF7">
        <w:instrText xml:space="preserve"> REF _Ref492396846 \r \h </w:instrText>
      </w:r>
      <w:r w:rsidR="00BA7FF7">
        <w:fldChar w:fldCharType="separate"/>
      </w:r>
      <w:r w:rsidR="00947034">
        <w:t>3.3.5</w:t>
      </w:r>
      <w:r w:rsidR="00BA7FF7">
        <w:fldChar w:fldCharType="end"/>
      </w:r>
    </w:p>
    <w:p w14:paraId="2B52836E" w14:textId="02AE618D" w:rsidR="0057020B" w:rsidRPr="0057020B" w:rsidRDefault="00053FEC" w:rsidP="00053FEC">
      <w:pPr>
        <w:spacing w:before="120" w:after="120" w:line="252" w:lineRule="auto"/>
        <w:sectPr w:rsidR="0057020B" w:rsidRPr="0057020B" w:rsidSect="00CF1252">
          <w:headerReference w:type="default" r:id="rId31"/>
          <w:footerReference w:type="default" r:id="rId32"/>
          <w:pgSz w:w="11907" w:h="16840" w:code="9"/>
          <w:pgMar w:top="714" w:right="1418" w:bottom="992" w:left="1701" w:header="425" w:footer="397" w:gutter="0"/>
          <w:cols w:space="708"/>
          <w:docGrid w:linePitch="360"/>
        </w:sectPr>
      </w:pPr>
      <w:r>
        <w:t>It is also worth noting that one of the difficulties experienced in developing the operational GTA is the uncertain and diverse nature of how secondary shippers may utilise the contract (for example, some users may use it on an ad-hoc basis for short-term trading, while others may use it more frequently over a longer duration).   This uncertainty can complicate considerations of how best to manage and allocate risks and how to ensure the standard terms do not act as</w:t>
      </w:r>
      <w:r w:rsidR="00817F19">
        <w:t xml:space="preserve"> a barrier to secondary trading</w:t>
      </w:r>
      <w:r w:rsidR="00BA7FF7">
        <w:t>.</w:t>
      </w:r>
    </w:p>
    <w:p w14:paraId="1788E768" w14:textId="270B5ADF" w:rsidR="0057020B" w:rsidRPr="0057020B" w:rsidRDefault="0057020B" w:rsidP="0057020B">
      <w:pPr>
        <w:keepNext/>
        <w:keepLines/>
        <w:rPr>
          <w:rFonts w:eastAsiaTheme="minorHAnsi" w:cstheme="minorBidi"/>
          <w:b/>
          <w:bCs/>
          <w:lang w:eastAsia="fr-CA"/>
        </w:rPr>
      </w:pPr>
      <w:bookmarkStart w:id="68" w:name="_Ref491003089"/>
      <w:r w:rsidRPr="0057020B">
        <w:rPr>
          <w:rFonts w:eastAsiaTheme="minorHAnsi" w:cstheme="minorBidi"/>
          <w:b/>
          <w:bCs/>
          <w:lang w:eastAsia="fr-CA"/>
        </w:rPr>
        <w:lastRenderedPageBreak/>
        <w:t xml:space="preserve">Table </w:t>
      </w:r>
      <w:r w:rsidR="001C4739">
        <w:rPr>
          <w:rFonts w:eastAsiaTheme="minorHAnsi" w:cstheme="minorBidi"/>
          <w:b/>
          <w:bCs/>
          <w:lang w:eastAsia="fr-CA"/>
        </w:rPr>
        <w:fldChar w:fldCharType="begin"/>
      </w:r>
      <w:r w:rsidR="001C4739">
        <w:rPr>
          <w:rFonts w:eastAsiaTheme="minorHAnsi" w:cstheme="minorBidi"/>
          <w:b/>
          <w:bCs/>
          <w:lang w:eastAsia="fr-CA"/>
        </w:rPr>
        <w:instrText xml:space="preserve"> STYLEREF 1 \s </w:instrText>
      </w:r>
      <w:r w:rsidR="001C4739">
        <w:rPr>
          <w:rFonts w:eastAsiaTheme="minorHAnsi" w:cstheme="minorBidi"/>
          <w:b/>
          <w:bCs/>
          <w:lang w:eastAsia="fr-CA"/>
        </w:rPr>
        <w:fldChar w:fldCharType="separate"/>
      </w:r>
      <w:r w:rsidR="00947034">
        <w:rPr>
          <w:rFonts w:eastAsiaTheme="minorHAnsi" w:cstheme="minorBidi"/>
          <w:b/>
          <w:bCs/>
          <w:noProof/>
          <w:lang w:eastAsia="fr-CA"/>
        </w:rPr>
        <w:t>3</w:t>
      </w:r>
      <w:r w:rsidR="001C4739">
        <w:rPr>
          <w:rFonts w:eastAsiaTheme="minorHAnsi" w:cstheme="minorBidi"/>
          <w:b/>
          <w:bCs/>
          <w:lang w:eastAsia="fr-CA"/>
        </w:rPr>
        <w:fldChar w:fldCharType="end"/>
      </w:r>
      <w:r w:rsidR="001C4739">
        <w:rPr>
          <w:rFonts w:eastAsiaTheme="minorHAnsi" w:cstheme="minorBidi"/>
          <w:b/>
          <w:bCs/>
          <w:lang w:eastAsia="fr-CA"/>
        </w:rPr>
        <w:t>.</w:t>
      </w:r>
      <w:r w:rsidR="001C4739">
        <w:rPr>
          <w:rFonts w:eastAsiaTheme="minorHAnsi" w:cstheme="minorBidi"/>
          <w:b/>
          <w:bCs/>
          <w:lang w:eastAsia="fr-CA"/>
        </w:rPr>
        <w:fldChar w:fldCharType="begin"/>
      </w:r>
      <w:r w:rsidR="001C4739">
        <w:rPr>
          <w:rFonts w:eastAsiaTheme="minorHAnsi" w:cstheme="minorBidi"/>
          <w:b/>
          <w:bCs/>
          <w:lang w:eastAsia="fr-CA"/>
        </w:rPr>
        <w:instrText xml:space="preserve"> SEQ Table \* ARABIC \s 1 </w:instrText>
      </w:r>
      <w:r w:rsidR="001C4739">
        <w:rPr>
          <w:rFonts w:eastAsiaTheme="minorHAnsi" w:cstheme="minorBidi"/>
          <w:b/>
          <w:bCs/>
          <w:lang w:eastAsia="fr-CA"/>
        </w:rPr>
        <w:fldChar w:fldCharType="separate"/>
      </w:r>
      <w:r w:rsidR="00947034">
        <w:rPr>
          <w:rFonts w:eastAsiaTheme="minorHAnsi" w:cstheme="minorBidi"/>
          <w:b/>
          <w:bCs/>
          <w:noProof/>
          <w:lang w:eastAsia="fr-CA"/>
        </w:rPr>
        <w:t>1</w:t>
      </w:r>
      <w:r w:rsidR="001C4739">
        <w:rPr>
          <w:rFonts w:eastAsiaTheme="minorHAnsi" w:cstheme="minorBidi"/>
          <w:b/>
          <w:bCs/>
          <w:lang w:eastAsia="fr-CA"/>
        </w:rPr>
        <w:fldChar w:fldCharType="end"/>
      </w:r>
      <w:bookmarkEnd w:id="68"/>
      <w:r w:rsidRPr="0057020B">
        <w:rPr>
          <w:rFonts w:eastAsiaTheme="minorHAnsi" w:cstheme="minorBidi"/>
          <w:b/>
          <w:bCs/>
          <w:lang w:eastAsia="fr-CA"/>
        </w:rPr>
        <w:t xml:space="preserve">: Overview of </w:t>
      </w:r>
      <w:r w:rsidR="00AF665D">
        <w:rPr>
          <w:rFonts w:eastAsiaTheme="minorHAnsi" w:cstheme="minorBidi"/>
          <w:b/>
          <w:bCs/>
          <w:lang w:eastAsia="fr-CA"/>
        </w:rPr>
        <w:t xml:space="preserve">the </w:t>
      </w:r>
      <w:r w:rsidR="00996004">
        <w:rPr>
          <w:rFonts w:eastAsiaTheme="minorHAnsi" w:cstheme="minorBidi"/>
          <w:b/>
          <w:bCs/>
          <w:lang w:eastAsia="fr-CA"/>
        </w:rPr>
        <w:t>standard terms</w:t>
      </w:r>
      <w:r w:rsidRPr="0057020B">
        <w:rPr>
          <w:rFonts w:eastAsiaTheme="minorHAnsi" w:cstheme="minorBidi"/>
          <w:b/>
          <w:bCs/>
          <w:lang w:eastAsia="fr-CA"/>
        </w:rPr>
        <w:t xml:space="preserve"> </w:t>
      </w:r>
      <w:r w:rsidR="00AF665D">
        <w:rPr>
          <w:rFonts w:eastAsiaTheme="minorHAnsi" w:cstheme="minorBidi"/>
          <w:b/>
          <w:bCs/>
          <w:lang w:eastAsia="fr-CA"/>
        </w:rPr>
        <w:t xml:space="preserve">and </w:t>
      </w:r>
      <w:r w:rsidR="00996004">
        <w:rPr>
          <w:rFonts w:eastAsiaTheme="minorHAnsi" w:cstheme="minorBidi"/>
          <w:b/>
          <w:bCs/>
          <w:lang w:eastAsia="fr-CA"/>
        </w:rPr>
        <w:t>facility specific terms</w:t>
      </w:r>
    </w:p>
    <w:tbl>
      <w:tblPr>
        <w:tblStyle w:val="TableGrid"/>
        <w:tblW w:w="5123" w:type="pct"/>
        <w:tblInd w:w="-5" w:type="dxa"/>
        <w:tblLook w:val="0420" w:firstRow="1" w:lastRow="0" w:firstColumn="0" w:lastColumn="0" w:noHBand="0" w:noVBand="1"/>
        <w:tblCaption w:val="Table 3.1: Overview of the standard terms and facility specific terms"/>
        <w:tblDescription w:val="Overview of the standard terms and facility specific terms"/>
      </w:tblPr>
      <w:tblGrid>
        <w:gridCol w:w="704"/>
        <w:gridCol w:w="1957"/>
        <w:gridCol w:w="10817"/>
      </w:tblGrid>
      <w:tr w:rsidR="001C729B" w:rsidRPr="00E36FD2" w14:paraId="205A7515" w14:textId="77777777" w:rsidTr="00EC1759">
        <w:trPr>
          <w:cnfStyle w:val="100000000000" w:firstRow="1" w:lastRow="0" w:firstColumn="0" w:lastColumn="0" w:oddVBand="0" w:evenVBand="0" w:oddHBand="0" w:evenHBand="0" w:firstRowFirstColumn="0" w:firstRowLastColumn="0" w:lastRowFirstColumn="0" w:lastRowLastColumn="0"/>
          <w:cantSplit/>
          <w:tblHeader/>
        </w:trPr>
        <w:tc>
          <w:tcPr>
            <w:tcW w:w="987" w:type="pct"/>
            <w:gridSpan w:val="2"/>
            <w:shd w:val="clear" w:color="auto" w:fill="0099CC"/>
            <w:hideMark/>
          </w:tcPr>
          <w:p w14:paraId="7A224F74" w14:textId="77777777" w:rsidR="0057020B" w:rsidRPr="00E36FD2" w:rsidRDefault="0057020B" w:rsidP="00C05A16">
            <w:pPr>
              <w:keepNext/>
              <w:spacing w:before="40" w:after="40"/>
              <w:ind w:left="75" w:right="75"/>
              <w:rPr>
                <w:rFonts w:cs="Arial"/>
                <w:sz w:val="19"/>
                <w:szCs w:val="19"/>
                <w:lang w:eastAsia="fr-CA"/>
              </w:rPr>
            </w:pPr>
            <w:r w:rsidRPr="00E36FD2">
              <w:rPr>
                <w:rFonts w:cs="Arial"/>
                <w:sz w:val="19"/>
                <w:szCs w:val="19"/>
                <w:lang w:eastAsia="fr-CA"/>
              </w:rPr>
              <w:t>Section</w:t>
            </w:r>
          </w:p>
        </w:tc>
        <w:tc>
          <w:tcPr>
            <w:tcW w:w="4013" w:type="pct"/>
            <w:shd w:val="clear" w:color="auto" w:fill="0099CC"/>
            <w:hideMark/>
          </w:tcPr>
          <w:p w14:paraId="114F0AB5" w14:textId="77777777" w:rsidR="0057020B" w:rsidRPr="00E36FD2" w:rsidRDefault="0057020B" w:rsidP="00C05A16">
            <w:pPr>
              <w:keepNext/>
              <w:spacing w:before="40" w:after="40"/>
              <w:ind w:left="75" w:right="75"/>
              <w:rPr>
                <w:rFonts w:cs="Arial"/>
                <w:sz w:val="19"/>
                <w:szCs w:val="19"/>
                <w:lang w:eastAsia="fr-CA"/>
              </w:rPr>
            </w:pPr>
            <w:r w:rsidRPr="00E36FD2">
              <w:rPr>
                <w:rFonts w:cs="Arial"/>
                <w:sz w:val="19"/>
                <w:szCs w:val="19"/>
                <w:lang w:eastAsia="fr-CA"/>
              </w:rPr>
              <w:t>Explanation</w:t>
            </w:r>
          </w:p>
        </w:tc>
      </w:tr>
      <w:tr w:rsidR="001C729B" w:rsidRPr="00E36FD2" w14:paraId="46DF536B" w14:textId="77777777" w:rsidTr="00EC1759">
        <w:trPr>
          <w:cantSplit/>
        </w:trPr>
        <w:tc>
          <w:tcPr>
            <w:tcW w:w="5000" w:type="pct"/>
            <w:gridSpan w:val="3"/>
            <w:shd w:val="clear" w:color="auto" w:fill="65697F" w:themeFill="background2" w:themeFillShade="80"/>
          </w:tcPr>
          <w:p w14:paraId="494A6A5D" w14:textId="77777777" w:rsidR="001C729B" w:rsidRPr="00E36FD2" w:rsidRDefault="001C729B" w:rsidP="00C05A16">
            <w:pPr>
              <w:keepNext/>
              <w:tabs>
                <w:tab w:val="left" w:pos="720"/>
              </w:tabs>
              <w:spacing w:before="40" w:after="40"/>
              <w:ind w:left="109"/>
              <w:jc w:val="center"/>
              <w:rPr>
                <w:rFonts w:cs="Arial"/>
                <w:b/>
                <w:color w:val="FFFFFF" w:themeColor="background1"/>
                <w:sz w:val="19"/>
                <w:szCs w:val="19"/>
                <w:lang w:eastAsia="fr-CA"/>
              </w:rPr>
            </w:pPr>
            <w:r w:rsidRPr="00E36FD2">
              <w:rPr>
                <w:rFonts w:cs="Arial"/>
                <w:b/>
                <w:color w:val="FFFFFF" w:themeColor="background1"/>
                <w:sz w:val="19"/>
                <w:szCs w:val="19"/>
                <w:lang w:eastAsia="fr-CA"/>
              </w:rPr>
              <w:t>Standard Terms</w:t>
            </w:r>
          </w:p>
        </w:tc>
      </w:tr>
      <w:tr w:rsidR="001C729B" w:rsidRPr="00E36FD2" w14:paraId="67A2E295" w14:textId="77777777" w:rsidTr="00EC1759">
        <w:trPr>
          <w:cnfStyle w:val="000000010000" w:firstRow="0" w:lastRow="0" w:firstColumn="0" w:lastColumn="0" w:oddVBand="0" w:evenVBand="0" w:oddHBand="0" w:evenHBand="1" w:firstRowFirstColumn="0" w:firstRowLastColumn="0" w:lastRowFirstColumn="0" w:lastRowLastColumn="0"/>
          <w:cantSplit/>
        </w:trPr>
        <w:tc>
          <w:tcPr>
            <w:tcW w:w="261" w:type="pct"/>
          </w:tcPr>
          <w:p w14:paraId="008FFD5A" w14:textId="77777777" w:rsidR="0057020B" w:rsidRPr="00E36FD2" w:rsidRDefault="0057020B" w:rsidP="00E87773">
            <w:pPr>
              <w:widowControl w:val="0"/>
              <w:spacing w:before="80"/>
              <w:ind w:left="74" w:right="74"/>
              <w:jc w:val="center"/>
              <w:rPr>
                <w:rFonts w:cs="Arial"/>
                <w:sz w:val="19"/>
                <w:szCs w:val="19"/>
                <w:lang w:eastAsia="fr-CA"/>
              </w:rPr>
            </w:pPr>
            <w:r w:rsidRPr="00E36FD2">
              <w:rPr>
                <w:rFonts w:cs="Arial"/>
                <w:sz w:val="19"/>
                <w:szCs w:val="19"/>
                <w:lang w:eastAsia="fr-CA"/>
              </w:rPr>
              <w:t>1.</w:t>
            </w:r>
          </w:p>
        </w:tc>
        <w:tc>
          <w:tcPr>
            <w:tcW w:w="725" w:type="pct"/>
          </w:tcPr>
          <w:p w14:paraId="2EF71221" w14:textId="77777777" w:rsidR="0057020B" w:rsidRPr="00E36FD2" w:rsidRDefault="0057020B" w:rsidP="00E87773">
            <w:pPr>
              <w:widowControl w:val="0"/>
              <w:spacing w:before="80"/>
              <w:ind w:left="74" w:right="74"/>
              <w:rPr>
                <w:rFonts w:cs="Arial"/>
                <w:sz w:val="19"/>
                <w:szCs w:val="19"/>
                <w:lang w:eastAsia="fr-CA"/>
              </w:rPr>
            </w:pPr>
            <w:r w:rsidRPr="00E36FD2">
              <w:rPr>
                <w:rFonts w:cs="Arial"/>
                <w:sz w:val="19"/>
                <w:szCs w:val="19"/>
                <w:lang w:eastAsia="fr-CA"/>
              </w:rPr>
              <w:t>Definitions</w:t>
            </w:r>
          </w:p>
        </w:tc>
        <w:tc>
          <w:tcPr>
            <w:tcW w:w="4013" w:type="pct"/>
          </w:tcPr>
          <w:p w14:paraId="577F4AD0" w14:textId="7FA686EC" w:rsidR="0057020B" w:rsidRPr="00E36FD2" w:rsidRDefault="0057020B" w:rsidP="00E87773">
            <w:pPr>
              <w:widowControl w:val="0"/>
              <w:tabs>
                <w:tab w:val="left" w:pos="720"/>
              </w:tabs>
              <w:spacing w:before="80"/>
              <w:ind w:left="109"/>
              <w:rPr>
                <w:rFonts w:cs="Arial"/>
                <w:sz w:val="19"/>
                <w:szCs w:val="19"/>
                <w:lang w:eastAsia="fr-CA"/>
              </w:rPr>
            </w:pPr>
            <w:r w:rsidRPr="00E36FD2">
              <w:rPr>
                <w:rFonts w:cs="Arial"/>
                <w:sz w:val="19"/>
                <w:szCs w:val="19"/>
                <w:lang w:eastAsia="fr-CA"/>
              </w:rPr>
              <w:t xml:space="preserve">Clause 1.1 sets out definitions used in the </w:t>
            </w:r>
            <w:r w:rsidR="00996004" w:rsidRPr="00E36FD2">
              <w:rPr>
                <w:rFonts w:cs="Arial"/>
                <w:sz w:val="19"/>
                <w:szCs w:val="19"/>
                <w:lang w:eastAsia="fr-CA"/>
              </w:rPr>
              <w:t>standard terms</w:t>
            </w:r>
            <w:r w:rsidRPr="00E36FD2">
              <w:rPr>
                <w:rFonts w:cs="Arial"/>
                <w:sz w:val="19"/>
                <w:szCs w:val="19"/>
                <w:lang w:eastAsia="fr-CA"/>
              </w:rPr>
              <w:t>.</w:t>
            </w:r>
          </w:p>
          <w:p w14:paraId="4965F633" w14:textId="77777777" w:rsidR="0057020B" w:rsidRPr="00E36FD2" w:rsidRDefault="0057020B" w:rsidP="00E87773">
            <w:pPr>
              <w:widowControl w:val="0"/>
              <w:tabs>
                <w:tab w:val="left" w:pos="720"/>
              </w:tabs>
              <w:spacing w:before="80"/>
              <w:ind w:left="109"/>
              <w:rPr>
                <w:rFonts w:cs="Arial"/>
                <w:sz w:val="19"/>
                <w:szCs w:val="19"/>
                <w:lang w:eastAsia="fr-CA"/>
              </w:rPr>
            </w:pPr>
            <w:r w:rsidRPr="00E36FD2">
              <w:rPr>
                <w:rFonts w:cs="Arial"/>
                <w:sz w:val="19"/>
                <w:szCs w:val="19"/>
                <w:lang w:eastAsia="fr-CA"/>
              </w:rPr>
              <w:t>Clause 1.2 sets out standard form interpretation rules.</w:t>
            </w:r>
          </w:p>
        </w:tc>
      </w:tr>
      <w:tr w:rsidR="001C729B" w:rsidRPr="00E36FD2" w14:paraId="73D9DD24" w14:textId="77777777" w:rsidTr="00EC1759">
        <w:trPr>
          <w:cantSplit/>
        </w:trPr>
        <w:tc>
          <w:tcPr>
            <w:tcW w:w="261" w:type="pct"/>
          </w:tcPr>
          <w:p w14:paraId="6EDB6915" w14:textId="77777777" w:rsidR="0057020B" w:rsidRPr="00E36FD2" w:rsidRDefault="0057020B" w:rsidP="00E87773">
            <w:pPr>
              <w:widowControl w:val="0"/>
              <w:spacing w:before="80"/>
              <w:ind w:left="74" w:right="74"/>
              <w:jc w:val="center"/>
              <w:rPr>
                <w:rFonts w:cs="Arial"/>
                <w:sz w:val="19"/>
                <w:szCs w:val="19"/>
                <w:lang w:eastAsia="fr-CA"/>
              </w:rPr>
            </w:pPr>
            <w:r w:rsidRPr="00E36FD2">
              <w:rPr>
                <w:rFonts w:cs="Arial"/>
                <w:sz w:val="19"/>
                <w:szCs w:val="19"/>
                <w:lang w:eastAsia="fr-CA"/>
              </w:rPr>
              <w:t>2.</w:t>
            </w:r>
          </w:p>
        </w:tc>
        <w:tc>
          <w:tcPr>
            <w:tcW w:w="725" w:type="pct"/>
          </w:tcPr>
          <w:p w14:paraId="725B4D9A" w14:textId="77777777" w:rsidR="0057020B" w:rsidRPr="00E36FD2" w:rsidRDefault="0057020B" w:rsidP="00E87773">
            <w:pPr>
              <w:widowControl w:val="0"/>
              <w:spacing w:before="80"/>
              <w:ind w:left="74" w:right="74"/>
              <w:rPr>
                <w:rFonts w:cs="Arial"/>
                <w:sz w:val="19"/>
                <w:szCs w:val="19"/>
                <w:lang w:eastAsia="fr-CA"/>
              </w:rPr>
            </w:pPr>
            <w:r w:rsidRPr="00E36FD2">
              <w:rPr>
                <w:rFonts w:cs="Arial"/>
                <w:sz w:val="19"/>
                <w:szCs w:val="19"/>
                <w:lang w:eastAsia="fr-CA"/>
              </w:rPr>
              <w:t>Services</w:t>
            </w:r>
          </w:p>
        </w:tc>
        <w:tc>
          <w:tcPr>
            <w:tcW w:w="4013" w:type="pct"/>
          </w:tcPr>
          <w:p w14:paraId="1875011E" w14:textId="239961DF" w:rsidR="00E87773" w:rsidRPr="00E36FD2" w:rsidRDefault="0057020B" w:rsidP="00E87773">
            <w:pPr>
              <w:widowControl w:val="0"/>
              <w:tabs>
                <w:tab w:val="left" w:pos="720"/>
              </w:tabs>
              <w:spacing w:before="80"/>
              <w:ind w:left="109"/>
              <w:rPr>
                <w:rFonts w:cs="Arial"/>
                <w:sz w:val="19"/>
                <w:szCs w:val="19"/>
                <w:lang w:eastAsia="fr-CA"/>
              </w:rPr>
            </w:pPr>
            <w:r w:rsidRPr="00E36FD2">
              <w:rPr>
                <w:rFonts w:cs="Arial"/>
                <w:sz w:val="19"/>
                <w:szCs w:val="19"/>
                <w:lang w:eastAsia="fr-CA"/>
              </w:rPr>
              <w:t xml:space="preserve">Clause 2 describes the three services that must be provided by service providers, being </w:t>
            </w:r>
            <w:r w:rsidR="00D4786D">
              <w:rPr>
                <w:rFonts w:cs="Arial"/>
                <w:sz w:val="19"/>
                <w:szCs w:val="19"/>
                <w:lang w:eastAsia="fr-CA"/>
              </w:rPr>
              <w:t>f</w:t>
            </w:r>
            <w:r w:rsidRPr="00E36FD2">
              <w:rPr>
                <w:rFonts w:cs="Arial"/>
                <w:sz w:val="19"/>
                <w:szCs w:val="19"/>
                <w:lang w:eastAsia="fr-CA"/>
              </w:rPr>
              <w:t xml:space="preserve">irm </w:t>
            </w:r>
            <w:r w:rsidR="00D4786D">
              <w:rPr>
                <w:rFonts w:cs="Arial"/>
                <w:sz w:val="19"/>
                <w:szCs w:val="19"/>
                <w:lang w:eastAsia="fr-CA"/>
              </w:rPr>
              <w:t>s</w:t>
            </w:r>
            <w:r w:rsidRPr="00E36FD2">
              <w:rPr>
                <w:rFonts w:cs="Arial"/>
                <w:sz w:val="19"/>
                <w:szCs w:val="19"/>
                <w:lang w:eastAsia="fr-CA"/>
              </w:rPr>
              <w:t xml:space="preserve">ervice, </w:t>
            </w:r>
            <w:r w:rsidR="00D4786D">
              <w:rPr>
                <w:rFonts w:cs="Arial"/>
                <w:sz w:val="19"/>
                <w:szCs w:val="19"/>
                <w:lang w:eastAsia="fr-CA"/>
              </w:rPr>
              <w:t>p</w:t>
            </w:r>
            <w:r w:rsidRPr="00E36FD2">
              <w:rPr>
                <w:rFonts w:cs="Arial"/>
                <w:sz w:val="19"/>
                <w:szCs w:val="19"/>
                <w:lang w:eastAsia="fr-CA"/>
              </w:rPr>
              <w:t xml:space="preserve">ark </w:t>
            </w:r>
            <w:r w:rsidR="00D4786D">
              <w:rPr>
                <w:rFonts w:cs="Arial"/>
                <w:sz w:val="19"/>
                <w:szCs w:val="19"/>
                <w:lang w:eastAsia="fr-CA"/>
              </w:rPr>
              <w:t>s</w:t>
            </w:r>
            <w:r w:rsidRPr="00E36FD2">
              <w:rPr>
                <w:rFonts w:cs="Arial"/>
                <w:sz w:val="19"/>
                <w:szCs w:val="19"/>
                <w:lang w:eastAsia="fr-CA"/>
              </w:rPr>
              <w:t xml:space="preserve">ervice </w:t>
            </w:r>
            <w:r w:rsidR="00E87773" w:rsidRPr="00E36FD2">
              <w:rPr>
                <w:rFonts w:cs="Arial"/>
                <w:sz w:val="19"/>
                <w:szCs w:val="19"/>
                <w:lang w:eastAsia="fr-CA"/>
              </w:rPr>
              <w:t xml:space="preserve">(see below) </w:t>
            </w:r>
            <w:r w:rsidRPr="00E36FD2">
              <w:rPr>
                <w:rFonts w:cs="Arial"/>
                <w:sz w:val="19"/>
                <w:szCs w:val="19"/>
                <w:lang w:eastAsia="fr-CA"/>
              </w:rPr>
              <w:t xml:space="preserve">and </w:t>
            </w:r>
            <w:r w:rsidR="00D4786D">
              <w:rPr>
                <w:rFonts w:cs="Arial"/>
                <w:sz w:val="19"/>
                <w:szCs w:val="19"/>
                <w:lang w:eastAsia="fr-CA"/>
              </w:rPr>
              <w:t>c</w:t>
            </w:r>
            <w:r w:rsidRPr="00E36FD2">
              <w:rPr>
                <w:rFonts w:cs="Arial"/>
                <w:sz w:val="19"/>
                <w:szCs w:val="19"/>
                <w:lang w:eastAsia="fr-CA"/>
              </w:rPr>
              <w:t xml:space="preserve">ompression </w:t>
            </w:r>
            <w:r w:rsidR="00D4786D">
              <w:rPr>
                <w:rFonts w:cs="Arial"/>
                <w:sz w:val="19"/>
                <w:szCs w:val="19"/>
                <w:lang w:eastAsia="fr-CA"/>
              </w:rPr>
              <w:t>s</w:t>
            </w:r>
            <w:r w:rsidRPr="00E36FD2">
              <w:rPr>
                <w:rFonts w:cs="Arial"/>
                <w:sz w:val="19"/>
                <w:szCs w:val="19"/>
                <w:lang w:eastAsia="fr-CA"/>
              </w:rPr>
              <w:t xml:space="preserve">ervice (where acquired by the </w:t>
            </w:r>
            <w:r w:rsidR="00211830" w:rsidRPr="00E36FD2">
              <w:rPr>
                <w:rFonts w:cs="Arial"/>
                <w:sz w:val="19"/>
                <w:szCs w:val="19"/>
                <w:lang w:eastAsia="fr-CA"/>
              </w:rPr>
              <w:t>secondary shipper</w:t>
            </w:r>
            <w:r w:rsidRPr="00E36FD2">
              <w:rPr>
                <w:rFonts w:cs="Arial"/>
                <w:sz w:val="19"/>
                <w:szCs w:val="19"/>
                <w:lang w:eastAsia="fr-CA"/>
              </w:rPr>
              <w:t xml:space="preserve"> with the Firm Service).  Service </w:t>
            </w:r>
            <w:r w:rsidR="00211830" w:rsidRPr="00E36FD2">
              <w:rPr>
                <w:rFonts w:cs="Arial"/>
                <w:sz w:val="19"/>
                <w:szCs w:val="19"/>
                <w:lang w:eastAsia="fr-CA"/>
              </w:rPr>
              <w:t>p</w:t>
            </w:r>
            <w:r w:rsidRPr="00E36FD2">
              <w:rPr>
                <w:rFonts w:cs="Arial"/>
                <w:sz w:val="19"/>
                <w:szCs w:val="19"/>
                <w:lang w:eastAsia="fr-CA"/>
              </w:rPr>
              <w:t xml:space="preserve">roviders may also, at their discretion, elect to provide </w:t>
            </w:r>
            <w:r w:rsidR="00D4786D">
              <w:rPr>
                <w:rFonts w:cs="Arial"/>
                <w:sz w:val="19"/>
                <w:szCs w:val="19"/>
                <w:lang w:eastAsia="fr-CA"/>
              </w:rPr>
              <w:t>o</w:t>
            </w:r>
            <w:r w:rsidRPr="00E36FD2">
              <w:rPr>
                <w:rFonts w:cs="Arial"/>
                <w:sz w:val="19"/>
                <w:szCs w:val="19"/>
                <w:lang w:eastAsia="fr-CA"/>
              </w:rPr>
              <w:t xml:space="preserve">ther </w:t>
            </w:r>
            <w:r w:rsidR="00D4786D">
              <w:rPr>
                <w:rFonts w:cs="Arial"/>
                <w:sz w:val="19"/>
                <w:szCs w:val="19"/>
                <w:lang w:eastAsia="fr-CA"/>
              </w:rPr>
              <w:t>s</w:t>
            </w:r>
            <w:r w:rsidRPr="00E36FD2">
              <w:rPr>
                <w:rFonts w:cs="Arial"/>
                <w:sz w:val="19"/>
                <w:szCs w:val="19"/>
                <w:lang w:eastAsia="fr-CA"/>
              </w:rPr>
              <w:t xml:space="preserve">ervices </w:t>
            </w:r>
            <w:r w:rsidR="00B43ABD" w:rsidRPr="00E36FD2">
              <w:rPr>
                <w:rFonts w:cs="Arial"/>
                <w:sz w:val="19"/>
                <w:szCs w:val="19"/>
                <w:lang w:eastAsia="fr-CA"/>
              </w:rPr>
              <w:t>(e.g. other primary transportation and ancillary services, such as redirection, in-pipe trade</w:t>
            </w:r>
            <w:r w:rsidR="0009208D" w:rsidRPr="00E36FD2">
              <w:rPr>
                <w:rFonts w:cs="Arial"/>
                <w:sz w:val="19"/>
                <w:szCs w:val="19"/>
                <w:lang w:eastAsia="fr-CA"/>
              </w:rPr>
              <w:t xml:space="preserve"> and authorised overrun</w:t>
            </w:r>
            <w:r w:rsidR="00B43ABD" w:rsidRPr="00E36FD2">
              <w:rPr>
                <w:rFonts w:cs="Arial"/>
                <w:sz w:val="19"/>
                <w:szCs w:val="19"/>
                <w:lang w:eastAsia="fr-CA"/>
              </w:rPr>
              <w:t xml:space="preserve"> services) to the secondary shipper </w:t>
            </w:r>
            <w:r w:rsidRPr="00E36FD2">
              <w:rPr>
                <w:rFonts w:cs="Arial"/>
                <w:sz w:val="19"/>
                <w:szCs w:val="19"/>
                <w:lang w:eastAsia="fr-CA"/>
              </w:rPr>
              <w:t xml:space="preserve">(the terms of which will be described in their </w:t>
            </w:r>
            <w:r w:rsidR="0009208D" w:rsidRPr="00E36FD2">
              <w:rPr>
                <w:rFonts w:cs="Arial"/>
                <w:sz w:val="19"/>
                <w:szCs w:val="19"/>
                <w:lang w:eastAsia="fr-CA"/>
              </w:rPr>
              <w:t>facility s</w:t>
            </w:r>
            <w:r w:rsidRPr="00E36FD2">
              <w:rPr>
                <w:rFonts w:cs="Arial"/>
                <w:sz w:val="19"/>
                <w:szCs w:val="19"/>
                <w:lang w:eastAsia="fr-CA"/>
              </w:rPr>
              <w:t xml:space="preserve">pecific </w:t>
            </w:r>
            <w:r w:rsidR="0009208D" w:rsidRPr="00E36FD2">
              <w:rPr>
                <w:rFonts w:cs="Arial"/>
                <w:sz w:val="19"/>
                <w:szCs w:val="19"/>
                <w:lang w:eastAsia="fr-CA"/>
              </w:rPr>
              <w:t>t</w:t>
            </w:r>
            <w:r w:rsidRPr="00E36FD2">
              <w:rPr>
                <w:rFonts w:cs="Arial"/>
                <w:sz w:val="19"/>
                <w:szCs w:val="19"/>
                <w:lang w:eastAsia="fr-CA"/>
              </w:rPr>
              <w:t xml:space="preserve">erms). </w:t>
            </w:r>
          </w:p>
          <w:p w14:paraId="33BCFA44" w14:textId="4BEE5D97" w:rsidR="0057020B" w:rsidRPr="00E36FD2" w:rsidRDefault="00E87773" w:rsidP="00E87773">
            <w:pPr>
              <w:widowControl w:val="0"/>
              <w:tabs>
                <w:tab w:val="left" w:pos="720"/>
              </w:tabs>
              <w:spacing w:before="80"/>
              <w:ind w:left="109"/>
              <w:rPr>
                <w:rFonts w:cs="Arial"/>
                <w:sz w:val="19"/>
                <w:szCs w:val="19"/>
                <w:lang w:eastAsia="fr-CA"/>
              </w:rPr>
            </w:pPr>
            <w:r w:rsidRPr="00E36FD2">
              <w:rPr>
                <w:rFonts w:cs="Arial"/>
                <w:sz w:val="19"/>
                <w:szCs w:val="19"/>
                <w:lang w:eastAsia="fr-CA"/>
              </w:rPr>
              <w:t>A</w:t>
            </w:r>
            <w:r w:rsidR="0057020B" w:rsidRPr="00E36FD2">
              <w:rPr>
                <w:rFonts w:cs="Arial"/>
                <w:sz w:val="19"/>
                <w:szCs w:val="19"/>
                <w:lang w:eastAsia="fr-CA"/>
              </w:rPr>
              <w:t xml:space="preserve"> service provider is only required to provide a </w:t>
            </w:r>
            <w:r w:rsidR="00D4786D">
              <w:rPr>
                <w:rFonts w:cs="Arial"/>
                <w:sz w:val="19"/>
                <w:szCs w:val="19"/>
                <w:lang w:eastAsia="fr-CA"/>
              </w:rPr>
              <w:t>p</w:t>
            </w:r>
            <w:r w:rsidR="0057020B" w:rsidRPr="00E36FD2">
              <w:rPr>
                <w:rFonts w:cs="Arial"/>
                <w:sz w:val="19"/>
                <w:szCs w:val="19"/>
                <w:lang w:eastAsia="fr-CA"/>
              </w:rPr>
              <w:t xml:space="preserve">ark </w:t>
            </w:r>
            <w:r w:rsidR="00D4786D">
              <w:rPr>
                <w:rFonts w:cs="Arial"/>
                <w:sz w:val="19"/>
                <w:szCs w:val="19"/>
                <w:lang w:eastAsia="fr-CA"/>
              </w:rPr>
              <w:t>s</w:t>
            </w:r>
            <w:r w:rsidR="0057020B" w:rsidRPr="00E36FD2">
              <w:rPr>
                <w:rFonts w:cs="Arial"/>
                <w:sz w:val="19"/>
                <w:szCs w:val="19"/>
                <w:lang w:eastAsia="fr-CA"/>
              </w:rPr>
              <w:t xml:space="preserve">ervice where they make a </w:t>
            </w:r>
            <w:r w:rsidR="00D4786D">
              <w:rPr>
                <w:rFonts w:cs="Arial"/>
                <w:sz w:val="19"/>
                <w:szCs w:val="19"/>
                <w:lang w:eastAsia="fr-CA"/>
              </w:rPr>
              <w:t>p</w:t>
            </w:r>
            <w:r w:rsidR="0057020B" w:rsidRPr="00E36FD2">
              <w:rPr>
                <w:rFonts w:cs="Arial"/>
                <w:sz w:val="19"/>
                <w:szCs w:val="19"/>
                <w:lang w:eastAsia="fr-CA"/>
              </w:rPr>
              <w:t xml:space="preserve">ark </w:t>
            </w:r>
            <w:r w:rsidR="00D4786D">
              <w:rPr>
                <w:rFonts w:cs="Arial"/>
                <w:sz w:val="19"/>
                <w:szCs w:val="19"/>
                <w:lang w:eastAsia="fr-CA"/>
              </w:rPr>
              <w:t>s</w:t>
            </w:r>
            <w:r w:rsidR="0057020B" w:rsidRPr="00E36FD2">
              <w:rPr>
                <w:rFonts w:cs="Arial"/>
                <w:sz w:val="19"/>
                <w:szCs w:val="19"/>
                <w:lang w:eastAsia="fr-CA"/>
              </w:rPr>
              <w:t xml:space="preserve">ervice available to primary shippers (this follows inevitably as if a </w:t>
            </w:r>
            <w:r w:rsidR="00D4786D">
              <w:rPr>
                <w:rFonts w:cs="Arial"/>
                <w:sz w:val="19"/>
                <w:szCs w:val="19"/>
                <w:lang w:eastAsia="fr-CA"/>
              </w:rPr>
              <w:t>p</w:t>
            </w:r>
            <w:r w:rsidR="0057020B" w:rsidRPr="00E36FD2">
              <w:rPr>
                <w:rFonts w:cs="Arial"/>
                <w:sz w:val="19"/>
                <w:szCs w:val="19"/>
                <w:lang w:eastAsia="fr-CA"/>
              </w:rPr>
              <w:t xml:space="preserve">ark </w:t>
            </w:r>
            <w:r w:rsidR="00D4786D">
              <w:rPr>
                <w:rFonts w:cs="Arial"/>
                <w:sz w:val="19"/>
                <w:szCs w:val="19"/>
                <w:lang w:eastAsia="fr-CA"/>
              </w:rPr>
              <w:t>s</w:t>
            </w:r>
            <w:r w:rsidR="0057020B" w:rsidRPr="00E36FD2">
              <w:rPr>
                <w:rFonts w:cs="Arial"/>
                <w:sz w:val="19"/>
                <w:szCs w:val="19"/>
                <w:lang w:eastAsia="fr-CA"/>
              </w:rPr>
              <w:t>ervice is not provided to primary shippers on a pipeline then there is no park service for secondary shippers to acquire</w:t>
            </w:r>
            <w:r w:rsidR="00B43ABD" w:rsidRPr="00E36FD2">
              <w:rPr>
                <w:rFonts w:cs="Arial"/>
                <w:sz w:val="19"/>
                <w:szCs w:val="19"/>
                <w:lang w:eastAsia="fr-CA"/>
              </w:rPr>
              <w:t xml:space="preserve"> from the primary shipper</w:t>
            </w:r>
            <w:r w:rsidR="0057020B" w:rsidRPr="00E36FD2">
              <w:rPr>
                <w:rFonts w:cs="Arial"/>
                <w:sz w:val="19"/>
                <w:szCs w:val="19"/>
                <w:lang w:eastAsia="fr-CA"/>
              </w:rPr>
              <w:t>).</w:t>
            </w:r>
          </w:p>
        </w:tc>
      </w:tr>
      <w:tr w:rsidR="001C729B" w:rsidRPr="00E36FD2" w14:paraId="4D60D7E9" w14:textId="77777777" w:rsidTr="00EC1759">
        <w:trPr>
          <w:cnfStyle w:val="000000010000" w:firstRow="0" w:lastRow="0" w:firstColumn="0" w:lastColumn="0" w:oddVBand="0" w:evenVBand="0" w:oddHBand="0" w:evenHBand="1" w:firstRowFirstColumn="0" w:firstRowLastColumn="0" w:lastRowFirstColumn="0" w:lastRowLastColumn="0"/>
          <w:cantSplit/>
        </w:trPr>
        <w:tc>
          <w:tcPr>
            <w:tcW w:w="261" w:type="pct"/>
            <w:hideMark/>
          </w:tcPr>
          <w:p w14:paraId="08059123" w14:textId="77777777" w:rsidR="0057020B" w:rsidRPr="00E36FD2" w:rsidRDefault="0057020B" w:rsidP="00E87773">
            <w:pPr>
              <w:widowControl w:val="0"/>
              <w:spacing w:before="80"/>
              <w:ind w:left="74" w:right="74"/>
              <w:jc w:val="center"/>
              <w:rPr>
                <w:rFonts w:cs="Arial"/>
                <w:sz w:val="19"/>
                <w:szCs w:val="19"/>
                <w:lang w:eastAsia="fr-CA"/>
              </w:rPr>
            </w:pPr>
            <w:r w:rsidRPr="00E36FD2">
              <w:rPr>
                <w:rFonts w:cs="Arial"/>
                <w:sz w:val="19"/>
                <w:szCs w:val="19"/>
                <w:lang w:eastAsia="fr-CA"/>
              </w:rPr>
              <w:t>3.</w:t>
            </w:r>
          </w:p>
        </w:tc>
        <w:tc>
          <w:tcPr>
            <w:tcW w:w="725" w:type="pct"/>
          </w:tcPr>
          <w:p w14:paraId="589DA449" w14:textId="77777777" w:rsidR="0057020B" w:rsidRPr="00E36FD2" w:rsidRDefault="0057020B" w:rsidP="00E87773">
            <w:pPr>
              <w:widowControl w:val="0"/>
              <w:spacing w:before="80"/>
              <w:ind w:left="74" w:right="74"/>
              <w:rPr>
                <w:rFonts w:cs="Arial"/>
                <w:sz w:val="19"/>
                <w:szCs w:val="19"/>
                <w:lang w:eastAsia="fr-CA"/>
              </w:rPr>
            </w:pPr>
            <w:r w:rsidRPr="00E36FD2">
              <w:rPr>
                <w:rFonts w:cs="Arial"/>
                <w:sz w:val="19"/>
                <w:szCs w:val="19"/>
                <w:lang w:eastAsia="fr-CA"/>
              </w:rPr>
              <w:t>Service Standards</w:t>
            </w:r>
          </w:p>
        </w:tc>
        <w:tc>
          <w:tcPr>
            <w:tcW w:w="4013" w:type="pct"/>
          </w:tcPr>
          <w:p w14:paraId="32B463AE" w14:textId="77777777" w:rsidR="0057020B" w:rsidRPr="00E36FD2" w:rsidRDefault="0057020B" w:rsidP="00E87773">
            <w:pPr>
              <w:widowControl w:val="0"/>
              <w:tabs>
                <w:tab w:val="left" w:pos="720"/>
              </w:tabs>
              <w:spacing w:before="80"/>
              <w:ind w:left="109"/>
              <w:rPr>
                <w:rFonts w:cs="Arial"/>
                <w:sz w:val="19"/>
                <w:szCs w:val="19"/>
                <w:lang w:eastAsia="fr-CA"/>
              </w:rPr>
            </w:pPr>
            <w:r w:rsidRPr="00E36FD2">
              <w:rPr>
                <w:rFonts w:cs="Arial"/>
                <w:sz w:val="19"/>
                <w:szCs w:val="19"/>
                <w:lang w:eastAsia="fr-CA"/>
              </w:rPr>
              <w:t xml:space="preserve">Clause 3 requires the </w:t>
            </w:r>
            <w:r w:rsidR="00211830" w:rsidRPr="00E36FD2">
              <w:rPr>
                <w:rFonts w:cs="Arial"/>
                <w:sz w:val="19"/>
                <w:szCs w:val="19"/>
                <w:lang w:eastAsia="fr-CA"/>
              </w:rPr>
              <w:t>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rovider to provide services with due care and skill and in accordance with all applicable laws.</w:t>
            </w:r>
          </w:p>
        </w:tc>
      </w:tr>
      <w:tr w:rsidR="001C729B" w:rsidRPr="00E36FD2" w14:paraId="7612D82C" w14:textId="77777777" w:rsidTr="00EC1759">
        <w:trPr>
          <w:cantSplit/>
        </w:trPr>
        <w:tc>
          <w:tcPr>
            <w:tcW w:w="261" w:type="pct"/>
            <w:hideMark/>
          </w:tcPr>
          <w:p w14:paraId="1747ED59" w14:textId="77777777" w:rsidR="0057020B" w:rsidRPr="00E36FD2" w:rsidRDefault="0057020B" w:rsidP="00C05A16">
            <w:pPr>
              <w:widowControl w:val="0"/>
              <w:spacing w:before="80" w:after="80"/>
              <w:ind w:left="74" w:right="74"/>
              <w:jc w:val="center"/>
              <w:rPr>
                <w:rFonts w:cs="Arial"/>
                <w:sz w:val="19"/>
                <w:szCs w:val="19"/>
                <w:lang w:eastAsia="fr-CA"/>
              </w:rPr>
            </w:pPr>
            <w:r w:rsidRPr="00E36FD2">
              <w:rPr>
                <w:rFonts w:cs="Arial"/>
                <w:sz w:val="19"/>
                <w:szCs w:val="19"/>
                <w:lang w:eastAsia="fr-CA"/>
              </w:rPr>
              <w:t>4.</w:t>
            </w:r>
          </w:p>
        </w:tc>
        <w:tc>
          <w:tcPr>
            <w:tcW w:w="725" w:type="pct"/>
          </w:tcPr>
          <w:p w14:paraId="3D6931CB" w14:textId="77777777" w:rsidR="0057020B" w:rsidRPr="00E36FD2" w:rsidRDefault="0057020B" w:rsidP="00C05A16">
            <w:pPr>
              <w:widowControl w:val="0"/>
              <w:spacing w:before="80" w:after="80"/>
              <w:ind w:left="74" w:right="74"/>
              <w:rPr>
                <w:rFonts w:cs="Arial"/>
                <w:sz w:val="19"/>
                <w:szCs w:val="19"/>
                <w:lang w:eastAsia="fr-CA"/>
              </w:rPr>
            </w:pPr>
            <w:r w:rsidRPr="00E36FD2">
              <w:rPr>
                <w:rFonts w:cs="Arial"/>
                <w:sz w:val="19"/>
                <w:szCs w:val="19"/>
                <w:lang w:eastAsia="fr-CA"/>
              </w:rPr>
              <w:t>Nominations and scheduling</w:t>
            </w:r>
          </w:p>
        </w:tc>
        <w:tc>
          <w:tcPr>
            <w:tcW w:w="4013" w:type="pct"/>
          </w:tcPr>
          <w:p w14:paraId="07A81702" w14:textId="77777777" w:rsidR="0057020B" w:rsidRPr="00E36FD2" w:rsidRDefault="0057020B" w:rsidP="00C05A16">
            <w:pPr>
              <w:widowControl w:val="0"/>
              <w:tabs>
                <w:tab w:val="left" w:pos="720"/>
              </w:tabs>
              <w:spacing w:before="80" w:after="80"/>
              <w:ind w:left="109"/>
              <w:rPr>
                <w:rFonts w:cs="Arial"/>
                <w:sz w:val="19"/>
                <w:szCs w:val="19"/>
                <w:lang w:eastAsia="fr-CA"/>
              </w:rPr>
            </w:pPr>
            <w:r w:rsidRPr="00E36FD2">
              <w:rPr>
                <w:rFonts w:cs="Arial"/>
                <w:sz w:val="19"/>
                <w:szCs w:val="19"/>
                <w:lang w:eastAsia="fr-CA"/>
              </w:rPr>
              <w:t xml:space="preserve">Clause 4 sets out the procedures under which the </w:t>
            </w:r>
            <w:r w:rsidR="00211830" w:rsidRPr="00E36FD2">
              <w:rPr>
                <w:rFonts w:cs="Arial"/>
                <w:sz w:val="19"/>
                <w:szCs w:val="19"/>
                <w:lang w:eastAsia="fr-CA"/>
              </w:rPr>
              <w:t>secondary shipper</w:t>
            </w:r>
            <w:r w:rsidRPr="00E36FD2">
              <w:rPr>
                <w:rFonts w:cs="Arial"/>
                <w:sz w:val="19"/>
                <w:szCs w:val="19"/>
                <w:lang w:eastAsia="fr-CA"/>
              </w:rPr>
              <w:t xml:space="preserve"> nominates for its services and sets out when </w:t>
            </w:r>
            <w:r w:rsidR="00211830" w:rsidRPr="00E36FD2">
              <w:rPr>
                <w:rFonts w:cs="Arial"/>
                <w:sz w:val="19"/>
                <w:szCs w:val="19"/>
                <w:lang w:eastAsia="fr-CA"/>
              </w:rPr>
              <w:t xml:space="preserve">the service provider </w:t>
            </w:r>
            <w:r w:rsidRPr="00E36FD2">
              <w:rPr>
                <w:rFonts w:cs="Arial"/>
                <w:sz w:val="19"/>
                <w:szCs w:val="19"/>
                <w:lang w:eastAsia="fr-CA"/>
              </w:rPr>
              <w:t>is obliged to accept nominations.</w:t>
            </w:r>
          </w:p>
          <w:p w14:paraId="56876E88" w14:textId="05BD933C" w:rsidR="0057020B" w:rsidRPr="00E36FD2" w:rsidRDefault="00211830" w:rsidP="00C05A16">
            <w:pPr>
              <w:widowControl w:val="0"/>
              <w:tabs>
                <w:tab w:val="left" w:pos="720"/>
              </w:tabs>
              <w:spacing w:before="80" w:after="80"/>
              <w:ind w:left="109"/>
              <w:rPr>
                <w:rFonts w:cs="Arial"/>
                <w:sz w:val="19"/>
                <w:szCs w:val="19"/>
                <w:lang w:eastAsia="fr-CA"/>
              </w:rPr>
            </w:pPr>
            <w:r w:rsidRPr="00E36FD2">
              <w:rPr>
                <w:rFonts w:cs="Arial"/>
                <w:sz w:val="19"/>
                <w:szCs w:val="19"/>
                <w:lang w:eastAsia="fr-CA"/>
              </w:rPr>
              <w:t>The s</w:t>
            </w:r>
            <w:r w:rsidR="0057020B" w:rsidRPr="00E36FD2">
              <w:rPr>
                <w:rFonts w:cs="Arial"/>
                <w:sz w:val="19"/>
                <w:szCs w:val="19"/>
                <w:lang w:eastAsia="fr-CA"/>
              </w:rPr>
              <w:t xml:space="preserve">ervice </w:t>
            </w:r>
            <w:r w:rsidRPr="00E36FD2">
              <w:rPr>
                <w:rFonts w:cs="Arial"/>
                <w:sz w:val="19"/>
                <w:szCs w:val="19"/>
                <w:lang w:eastAsia="fr-CA"/>
              </w:rPr>
              <w:t>p</w:t>
            </w:r>
            <w:r w:rsidR="0057020B" w:rsidRPr="00E36FD2">
              <w:rPr>
                <w:rFonts w:cs="Arial"/>
                <w:sz w:val="19"/>
                <w:szCs w:val="19"/>
                <w:lang w:eastAsia="fr-CA"/>
              </w:rPr>
              <w:t xml:space="preserve">rovider is required to accept nominations where they comply with the </w:t>
            </w:r>
            <w:r w:rsidR="00D4786D">
              <w:rPr>
                <w:rFonts w:cs="Arial"/>
                <w:sz w:val="19"/>
                <w:szCs w:val="19"/>
                <w:lang w:eastAsia="fr-CA"/>
              </w:rPr>
              <w:t>o</w:t>
            </w:r>
            <w:r w:rsidR="0057020B" w:rsidRPr="00E36FD2">
              <w:rPr>
                <w:rFonts w:cs="Arial"/>
                <w:sz w:val="19"/>
                <w:szCs w:val="19"/>
                <w:lang w:eastAsia="fr-CA"/>
              </w:rPr>
              <w:t xml:space="preserve">perational GTA and provided </w:t>
            </w:r>
            <w:r w:rsidRPr="00E36FD2">
              <w:rPr>
                <w:rFonts w:cs="Arial"/>
                <w:sz w:val="19"/>
                <w:szCs w:val="19"/>
                <w:lang w:eastAsia="fr-CA"/>
              </w:rPr>
              <w:t xml:space="preserve">the service provider </w:t>
            </w:r>
            <w:r w:rsidR="0057020B" w:rsidRPr="00E36FD2">
              <w:rPr>
                <w:rFonts w:cs="Arial"/>
                <w:sz w:val="19"/>
                <w:szCs w:val="19"/>
                <w:lang w:eastAsia="fr-CA"/>
              </w:rPr>
              <w:t xml:space="preserve">is not prevented by circumstances (not caused by </w:t>
            </w:r>
            <w:r w:rsidRPr="00E36FD2">
              <w:rPr>
                <w:rFonts w:cs="Arial"/>
                <w:sz w:val="19"/>
                <w:szCs w:val="19"/>
                <w:lang w:eastAsia="fr-CA"/>
              </w:rPr>
              <w:t>the s</w:t>
            </w:r>
            <w:r w:rsidR="0057020B" w:rsidRPr="00E36FD2">
              <w:rPr>
                <w:rFonts w:cs="Arial"/>
                <w:sz w:val="19"/>
                <w:szCs w:val="19"/>
                <w:lang w:eastAsia="fr-CA"/>
              </w:rPr>
              <w:t xml:space="preserve">ervice </w:t>
            </w:r>
            <w:r w:rsidRPr="00E36FD2">
              <w:rPr>
                <w:rFonts w:cs="Arial"/>
                <w:sz w:val="19"/>
                <w:szCs w:val="19"/>
                <w:lang w:eastAsia="fr-CA"/>
              </w:rPr>
              <w:t>p</w:t>
            </w:r>
            <w:r w:rsidR="0057020B" w:rsidRPr="00E36FD2">
              <w:rPr>
                <w:rFonts w:cs="Arial"/>
                <w:sz w:val="19"/>
                <w:szCs w:val="19"/>
                <w:lang w:eastAsia="fr-CA"/>
              </w:rPr>
              <w:t xml:space="preserve">rovider’s failure to act as a reasonable and prudent operator) from accepting the nomination.  </w:t>
            </w:r>
          </w:p>
          <w:p w14:paraId="24A84A33" w14:textId="77777777" w:rsidR="0057020B" w:rsidRPr="00E36FD2" w:rsidRDefault="0057020B" w:rsidP="00C05A16">
            <w:pPr>
              <w:widowControl w:val="0"/>
              <w:tabs>
                <w:tab w:val="left" w:pos="720"/>
              </w:tabs>
              <w:spacing w:before="80" w:after="80"/>
              <w:ind w:left="109"/>
              <w:rPr>
                <w:rFonts w:cs="Arial"/>
                <w:sz w:val="19"/>
                <w:szCs w:val="19"/>
                <w:lang w:eastAsia="fr-CA"/>
              </w:rPr>
            </w:pPr>
            <w:r w:rsidRPr="00E36FD2">
              <w:rPr>
                <w:rFonts w:cs="Arial"/>
                <w:sz w:val="19"/>
                <w:szCs w:val="19"/>
                <w:lang w:eastAsia="fr-CA"/>
              </w:rPr>
              <w:t xml:space="preserve">While </w:t>
            </w:r>
            <w:r w:rsidR="00211830" w:rsidRPr="00E36FD2">
              <w:rPr>
                <w:rFonts w:cs="Arial"/>
                <w:sz w:val="19"/>
                <w:szCs w:val="19"/>
                <w:lang w:eastAsia="fr-CA"/>
              </w:rPr>
              <w:t xml:space="preserve">the service provider </w:t>
            </w:r>
            <w:r w:rsidRPr="00E36FD2">
              <w:rPr>
                <w:rFonts w:cs="Arial"/>
                <w:sz w:val="19"/>
                <w:szCs w:val="19"/>
                <w:lang w:eastAsia="fr-CA"/>
              </w:rPr>
              <w:t xml:space="preserve">may reject a nomination if </w:t>
            </w:r>
            <w:r w:rsidR="00211830" w:rsidRPr="00E36FD2">
              <w:rPr>
                <w:rFonts w:cs="Arial"/>
                <w:sz w:val="19"/>
                <w:szCs w:val="19"/>
                <w:lang w:eastAsia="fr-CA"/>
              </w:rPr>
              <w:t xml:space="preserve">the service provider </w:t>
            </w:r>
            <w:r w:rsidRPr="00E36FD2">
              <w:rPr>
                <w:rFonts w:cs="Arial"/>
                <w:sz w:val="19"/>
                <w:szCs w:val="19"/>
                <w:lang w:eastAsia="fr-CA"/>
              </w:rPr>
              <w:t xml:space="preserve">cannot transport the nominated quantities due to circumstances caused by </w:t>
            </w:r>
            <w:r w:rsidR="00211830" w:rsidRPr="00E36FD2">
              <w:rPr>
                <w:rFonts w:cs="Arial"/>
                <w:sz w:val="19"/>
                <w:szCs w:val="19"/>
                <w:lang w:eastAsia="fr-CA"/>
              </w:rPr>
              <w:t>the 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 xml:space="preserve">rovider’s failure to act as a reasonable and prudent operator, </w:t>
            </w:r>
            <w:r w:rsidR="00211830" w:rsidRPr="00E36FD2">
              <w:rPr>
                <w:rFonts w:cs="Arial"/>
                <w:sz w:val="19"/>
                <w:szCs w:val="19"/>
                <w:lang w:eastAsia="fr-CA"/>
              </w:rPr>
              <w:t xml:space="preserve">the service provider </w:t>
            </w:r>
            <w:r w:rsidRPr="00E36FD2">
              <w:rPr>
                <w:rFonts w:cs="Arial"/>
                <w:sz w:val="19"/>
                <w:szCs w:val="19"/>
                <w:lang w:eastAsia="fr-CA"/>
              </w:rPr>
              <w:t xml:space="preserve">will be in breach of contract for rejecting the nomination.  </w:t>
            </w:r>
          </w:p>
          <w:p w14:paraId="6733447E" w14:textId="166E393E" w:rsidR="0057020B" w:rsidRPr="00E36FD2" w:rsidRDefault="0057020B" w:rsidP="00C05A16">
            <w:pPr>
              <w:widowControl w:val="0"/>
              <w:tabs>
                <w:tab w:val="left" w:pos="720"/>
              </w:tabs>
              <w:spacing w:before="80" w:after="80"/>
              <w:ind w:left="109"/>
              <w:rPr>
                <w:rFonts w:cs="Arial"/>
                <w:sz w:val="19"/>
                <w:szCs w:val="19"/>
                <w:lang w:eastAsia="fr-CA"/>
              </w:rPr>
            </w:pPr>
            <w:r w:rsidRPr="00E36FD2">
              <w:rPr>
                <w:rFonts w:cs="Arial"/>
                <w:sz w:val="19"/>
                <w:szCs w:val="19"/>
                <w:lang w:eastAsia="fr-CA"/>
              </w:rPr>
              <w:t xml:space="preserve">Where </w:t>
            </w:r>
            <w:r w:rsidR="00211830" w:rsidRPr="00E36FD2">
              <w:rPr>
                <w:rFonts w:cs="Arial"/>
                <w:sz w:val="19"/>
                <w:szCs w:val="19"/>
                <w:lang w:eastAsia="fr-CA"/>
              </w:rPr>
              <w:t xml:space="preserve">the service provider </w:t>
            </w:r>
            <w:r w:rsidRPr="00E36FD2">
              <w:rPr>
                <w:rFonts w:cs="Arial"/>
                <w:sz w:val="19"/>
                <w:szCs w:val="19"/>
                <w:lang w:eastAsia="fr-CA"/>
              </w:rPr>
              <w:t xml:space="preserve">cannot accept the nominations of all shippers then available capacity will be allocated in accordance with priority principles set out in the </w:t>
            </w:r>
            <w:r w:rsidR="0009208D" w:rsidRPr="00E36FD2">
              <w:rPr>
                <w:rFonts w:cs="Arial"/>
                <w:sz w:val="19"/>
                <w:szCs w:val="19"/>
                <w:lang w:eastAsia="fr-CA"/>
              </w:rPr>
              <w:t>facility s</w:t>
            </w:r>
            <w:r w:rsidRPr="00E36FD2">
              <w:rPr>
                <w:rFonts w:cs="Arial"/>
                <w:sz w:val="19"/>
                <w:szCs w:val="19"/>
                <w:lang w:eastAsia="fr-CA"/>
              </w:rPr>
              <w:t xml:space="preserve">pecific </w:t>
            </w:r>
            <w:r w:rsidR="0009208D" w:rsidRPr="00E36FD2">
              <w:rPr>
                <w:rFonts w:cs="Arial"/>
                <w:sz w:val="19"/>
                <w:szCs w:val="19"/>
                <w:lang w:eastAsia="fr-CA"/>
              </w:rPr>
              <w:t>t</w:t>
            </w:r>
            <w:r w:rsidRPr="00E36FD2">
              <w:rPr>
                <w:rFonts w:cs="Arial"/>
                <w:sz w:val="19"/>
                <w:szCs w:val="19"/>
                <w:lang w:eastAsia="fr-CA"/>
              </w:rPr>
              <w:t>erms.</w:t>
            </w:r>
          </w:p>
          <w:p w14:paraId="34D777EE" w14:textId="44412D36" w:rsidR="0057020B" w:rsidRPr="00E36FD2" w:rsidRDefault="0057020B" w:rsidP="00C05A16">
            <w:pPr>
              <w:widowControl w:val="0"/>
              <w:tabs>
                <w:tab w:val="left" w:pos="720"/>
              </w:tabs>
              <w:spacing w:before="80" w:after="80"/>
              <w:ind w:left="109"/>
              <w:rPr>
                <w:rFonts w:cs="Arial"/>
                <w:sz w:val="19"/>
                <w:szCs w:val="19"/>
                <w:lang w:eastAsia="fr-CA"/>
              </w:rPr>
            </w:pPr>
            <w:r w:rsidRPr="00E36FD2">
              <w:rPr>
                <w:rFonts w:cs="Arial"/>
                <w:sz w:val="19"/>
                <w:szCs w:val="19"/>
                <w:lang w:eastAsia="fr-CA"/>
              </w:rPr>
              <w:t xml:space="preserve">Scheduling (being the process by which </w:t>
            </w:r>
            <w:r w:rsidR="00211830" w:rsidRPr="00E36FD2">
              <w:rPr>
                <w:rFonts w:cs="Arial"/>
                <w:sz w:val="19"/>
                <w:szCs w:val="19"/>
                <w:lang w:eastAsia="fr-CA"/>
              </w:rPr>
              <w:t>the secondary shipper</w:t>
            </w:r>
            <w:r w:rsidRPr="00E36FD2">
              <w:rPr>
                <w:rFonts w:cs="Arial"/>
                <w:sz w:val="19"/>
                <w:szCs w:val="19"/>
                <w:lang w:eastAsia="fr-CA"/>
              </w:rPr>
              <w:t xml:space="preserve"> is notified of the quantity of gas which it is required to supply into the pipeline on a day and of which it may take delivery on a day) will be undertaken in accordance with the </w:t>
            </w:r>
            <w:r w:rsidR="00996004" w:rsidRPr="00E36FD2">
              <w:rPr>
                <w:rFonts w:cs="Arial"/>
                <w:sz w:val="19"/>
                <w:szCs w:val="19"/>
                <w:lang w:eastAsia="fr-CA"/>
              </w:rPr>
              <w:t>facility specific terms</w:t>
            </w:r>
            <w:r w:rsidRPr="00E36FD2">
              <w:rPr>
                <w:rFonts w:cs="Arial"/>
                <w:sz w:val="19"/>
                <w:szCs w:val="19"/>
                <w:lang w:eastAsia="fr-CA"/>
              </w:rPr>
              <w:t>.</w:t>
            </w:r>
          </w:p>
          <w:p w14:paraId="4920BD5A" w14:textId="77777777" w:rsidR="0057020B" w:rsidRPr="00E36FD2" w:rsidRDefault="0057020B" w:rsidP="00C05A16">
            <w:pPr>
              <w:widowControl w:val="0"/>
              <w:tabs>
                <w:tab w:val="left" w:pos="720"/>
              </w:tabs>
              <w:spacing w:before="80" w:after="80"/>
              <w:rPr>
                <w:rFonts w:cs="Arial"/>
                <w:sz w:val="19"/>
                <w:szCs w:val="19"/>
                <w:lang w:eastAsia="fr-CA"/>
              </w:rPr>
            </w:pPr>
            <w:r w:rsidRPr="00E36FD2">
              <w:rPr>
                <w:rFonts w:cs="Arial"/>
                <w:sz w:val="19"/>
                <w:szCs w:val="19"/>
                <w:lang w:eastAsia="fr-CA"/>
              </w:rPr>
              <w:t xml:space="preserve">Clause 4.3 sets out renomination rights.  Subject to a number of qualifications </w:t>
            </w:r>
            <w:r w:rsidR="00211830" w:rsidRPr="00E36FD2">
              <w:rPr>
                <w:rFonts w:cs="Arial"/>
                <w:sz w:val="19"/>
                <w:szCs w:val="19"/>
                <w:lang w:eastAsia="fr-CA"/>
              </w:rPr>
              <w:t xml:space="preserve">the service provider </w:t>
            </w:r>
            <w:r w:rsidRPr="00E36FD2">
              <w:rPr>
                <w:rFonts w:cs="Arial"/>
                <w:sz w:val="19"/>
                <w:szCs w:val="19"/>
                <w:lang w:eastAsia="fr-CA"/>
              </w:rPr>
              <w:t>has a reasonable endeavours obligation to accept renominations.</w:t>
            </w:r>
          </w:p>
          <w:p w14:paraId="080D0203" w14:textId="77777777" w:rsidR="0057020B" w:rsidRPr="00E36FD2" w:rsidRDefault="0057020B" w:rsidP="00C05A16">
            <w:pPr>
              <w:widowControl w:val="0"/>
              <w:tabs>
                <w:tab w:val="left" w:pos="720"/>
              </w:tabs>
              <w:spacing w:before="80" w:after="80"/>
              <w:ind w:left="109"/>
              <w:rPr>
                <w:rFonts w:cs="Arial"/>
                <w:sz w:val="19"/>
                <w:szCs w:val="19"/>
                <w:lang w:eastAsia="fr-CA"/>
              </w:rPr>
            </w:pPr>
            <w:r w:rsidRPr="00E36FD2">
              <w:rPr>
                <w:rFonts w:cs="Arial"/>
                <w:sz w:val="19"/>
                <w:szCs w:val="19"/>
                <w:lang w:eastAsia="fr-CA"/>
              </w:rPr>
              <w:t xml:space="preserve">Clause 4.4 requires </w:t>
            </w:r>
            <w:r w:rsidR="00211830" w:rsidRPr="00E36FD2">
              <w:rPr>
                <w:rFonts w:cs="Arial"/>
                <w:sz w:val="19"/>
                <w:szCs w:val="19"/>
                <w:lang w:eastAsia="fr-CA"/>
              </w:rPr>
              <w:t>the 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 xml:space="preserve">rovider, to the extent the information is available, to notify </w:t>
            </w:r>
            <w:r w:rsidR="00211830" w:rsidRPr="00E36FD2">
              <w:rPr>
                <w:rFonts w:cs="Arial"/>
                <w:sz w:val="19"/>
                <w:szCs w:val="19"/>
                <w:lang w:eastAsia="fr-CA"/>
              </w:rPr>
              <w:t>the secondary shipper</w:t>
            </w:r>
            <w:r w:rsidRPr="00E36FD2">
              <w:rPr>
                <w:rFonts w:cs="Arial"/>
                <w:sz w:val="19"/>
                <w:szCs w:val="19"/>
                <w:lang w:eastAsia="fr-CA"/>
              </w:rPr>
              <w:t xml:space="preserve"> upon the expiry of each day of the quantities of gas supplied by and delivered to </w:t>
            </w:r>
            <w:r w:rsidR="00211830" w:rsidRPr="00E36FD2">
              <w:rPr>
                <w:rFonts w:cs="Arial"/>
                <w:sz w:val="19"/>
                <w:szCs w:val="19"/>
                <w:lang w:eastAsia="fr-CA"/>
              </w:rPr>
              <w:t>the secondary shipper</w:t>
            </w:r>
            <w:r w:rsidRPr="00E36FD2">
              <w:rPr>
                <w:rFonts w:cs="Arial"/>
                <w:sz w:val="19"/>
                <w:szCs w:val="19"/>
                <w:lang w:eastAsia="fr-CA"/>
              </w:rPr>
              <w:t xml:space="preserve"> on that day.</w:t>
            </w:r>
          </w:p>
        </w:tc>
      </w:tr>
      <w:tr w:rsidR="001C729B" w:rsidRPr="00E36FD2" w14:paraId="5729B220" w14:textId="77777777" w:rsidTr="00EC1759">
        <w:trPr>
          <w:cnfStyle w:val="000000010000" w:firstRow="0" w:lastRow="0" w:firstColumn="0" w:lastColumn="0" w:oddVBand="0" w:evenVBand="0" w:oddHBand="0" w:evenHBand="1" w:firstRowFirstColumn="0" w:firstRowLastColumn="0" w:lastRowFirstColumn="0" w:lastRowLastColumn="0"/>
          <w:cantSplit/>
        </w:trPr>
        <w:tc>
          <w:tcPr>
            <w:tcW w:w="261" w:type="pct"/>
            <w:hideMark/>
          </w:tcPr>
          <w:p w14:paraId="4BFBFAD5" w14:textId="77777777" w:rsidR="0057020B" w:rsidRPr="00E36FD2" w:rsidRDefault="0057020B" w:rsidP="00C05A16">
            <w:pPr>
              <w:widowControl w:val="0"/>
              <w:spacing w:before="80" w:after="120"/>
              <w:ind w:left="74" w:right="74"/>
              <w:jc w:val="center"/>
              <w:rPr>
                <w:rFonts w:cs="Arial"/>
                <w:sz w:val="19"/>
                <w:szCs w:val="19"/>
                <w:lang w:eastAsia="fr-CA"/>
              </w:rPr>
            </w:pPr>
            <w:r w:rsidRPr="00E36FD2">
              <w:rPr>
                <w:rFonts w:cs="Arial"/>
                <w:sz w:val="19"/>
                <w:szCs w:val="19"/>
                <w:lang w:eastAsia="fr-CA"/>
              </w:rPr>
              <w:lastRenderedPageBreak/>
              <w:t>5</w:t>
            </w:r>
          </w:p>
        </w:tc>
        <w:tc>
          <w:tcPr>
            <w:tcW w:w="725" w:type="pct"/>
          </w:tcPr>
          <w:p w14:paraId="1CD2981F" w14:textId="77777777" w:rsidR="0057020B" w:rsidRPr="00E36FD2" w:rsidRDefault="0057020B" w:rsidP="00C05A16">
            <w:pPr>
              <w:widowControl w:val="0"/>
              <w:spacing w:before="80" w:after="120"/>
              <w:ind w:left="74" w:right="74"/>
              <w:rPr>
                <w:rFonts w:cs="Arial"/>
                <w:sz w:val="19"/>
                <w:szCs w:val="19"/>
                <w:lang w:eastAsia="fr-CA"/>
              </w:rPr>
            </w:pPr>
            <w:r w:rsidRPr="00E36FD2">
              <w:rPr>
                <w:rFonts w:cs="Arial"/>
                <w:sz w:val="19"/>
                <w:szCs w:val="19"/>
                <w:lang w:eastAsia="fr-CA"/>
              </w:rPr>
              <w:t>System Use Gas</w:t>
            </w:r>
          </w:p>
        </w:tc>
        <w:tc>
          <w:tcPr>
            <w:tcW w:w="4013" w:type="pct"/>
          </w:tcPr>
          <w:p w14:paraId="56228F76" w14:textId="769BB610" w:rsidR="0057020B" w:rsidRPr="00E36FD2" w:rsidRDefault="0057020B" w:rsidP="00C05A16">
            <w:pPr>
              <w:widowControl w:val="0"/>
              <w:tabs>
                <w:tab w:val="left" w:pos="720"/>
              </w:tabs>
              <w:spacing w:before="80" w:after="120"/>
              <w:ind w:left="109"/>
              <w:rPr>
                <w:rFonts w:cs="Arial"/>
                <w:sz w:val="19"/>
                <w:szCs w:val="19"/>
                <w:lang w:eastAsia="fr-CA"/>
              </w:rPr>
            </w:pPr>
            <w:r w:rsidRPr="00E36FD2">
              <w:rPr>
                <w:rFonts w:cs="Arial"/>
                <w:sz w:val="19"/>
                <w:szCs w:val="19"/>
                <w:lang w:eastAsia="fr-CA"/>
              </w:rPr>
              <w:t xml:space="preserve">System </w:t>
            </w:r>
            <w:r w:rsidR="00D4786D">
              <w:rPr>
                <w:rFonts w:cs="Arial"/>
                <w:sz w:val="19"/>
                <w:szCs w:val="19"/>
                <w:lang w:eastAsia="fr-CA"/>
              </w:rPr>
              <w:t>u</w:t>
            </w:r>
            <w:r w:rsidRPr="00E36FD2">
              <w:rPr>
                <w:rFonts w:cs="Arial"/>
                <w:sz w:val="19"/>
                <w:szCs w:val="19"/>
                <w:lang w:eastAsia="fr-CA"/>
              </w:rPr>
              <w:t xml:space="preserve">se </w:t>
            </w:r>
            <w:r w:rsidR="00D4786D">
              <w:rPr>
                <w:rFonts w:cs="Arial"/>
                <w:sz w:val="19"/>
                <w:szCs w:val="19"/>
                <w:lang w:eastAsia="fr-CA"/>
              </w:rPr>
              <w:t>g</w:t>
            </w:r>
            <w:r w:rsidRPr="00E36FD2">
              <w:rPr>
                <w:rFonts w:cs="Arial"/>
                <w:sz w:val="19"/>
                <w:szCs w:val="19"/>
                <w:lang w:eastAsia="fr-CA"/>
              </w:rPr>
              <w:t xml:space="preserve">as is gas required by </w:t>
            </w:r>
            <w:r w:rsidR="00211830" w:rsidRPr="00E36FD2">
              <w:rPr>
                <w:rFonts w:cs="Arial"/>
                <w:sz w:val="19"/>
                <w:szCs w:val="19"/>
                <w:lang w:eastAsia="fr-CA"/>
              </w:rPr>
              <w:t xml:space="preserve">the service provider </w:t>
            </w:r>
            <w:r w:rsidRPr="00E36FD2">
              <w:rPr>
                <w:rFonts w:cs="Arial"/>
                <w:sz w:val="19"/>
                <w:szCs w:val="19"/>
                <w:lang w:eastAsia="fr-CA"/>
              </w:rPr>
              <w:t xml:space="preserve">to operate the </w:t>
            </w:r>
            <w:r w:rsidR="002363C2" w:rsidRPr="00E36FD2">
              <w:rPr>
                <w:rFonts w:cs="Arial"/>
                <w:sz w:val="19"/>
                <w:szCs w:val="19"/>
                <w:lang w:eastAsia="fr-CA"/>
              </w:rPr>
              <w:t>pipeline</w:t>
            </w:r>
            <w:r w:rsidRPr="00E36FD2">
              <w:rPr>
                <w:rFonts w:cs="Arial"/>
                <w:sz w:val="19"/>
                <w:szCs w:val="19"/>
                <w:lang w:eastAsia="fr-CA"/>
              </w:rPr>
              <w:t xml:space="preserve">.  It includes compressor fuel, gas heater fuel, unaccounted for gas and gas required to replenish the </w:t>
            </w:r>
            <w:r w:rsidR="002363C2" w:rsidRPr="00E36FD2">
              <w:rPr>
                <w:rFonts w:cs="Arial"/>
                <w:sz w:val="19"/>
                <w:szCs w:val="19"/>
                <w:lang w:eastAsia="fr-CA"/>
              </w:rPr>
              <w:t>pipeline</w:t>
            </w:r>
            <w:r w:rsidRPr="00E36FD2">
              <w:rPr>
                <w:rFonts w:cs="Arial"/>
                <w:sz w:val="19"/>
                <w:szCs w:val="19"/>
                <w:lang w:eastAsia="fr-CA"/>
              </w:rPr>
              <w:t xml:space="preserve">’s </w:t>
            </w:r>
            <w:proofErr w:type="spellStart"/>
            <w:r w:rsidRPr="00E36FD2">
              <w:rPr>
                <w:rFonts w:cs="Arial"/>
                <w:sz w:val="19"/>
                <w:szCs w:val="19"/>
                <w:lang w:eastAsia="fr-CA"/>
              </w:rPr>
              <w:t>linepack</w:t>
            </w:r>
            <w:proofErr w:type="spellEnd"/>
            <w:r w:rsidRPr="00E36FD2">
              <w:rPr>
                <w:rFonts w:cs="Arial"/>
                <w:sz w:val="19"/>
                <w:szCs w:val="19"/>
                <w:lang w:eastAsia="fr-CA"/>
              </w:rPr>
              <w:t xml:space="preserve"> (though some pipelines deal with </w:t>
            </w:r>
            <w:proofErr w:type="spellStart"/>
            <w:r w:rsidRPr="00E36FD2">
              <w:rPr>
                <w:rFonts w:cs="Arial"/>
                <w:sz w:val="19"/>
                <w:szCs w:val="19"/>
                <w:lang w:eastAsia="fr-CA"/>
              </w:rPr>
              <w:t>linepack</w:t>
            </w:r>
            <w:proofErr w:type="spellEnd"/>
            <w:r w:rsidRPr="00E36FD2">
              <w:rPr>
                <w:rFonts w:cs="Arial"/>
                <w:sz w:val="19"/>
                <w:szCs w:val="19"/>
                <w:lang w:eastAsia="fr-CA"/>
              </w:rPr>
              <w:t xml:space="preserve"> gas separately from other quantities of System Use Gas).</w:t>
            </w:r>
          </w:p>
          <w:p w14:paraId="06E69689" w14:textId="662E0016" w:rsidR="0057020B" w:rsidRPr="00E36FD2" w:rsidRDefault="0057020B" w:rsidP="00C05A16">
            <w:pPr>
              <w:widowControl w:val="0"/>
              <w:tabs>
                <w:tab w:val="left" w:pos="720"/>
              </w:tabs>
              <w:spacing w:before="80" w:after="120"/>
              <w:ind w:left="109"/>
              <w:rPr>
                <w:rFonts w:cs="Arial"/>
                <w:sz w:val="19"/>
                <w:szCs w:val="19"/>
                <w:lang w:eastAsia="fr-CA"/>
              </w:rPr>
            </w:pPr>
            <w:r w:rsidRPr="00E36FD2">
              <w:rPr>
                <w:rFonts w:cs="Arial"/>
                <w:sz w:val="19"/>
                <w:szCs w:val="19"/>
                <w:lang w:eastAsia="fr-CA"/>
              </w:rPr>
              <w:t xml:space="preserve">Service </w:t>
            </w:r>
            <w:r w:rsidR="00211830" w:rsidRPr="00E36FD2">
              <w:rPr>
                <w:rFonts w:cs="Arial"/>
                <w:sz w:val="19"/>
                <w:szCs w:val="19"/>
                <w:lang w:eastAsia="fr-CA"/>
              </w:rPr>
              <w:t>p</w:t>
            </w:r>
            <w:r w:rsidRPr="00E36FD2">
              <w:rPr>
                <w:rFonts w:cs="Arial"/>
                <w:sz w:val="19"/>
                <w:szCs w:val="19"/>
                <w:lang w:eastAsia="fr-CA"/>
              </w:rPr>
              <w:t xml:space="preserve">roviders require the users of their pipelines to provide </w:t>
            </w:r>
            <w:r w:rsidR="00D4786D">
              <w:rPr>
                <w:rFonts w:cs="Arial"/>
                <w:sz w:val="19"/>
                <w:szCs w:val="19"/>
                <w:lang w:eastAsia="fr-CA"/>
              </w:rPr>
              <w:t>s</w:t>
            </w:r>
            <w:r w:rsidRPr="00E36FD2">
              <w:rPr>
                <w:rFonts w:cs="Arial"/>
                <w:sz w:val="19"/>
                <w:szCs w:val="19"/>
                <w:lang w:eastAsia="fr-CA"/>
              </w:rPr>
              <w:t xml:space="preserve">ystem </w:t>
            </w:r>
            <w:r w:rsidR="00D4786D">
              <w:rPr>
                <w:rFonts w:cs="Arial"/>
                <w:sz w:val="19"/>
                <w:szCs w:val="19"/>
                <w:lang w:eastAsia="fr-CA"/>
              </w:rPr>
              <w:t>u</w:t>
            </w:r>
            <w:r w:rsidRPr="00E36FD2">
              <w:rPr>
                <w:rFonts w:cs="Arial"/>
                <w:sz w:val="19"/>
                <w:szCs w:val="19"/>
                <w:lang w:eastAsia="fr-CA"/>
              </w:rPr>
              <w:t xml:space="preserve">se </w:t>
            </w:r>
            <w:r w:rsidR="00D4786D">
              <w:rPr>
                <w:rFonts w:cs="Arial"/>
                <w:sz w:val="19"/>
                <w:szCs w:val="19"/>
                <w:lang w:eastAsia="fr-CA"/>
              </w:rPr>
              <w:t>g</w:t>
            </w:r>
            <w:r w:rsidRPr="00E36FD2">
              <w:rPr>
                <w:rFonts w:cs="Arial"/>
                <w:sz w:val="19"/>
                <w:szCs w:val="19"/>
                <w:lang w:eastAsia="fr-CA"/>
              </w:rPr>
              <w:t xml:space="preserve">as, though the procedures for determining the quantities required to be supplied differ between pipelines.  Given this, it is proposed the provisions for supply of System Use Gas will be dealt with in the </w:t>
            </w:r>
            <w:r w:rsidR="0009208D" w:rsidRPr="00E36FD2">
              <w:rPr>
                <w:rFonts w:cs="Arial"/>
                <w:sz w:val="19"/>
                <w:szCs w:val="19"/>
                <w:lang w:eastAsia="fr-CA"/>
              </w:rPr>
              <w:t>facility s</w:t>
            </w:r>
            <w:r w:rsidRPr="00E36FD2">
              <w:rPr>
                <w:rFonts w:cs="Arial"/>
                <w:sz w:val="19"/>
                <w:szCs w:val="19"/>
                <w:lang w:eastAsia="fr-CA"/>
              </w:rPr>
              <w:t xml:space="preserve">pecific </w:t>
            </w:r>
            <w:r w:rsidR="0009208D" w:rsidRPr="00E36FD2">
              <w:rPr>
                <w:rFonts w:cs="Arial"/>
                <w:sz w:val="19"/>
                <w:szCs w:val="19"/>
                <w:lang w:eastAsia="fr-CA"/>
              </w:rPr>
              <w:t>t</w:t>
            </w:r>
            <w:r w:rsidRPr="00E36FD2">
              <w:rPr>
                <w:rFonts w:cs="Arial"/>
                <w:sz w:val="19"/>
                <w:szCs w:val="19"/>
                <w:lang w:eastAsia="fr-CA"/>
              </w:rPr>
              <w:t>erms.  However</w:t>
            </w:r>
            <w:r w:rsidR="00AF665D" w:rsidRPr="00E36FD2">
              <w:rPr>
                <w:rFonts w:cs="Arial"/>
                <w:sz w:val="19"/>
                <w:szCs w:val="19"/>
                <w:lang w:eastAsia="fr-CA"/>
              </w:rPr>
              <w:t>,</w:t>
            </w:r>
            <w:r w:rsidRPr="00E36FD2">
              <w:rPr>
                <w:rFonts w:cs="Arial"/>
                <w:sz w:val="19"/>
                <w:szCs w:val="19"/>
                <w:lang w:eastAsia="fr-CA"/>
              </w:rPr>
              <w:t xml:space="preserve"> the </w:t>
            </w:r>
            <w:r w:rsidR="00996004" w:rsidRPr="00E36FD2">
              <w:rPr>
                <w:rFonts w:cs="Arial"/>
                <w:sz w:val="19"/>
                <w:szCs w:val="19"/>
                <w:lang w:eastAsia="fr-CA"/>
              </w:rPr>
              <w:t>standard terms</w:t>
            </w:r>
            <w:r w:rsidRPr="00E36FD2">
              <w:rPr>
                <w:rFonts w:cs="Arial"/>
                <w:sz w:val="19"/>
                <w:szCs w:val="19"/>
                <w:lang w:eastAsia="fr-CA"/>
              </w:rPr>
              <w:t xml:space="preserve"> limit the quantities of System Use Gas which </w:t>
            </w:r>
            <w:r w:rsidR="00211830" w:rsidRPr="00E36FD2">
              <w:rPr>
                <w:rFonts w:cs="Arial"/>
                <w:sz w:val="19"/>
                <w:szCs w:val="19"/>
                <w:lang w:eastAsia="fr-CA"/>
              </w:rPr>
              <w:t xml:space="preserve">the service provider </w:t>
            </w:r>
            <w:r w:rsidRPr="00E36FD2">
              <w:rPr>
                <w:rFonts w:cs="Arial"/>
                <w:sz w:val="19"/>
                <w:szCs w:val="19"/>
                <w:lang w:eastAsia="fr-CA"/>
              </w:rPr>
              <w:t xml:space="preserve">may require </w:t>
            </w:r>
            <w:r w:rsidR="00211830" w:rsidRPr="00E36FD2">
              <w:rPr>
                <w:rFonts w:cs="Arial"/>
                <w:sz w:val="19"/>
                <w:szCs w:val="19"/>
                <w:lang w:eastAsia="fr-CA"/>
              </w:rPr>
              <w:t>the secondary shipper</w:t>
            </w:r>
            <w:r w:rsidRPr="00E36FD2">
              <w:rPr>
                <w:rFonts w:cs="Arial"/>
                <w:sz w:val="19"/>
                <w:szCs w:val="19"/>
                <w:lang w:eastAsia="fr-CA"/>
              </w:rPr>
              <w:t xml:space="preserve"> to provide to those required by a reasonable and prudent operator for the safe and efficient operation of the </w:t>
            </w:r>
            <w:r w:rsidR="002363C2" w:rsidRPr="00E36FD2">
              <w:rPr>
                <w:rFonts w:cs="Arial"/>
                <w:sz w:val="19"/>
                <w:szCs w:val="19"/>
                <w:lang w:eastAsia="fr-CA"/>
              </w:rPr>
              <w:t>pipeline</w:t>
            </w:r>
            <w:r w:rsidRPr="00E36FD2">
              <w:rPr>
                <w:rFonts w:cs="Arial"/>
                <w:sz w:val="19"/>
                <w:szCs w:val="19"/>
                <w:lang w:eastAsia="fr-CA"/>
              </w:rPr>
              <w:t xml:space="preserve">. </w:t>
            </w:r>
          </w:p>
        </w:tc>
      </w:tr>
      <w:tr w:rsidR="001C729B" w:rsidRPr="00E36FD2" w14:paraId="4CA2B7D1" w14:textId="77777777" w:rsidTr="00EC1759">
        <w:trPr>
          <w:cantSplit/>
        </w:trPr>
        <w:tc>
          <w:tcPr>
            <w:tcW w:w="261" w:type="pct"/>
            <w:hideMark/>
          </w:tcPr>
          <w:p w14:paraId="75A363D7" w14:textId="77777777" w:rsidR="0057020B" w:rsidRPr="00E36FD2" w:rsidRDefault="0057020B" w:rsidP="00C05A16">
            <w:pPr>
              <w:spacing w:before="80" w:after="120"/>
              <w:ind w:left="74" w:right="74"/>
              <w:jc w:val="center"/>
              <w:rPr>
                <w:rFonts w:cs="Arial"/>
                <w:sz w:val="19"/>
                <w:szCs w:val="19"/>
                <w:lang w:eastAsia="fr-CA"/>
              </w:rPr>
            </w:pPr>
            <w:r w:rsidRPr="00E36FD2">
              <w:rPr>
                <w:rFonts w:cs="Arial"/>
                <w:sz w:val="19"/>
                <w:szCs w:val="19"/>
                <w:lang w:eastAsia="fr-CA"/>
              </w:rPr>
              <w:t>6</w:t>
            </w:r>
          </w:p>
        </w:tc>
        <w:tc>
          <w:tcPr>
            <w:tcW w:w="725" w:type="pct"/>
          </w:tcPr>
          <w:p w14:paraId="183A36BA" w14:textId="77777777" w:rsidR="0057020B" w:rsidRPr="00E36FD2" w:rsidRDefault="0057020B" w:rsidP="00C05A16">
            <w:pPr>
              <w:spacing w:before="80" w:after="120"/>
              <w:ind w:left="74" w:right="74"/>
              <w:rPr>
                <w:rFonts w:cs="Arial"/>
                <w:sz w:val="19"/>
                <w:szCs w:val="19"/>
                <w:lang w:eastAsia="fr-CA"/>
              </w:rPr>
            </w:pPr>
            <w:r w:rsidRPr="00E36FD2">
              <w:rPr>
                <w:rFonts w:cs="Arial"/>
                <w:sz w:val="19"/>
                <w:szCs w:val="19"/>
                <w:lang w:eastAsia="fr-CA"/>
              </w:rPr>
              <w:t>Hourly limitations</w:t>
            </w:r>
          </w:p>
        </w:tc>
        <w:tc>
          <w:tcPr>
            <w:tcW w:w="4013" w:type="pct"/>
          </w:tcPr>
          <w:p w14:paraId="0C524EB9" w14:textId="19A489B1" w:rsidR="0057020B" w:rsidRPr="00E36FD2" w:rsidRDefault="00EC0A9D" w:rsidP="00EC0A9D">
            <w:pPr>
              <w:rPr>
                <w:rFonts w:cs="Arial"/>
                <w:sz w:val="19"/>
                <w:szCs w:val="19"/>
              </w:rPr>
            </w:pPr>
            <w:r w:rsidRPr="00E36FD2">
              <w:rPr>
                <w:sz w:val="19"/>
                <w:szCs w:val="19"/>
                <w:lang w:eastAsia="fr-CA"/>
              </w:rPr>
              <w:t xml:space="preserve">Pipelines often have hourly limits on the quantities of gas which may be supplied into or taken from the pipeline.  This is particularly common in the case of pipelines servicing gas fired power stations where the operational integrity of the pipeline may be threatened if excessive gas is taken from the pipeline in an hour.  Clause 6 refers back to the </w:t>
            </w:r>
            <w:r w:rsidR="0009208D" w:rsidRPr="00E36FD2">
              <w:rPr>
                <w:sz w:val="19"/>
                <w:szCs w:val="19"/>
                <w:lang w:eastAsia="fr-CA"/>
              </w:rPr>
              <w:t>facility s</w:t>
            </w:r>
            <w:r w:rsidRPr="00E36FD2">
              <w:rPr>
                <w:sz w:val="19"/>
                <w:szCs w:val="19"/>
                <w:lang w:eastAsia="fr-CA"/>
              </w:rPr>
              <w:t xml:space="preserve">pecific </w:t>
            </w:r>
            <w:r w:rsidR="0009208D" w:rsidRPr="00E36FD2">
              <w:rPr>
                <w:sz w:val="19"/>
                <w:szCs w:val="19"/>
                <w:lang w:eastAsia="fr-CA"/>
              </w:rPr>
              <w:t>t</w:t>
            </w:r>
            <w:r w:rsidRPr="00E36FD2">
              <w:rPr>
                <w:sz w:val="19"/>
                <w:szCs w:val="19"/>
                <w:lang w:eastAsia="fr-CA"/>
              </w:rPr>
              <w:t xml:space="preserve">erms and requires the secondary shipper to comply with any hourly limitations in those terms and to pay the charges set out in those terms for exceeding any hourly limitations.  The </w:t>
            </w:r>
            <w:r w:rsidR="0009208D" w:rsidRPr="00E36FD2">
              <w:rPr>
                <w:sz w:val="19"/>
                <w:szCs w:val="19"/>
                <w:lang w:eastAsia="fr-CA"/>
              </w:rPr>
              <w:t>facility s</w:t>
            </w:r>
            <w:r w:rsidRPr="00E36FD2">
              <w:rPr>
                <w:sz w:val="19"/>
                <w:szCs w:val="19"/>
                <w:lang w:eastAsia="fr-CA"/>
              </w:rPr>
              <w:t xml:space="preserve">pecific </w:t>
            </w:r>
            <w:r w:rsidR="0009208D" w:rsidRPr="00E36FD2">
              <w:rPr>
                <w:sz w:val="19"/>
                <w:szCs w:val="19"/>
                <w:lang w:eastAsia="fr-CA"/>
              </w:rPr>
              <w:t>t</w:t>
            </w:r>
            <w:r w:rsidRPr="00E36FD2">
              <w:rPr>
                <w:sz w:val="19"/>
                <w:szCs w:val="19"/>
                <w:lang w:eastAsia="fr-CA"/>
              </w:rPr>
              <w:t>erms do not require the service provider to permit any minimum hourly limit but given the value of hourly flexibility the GMRG is considering whether it should specify a minimum hourly limit that should be allowed – for example 110% of MDQ</w:t>
            </w:r>
            <w:r w:rsidRPr="00E36FD2">
              <w:rPr>
                <w:rFonts w:cs="Arial"/>
                <w:sz w:val="19"/>
                <w:szCs w:val="19"/>
                <w:lang w:eastAsia="fr-CA"/>
              </w:rPr>
              <w:t>÷</w:t>
            </w:r>
            <w:r w:rsidRPr="00E36FD2">
              <w:rPr>
                <w:sz w:val="19"/>
                <w:szCs w:val="19"/>
                <w:lang w:eastAsia="fr-CA"/>
              </w:rPr>
              <w:t xml:space="preserve">24.  Also under consideration is whether exchange products should be traded with both daily and hourly entitlements so that shippers’ hourly entitlement will be determined by reference to what they purchase.  This would provide the most efficient means to allocate hourly entitlements to where they are most valued. </w:t>
            </w:r>
          </w:p>
        </w:tc>
      </w:tr>
      <w:tr w:rsidR="001C729B" w:rsidRPr="00E36FD2" w14:paraId="1708CF96" w14:textId="77777777" w:rsidTr="00EC1759">
        <w:trPr>
          <w:cnfStyle w:val="000000010000" w:firstRow="0" w:lastRow="0" w:firstColumn="0" w:lastColumn="0" w:oddVBand="0" w:evenVBand="0" w:oddHBand="0" w:evenHBand="1" w:firstRowFirstColumn="0" w:firstRowLastColumn="0" w:lastRowFirstColumn="0" w:lastRowLastColumn="0"/>
          <w:cantSplit/>
        </w:trPr>
        <w:tc>
          <w:tcPr>
            <w:tcW w:w="261" w:type="pct"/>
            <w:hideMark/>
          </w:tcPr>
          <w:p w14:paraId="1972B800" w14:textId="77777777" w:rsidR="0057020B" w:rsidRPr="00E36FD2" w:rsidRDefault="0057020B" w:rsidP="00C05A16">
            <w:pPr>
              <w:spacing w:before="80" w:after="120"/>
              <w:ind w:left="74" w:right="74"/>
              <w:jc w:val="center"/>
              <w:rPr>
                <w:rFonts w:cs="Arial"/>
                <w:sz w:val="19"/>
                <w:szCs w:val="19"/>
                <w:lang w:eastAsia="fr-CA"/>
              </w:rPr>
            </w:pPr>
            <w:r w:rsidRPr="00E36FD2">
              <w:rPr>
                <w:rFonts w:cs="Arial"/>
                <w:sz w:val="19"/>
                <w:szCs w:val="19"/>
                <w:lang w:eastAsia="fr-CA"/>
              </w:rPr>
              <w:t>7</w:t>
            </w:r>
          </w:p>
        </w:tc>
        <w:tc>
          <w:tcPr>
            <w:tcW w:w="725" w:type="pct"/>
          </w:tcPr>
          <w:p w14:paraId="6109A121" w14:textId="77777777" w:rsidR="0057020B" w:rsidRPr="00E36FD2" w:rsidRDefault="0057020B" w:rsidP="00C05A16">
            <w:pPr>
              <w:spacing w:before="80" w:after="120"/>
              <w:ind w:left="74" w:right="74"/>
              <w:rPr>
                <w:rFonts w:cs="Arial"/>
                <w:sz w:val="19"/>
                <w:szCs w:val="19"/>
                <w:lang w:eastAsia="fr-CA"/>
              </w:rPr>
            </w:pPr>
            <w:r w:rsidRPr="00E36FD2">
              <w:rPr>
                <w:rFonts w:cs="Arial"/>
                <w:sz w:val="19"/>
                <w:szCs w:val="19"/>
                <w:lang w:eastAsia="fr-CA"/>
              </w:rPr>
              <w:t>Curtailment</w:t>
            </w:r>
          </w:p>
        </w:tc>
        <w:tc>
          <w:tcPr>
            <w:tcW w:w="4013" w:type="pct"/>
          </w:tcPr>
          <w:p w14:paraId="4977539E" w14:textId="77777777"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Clause 7 sets out </w:t>
            </w:r>
            <w:r w:rsidR="00211830" w:rsidRPr="00E36FD2">
              <w:rPr>
                <w:rFonts w:cs="Arial"/>
                <w:sz w:val="19"/>
                <w:szCs w:val="19"/>
                <w:lang w:eastAsia="fr-CA"/>
              </w:rPr>
              <w:t>the 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 xml:space="preserve">rovider’s rights to curtail services and the means by which </w:t>
            </w:r>
            <w:r w:rsidR="00211830" w:rsidRPr="00E36FD2">
              <w:rPr>
                <w:rFonts w:cs="Arial"/>
                <w:sz w:val="19"/>
                <w:szCs w:val="19"/>
                <w:lang w:eastAsia="fr-CA"/>
              </w:rPr>
              <w:t xml:space="preserve">the service provider </w:t>
            </w:r>
            <w:r w:rsidRPr="00E36FD2">
              <w:rPr>
                <w:rFonts w:cs="Arial"/>
                <w:sz w:val="19"/>
                <w:szCs w:val="19"/>
                <w:lang w:eastAsia="fr-CA"/>
              </w:rPr>
              <w:t xml:space="preserve">may give effect to curtailments. </w:t>
            </w:r>
          </w:p>
          <w:p w14:paraId="01CFAC12" w14:textId="2F8C285C"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The clause sets out rights to curtail by reference to general factors affecting the </w:t>
            </w:r>
            <w:r w:rsidR="00E87773" w:rsidRPr="00E36FD2">
              <w:rPr>
                <w:rFonts w:cs="Arial"/>
                <w:sz w:val="19"/>
                <w:szCs w:val="19"/>
                <w:lang w:eastAsia="fr-CA"/>
              </w:rPr>
              <w:t xml:space="preserve">service </w:t>
            </w:r>
            <w:r w:rsidRPr="00E36FD2">
              <w:rPr>
                <w:rFonts w:cs="Arial"/>
                <w:sz w:val="19"/>
                <w:szCs w:val="19"/>
                <w:lang w:eastAsia="fr-CA"/>
              </w:rPr>
              <w:t xml:space="preserve">and rights to curtail because </w:t>
            </w:r>
            <w:r w:rsidR="00211830" w:rsidRPr="00E36FD2">
              <w:rPr>
                <w:rFonts w:cs="Arial"/>
                <w:sz w:val="19"/>
                <w:szCs w:val="19"/>
                <w:lang w:eastAsia="fr-CA"/>
              </w:rPr>
              <w:t>the secondary shipper</w:t>
            </w:r>
            <w:r w:rsidRPr="00E36FD2">
              <w:rPr>
                <w:rFonts w:cs="Arial"/>
                <w:sz w:val="19"/>
                <w:szCs w:val="19"/>
                <w:lang w:eastAsia="fr-CA"/>
              </w:rPr>
              <w:t xml:space="preserve"> has failed to comply with the terms of the </w:t>
            </w:r>
            <w:r w:rsidR="00D4786D">
              <w:rPr>
                <w:rFonts w:cs="Arial"/>
                <w:sz w:val="19"/>
                <w:szCs w:val="19"/>
                <w:lang w:eastAsia="fr-CA"/>
              </w:rPr>
              <w:t>o</w:t>
            </w:r>
            <w:r w:rsidRPr="00E36FD2">
              <w:rPr>
                <w:rFonts w:cs="Arial"/>
                <w:sz w:val="19"/>
                <w:szCs w:val="19"/>
                <w:lang w:eastAsia="fr-CA"/>
              </w:rPr>
              <w:t>perational GTA.</w:t>
            </w:r>
          </w:p>
        </w:tc>
      </w:tr>
      <w:tr w:rsidR="001C729B" w:rsidRPr="00E36FD2" w14:paraId="03E677A1" w14:textId="77777777" w:rsidTr="00EC1759">
        <w:trPr>
          <w:cantSplit/>
        </w:trPr>
        <w:tc>
          <w:tcPr>
            <w:tcW w:w="261" w:type="pct"/>
          </w:tcPr>
          <w:p w14:paraId="481064F1" w14:textId="77777777" w:rsidR="0057020B" w:rsidRPr="00E36FD2" w:rsidRDefault="0057020B" w:rsidP="00C05A16">
            <w:pPr>
              <w:spacing w:before="80" w:after="120"/>
              <w:ind w:left="74" w:right="74"/>
              <w:jc w:val="center"/>
              <w:rPr>
                <w:rFonts w:cs="Arial"/>
                <w:sz w:val="19"/>
                <w:szCs w:val="19"/>
                <w:lang w:eastAsia="fr-CA"/>
              </w:rPr>
            </w:pPr>
            <w:r w:rsidRPr="00E36FD2">
              <w:rPr>
                <w:rFonts w:cs="Arial"/>
                <w:sz w:val="19"/>
                <w:szCs w:val="19"/>
                <w:lang w:eastAsia="fr-CA"/>
              </w:rPr>
              <w:t>8</w:t>
            </w:r>
          </w:p>
        </w:tc>
        <w:tc>
          <w:tcPr>
            <w:tcW w:w="725" w:type="pct"/>
          </w:tcPr>
          <w:p w14:paraId="37FD4BEA" w14:textId="77777777" w:rsidR="0057020B" w:rsidRPr="00E36FD2" w:rsidRDefault="0057020B" w:rsidP="00C05A16">
            <w:pPr>
              <w:spacing w:before="80" w:after="120"/>
              <w:ind w:left="74" w:right="74"/>
              <w:rPr>
                <w:rFonts w:cs="Arial"/>
                <w:sz w:val="19"/>
                <w:szCs w:val="19"/>
                <w:lang w:eastAsia="fr-CA"/>
              </w:rPr>
            </w:pPr>
            <w:r w:rsidRPr="00E36FD2">
              <w:rPr>
                <w:rFonts w:cs="Arial"/>
                <w:sz w:val="19"/>
                <w:szCs w:val="19"/>
                <w:lang w:eastAsia="fr-CA"/>
              </w:rPr>
              <w:t>Park account</w:t>
            </w:r>
          </w:p>
        </w:tc>
        <w:tc>
          <w:tcPr>
            <w:tcW w:w="4013" w:type="pct"/>
          </w:tcPr>
          <w:p w14:paraId="0B562C19" w14:textId="598D2C0F"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Clause 8 sets out the mechanics of how the balance of the park account is calculated.  The clause is only relevant to the provision of the </w:t>
            </w:r>
            <w:r w:rsidR="00D4786D">
              <w:rPr>
                <w:rFonts w:cs="Arial"/>
                <w:sz w:val="19"/>
                <w:szCs w:val="19"/>
                <w:lang w:eastAsia="fr-CA"/>
              </w:rPr>
              <w:t>p</w:t>
            </w:r>
            <w:r w:rsidRPr="00E36FD2">
              <w:rPr>
                <w:rFonts w:cs="Arial"/>
                <w:sz w:val="19"/>
                <w:szCs w:val="19"/>
                <w:lang w:eastAsia="fr-CA"/>
              </w:rPr>
              <w:t xml:space="preserve">ark </w:t>
            </w:r>
            <w:r w:rsidR="00D4786D">
              <w:rPr>
                <w:rFonts w:cs="Arial"/>
                <w:sz w:val="19"/>
                <w:szCs w:val="19"/>
                <w:lang w:eastAsia="fr-CA"/>
              </w:rPr>
              <w:t>s</w:t>
            </w:r>
            <w:r w:rsidRPr="00E36FD2">
              <w:rPr>
                <w:rFonts w:cs="Arial"/>
                <w:sz w:val="19"/>
                <w:szCs w:val="19"/>
                <w:lang w:eastAsia="fr-CA"/>
              </w:rPr>
              <w:t xml:space="preserve">ervice. </w:t>
            </w:r>
          </w:p>
        </w:tc>
      </w:tr>
      <w:tr w:rsidR="001C729B" w:rsidRPr="00E36FD2" w14:paraId="5F6BD2F1" w14:textId="77777777" w:rsidTr="00EC1759">
        <w:trPr>
          <w:cnfStyle w:val="000000010000" w:firstRow="0" w:lastRow="0" w:firstColumn="0" w:lastColumn="0" w:oddVBand="0" w:evenVBand="0" w:oddHBand="0" w:evenHBand="1" w:firstRowFirstColumn="0" w:firstRowLastColumn="0" w:lastRowFirstColumn="0" w:lastRowLastColumn="0"/>
          <w:cantSplit/>
        </w:trPr>
        <w:tc>
          <w:tcPr>
            <w:tcW w:w="261" w:type="pct"/>
          </w:tcPr>
          <w:p w14:paraId="3B8805F9" w14:textId="77777777" w:rsidR="0057020B" w:rsidRPr="00E36FD2" w:rsidRDefault="0057020B" w:rsidP="00C05A16">
            <w:pPr>
              <w:spacing w:before="80" w:after="120"/>
              <w:ind w:left="74" w:right="74"/>
              <w:jc w:val="center"/>
              <w:rPr>
                <w:rFonts w:cs="Arial"/>
                <w:sz w:val="19"/>
                <w:szCs w:val="19"/>
                <w:lang w:eastAsia="fr-CA"/>
              </w:rPr>
            </w:pPr>
            <w:r w:rsidRPr="00E36FD2">
              <w:rPr>
                <w:rFonts w:cs="Arial"/>
                <w:sz w:val="19"/>
                <w:szCs w:val="19"/>
                <w:lang w:eastAsia="fr-CA"/>
              </w:rPr>
              <w:t>9</w:t>
            </w:r>
          </w:p>
        </w:tc>
        <w:tc>
          <w:tcPr>
            <w:tcW w:w="725" w:type="pct"/>
          </w:tcPr>
          <w:p w14:paraId="6C59FAEB" w14:textId="77777777" w:rsidR="0057020B" w:rsidRPr="00E36FD2" w:rsidRDefault="0057020B" w:rsidP="00C05A16">
            <w:pPr>
              <w:spacing w:before="80" w:after="120"/>
              <w:ind w:left="74" w:right="74"/>
              <w:rPr>
                <w:rFonts w:cs="Arial"/>
                <w:sz w:val="19"/>
                <w:szCs w:val="19"/>
                <w:lang w:eastAsia="fr-CA"/>
              </w:rPr>
            </w:pPr>
            <w:r w:rsidRPr="00E36FD2">
              <w:rPr>
                <w:rFonts w:cs="Arial"/>
                <w:sz w:val="19"/>
                <w:szCs w:val="19"/>
                <w:lang w:eastAsia="fr-CA"/>
              </w:rPr>
              <w:t>Maintenance</w:t>
            </w:r>
          </w:p>
        </w:tc>
        <w:tc>
          <w:tcPr>
            <w:tcW w:w="4013" w:type="pct"/>
          </w:tcPr>
          <w:p w14:paraId="52FC04ED" w14:textId="77777777"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Clause 7 allows </w:t>
            </w:r>
            <w:r w:rsidR="00211830" w:rsidRPr="00E36FD2">
              <w:rPr>
                <w:rFonts w:cs="Arial"/>
                <w:sz w:val="19"/>
                <w:szCs w:val="19"/>
                <w:lang w:eastAsia="fr-CA"/>
              </w:rPr>
              <w:t xml:space="preserve">the service provider </w:t>
            </w:r>
            <w:r w:rsidRPr="00E36FD2">
              <w:rPr>
                <w:rFonts w:cs="Arial"/>
                <w:sz w:val="19"/>
                <w:szCs w:val="19"/>
                <w:lang w:eastAsia="fr-CA"/>
              </w:rPr>
              <w:t>to curtail services to undertake both planned and unplanned maintenance.</w:t>
            </w:r>
          </w:p>
          <w:p w14:paraId="2955E62B" w14:textId="77777777"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Clause 9 sets out the means by which </w:t>
            </w:r>
            <w:r w:rsidR="00211830" w:rsidRPr="00E36FD2">
              <w:rPr>
                <w:rFonts w:cs="Arial"/>
                <w:sz w:val="19"/>
                <w:szCs w:val="19"/>
                <w:lang w:eastAsia="fr-CA"/>
              </w:rPr>
              <w:t>the secondary shipper</w:t>
            </w:r>
            <w:r w:rsidRPr="00E36FD2">
              <w:rPr>
                <w:rFonts w:cs="Arial"/>
                <w:sz w:val="19"/>
                <w:szCs w:val="19"/>
                <w:lang w:eastAsia="fr-CA"/>
              </w:rPr>
              <w:t xml:space="preserve"> is notified of planned maintenance and unplanned maintenance and their impact on pipeline capacity.</w:t>
            </w:r>
          </w:p>
        </w:tc>
      </w:tr>
      <w:tr w:rsidR="001C729B" w:rsidRPr="00E36FD2" w14:paraId="1E2B58D7" w14:textId="77777777" w:rsidTr="00EC1759">
        <w:trPr>
          <w:cantSplit/>
        </w:trPr>
        <w:tc>
          <w:tcPr>
            <w:tcW w:w="261" w:type="pct"/>
          </w:tcPr>
          <w:p w14:paraId="468840CA" w14:textId="77777777" w:rsidR="0057020B" w:rsidRPr="00E36FD2" w:rsidRDefault="0057020B" w:rsidP="00C05A16">
            <w:pPr>
              <w:spacing w:before="80" w:after="120"/>
              <w:ind w:left="74" w:right="74"/>
              <w:jc w:val="center"/>
              <w:rPr>
                <w:rFonts w:cs="Arial"/>
                <w:sz w:val="19"/>
                <w:szCs w:val="19"/>
                <w:lang w:eastAsia="fr-CA"/>
              </w:rPr>
            </w:pPr>
            <w:r w:rsidRPr="00E36FD2">
              <w:rPr>
                <w:rFonts w:cs="Arial"/>
                <w:sz w:val="19"/>
                <w:szCs w:val="19"/>
                <w:lang w:eastAsia="fr-CA"/>
              </w:rPr>
              <w:lastRenderedPageBreak/>
              <w:t>10</w:t>
            </w:r>
          </w:p>
        </w:tc>
        <w:tc>
          <w:tcPr>
            <w:tcW w:w="725" w:type="pct"/>
          </w:tcPr>
          <w:p w14:paraId="742A6C08" w14:textId="77777777" w:rsidR="0057020B" w:rsidRPr="00E36FD2" w:rsidRDefault="0057020B" w:rsidP="00C05A16">
            <w:pPr>
              <w:spacing w:before="80" w:after="120"/>
              <w:ind w:left="74" w:right="74"/>
              <w:rPr>
                <w:rFonts w:cs="Arial"/>
                <w:sz w:val="19"/>
                <w:szCs w:val="19"/>
                <w:lang w:eastAsia="fr-CA"/>
              </w:rPr>
            </w:pPr>
            <w:r w:rsidRPr="00E36FD2">
              <w:rPr>
                <w:rFonts w:cs="Arial"/>
                <w:sz w:val="19"/>
                <w:szCs w:val="19"/>
                <w:lang w:eastAsia="fr-CA"/>
              </w:rPr>
              <w:t>Gas Quality</w:t>
            </w:r>
          </w:p>
        </w:tc>
        <w:tc>
          <w:tcPr>
            <w:tcW w:w="4013" w:type="pct"/>
          </w:tcPr>
          <w:p w14:paraId="1A7F6944" w14:textId="77777777"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The operational integrity of a pipeline, as well as facilities downstream of a pipeline, may be adversely affected if gas </w:t>
            </w:r>
            <w:r w:rsidR="00B43ABD" w:rsidRPr="00E36FD2">
              <w:rPr>
                <w:rFonts w:cs="Arial"/>
                <w:sz w:val="19"/>
                <w:szCs w:val="19"/>
                <w:lang w:eastAsia="fr-CA"/>
              </w:rPr>
              <w:t>that</w:t>
            </w:r>
            <w:r w:rsidRPr="00E36FD2">
              <w:rPr>
                <w:rFonts w:cs="Arial"/>
                <w:sz w:val="19"/>
                <w:szCs w:val="19"/>
                <w:lang w:eastAsia="fr-CA"/>
              </w:rPr>
              <w:t xml:space="preserve"> is outside the quality specifications for the pipeline is supplied into the pipeline.</w:t>
            </w:r>
          </w:p>
          <w:p w14:paraId="24F62102" w14:textId="77777777"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Clause 10 obliges </w:t>
            </w:r>
            <w:r w:rsidR="00211830" w:rsidRPr="00E36FD2">
              <w:rPr>
                <w:rFonts w:cs="Arial"/>
                <w:sz w:val="19"/>
                <w:szCs w:val="19"/>
                <w:lang w:eastAsia="fr-CA"/>
              </w:rPr>
              <w:t>the secondary shipper</w:t>
            </w:r>
            <w:r w:rsidRPr="00E36FD2">
              <w:rPr>
                <w:rFonts w:cs="Arial"/>
                <w:sz w:val="19"/>
                <w:szCs w:val="19"/>
                <w:lang w:eastAsia="fr-CA"/>
              </w:rPr>
              <w:t xml:space="preserve"> to ensure that gas it supplies into the </w:t>
            </w:r>
            <w:r w:rsidR="002363C2" w:rsidRPr="00E36FD2">
              <w:rPr>
                <w:rFonts w:cs="Arial"/>
                <w:sz w:val="19"/>
                <w:szCs w:val="19"/>
                <w:lang w:eastAsia="fr-CA"/>
              </w:rPr>
              <w:t>pipeline</w:t>
            </w:r>
            <w:r w:rsidRPr="00E36FD2">
              <w:rPr>
                <w:rFonts w:cs="Arial"/>
                <w:sz w:val="19"/>
                <w:szCs w:val="19"/>
                <w:lang w:eastAsia="fr-CA"/>
              </w:rPr>
              <w:t xml:space="preserve"> complies with the gas specification for the </w:t>
            </w:r>
            <w:r w:rsidR="002363C2" w:rsidRPr="00E36FD2">
              <w:rPr>
                <w:rFonts w:cs="Arial"/>
                <w:sz w:val="19"/>
                <w:szCs w:val="19"/>
                <w:lang w:eastAsia="fr-CA"/>
              </w:rPr>
              <w:t>pipeline</w:t>
            </w:r>
            <w:r w:rsidRPr="00E36FD2">
              <w:rPr>
                <w:rFonts w:cs="Arial"/>
                <w:sz w:val="19"/>
                <w:szCs w:val="19"/>
                <w:lang w:eastAsia="fr-CA"/>
              </w:rPr>
              <w:t xml:space="preserve"> and sets out the obligations of each party if off-specification gas is or may be supplied by </w:t>
            </w:r>
            <w:r w:rsidR="00211830" w:rsidRPr="00E36FD2">
              <w:rPr>
                <w:rFonts w:cs="Arial"/>
                <w:sz w:val="19"/>
                <w:szCs w:val="19"/>
                <w:lang w:eastAsia="fr-CA"/>
              </w:rPr>
              <w:t>the secondary shipper</w:t>
            </w:r>
            <w:r w:rsidRPr="00E36FD2">
              <w:rPr>
                <w:rFonts w:cs="Arial"/>
                <w:sz w:val="19"/>
                <w:szCs w:val="19"/>
                <w:lang w:eastAsia="fr-CA"/>
              </w:rPr>
              <w:t xml:space="preserve">.  </w:t>
            </w:r>
          </w:p>
          <w:p w14:paraId="115D1243" w14:textId="77777777"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The clause sets out a mechanism for each party to notify the other if it becomes aware of off-specification gas and for </w:t>
            </w:r>
            <w:r w:rsidR="00211830" w:rsidRPr="00E36FD2">
              <w:rPr>
                <w:rFonts w:cs="Arial"/>
                <w:sz w:val="19"/>
                <w:szCs w:val="19"/>
                <w:lang w:eastAsia="fr-CA"/>
              </w:rPr>
              <w:t xml:space="preserve">the service provider </w:t>
            </w:r>
            <w:r w:rsidRPr="00E36FD2">
              <w:rPr>
                <w:rFonts w:cs="Arial"/>
                <w:sz w:val="19"/>
                <w:szCs w:val="19"/>
                <w:lang w:eastAsia="fr-CA"/>
              </w:rPr>
              <w:t xml:space="preserve">to decide whether it will accept that gas.  </w:t>
            </w:r>
            <w:r w:rsidR="00211830" w:rsidRPr="00E36FD2">
              <w:rPr>
                <w:rFonts w:cs="Arial"/>
                <w:sz w:val="19"/>
                <w:szCs w:val="19"/>
                <w:lang w:eastAsia="fr-CA"/>
              </w:rPr>
              <w:t>The 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 xml:space="preserve">rovider has no obligation to accept off-specification gas.  Where off-specification gas is delivered into the </w:t>
            </w:r>
            <w:r w:rsidR="002363C2" w:rsidRPr="00E36FD2">
              <w:rPr>
                <w:rFonts w:cs="Arial"/>
                <w:sz w:val="19"/>
                <w:szCs w:val="19"/>
                <w:lang w:eastAsia="fr-CA"/>
              </w:rPr>
              <w:t>pipeline</w:t>
            </w:r>
            <w:r w:rsidRPr="00E36FD2">
              <w:rPr>
                <w:rFonts w:cs="Arial"/>
                <w:sz w:val="19"/>
                <w:szCs w:val="19"/>
                <w:lang w:eastAsia="fr-CA"/>
              </w:rPr>
              <w:t xml:space="preserve"> without </w:t>
            </w:r>
            <w:r w:rsidR="00211830" w:rsidRPr="00E36FD2">
              <w:rPr>
                <w:rFonts w:cs="Arial"/>
                <w:sz w:val="19"/>
                <w:szCs w:val="19"/>
                <w:lang w:eastAsia="fr-CA"/>
              </w:rPr>
              <w:t>the 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 xml:space="preserve">rovider’s consent, </w:t>
            </w:r>
            <w:r w:rsidR="00211830" w:rsidRPr="00E36FD2">
              <w:rPr>
                <w:rFonts w:cs="Arial"/>
                <w:sz w:val="19"/>
                <w:szCs w:val="19"/>
                <w:lang w:eastAsia="fr-CA"/>
              </w:rPr>
              <w:t xml:space="preserve">the service provider </w:t>
            </w:r>
            <w:r w:rsidRPr="00E36FD2">
              <w:rPr>
                <w:rFonts w:cs="Arial"/>
                <w:sz w:val="19"/>
                <w:szCs w:val="19"/>
                <w:lang w:eastAsia="fr-CA"/>
              </w:rPr>
              <w:t xml:space="preserve">may take such action as it considers, as a reasonable and prudent operator, is required to prevent the entry of that gas into the </w:t>
            </w:r>
            <w:r w:rsidR="002363C2" w:rsidRPr="00E36FD2">
              <w:rPr>
                <w:rFonts w:cs="Arial"/>
                <w:sz w:val="19"/>
                <w:szCs w:val="19"/>
                <w:lang w:eastAsia="fr-CA"/>
              </w:rPr>
              <w:t>pipeline</w:t>
            </w:r>
            <w:r w:rsidRPr="00E36FD2">
              <w:rPr>
                <w:rFonts w:cs="Arial"/>
                <w:sz w:val="19"/>
                <w:szCs w:val="19"/>
                <w:lang w:eastAsia="fr-CA"/>
              </w:rPr>
              <w:t xml:space="preserve">.  Further the clause obliges </w:t>
            </w:r>
            <w:r w:rsidR="00211830" w:rsidRPr="00E36FD2">
              <w:rPr>
                <w:rFonts w:cs="Arial"/>
                <w:sz w:val="19"/>
                <w:szCs w:val="19"/>
                <w:lang w:eastAsia="fr-CA"/>
              </w:rPr>
              <w:t xml:space="preserve">the service provider </w:t>
            </w:r>
            <w:r w:rsidRPr="00E36FD2">
              <w:rPr>
                <w:rFonts w:cs="Arial"/>
                <w:sz w:val="19"/>
                <w:szCs w:val="19"/>
                <w:lang w:eastAsia="fr-CA"/>
              </w:rPr>
              <w:t xml:space="preserve">to use its reasonable endeavours to take all technically feasible steps to minimise the impact of such gas on the </w:t>
            </w:r>
            <w:r w:rsidR="002363C2" w:rsidRPr="00E36FD2">
              <w:rPr>
                <w:rFonts w:cs="Arial"/>
                <w:sz w:val="19"/>
                <w:szCs w:val="19"/>
                <w:lang w:eastAsia="fr-CA"/>
              </w:rPr>
              <w:t>pipeline</w:t>
            </w:r>
            <w:r w:rsidRPr="00E36FD2">
              <w:rPr>
                <w:rFonts w:cs="Arial"/>
                <w:sz w:val="19"/>
                <w:szCs w:val="19"/>
                <w:lang w:eastAsia="fr-CA"/>
              </w:rPr>
              <w:t xml:space="preserve">. </w:t>
            </w:r>
          </w:p>
          <w:p w14:paraId="3A924139" w14:textId="77777777"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Clause 10.5 obliges </w:t>
            </w:r>
            <w:r w:rsidR="00211830" w:rsidRPr="00E36FD2">
              <w:rPr>
                <w:rFonts w:cs="Arial"/>
                <w:sz w:val="19"/>
                <w:szCs w:val="19"/>
                <w:lang w:eastAsia="fr-CA"/>
              </w:rPr>
              <w:t>the secondary shipper</w:t>
            </w:r>
            <w:r w:rsidRPr="00E36FD2">
              <w:rPr>
                <w:rFonts w:cs="Arial"/>
                <w:sz w:val="19"/>
                <w:szCs w:val="19"/>
                <w:lang w:eastAsia="fr-CA"/>
              </w:rPr>
              <w:t xml:space="preserve"> to indemnify </w:t>
            </w:r>
            <w:r w:rsidR="00211830" w:rsidRPr="00E36FD2">
              <w:rPr>
                <w:rFonts w:cs="Arial"/>
                <w:sz w:val="19"/>
                <w:szCs w:val="19"/>
                <w:lang w:eastAsia="fr-CA"/>
              </w:rPr>
              <w:t xml:space="preserve">the service provider </w:t>
            </w:r>
            <w:r w:rsidRPr="00E36FD2">
              <w:rPr>
                <w:rFonts w:cs="Arial"/>
                <w:sz w:val="19"/>
                <w:szCs w:val="19"/>
                <w:lang w:eastAsia="fr-CA"/>
              </w:rPr>
              <w:t xml:space="preserve">against the losses </w:t>
            </w:r>
            <w:r w:rsidR="00211830" w:rsidRPr="00E36FD2">
              <w:rPr>
                <w:rFonts w:cs="Arial"/>
                <w:sz w:val="19"/>
                <w:szCs w:val="19"/>
                <w:lang w:eastAsia="fr-CA"/>
              </w:rPr>
              <w:t xml:space="preserve">the service provider </w:t>
            </w:r>
            <w:r w:rsidRPr="00E36FD2">
              <w:rPr>
                <w:rFonts w:cs="Arial"/>
                <w:sz w:val="19"/>
                <w:szCs w:val="19"/>
                <w:lang w:eastAsia="fr-CA"/>
              </w:rPr>
              <w:t xml:space="preserve">suffers due to supply of off-specification gas, excluding losses </w:t>
            </w:r>
            <w:r w:rsidR="00211830" w:rsidRPr="00E36FD2">
              <w:rPr>
                <w:rFonts w:cs="Arial"/>
                <w:sz w:val="19"/>
                <w:szCs w:val="19"/>
                <w:lang w:eastAsia="fr-CA"/>
              </w:rPr>
              <w:t xml:space="preserve">the service provider </w:t>
            </w:r>
            <w:r w:rsidRPr="00E36FD2">
              <w:rPr>
                <w:rFonts w:cs="Arial"/>
                <w:sz w:val="19"/>
                <w:szCs w:val="19"/>
                <w:lang w:eastAsia="fr-CA"/>
              </w:rPr>
              <w:t xml:space="preserve">would have avoided had </w:t>
            </w:r>
            <w:r w:rsidR="00211830" w:rsidRPr="00E36FD2">
              <w:rPr>
                <w:rFonts w:cs="Arial"/>
                <w:sz w:val="19"/>
                <w:szCs w:val="19"/>
                <w:lang w:eastAsia="fr-CA"/>
              </w:rPr>
              <w:t xml:space="preserve">the service provider </w:t>
            </w:r>
            <w:r w:rsidRPr="00E36FD2">
              <w:rPr>
                <w:rFonts w:cs="Arial"/>
                <w:sz w:val="19"/>
                <w:szCs w:val="19"/>
                <w:lang w:eastAsia="fr-CA"/>
              </w:rPr>
              <w:t xml:space="preserve">acted as a reasonable and prudent operator.  An unresolved issue is whether this indemnity should extend to </w:t>
            </w:r>
            <w:r w:rsidR="00211830" w:rsidRPr="00E36FD2">
              <w:rPr>
                <w:rFonts w:cs="Arial"/>
                <w:sz w:val="19"/>
                <w:szCs w:val="19"/>
                <w:lang w:eastAsia="fr-CA"/>
              </w:rPr>
              <w:t>the 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rovider’s loss of profits.</w:t>
            </w:r>
          </w:p>
          <w:p w14:paraId="17DCF9FB" w14:textId="77777777"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Where </w:t>
            </w:r>
            <w:r w:rsidR="00211830" w:rsidRPr="00E36FD2">
              <w:rPr>
                <w:rFonts w:cs="Arial"/>
                <w:sz w:val="19"/>
                <w:szCs w:val="19"/>
                <w:lang w:eastAsia="fr-CA"/>
              </w:rPr>
              <w:t>the secondary shipper</w:t>
            </w:r>
            <w:r w:rsidRPr="00E36FD2">
              <w:rPr>
                <w:rFonts w:cs="Arial"/>
                <w:sz w:val="19"/>
                <w:szCs w:val="19"/>
                <w:lang w:eastAsia="fr-CA"/>
              </w:rPr>
              <w:t xml:space="preserve"> supplies off-specification gas in a common stream with other shippers then </w:t>
            </w:r>
            <w:r w:rsidR="00211830" w:rsidRPr="00E36FD2">
              <w:rPr>
                <w:rFonts w:cs="Arial"/>
                <w:sz w:val="19"/>
                <w:szCs w:val="19"/>
                <w:lang w:eastAsia="fr-CA"/>
              </w:rPr>
              <w:t>the secondary shipper</w:t>
            </w:r>
            <w:r w:rsidRPr="00E36FD2">
              <w:rPr>
                <w:rFonts w:cs="Arial"/>
                <w:sz w:val="19"/>
                <w:szCs w:val="19"/>
                <w:lang w:eastAsia="fr-CA"/>
              </w:rPr>
              <w:t xml:space="preserve"> is only liable for a pro-rata proportion of </w:t>
            </w:r>
            <w:r w:rsidR="00211830" w:rsidRPr="00E36FD2">
              <w:rPr>
                <w:rFonts w:cs="Arial"/>
                <w:sz w:val="19"/>
                <w:szCs w:val="19"/>
                <w:lang w:eastAsia="fr-CA"/>
              </w:rPr>
              <w:t>the 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rovider’s losses.</w:t>
            </w:r>
          </w:p>
          <w:p w14:paraId="71600195" w14:textId="448D1721" w:rsidR="0057020B" w:rsidRPr="00E36FD2" w:rsidRDefault="00211830" w:rsidP="00C05A16">
            <w:pPr>
              <w:keepNext/>
              <w:tabs>
                <w:tab w:val="left" w:pos="720"/>
              </w:tabs>
              <w:spacing w:before="80" w:after="120"/>
              <w:ind w:left="109"/>
              <w:rPr>
                <w:rFonts w:cs="Arial"/>
                <w:sz w:val="19"/>
                <w:szCs w:val="19"/>
                <w:lang w:eastAsia="fr-CA"/>
              </w:rPr>
            </w:pPr>
            <w:r w:rsidRPr="00E36FD2">
              <w:rPr>
                <w:rFonts w:cs="Arial"/>
                <w:sz w:val="19"/>
                <w:szCs w:val="19"/>
                <w:lang w:eastAsia="fr-CA"/>
              </w:rPr>
              <w:t>The s</w:t>
            </w:r>
            <w:r w:rsidR="0057020B" w:rsidRPr="00E36FD2">
              <w:rPr>
                <w:rFonts w:cs="Arial"/>
                <w:sz w:val="19"/>
                <w:szCs w:val="19"/>
                <w:lang w:eastAsia="fr-CA"/>
              </w:rPr>
              <w:t xml:space="preserve">ervice </w:t>
            </w:r>
            <w:r w:rsidRPr="00E36FD2">
              <w:rPr>
                <w:rFonts w:cs="Arial"/>
                <w:sz w:val="19"/>
                <w:szCs w:val="19"/>
                <w:lang w:eastAsia="fr-CA"/>
              </w:rPr>
              <w:t>p</w:t>
            </w:r>
            <w:r w:rsidR="0057020B" w:rsidRPr="00E36FD2">
              <w:rPr>
                <w:rFonts w:cs="Arial"/>
                <w:sz w:val="19"/>
                <w:szCs w:val="19"/>
                <w:lang w:eastAsia="fr-CA"/>
              </w:rPr>
              <w:t xml:space="preserve">rovider is only liable for delivering off-specification gas at a delivery point where </w:t>
            </w:r>
            <w:r w:rsidRPr="00E36FD2">
              <w:rPr>
                <w:rFonts w:cs="Arial"/>
                <w:sz w:val="19"/>
                <w:szCs w:val="19"/>
                <w:lang w:eastAsia="fr-CA"/>
              </w:rPr>
              <w:t>the s</w:t>
            </w:r>
            <w:r w:rsidR="0057020B" w:rsidRPr="00E36FD2">
              <w:rPr>
                <w:rFonts w:cs="Arial"/>
                <w:sz w:val="19"/>
                <w:szCs w:val="19"/>
                <w:lang w:eastAsia="fr-CA"/>
              </w:rPr>
              <w:t xml:space="preserve">ervice </w:t>
            </w:r>
            <w:r w:rsidRPr="00E36FD2">
              <w:rPr>
                <w:rFonts w:cs="Arial"/>
                <w:sz w:val="19"/>
                <w:szCs w:val="19"/>
                <w:lang w:eastAsia="fr-CA"/>
              </w:rPr>
              <w:t>p</w:t>
            </w:r>
            <w:r w:rsidR="0057020B" w:rsidRPr="00E36FD2">
              <w:rPr>
                <w:rFonts w:cs="Arial"/>
                <w:sz w:val="19"/>
                <w:szCs w:val="19"/>
                <w:lang w:eastAsia="fr-CA"/>
              </w:rPr>
              <w:t xml:space="preserve">rovider agreed to accept off-specification gas into the </w:t>
            </w:r>
            <w:r w:rsidR="002363C2" w:rsidRPr="00E36FD2">
              <w:rPr>
                <w:rFonts w:cs="Arial"/>
                <w:sz w:val="19"/>
                <w:szCs w:val="19"/>
                <w:lang w:eastAsia="fr-CA"/>
              </w:rPr>
              <w:t>pipeline</w:t>
            </w:r>
            <w:r w:rsidR="0057020B" w:rsidRPr="00E36FD2">
              <w:rPr>
                <w:rFonts w:cs="Arial"/>
                <w:sz w:val="19"/>
                <w:szCs w:val="19"/>
                <w:lang w:eastAsia="fr-CA"/>
              </w:rPr>
              <w:t xml:space="preserve"> from another shipper or where </w:t>
            </w:r>
            <w:r w:rsidRPr="00E36FD2">
              <w:rPr>
                <w:rFonts w:cs="Arial"/>
                <w:sz w:val="19"/>
                <w:szCs w:val="19"/>
                <w:lang w:eastAsia="fr-CA"/>
              </w:rPr>
              <w:t xml:space="preserve">the service provider </w:t>
            </w:r>
            <w:r w:rsidR="0057020B" w:rsidRPr="00E36FD2">
              <w:rPr>
                <w:rFonts w:cs="Arial"/>
                <w:sz w:val="19"/>
                <w:szCs w:val="19"/>
                <w:lang w:eastAsia="fr-CA"/>
              </w:rPr>
              <w:t xml:space="preserve">could, as a reasonable and prudent operator, have avoided delivering off-specification gas to </w:t>
            </w:r>
            <w:r w:rsidRPr="00E36FD2">
              <w:rPr>
                <w:rFonts w:cs="Arial"/>
                <w:sz w:val="19"/>
                <w:szCs w:val="19"/>
                <w:lang w:eastAsia="fr-CA"/>
              </w:rPr>
              <w:t>the secondary shipper</w:t>
            </w:r>
            <w:r w:rsidR="0057020B" w:rsidRPr="00E36FD2">
              <w:rPr>
                <w:rFonts w:cs="Arial"/>
                <w:sz w:val="19"/>
                <w:szCs w:val="19"/>
                <w:lang w:eastAsia="fr-CA"/>
              </w:rPr>
              <w:t xml:space="preserve">.  This means that where Shipper A delivers off-specification gas into the </w:t>
            </w:r>
            <w:r w:rsidR="002363C2" w:rsidRPr="00E36FD2">
              <w:rPr>
                <w:rFonts w:cs="Arial"/>
                <w:sz w:val="19"/>
                <w:szCs w:val="19"/>
                <w:lang w:eastAsia="fr-CA"/>
              </w:rPr>
              <w:t>pipeline</w:t>
            </w:r>
            <w:r w:rsidR="0057020B" w:rsidRPr="00E36FD2">
              <w:rPr>
                <w:rFonts w:cs="Arial"/>
                <w:sz w:val="19"/>
                <w:szCs w:val="19"/>
                <w:lang w:eastAsia="fr-CA"/>
              </w:rPr>
              <w:t xml:space="preserve"> and this causes </w:t>
            </w:r>
            <w:r w:rsidRPr="00E36FD2">
              <w:rPr>
                <w:rFonts w:cs="Arial"/>
                <w:sz w:val="19"/>
                <w:szCs w:val="19"/>
                <w:lang w:eastAsia="fr-CA"/>
              </w:rPr>
              <w:t xml:space="preserve">the service provider </w:t>
            </w:r>
            <w:r w:rsidR="0057020B" w:rsidRPr="00E36FD2">
              <w:rPr>
                <w:rFonts w:cs="Arial"/>
                <w:sz w:val="19"/>
                <w:szCs w:val="19"/>
                <w:lang w:eastAsia="fr-CA"/>
              </w:rPr>
              <w:t xml:space="preserve">to deliver off-specification gas to Shipper B then </w:t>
            </w:r>
            <w:r w:rsidRPr="00E36FD2">
              <w:rPr>
                <w:rFonts w:cs="Arial"/>
                <w:sz w:val="19"/>
                <w:szCs w:val="19"/>
                <w:lang w:eastAsia="fr-CA"/>
              </w:rPr>
              <w:t xml:space="preserve">the service provider </w:t>
            </w:r>
            <w:r w:rsidR="0057020B" w:rsidRPr="00E36FD2">
              <w:rPr>
                <w:rFonts w:cs="Arial"/>
                <w:sz w:val="19"/>
                <w:szCs w:val="19"/>
                <w:lang w:eastAsia="fr-CA"/>
              </w:rPr>
              <w:t xml:space="preserve">is only liable to Shipper B if </w:t>
            </w:r>
            <w:r w:rsidRPr="00E36FD2">
              <w:rPr>
                <w:rFonts w:cs="Arial"/>
                <w:sz w:val="19"/>
                <w:szCs w:val="19"/>
                <w:lang w:eastAsia="fr-CA"/>
              </w:rPr>
              <w:t xml:space="preserve">the service provider </w:t>
            </w:r>
            <w:r w:rsidR="0057020B" w:rsidRPr="00E36FD2">
              <w:rPr>
                <w:rFonts w:cs="Arial"/>
                <w:sz w:val="19"/>
                <w:szCs w:val="19"/>
                <w:lang w:eastAsia="fr-CA"/>
              </w:rPr>
              <w:t xml:space="preserve">either (i) agreed to accept the off-specification gas from Shipper A or (ii) could as a reasonable and prudent operator </w:t>
            </w:r>
            <w:r w:rsidR="00D4786D">
              <w:rPr>
                <w:rFonts w:cs="Arial"/>
                <w:sz w:val="19"/>
                <w:szCs w:val="19"/>
                <w:lang w:eastAsia="fr-CA"/>
              </w:rPr>
              <w:t xml:space="preserve">have </w:t>
            </w:r>
            <w:r w:rsidR="0057020B" w:rsidRPr="00E36FD2">
              <w:rPr>
                <w:rFonts w:cs="Arial"/>
                <w:sz w:val="19"/>
                <w:szCs w:val="19"/>
                <w:lang w:eastAsia="fr-CA"/>
              </w:rPr>
              <w:t xml:space="preserve">avoided delivering off-specification gas to Shipper B.  </w:t>
            </w:r>
            <w:r w:rsidR="00E87773" w:rsidRPr="00E36FD2">
              <w:rPr>
                <w:rFonts w:cs="Arial"/>
                <w:sz w:val="19"/>
                <w:szCs w:val="19"/>
                <w:lang w:eastAsia="fr-CA"/>
              </w:rPr>
              <w:t xml:space="preserve">An </w:t>
            </w:r>
            <w:r w:rsidR="0057020B" w:rsidRPr="00E36FD2">
              <w:rPr>
                <w:rFonts w:cs="Arial"/>
                <w:sz w:val="19"/>
                <w:szCs w:val="19"/>
                <w:lang w:eastAsia="fr-CA"/>
              </w:rPr>
              <w:t xml:space="preserve">alternative approach would be to make </w:t>
            </w:r>
            <w:r w:rsidRPr="00E36FD2">
              <w:rPr>
                <w:rFonts w:cs="Arial"/>
                <w:sz w:val="19"/>
                <w:szCs w:val="19"/>
                <w:lang w:eastAsia="fr-CA"/>
              </w:rPr>
              <w:t xml:space="preserve">the service provider </w:t>
            </w:r>
            <w:r w:rsidR="0057020B" w:rsidRPr="00E36FD2">
              <w:rPr>
                <w:rFonts w:cs="Arial"/>
                <w:sz w:val="19"/>
                <w:szCs w:val="19"/>
                <w:lang w:eastAsia="fr-CA"/>
              </w:rPr>
              <w:t xml:space="preserve">liable to Shipper B for delivering off-specification gas to Shipper B and then leave </w:t>
            </w:r>
            <w:r w:rsidRPr="00E36FD2">
              <w:rPr>
                <w:rFonts w:cs="Arial"/>
                <w:sz w:val="19"/>
                <w:szCs w:val="19"/>
                <w:lang w:eastAsia="fr-CA"/>
              </w:rPr>
              <w:t xml:space="preserve">the service provider </w:t>
            </w:r>
            <w:r w:rsidR="0057020B" w:rsidRPr="00E36FD2">
              <w:rPr>
                <w:rFonts w:cs="Arial"/>
                <w:sz w:val="19"/>
                <w:szCs w:val="19"/>
                <w:lang w:eastAsia="fr-CA"/>
              </w:rPr>
              <w:t xml:space="preserve">to recoup from Shipper A any liability </w:t>
            </w:r>
            <w:r w:rsidR="00D4786D">
              <w:rPr>
                <w:rFonts w:cs="Arial"/>
                <w:sz w:val="19"/>
                <w:szCs w:val="19"/>
                <w:lang w:eastAsia="fr-CA"/>
              </w:rPr>
              <w:t xml:space="preserve">the service provider </w:t>
            </w:r>
            <w:r w:rsidR="0057020B" w:rsidRPr="00E36FD2">
              <w:rPr>
                <w:rFonts w:cs="Arial"/>
                <w:sz w:val="19"/>
                <w:szCs w:val="19"/>
                <w:lang w:eastAsia="fr-CA"/>
              </w:rPr>
              <w:t>incurs to Shipper B.</w:t>
            </w:r>
          </w:p>
          <w:p w14:paraId="136ED699" w14:textId="462981E9" w:rsidR="00E87773" w:rsidRPr="00E36FD2" w:rsidRDefault="00E87773"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See section </w:t>
            </w:r>
            <w:r w:rsidRPr="00E36FD2">
              <w:rPr>
                <w:rFonts w:cs="Arial"/>
                <w:sz w:val="19"/>
                <w:szCs w:val="19"/>
                <w:lang w:eastAsia="fr-CA"/>
              </w:rPr>
              <w:fldChar w:fldCharType="begin"/>
            </w:r>
            <w:r w:rsidRPr="00E36FD2">
              <w:rPr>
                <w:rFonts w:cs="Arial"/>
                <w:sz w:val="19"/>
                <w:szCs w:val="19"/>
                <w:lang w:eastAsia="fr-CA"/>
              </w:rPr>
              <w:instrText xml:space="preserve"> REF _Ref492230014 \r \h </w:instrText>
            </w:r>
            <w:r w:rsidR="00E36FD2">
              <w:rPr>
                <w:rFonts w:cs="Arial"/>
                <w:sz w:val="19"/>
                <w:szCs w:val="19"/>
                <w:lang w:eastAsia="fr-CA"/>
              </w:rPr>
              <w:instrText xml:space="preserve"> \* MERGEFORMAT </w:instrText>
            </w:r>
            <w:r w:rsidRPr="00E36FD2">
              <w:rPr>
                <w:rFonts w:cs="Arial"/>
                <w:sz w:val="19"/>
                <w:szCs w:val="19"/>
                <w:lang w:eastAsia="fr-CA"/>
              </w:rPr>
            </w:r>
            <w:r w:rsidRPr="00E36FD2">
              <w:rPr>
                <w:rFonts w:cs="Arial"/>
                <w:sz w:val="19"/>
                <w:szCs w:val="19"/>
                <w:lang w:eastAsia="fr-CA"/>
              </w:rPr>
              <w:fldChar w:fldCharType="separate"/>
            </w:r>
            <w:r w:rsidR="00947034">
              <w:rPr>
                <w:rFonts w:cs="Arial"/>
                <w:sz w:val="19"/>
                <w:szCs w:val="19"/>
                <w:lang w:eastAsia="fr-CA"/>
              </w:rPr>
              <w:t>3.3.1</w:t>
            </w:r>
            <w:r w:rsidRPr="00E36FD2">
              <w:rPr>
                <w:rFonts w:cs="Arial"/>
                <w:sz w:val="19"/>
                <w:szCs w:val="19"/>
                <w:lang w:eastAsia="fr-CA"/>
              </w:rPr>
              <w:fldChar w:fldCharType="end"/>
            </w:r>
            <w:r w:rsidRPr="00E36FD2">
              <w:rPr>
                <w:rFonts w:cs="Arial"/>
                <w:sz w:val="19"/>
                <w:szCs w:val="19"/>
                <w:lang w:eastAsia="fr-CA"/>
              </w:rPr>
              <w:t xml:space="preserve"> for further discussion regarding the liability regime for off-specification gas.</w:t>
            </w:r>
          </w:p>
        </w:tc>
      </w:tr>
      <w:tr w:rsidR="001C729B" w:rsidRPr="00E36FD2" w14:paraId="603BDF0F" w14:textId="77777777" w:rsidTr="00EC1759">
        <w:trPr>
          <w:cnfStyle w:val="000000010000" w:firstRow="0" w:lastRow="0" w:firstColumn="0" w:lastColumn="0" w:oddVBand="0" w:evenVBand="0" w:oddHBand="0" w:evenHBand="1" w:firstRowFirstColumn="0" w:firstRowLastColumn="0" w:lastRowFirstColumn="0" w:lastRowLastColumn="0"/>
          <w:cantSplit/>
        </w:trPr>
        <w:tc>
          <w:tcPr>
            <w:tcW w:w="261" w:type="pct"/>
          </w:tcPr>
          <w:p w14:paraId="7FFBFEDA" w14:textId="77777777" w:rsidR="0057020B" w:rsidRPr="00E36FD2" w:rsidRDefault="0057020B" w:rsidP="00C05A16">
            <w:pPr>
              <w:spacing w:before="80" w:after="120"/>
              <w:ind w:left="74" w:right="74"/>
              <w:jc w:val="center"/>
              <w:rPr>
                <w:rFonts w:cs="Arial"/>
                <w:sz w:val="19"/>
                <w:szCs w:val="19"/>
                <w:lang w:eastAsia="fr-CA"/>
              </w:rPr>
            </w:pPr>
            <w:r w:rsidRPr="00E36FD2">
              <w:rPr>
                <w:rFonts w:cs="Arial"/>
                <w:sz w:val="19"/>
                <w:szCs w:val="19"/>
                <w:lang w:eastAsia="fr-CA"/>
              </w:rPr>
              <w:t>11</w:t>
            </w:r>
          </w:p>
        </w:tc>
        <w:tc>
          <w:tcPr>
            <w:tcW w:w="725" w:type="pct"/>
          </w:tcPr>
          <w:p w14:paraId="016CEDBB" w14:textId="77777777" w:rsidR="0057020B" w:rsidRPr="00E36FD2" w:rsidRDefault="0057020B" w:rsidP="00C05A16">
            <w:pPr>
              <w:spacing w:before="80" w:after="120"/>
              <w:ind w:left="74" w:right="74"/>
              <w:rPr>
                <w:rFonts w:cs="Arial"/>
                <w:sz w:val="19"/>
                <w:szCs w:val="19"/>
                <w:lang w:eastAsia="fr-CA"/>
              </w:rPr>
            </w:pPr>
            <w:r w:rsidRPr="00E36FD2">
              <w:rPr>
                <w:rFonts w:cs="Arial"/>
                <w:sz w:val="19"/>
                <w:szCs w:val="19"/>
                <w:lang w:eastAsia="fr-CA"/>
              </w:rPr>
              <w:t>Pressure and Temperature</w:t>
            </w:r>
          </w:p>
        </w:tc>
        <w:tc>
          <w:tcPr>
            <w:tcW w:w="4013" w:type="pct"/>
          </w:tcPr>
          <w:p w14:paraId="4AE8CE37" w14:textId="0F64715A"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Clause 11 requires gas to be supplied and delivered at the pressure and temperature set out in the </w:t>
            </w:r>
            <w:r w:rsidR="0009208D" w:rsidRPr="00E36FD2">
              <w:rPr>
                <w:rFonts w:cs="Arial"/>
                <w:sz w:val="19"/>
                <w:szCs w:val="19"/>
                <w:lang w:eastAsia="fr-CA"/>
              </w:rPr>
              <w:t>facility s</w:t>
            </w:r>
            <w:r w:rsidRPr="00E36FD2">
              <w:rPr>
                <w:rFonts w:cs="Arial"/>
                <w:sz w:val="19"/>
                <w:szCs w:val="19"/>
                <w:lang w:eastAsia="fr-CA"/>
              </w:rPr>
              <w:t xml:space="preserve">pecific </w:t>
            </w:r>
            <w:r w:rsidR="0009208D" w:rsidRPr="00E36FD2">
              <w:rPr>
                <w:rFonts w:cs="Arial"/>
                <w:sz w:val="19"/>
                <w:szCs w:val="19"/>
                <w:lang w:eastAsia="fr-CA"/>
              </w:rPr>
              <w:t>t</w:t>
            </w:r>
            <w:r w:rsidRPr="00E36FD2">
              <w:rPr>
                <w:rFonts w:cs="Arial"/>
                <w:sz w:val="19"/>
                <w:szCs w:val="19"/>
                <w:lang w:eastAsia="fr-CA"/>
              </w:rPr>
              <w:t xml:space="preserve">erms.  It also provides any </w:t>
            </w:r>
            <w:proofErr w:type="spellStart"/>
            <w:r w:rsidRPr="00E36FD2">
              <w:rPr>
                <w:rFonts w:cs="Arial"/>
                <w:sz w:val="19"/>
                <w:szCs w:val="19"/>
                <w:lang w:eastAsia="fr-CA"/>
              </w:rPr>
              <w:t>odorisation</w:t>
            </w:r>
            <w:proofErr w:type="spellEnd"/>
            <w:r w:rsidRPr="00E36FD2">
              <w:rPr>
                <w:rFonts w:cs="Arial"/>
                <w:sz w:val="19"/>
                <w:szCs w:val="19"/>
                <w:lang w:eastAsia="fr-CA"/>
              </w:rPr>
              <w:t xml:space="preserve"> of gas will be undertaken in accordance with the </w:t>
            </w:r>
            <w:r w:rsidR="0009208D" w:rsidRPr="00E36FD2">
              <w:rPr>
                <w:rFonts w:cs="Arial"/>
                <w:sz w:val="19"/>
                <w:szCs w:val="19"/>
                <w:lang w:eastAsia="fr-CA"/>
              </w:rPr>
              <w:t>facility s</w:t>
            </w:r>
            <w:r w:rsidRPr="00E36FD2">
              <w:rPr>
                <w:rFonts w:cs="Arial"/>
                <w:sz w:val="19"/>
                <w:szCs w:val="19"/>
                <w:lang w:eastAsia="fr-CA"/>
              </w:rPr>
              <w:t xml:space="preserve">pecific </w:t>
            </w:r>
            <w:r w:rsidR="0009208D" w:rsidRPr="00E36FD2">
              <w:rPr>
                <w:rFonts w:cs="Arial"/>
                <w:sz w:val="19"/>
                <w:szCs w:val="19"/>
                <w:lang w:eastAsia="fr-CA"/>
              </w:rPr>
              <w:t>t</w:t>
            </w:r>
            <w:r w:rsidRPr="00E36FD2">
              <w:rPr>
                <w:rFonts w:cs="Arial"/>
                <w:sz w:val="19"/>
                <w:szCs w:val="19"/>
                <w:lang w:eastAsia="fr-CA"/>
              </w:rPr>
              <w:t>erms.</w:t>
            </w:r>
          </w:p>
        </w:tc>
      </w:tr>
      <w:tr w:rsidR="001C729B" w:rsidRPr="00E36FD2" w14:paraId="07B973EE" w14:textId="77777777" w:rsidTr="00EC1759">
        <w:trPr>
          <w:cantSplit/>
        </w:trPr>
        <w:tc>
          <w:tcPr>
            <w:tcW w:w="261" w:type="pct"/>
          </w:tcPr>
          <w:p w14:paraId="73E927E6" w14:textId="77777777" w:rsidR="0057020B" w:rsidRPr="00E36FD2" w:rsidRDefault="0057020B" w:rsidP="00C05A16">
            <w:pPr>
              <w:spacing w:before="80" w:after="120"/>
              <w:ind w:left="74" w:right="74"/>
              <w:jc w:val="center"/>
              <w:rPr>
                <w:rFonts w:cs="Arial"/>
                <w:sz w:val="19"/>
                <w:szCs w:val="19"/>
                <w:lang w:eastAsia="fr-CA"/>
              </w:rPr>
            </w:pPr>
            <w:r w:rsidRPr="00E36FD2">
              <w:rPr>
                <w:rFonts w:cs="Arial"/>
                <w:sz w:val="19"/>
                <w:szCs w:val="19"/>
                <w:lang w:eastAsia="fr-CA"/>
              </w:rPr>
              <w:lastRenderedPageBreak/>
              <w:t>12</w:t>
            </w:r>
          </w:p>
        </w:tc>
        <w:tc>
          <w:tcPr>
            <w:tcW w:w="725" w:type="pct"/>
          </w:tcPr>
          <w:p w14:paraId="52ACA082" w14:textId="77777777" w:rsidR="0057020B" w:rsidRPr="00E36FD2" w:rsidRDefault="0057020B" w:rsidP="00C05A16">
            <w:pPr>
              <w:spacing w:before="80" w:after="120"/>
              <w:ind w:left="74" w:right="74"/>
              <w:rPr>
                <w:rFonts w:cs="Arial"/>
                <w:sz w:val="19"/>
                <w:szCs w:val="19"/>
                <w:lang w:eastAsia="fr-CA"/>
              </w:rPr>
            </w:pPr>
            <w:r w:rsidRPr="00E36FD2">
              <w:rPr>
                <w:rFonts w:cs="Arial"/>
                <w:sz w:val="19"/>
                <w:szCs w:val="19"/>
                <w:lang w:eastAsia="fr-CA"/>
              </w:rPr>
              <w:t>Imbalance</w:t>
            </w:r>
          </w:p>
        </w:tc>
        <w:tc>
          <w:tcPr>
            <w:tcW w:w="4013" w:type="pct"/>
          </w:tcPr>
          <w:p w14:paraId="4396821A" w14:textId="495F5730"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Clause 12 regulates imbalance which is the situation where the sum of </w:t>
            </w:r>
            <w:r w:rsidR="00211830" w:rsidRPr="00E36FD2">
              <w:rPr>
                <w:rFonts w:cs="Arial"/>
                <w:sz w:val="19"/>
                <w:szCs w:val="19"/>
                <w:lang w:eastAsia="fr-CA"/>
              </w:rPr>
              <w:t>the secondary shipper</w:t>
            </w:r>
            <w:r w:rsidRPr="00E36FD2">
              <w:rPr>
                <w:rFonts w:cs="Arial"/>
                <w:sz w:val="19"/>
                <w:szCs w:val="19"/>
                <w:lang w:eastAsia="fr-CA"/>
              </w:rPr>
              <w:t>’s receipts over time differ from it</w:t>
            </w:r>
            <w:r w:rsidR="0009208D" w:rsidRPr="00E36FD2">
              <w:rPr>
                <w:rFonts w:cs="Arial"/>
                <w:sz w:val="19"/>
                <w:szCs w:val="19"/>
                <w:lang w:eastAsia="fr-CA"/>
              </w:rPr>
              <w:t>s</w:t>
            </w:r>
            <w:r w:rsidRPr="00E36FD2">
              <w:rPr>
                <w:rFonts w:cs="Arial"/>
                <w:sz w:val="19"/>
                <w:szCs w:val="19"/>
                <w:lang w:eastAsia="fr-CA"/>
              </w:rPr>
              <w:t xml:space="preserve"> deliveries.  While imbalance is inevitable too great an imbalance may affect the operational integrity of a pipeline and a service provider’s ability to provide services to other shippers.  It is therefore necessary to regulate the extent of </w:t>
            </w:r>
            <w:r w:rsidR="00211830" w:rsidRPr="00E36FD2">
              <w:rPr>
                <w:rFonts w:cs="Arial"/>
                <w:sz w:val="19"/>
                <w:szCs w:val="19"/>
                <w:lang w:eastAsia="fr-CA"/>
              </w:rPr>
              <w:t>the secondary shipper</w:t>
            </w:r>
            <w:r w:rsidRPr="00E36FD2">
              <w:rPr>
                <w:rFonts w:cs="Arial"/>
                <w:sz w:val="19"/>
                <w:szCs w:val="19"/>
                <w:lang w:eastAsia="fr-CA"/>
              </w:rPr>
              <w:t xml:space="preserve">’s imbalance. </w:t>
            </w:r>
          </w:p>
          <w:p w14:paraId="000A0859" w14:textId="00432220" w:rsidR="0057020B" w:rsidRPr="00E36FD2" w:rsidRDefault="00EC1759" w:rsidP="00C05A16">
            <w:pPr>
              <w:keepNext/>
              <w:tabs>
                <w:tab w:val="left" w:pos="720"/>
              </w:tabs>
              <w:spacing w:before="80" w:after="120"/>
              <w:ind w:left="109"/>
              <w:rPr>
                <w:rFonts w:cs="Arial"/>
                <w:sz w:val="19"/>
                <w:szCs w:val="19"/>
                <w:lang w:eastAsia="fr-CA"/>
              </w:rPr>
            </w:pPr>
            <w:r w:rsidRPr="00E36FD2">
              <w:rPr>
                <w:rFonts w:cs="Arial"/>
                <w:sz w:val="19"/>
                <w:szCs w:val="19"/>
                <w:lang w:eastAsia="fr-CA"/>
              </w:rPr>
              <w:t>This</w:t>
            </w:r>
            <w:r w:rsidR="0057020B" w:rsidRPr="00E36FD2">
              <w:rPr>
                <w:rFonts w:cs="Arial"/>
                <w:sz w:val="19"/>
                <w:szCs w:val="19"/>
                <w:lang w:eastAsia="fr-CA"/>
              </w:rPr>
              <w:t xml:space="preserve"> clause provides for the setting of an imbalance allowance and imbalance charge in accordance with the </w:t>
            </w:r>
            <w:r w:rsidR="00996004" w:rsidRPr="00E36FD2">
              <w:rPr>
                <w:rFonts w:cs="Arial"/>
                <w:sz w:val="19"/>
                <w:szCs w:val="19"/>
                <w:lang w:eastAsia="fr-CA"/>
              </w:rPr>
              <w:t>facility specific terms</w:t>
            </w:r>
            <w:r w:rsidR="0057020B" w:rsidRPr="00E36FD2">
              <w:rPr>
                <w:rFonts w:cs="Arial"/>
                <w:sz w:val="19"/>
                <w:szCs w:val="19"/>
                <w:lang w:eastAsia="fr-CA"/>
              </w:rPr>
              <w:t xml:space="preserve">.  The imbalance charge will be payable where </w:t>
            </w:r>
            <w:r w:rsidR="00211830" w:rsidRPr="00E36FD2">
              <w:rPr>
                <w:rFonts w:cs="Arial"/>
                <w:sz w:val="19"/>
                <w:szCs w:val="19"/>
                <w:lang w:eastAsia="fr-CA"/>
              </w:rPr>
              <w:t>the secondary shipper</w:t>
            </w:r>
            <w:r w:rsidR="0057020B" w:rsidRPr="00E36FD2">
              <w:rPr>
                <w:rFonts w:cs="Arial"/>
                <w:sz w:val="19"/>
                <w:szCs w:val="19"/>
                <w:lang w:eastAsia="fr-CA"/>
              </w:rPr>
              <w:t>’s imbalance exceeds the imbalance allowance.</w:t>
            </w:r>
          </w:p>
          <w:p w14:paraId="1BEEFD33" w14:textId="5BDA03DF"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The clause also sets out the circumstances in which </w:t>
            </w:r>
            <w:r w:rsidR="00211830" w:rsidRPr="00E36FD2">
              <w:rPr>
                <w:rFonts w:cs="Arial"/>
                <w:sz w:val="19"/>
                <w:szCs w:val="19"/>
                <w:lang w:eastAsia="fr-CA"/>
              </w:rPr>
              <w:t xml:space="preserve">the service provider </w:t>
            </w:r>
            <w:r w:rsidRPr="00E36FD2">
              <w:rPr>
                <w:rFonts w:cs="Arial"/>
                <w:sz w:val="19"/>
                <w:szCs w:val="19"/>
                <w:lang w:eastAsia="fr-CA"/>
              </w:rPr>
              <w:t xml:space="preserve">may curtail </w:t>
            </w:r>
            <w:r w:rsidR="00211830" w:rsidRPr="00E36FD2">
              <w:rPr>
                <w:rFonts w:cs="Arial"/>
                <w:sz w:val="19"/>
                <w:szCs w:val="19"/>
                <w:lang w:eastAsia="fr-CA"/>
              </w:rPr>
              <w:t>the secondary shipper</w:t>
            </w:r>
            <w:r w:rsidRPr="00E36FD2">
              <w:rPr>
                <w:rFonts w:cs="Arial"/>
                <w:sz w:val="19"/>
                <w:szCs w:val="19"/>
                <w:lang w:eastAsia="fr-CA"/>
              </w:rPr>
              <w:t xml:space="preserve"> due to </w:t>
            </w:r>
            <w:r w:rsidR="00211830" w:rsidRPr="00E36FD2">
              <w:rPr>
                <w:rFonts w:cs="Arial"/>
                <w:sz w:val="19"/>
                <w:szCs w:val="19"/>
                <w:lang w:eastAsia="fr-CA"/>
              </w:rPr>
              <w:t>the secondary shipper</w:t>
            </w:r>
            <w:r w:rsidRPr="00E36FD2">
              <w:rPr>
                <w:rFonts w:cs="Arial"/>
                <w:sz w:val="19"/>
                <w:szCs w:val="19"/>
                <w:lang w:eastAsia="fr-CA"/>
              </w:rPr>
              <w:t xml:space="preserve">’s imbalance exceeding the imbalance allowance (or such lower level set out in the </w:t>
            </w:r>
            <w:r w:rsidR="0009208D" w:rsidRPr="00E36FD2">
              <w:rPr>
                <w:rFonts w:cs="Arial"/>
                <w:sz w:val="19"/>
                <w:szCs w:val="19"/>
                <w:lang w:eastAsia="fr-CA"/>
              </w:rPr>
              <w:t>facility s</w:t>
            </w:r>
            <w:r w:rsidRPr="00E36FD2">
              <w:rPr>
                <w:rFonts w:cs="Arial"/>
                <w:sz w:val="19"/>
                <w:szCs w:val="19"/>
                <w:lang w:eastAsia="fr-CA"/>
              </w:rPr>
              <w:t xml:space="preserve">pecific </w:t>
            </w:r>
            <w:r w:rsidR="0009208D" w:rsidRPr="00E36FD2">
              <w:rPr>
                <w:rFonts w:cs="Arial"/>
                <w:sz w:val="19"/>
                <w:szCs w:val="19"/>
                <w:lang w:eastAsia="fr-CA"/>
              </w:rPr>
              <w:t>t</w:t>
            </w:r>
            <w:r w:rsidRPr="00E36FD2">
              <w:rPr>
                <w:rFonts w:cs="Arial"/>
                <w:sz w:val="19"/>
                <w:szCs w:val="19"/>
                <w:lang w:eastAsia="fr-CA"/>
              </w:rPr>
              <w:t xml:space="preserve">erms) or otherwise require </w:t>
            </w:r>
            <w:r w:rsidR="00211830" w:rsidRPr="00E36FD2">
              <w:rPr>
                <w:rFonts w:cs="Arial"/>
                <w:sz w:val="19"/>
                <w:szCs w:val="19"/>
                <w:lang w:eastAsia="fr-CA"/>
              </w:rPr>
              <w:t>the secondary shipper</w:t>
            </w:r>
            <w:r w:rsidRPr="00E36FD2">
              <w:rPr>
                <w:rFonts w:cs="Arial"/>
                <w:sz w:val="19"/>
                <w:szCs w:val="19"/>
                <w:lang w:eastAsia="fr-CA"/>
              </w:rPr>
              <w:t xml:space="preserve"> to adjust its receipts or deliveries to address the imbalance.</w:t>
            </w:r>
          </w:p>
          <w:p w14:paraId="3A745037" w14:textId="77777777" w:rsidR="0057020B" w:rsidRPr="00E36FD2" w:rsidRDefault="00211830" w:rsidP="00C05A16">
            <w:pPr>
              <w:keepNext/>
              <w:tabs>
                <w:tab w:val="left" w:pos="720"/>
              </w:tabs>
              <w:spacing w:before="80" w:after="120"/>
              <w:ind w:left="109"/>
              <w:rPr>
                <w:rFonts w:cs="Arial"/>
                <w:sz w:val="19"/>
                <w:szCs w:val="19"/>
                <w:lang w:eastAsia="fr-CA"/>
              </w:rPr>
            </w:pPr>
            <w:r w:rsidRPr="00E36FD2">
              <w:rPr>
                <w:rFonts w:cs="Arial"/>
                <w:sz w:val="19"/>
                <w:szCs w:val="19"/>
                <w:lang w:eastAsia="fr-CA"/>
              </w:rPr>
              <w:t>Secondary s</w:t>
            </w:r>
            <w:r w:rsidR="0057020B" w:rsidRPr="00E36FD2">
              <w:rPr>
                <w:rFonts w:cs="Arial"/>
                <w:sz w:val="19"/>
                <w:szCs w:val="19"/>
                <w:lang w:eastAsia="fr-CA"/>
              </w:rPr>
              <w:t>hippers will be permitted to trade imbalances so as to assist control their imbalance allowance and exposure to imbalance charges.  For example</w:t>
            </w:r>
            <w:r w:rsidR="002363C2" w:rsidRPr="00E36FD2">
              <w:rPr>
                <w:rFonts w:cs="Arial"/>
                <w:sz w:val="19"/>
                <w:szCs w:val="19"/>
                <w:lang w:eastAsia="fr-CA"/>
              </w:rPr>
              <w:t>,</w:t>
            </w:r>
            <w:r w:rsidR="0057020B" w:rsidRPr="00E36FD2">
              <w:rPr>
                <w:rFonts w:cs="Arial"/>
                <w:sz w:val="19"/>
                <w:szCs w:val="19"/>
                <w:lang w:eastAsia="fr-CA"/>
              </w:rPr>
              <w:t xml:space="preserve"> a shipper with a positive imbalance of 3</w:t>
            </w:r>
            <w:r w:rsidR="00EC1759" w:rsidRPr="00E36FD2">
              <w:rPr>
                <w:rFonts w:cs="Arial"/>
                <w:sz w:val="19"/>
                <w:szCs w:val="19"/>
                <w:lang w:eastAsia="fr-CA"/>
              </w:rPr>
              <w:t xml:space="preserve"> </w:t>
            </w:r>
            <w:r w:rsidR="0057020B" w:rsidRPr="00E36FD2">
              <w:rPr>
                <w:rFonts w:cs="Arial"/>
                <w:sz w:val="19"/>
                <w:szCs w:val="19"/>
                <w:lang w:eastAsia="fr-CA"/>
              </w:rPr>
              <w:t>TJ could trade with a shipper with a negative imbalance of 3</w:t>
            </w:r>
            <w:r w:rsidR="00EC1759" w:rsidRPr="00E36FD2">
              <w:rPr>
                <w:rFonts w:cs="Arial"/>
                <w:sz w:val="19"/>
                <w:szCs w:val="19"/>
                <w:lang w:eastAsia="fr-CA"/>
              </w:rPr>
              <w:t xml:space="preserve"> TJ</w:t>
            </w:r>
            <w:r w:rsidR="0057020B" w:rsidRPr="00E36FD2">
              <w:rPr>
                <w:rFonts w:cs="Arial"/>
                <w:sz w:val="19"/>
                <w:szCs w:val="19"/>
                <w:lang w:eastAsia="fr-CA"/>
              </w:rPr>
              <w:t xml:space="preserve"> with the result that after the trade neither shipper will have an imbalance. </w:t>
            </w:r>
          </w:p>
          <w:p w14:paraId="1B36286C" w14:textId="77777777"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A potential risk to the integrity of pipelines posed by secondary trading is that at the end of its trade a shipper still has an imbalance (particularly a negative imbalance) despite the shipper no longer having any contracted Firm MDQ to support that imbalance.  </w:t>
            </w:r>
            <w:r w:rsidR="00211830" w:rsidRPr="00E36FD2">
              <w:rPr>
                <w:rFonts w:cs="Arial"/>
                <w:sz w:val="19"/>
                <w:szCs w:val="19"/>
                <w:lang w:eastAsia="fr-CA"/>
              </w:rPr>
              <w:t>Secondary s</w:t>
            </w:r>
            <w:r w:rsidRPr="00E36FD2">
              <w:rPr>
                <w:rFonts w:cs="Arial"/>
                <w:sz w:val="19"/>
                <w:szCs w:val="19"/>
                <w:lang w:eastAsia="fr-CA"/>
              </w:rPr>
              <w:t>hippers will be required to clear any residual imbalance within 24 hours of them ceasing to have Firm MDQ otherwise a charge will be payable until such time as the imbalance is cleared.  Th</w:t>
            </w:r>
            <w:r w:rsidR="00EC1759" w:rsidRPr="00E36FD2">
              <w:rPr>
                <w:rFonts w:cs="Arial"/>
                <w:sz w:val="19"/>
                <w:szCs w:val="19"/>
                <w:lang w:eastAsia="fr-CA"/>
              </w:rPr>
              <w:t>is</w:t>
            </w:r>
            <w:r w:rsidRPr="00E36FD2">
              <w:rPr>
                <w:rFonts w:cs="Arial"/>
                <w:sz w:val="19"/>
                <w:szCs w:val="19"/>
                <w:lang w:eastAsia="fr-CA"/>
              </w:rPr>
              <w:t xml:space="preserve"> clause also allows </w:t>
            </w:r>
            <w:r w:rsidR="00211830" w:rsidRPr="00E36FD2">
              <w:rPr>
                <w:rFonts w:cs="Arial"/>
                <w:sz w:val="19"/>
                <w:szCs w:val="19"/>
                <w:lang w:eastAsia="fr-CA"/>
              </w:rPr>
              <w:t xml:space="preserve">the service provider </w:t>
            </w:r>
            <w:r w:rsidRPr="00E36FD2">
              <w:rPr>
                <w:rFonts w:cs="Arial"/>
                <w:sz w:val="19"/>
                <w:szCs w:val="19"/>
                <w:lang w:eastAsia="fr-CA"/>
              </w:rPr>
              <w:t xml:space="preserve">(at </w:t>
            </w:r>
            <w:r w:rsidR="00211830" w:rsidRPr="00E36FD2">
              <w:rPr>
                <w:rFonts w:cs="Arial"/>
                <w:sz w:val="19"/>
                <w:szCs w:val="19"/>
                <w:lang w:eastAsia="fr-CA"/>
              </w:rPr>
              <w:t>the secondary shipper</w:t>
            </w:r>
            <w:r w:rsidRPr="00E36FD2">
              <w:rPr>
                <w:rFonts w:cs="Arial"/>
                <w:sz w:val="19"/>
                <w:szCs w:val="19"/>
                <w:lang w:eastAsia="fr-CA"/>
              </w:rPr>
              <w:t>’s cost) to take steps to address the imbalance including buying gas (to clear a negative imbalance) or selling gas (to clear a positive imbalance).</w:t>
            </w:r>
          </w:p>
        </w:tc>
      </w:tr>
      <w:tr w:rsidR="001C729B" w:rsidRPr="00E36FD2" w14:paraId="79AB21BE" w14:textId="77777777" w:rsidTr="00EC1759">
        <w:trPr>
          <w:cnfStyle w:val="000000010000" w:firstRow="0" w:lastRow="0" w:firstColumn="0" w:lastColumn="0" w:oddVBand="0" w:evenVBand="0" w:oddHBand="0" w:evenHBand="1" w:firstRowFirstColumn="0" w:firstRowLastColumn="0" w:lastRowFirstColumn="0" w:lastRowLastColumn="0"/>
          <w:cantSplit/>
        </w:trPr>
        <w:tc>
          <w:tcPr>
            <w:tcW w:w="261" w:type="pct"/>
          </w:tcPr>
          <w:p w14:paraId="70A129E1" w14:textId="77777777" w:rsidR="0057020B" w:rsidRPr="00E36FD2" w:rsidRDefault="0057020B" w:rsidP="00C05A16">
            <w:pPr>
              <w:spacing w:before="80" w:after="120"/>
              <w:ind w:left="74" w:right="74"/>
              <w:jc w:val="center"/>
              <w:rPr>
                <w:rFonts w:cs="Arial"/>
                <w:sz w:val="19"/>
                <w:szCs w:val="19"/>
                <w:lang w:eastAsia="fr-CA"/>
              </w:rPr>
            </w:pPr>
            <w:r w:rsidRPr="00E36FD2">
              <w:rPr>
                <w:rFonts w:cs="Arial"/>
                <w:sz w:val="19"/>
                <w:szCs w:val="19"/>
                <w:lang w:eastAsia="fr-CA"/>
              </w:rPr>
              <w:t>13</w:t>
            </w:r>
          </w:p>
        </w:tc>
        <w:tc>
          <w:tcPr>
            <w:tcW w:w="725" w:type="pct"/>
          </w:tcPr>
          <w:p w14:paraId="71D09452" w14:textId="77777777" w:rsidR="0057020B" w:rsidRPr="00E36FD2" w:rsidRDefault="0057020B" w:rsidP="00C05A16">
            <w:pPr>
              <w:spacing w:before="80" w:after="120"/>
              <w:ind w:left="74" w:right="74"/>
              <w:rPr>
                <w:rFonts w:cs="Arial"/>
                <w:sz w:val="19"/>
                <w:szCs w:val="19"/>
                <w:lang w:eastAsia="fr-CA"/>
              </w:rPr>
            </w:pPr>
            <w:r w:rsidRPr="00E36FD2">
              <w:rPr>
                <w:rFonts w:cs="Arial"/>
                <w:sz w:val="19"/>
                <w:szCs w:val="19"/>
                <w:lang w:eastAsia="fr-CA"/>
              </w:rPr>
              <w:t>Unauthorised overrun</w:t>
            </w:r>
          </w:p>
        </w:tc>
        <w:tc>
          <w:tcPr>
            <w:tcW w:w="4013" w:type="pct"/>
          </w:tcPr>
          <w:p w14:paraId="69D70A18" w14:textId="2264A05E" w:rsidR="0057020B" w:rsidRPr="00E36FD2" w:rsidRDefault="00EC1759" w:rsidP="00C05A16">
            <w:pPr>
              <w:keepNext/>
              <w:tabs>
                <w:tab w:val="left" w:pos="720"/>
              </w:tabs>
              <w:spacing w:before="80" w:after="120"/>
              <w:ind w:left="109"/>
              <w:rPr>
                <w:rFonts w:cs="Arial"/>
                <w:sz w:val="19"/>
                <w:szCs w:val="19"/>
                <w:lang w:eastAsia="fr-CA"/>
              </w:rPr>
            </w:pPr>
            <w:r w:rsidRPr="00E36FD2">
              <w:rPr>
                <w:rFonts w:cs="Arial"/>
                <w:sz w:val="19"/>
                <w:szCs w:val="19"/>
                <w:lang w:eastAsia="fr-CA"/>
              </w:rPr>
              <w:t>An o</w:t>
            </w:r>
            <w:r w:rsidR="0057020B" w:rsidRPr="00E36FD2">
              <w:rPr>
                <w:rFonts w:cs="Arial"/>
                <w:sz w:val="19"/>
                <w:szCs w:val="19"/>
                <w:lang w:eastAsia="fr-CA"/>
              </w:rPr>
              <w:t xml:space="preserve">verrun arises where a </w:t>
            </w:r>
            <w:r w:rsidR="00211830" w:rsidRPr="00E36FD2">
              <w:rPr>
                <w:rFonts w:cs="Arial"/>
                <w:sz w:val="19"/>
                <w:szCs w:val="19"/>
                <w:lang w:eastAsia="fr-CA"/>
              </w:rPr>
              <w:t>secondary shipper</w:t>
            </w:r>
            <w:r w:rsidR="0057020B" w:rsidRPr="00E36FD2">
              <w:rPr>
                <w:rFonts w:cs="Arial"/>
                <w:sz w:val="19"/>
                <w:szCs w:val="19"/>
                <w:lang w:eastAsia="fr-CA"/>
              </w:rPr>
              <w:t xml:space="preserve"> supplies or takes gas on a day in excess of its scheduled quantities.  </w:t>
            </w:r>
            <w:r w:rsidRPr="00E36FD2">
              <w:rPr>
                <w:rFonts w:cs="Arial"/>
                <w:sz w:val="19"/>
                <w:szCs w:val="19"/>
                <w:lang w:eastAsia="fr-CA"/>
              </w:rPr>
              <w:t>An o</w:t>
            </w:r>
            <w:r w:rsidR="0057020B" w:rsidRPr="00E36FD2">
              <w:rPr>
                <w:rFonts w:cs="Arial"/>
                <w:sz w:val="19"/>
                <w:szCs w:val="19"/>
                <w:lang w:eastAsia="fr-CA"/>
              </w:rPr>
              <w:t xml:space="preserve">verrun is a threat to the integrity of a pipeline and may prevent other shippers receiving their services on a day.  Clause 13 prohibits </w:t>
            </w:r>
            <w:r w:rsidR="00211830" w:rsidRPr="00E36FD2">
              <w:rPr>
                <w:rFonts w:cs="Arial"/>
                <w:sz w:val="19"/>
                <w:szCs w:val="19"/>
                <w:lang w:eastAsia="fr-CA"/>
              </w:rPr>
              <w:t>the secondary shipper</w:t>
            </w:r>
            <w:r w:rsidR="0057020B" w:rsidRPr="00E36FD2">
              <w:rPr>
                <w:rFonts w:cs="Arial"/>
                <w:sz w:val="19"/>
                <w:szCs w:val="19"/>
                <w:lang w:eastAsia="fr-CA"/>
              </w:rPr>
              <w:t xml:space="preserve"> taking overrun gas without </w:t>
            </w:r>
            <w:r w:rsidR="00211830" w:rsidRPr="00E36FD2">
              <w:rPr>
                <w:rFonts w:cs="Arial"/>
                <w:sz w:val="19"/>
                <w:szCs w:val="19"/>
                <w:lang w:eastAsia="fr-CA"/>
              </w:rPr>
              <w:t>the s</w:t>
            </w:r>
            <w:r w:rsidR="0057020B" w:rsidRPr="00E36FD2">
              <w:rPr>
                <w:rFonts w:cs="Arial"/>
                <w:sz w:val="19"/>
                <w:szCs w:val="19"/>
                <w:lang w:eastAsia="fr-CA"/>
              </w:rPr>
              <w:t xml:space="preserve">ervice </w:t>
            </w:r>
            <w:r w:rsidR="00211830" w:rsidRPr="00E36FD2">
              <w:rPr>
                <w:rFonts w:cs="Arial"/>
                <w:sz w:val="19"/>
                <w:szCs w:val="19"/>
                <w:lang w:eastAsia="fr-CA"/>
              </w:rPr>
              <w:t>p</w:t>
            </w:r>
            <w:r w:rsidR="0057020B" w:rsidRPr="00E36FD2">
              <w:rPr>
                <w:rFonts w:cs="Arial"/>
                <w:sz w:val="19"/>
                <w:szCs w:val="19"/>
                <w:lang w:eastAsia="fr-CA"/>
              </w:rPr>
              <w:t xml:space="preserve">rovider’s consent and requires </w:t>
            </w:r>
            <w:r w:rsidR="00211830" w:rsidRPr="00E36FD2">
              <w:rPr>
                <w:rFonts w:cs="Arial"/>
                <w:sz w:val="19"/>
                <w:szCs w:val="19"/>
                <w:lang w:eastAsia="fr-CA"/>
              </w:rPr>
              <w:t>the secondary shipper</w:t>
            </w:r>
            <w:r w:rsidR="0057020B" w:rsidRPr="00E36FD2">
              <w:rPr>
                <w:rFonts w:cs="Arial"/>
                <w:sz w:val="19"/>
                <w:szCs w:val="19"/>
                <w:lang w:eastAsia="fr-CA"/>
              </w:rPr>
              <w:t xml:space="preserve"> to pay </w:t>
            </w:r>
            <w:r w:rsidR="00D4786D">
              <w:rPr>
                <w:rFonts w:cs="Arial"/>
                <w:sz w:val="19"/>
                <w:szCs w:val="19"/>
                <w:lang w:eastAsia="fr-CA"/>
              </w:rPr>
              <w:t xml:space="preserve">an </w:t>
            </w:r>
            <w:r w:rsidR="0057020B" w:rsidRPr="00E36FD2">
              <w:rPr>
                <w:rFonts w:cs="Arial"/>
                <w:sz w:val="19"/>
                <w:szCs w:val="19"/>
                <w:lang w:eastAsia="fr-CA"/>
              </w:rPr>
              <w:t xml:space="preserve">unauthorised overrun charge set out in the </w:t>
            </w:r>
            <w:r w:rsidR="0009208D" w:rsidRPr="00E36FD2">
              <w:rPr>
                <w:rFonts w:cs="Arial"/>
                <w:sz w:val="19"/>
                <w:szCs w:val="19"/>
                <w:lang w:eastAsia="fr-CA"/>
              </w:rPr>
              <w:t>facility s</w:t>
            </w:r>
            <w:r w:rsidR="0057020B" w:rsidRPr="00E36FD2">
              <w:rPr>
                <w:rFonts w:cs="Arial"/>
                <w:sz w:val="19"/>
                <w:szCs w:val="19"/>
                <w:lang w:eastAsia="fr-CA"/>
              </w:rPr>
              <w:t xml:space="preserve">pecific </w:t>
            </w:r>
            <w:r w:rsidR="0009208D" w:rsidRPr="00E36FD2">
              <w:rPr>
                <w:rFonts w:cs="Arial"/>
                <w:sz w:val="19"/>
                <w:szCs w:val="19"/>
                <w:lang w:eastAsia="fr-CA"/>
              </w:rPr>
              <w:t>t</w:t>
            </w:r>
            <w:r w:rsidR="0057020B" w:rsidRPr="00E36FD2">
              <w:rPr>
                <w:rFonts w:cs="Arial"/>
                <w:sz w:val="19"/>
                <w:szCs w:val="19"/>
                <w:lang w:eastAsia="fr-CA"/>
              </w:rPr>
              <w:t>erms if it does take delivery of such unauthorised overrun gas.</w:t>
            </w:r>
          </w:p>
        </w:tc>
      </w:tr>
      <w:tr w:rsidR="001C729B" w:rsidRPr="00E36FD2" w14:paraId="6A354391" w14:textId="77777777" w:rsidTr="00EC1759">
        <w:trPr>
          <w:cantSplit/>
        </w:trPr>
        <w:tc>
          <w:tcPr>
            <w:tcW w:w="261" w:type="pct"/>
          </w:tcPr>
          <w:p w14:paraId="353A6CDC" w14:textId="77777777" w:rsidR="0057020B" w:rsidRPr="00E36FD2" w:rsidRDefault="0057020B" w:rsidP="00C05A16">
            <w:pPr>
              <w:widowControl w:val="0"/>
              <w:spacing w:before="80" w:after="120"/>
              <w:ind w:left="74" w:right="74"/>
              <w:jc w:val="center"/>
              <w:rPr>
                <w:rFonts w:cs="Arial"/>
                <w:sz w:val="19"/>
                <w:szCs w:val="19"/>
                <w:lang w:eastAsia="fr-CA"/>
              </w:rPr>
            </w:pPr>
            <w:r w:rsidRPr="00E36FD2">
              <w:rPr>
                <w:rFonts w:cs="Arial"/>
                <w:sz w:val="19"/>
                <w:szCs w:val="19"/>
                <w:lang w:eastAsia="fr-CA"/>
              </w:rPr>
              <w:lastRenderedPageBreak/>
              <w:t>14</w:t>
            </w:r>
          </w:p>
        </w:tc>
        <w:tc>
          <w:tcPr>
            <w:tcW w:w="725" w:type="pct"/>
          </w:tcPr>
          <w:p w14:paraId="1D6F110F" w14:textId="77777777" w:rsidR="0057020B" w:rsidRPr="00E36FD2" w:rsidRDefault="0057020B" w:rsidP="00C05A16">
            <w:pPr>
              <w:widowControl w:val="0"/>
              <w:spacing w:before="80" w:after="80"/>
              <w:ind w:left="74" w:right="74"/>
              <w:rPr>
                <w:rFonts w:cs="Arial"/>
                <w:sz w:val="19"/>
                <w:szCs w:val="19"/>
                <w:lang w:eastAsia="fr-CA"/>
              </w:rPr>
            </w:pPr>
            <w:r w:rsidRPr="00E36FD2">
              <w:rPr>
                <w:rFonts w:cs="Arial"/>
                <w:sz w:val="19"/>
                <w:szCs w:val="19"/>
                <w:lang w:eastAsia="fr-CA"/>
              </w:rPr>
              <w:t>Use of delivery points and receipt points</w:t>
            </w:r>
          </w:p>
        </w:tc>
        <w:tc>
          <w:tcPr>
            <w:tcW w:w="4013" w:type="pct"/>
          </w:tcPr>
          <w:p w14:paraId="48EE3DD2" w14:textId="0A093EE1" w:rsidR="0057020B" w:rsidRPr="00E36FD2" w:rsidRDefault="0057020B" w:rsidP="00C05A16">
            <w:pPr>
              <w:widowControl w:val="0"/>
              <w:tabs>
                <w:tab w:val="left" w:pos="720"/>
              </w:tabs>
              <w:spacing w:before="80" w:after="80"/>
              <w:ind w:left="109"/>
              <w:rPr>
                <w:rFonts w:cs="Arial"/>
                <w:sz w:val="19"/>
                <w:szCs w:val="19"/>
                <w:lang w:eastAsia="fr-CA"/>
              </w:rPr>
            </w:pPr>
            <w:r w:rsidRPr="00E36FD2">
              <w:rPr>
                <w:rFonts w:cs="Arial"/>
                <w:sz w:val="19"/>
                <w:szCs w:val="19"/>
                <w:lang w:eastAsia="fr-CA"/>
              </w:rPr>
              <w:t xml:space="preserve">A difficulty in the creation of a </w:t>
            </w:r>
            <w:r w:rsidR="00EC1759" w:rsidRPr="00E36FD2">
              <w:rPr>
                <w:rFonts w:cs="Arial"/>
                <w:sz w:val="19"/>
                <w:szCs w:val="19"/>
                <w:lang w:eastAsia="fr-CA"/>
              </w:rPr>
              <w:t xml:space="preserve">liquid </w:t>
            </w:r>
            <w:r w:rsidRPr="00E36FD2">
              <w:rPr>
                <w:rFonts w:cs="Arial"/>
                <w:sz w:val="19"/>
                <w:szCs w:val="19"/>
                <w:lang w:eastAsia="fr-CA"/>
              </w:rPr>
              <w:t>secondary market is ensuring access by shippers to receipt and delivery points.  Where receipt or delivery points have allocation procedures then it will be necessary for a shipper to accede to those procedures before it can start using the point</w:t>
            </w:r>
            <w:r w:rsidR="00EC1759" w:rsidRPr="00E36FD2">
              <w:rPr>
                <w:rFonts w:cs="Arial"/>
                <w:sz w:val="19"/>
                <w:szCs w:val="19"/>
                <w:lang w:eastAsia="fr-CA"/>
              </w:rPr>
              <w:t xml:space="preserve"> (see section </w:t>
            </w:r>
            <w:r w:rsidR="00EC1759" w:rsidRPr="00E36FD2">
              <w:rPr>
                <w:rFonts w:cs="Arial"/>
                <w:sz w:val="19"/>
                <w:szCs w:val="19"/>
                <w:lang w:eastAsia="fr-CA"/>
              </w:rPr>
              <w:fldChar w:fldCharType="begin"/>
            </w:r>
            <w:r w:rsidR="00EC1759" w:rsidRPr="00E36FD2">
              <w:rPr>
                <w:rFonts w:cs="Arial"/>
                <w:sz w:val="19"/>
                <w:szCs w:val="19"/>
                <w:lang w:eastAsia="fr-CA"/>
              </w:rPr>
              <w:instrText xml:space="preserve"> REF _Ref491759111 \r \h </w:instrText>
            </w:r>
            <w:r w:rsidR="00E87773" w:rsidRPr="00E36FD2">
              <w:rPr>
                <w:rFonts w:cs="Arial"/>
                <w:sz w:val="19"/>
                <w:szCs w:val="19"/>
                <w:lang w:eastAsia="fr-CA"/>
              </w:rPr>
              <w:instrText xml:space="preserve"> \* MERGEFORMAT </w:instrText>
            </w:r>
            <w:r w:rsidR="00EC1759" w:rsidRPr="00E36FD2">
              <w:rPr>
                <w:rFonts w:cs="Arial"/>
                <w:sz w:val="19"/>
                <w:szCs w:val="19"/>
                <w:lang w:eastAsia="fr-CA"/>
              </w:rPr>
            </w:r>
            <w:r w:rsidR="00EC1759" w:rsidRPr="00E36FD2">
              <w:rPr>
                <w:rFonts w:cs="Arial"/>
                <w:sz w:val="19"/>
                <w:szCs w:val="19"/>
                <w:lang w:eastAsia="fr-CA"/>
              </w:rPr>
              <w:fldChar w:fldCharType="separate"/>
            </w:r>
            <w:r w:rsidR="00947034">
              <w:rPr>
                <w:rFonts w:cs="Arial"/>
                <w:sz w:val="19"/>
                <w:szCs w:val="19"/>
                <w:lang w:eastAsia="fr-CA"/>
              </w:rPr>
              <w:t>5.1</w:t>
            </w:r>
            <w:r w:rsidR="00EC1759" w:rsidRPr="00E36FD2">
              <w:rPr>
                <w:rFonts w:cs="Arial"/>
                <w:sz w:val="19"/>
                <w:szCs w:val="19"/>
                <w:lang w:eastAsia="fr-CA"/>
              </w:rPr>
              <w:fldChar w:fldCharType="end"/>
            </w:r>
            <w:r w:rsidR="00EC1759" w:rsidRPr="00E36FD2">
              <w:rPr>
                <w:rFonts w:cs="Arial"/>
                <w:sz w:val="19"/>
                <w:szCs w:val="19"/>
                <w:lang w:eastAsia="fr-CA"/>
              </w:rPr>
              <w:t>)</w:t>
            </w:r>
            <w:r w:rsidRPr="00E36FD2">
              <w:rPr>
                <w:rFonts w:cs="Arial"/>
                <w:sz w:val="19"/>
                <w:szCs w:val="19"/>
                <w:lang w:eastAsia="fr-CA"/>
              </w:rPr>
              <w:t xml:space="preserve">.  This poses a potential barrier to entry for a shipper if existing shippers do not co-operate to facilitate this.  </w:t>
            </w:r>
          </w:p>
          <w:p w14:paraId="76C6852A" w14:textId="77777777" w:rsidR="0057020B" w:rsidRPr="00E36FD2" w:rsidRDefault="0057020B" w:rsidP="00C05A16">
            <w:pPr>
              <w:widowControl w:val="0"/>
              <w:tabs>
                <w:tab w:val="left" w:pos="720"/>
              </w:tabs>
              <w:spacing w:before="80" w:after="80"/>
              <w:ind w:left="109"/>
              <w:rPr>
                <w:rFonts w:cs="Arial"/>
                <w:sz w:val="19"/>
                <w:szCs w:val="19"/>
                <w:lang w:eastAsia="fr-CA"/>
              </w:rPr>
            </w:pPr>
            <w:r w:rsidRPr="00E36FD2">
              <w:rPr>
                <w:rFonts w:cs="Arial"/>
                <w:sz w:val="19"/>
                <w:szCs w:val="19"/>
                <w:lang w:eastAsia="fr-CA"/>
              </w:rPr>
              <w:t xml:space="preserve">Clause 14.1 provides that </w:t>
            </w:r>
            <w:r w:rsidR="00211830" w:rsidRPr="00E36FD2">
              <w:rPr>
                <w:rFonts w:cs="Arial"/>
                <w:sz w:val="19"/>
                <w:szCs w:val="19"/>
                <w:lang w:eastAsia="fr-CA"/>
              </w:rPr>
              <w:t>the secondary shipper</w:t>
            </w:r>
            <w:r w:rsidRPr="00E36FD2">
              <w:rPr>
                <w:rFonts w:cs="Arial"/>
                <w:sz w:val="19"/>
                <w:szCs w:val="19"/>
                <w:lang w:eastAsia="fr-CA"/>
              </w:rPr>
              <w:t xml:space="preserve"> may not commence using a receipt point or delivery point until it has obtained any necessary consent from existing users of the point and acceded to any allocation procedures (but only to the extent </w:t>
            </w:r>
            <w:r w:rsidR="00211830" w:rsidRPr="00E36FD2">
              <w:rPr>
                <w:rFonts w:cs="Arial"/>
                <w:sz w:val="19"/>
                <w:szCs w:val="19"/>
                <w:lang w:eastAsia="fr-CA"/>
              </w:rPr>
              <w:t xml:space="preserve">the service provider </w:t>
            </w:r>
            <w:r w:rsidRPr="00E36FD2">
              <w:rPr>
                <w:rFonts w:cs="Arial"/>
                <w:sz w:val="19"/>
                <w:szCs w:val="19"/>
                <w:lang w:eastAsia="fr-CA"/>
              </w:rPr>
              <w:t xml:space="preserve">is prohibited by its existing haulage agreements from allowing </w:t>
            </w:r>
            <w:r w:rsidR="00211830" w:rsidRPr="00E36FD2">
              <w:rPr>
                <w:rFonts w:cs="Arial"/>
                <w:sz w:val="19"/>
                <w:szCs w:val="19"/>
                <w:lang w:eastAsia="fr-CA"/>
              </w:rPr>
              <w:t>the secondary shipper</w:t>
            </w:r>
            <w:r w:rsidRPr="00E36FD2">
              <w:rPr>
                <w:rFonts w:cs="Arial"/>
                <w:sz w:val="19"/>
                <w:szCs w:val="19"/>
                <w:lang w:eastAsia="fr-CA"/>
              </w:rPr>
              <w:t xml:space="preserve"> to access the point unless consent has been obtained/allocation procedures acceded to).  </w:t>
            </w:r>
            <w:r w:rsidR="00211830" w:rsidRPr="00E36FD2">
              <w:rPr>
                <w:rFonts w:cs="Arial"/>
                <w:sz w:val="19"/>
                <w:szCs w:val="19"/>
                <w:lang w:eastAsia="fr-CA"/>
              </w:rPr>
              <w:t>The 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 xml:space="preserve">rovider must co-operate to assist </w:t>
            </w:r>
            <w:r w:rsidR="00211830" w:rsidRPr="00E36FD2">
              <w:rPr>
                <w:rFonts w:cs="Arial"/>
                <w:sz w:val="19"/>
                <w:szCs w:val="19"/>
                <w:lang w:eastAsia="fr-CA"/>
              </w:rPr>
              <w:t>the secondary shipper</w:t>
            </w:r>
            <w:r w:rsidRPr="00E36FD2">
              <w:rPr>
                <w:rFonts w:cs="Arial"/>
                <w:sz w:val="19"/>
                <w:szCs w:val="19"/>
                <w:lang w:eastAsia="fr-CA"/>
              </w:rPr>
              <w:t xml:space="preserve"> obtain such consent and accede to such procedures.</w:t>
            </w:r>
          </w:p>
          <w:p w14:paraId="38EFA155" w14:textId="7486F8CD" w:rsidR="0057020B" w:rsidRPr="00E36FD2" w:rsidRDefault="0057020B" w:rsidP="00C05A16">
            <w:pPr>
              <w:widowControl w:val="0"/>
              <w:tabs>
                <w:tab w:val="left" w:pos="720"/>
              </w:tabs>
              <w:spacing w:before="80" w:after="80"/>
              <w:ind w:left="109"/>
              <w:rPr>
                <w:rFonts w:cs="Arial"/>
                <w:sz w:val="19"/>
                <w:szCs w:val="19"/>
                <w:lang w:eastAsia="fr-CA"/>
              </w:rPr>
            </w:pPr>
            <w:r w:rsidRPr="00E36FD2">
              <w:rPr>
                <w:rFonts w:cs="Arial"/>
                <w:sz w:val="19"/>
                <w:szCs w:val="19"/>
                <w:lang w:eastAsia="fr-CA"/>
              </w:rPr>
              <w:t xml:space="preserve">Clause 14.2 sets out the mechanism for allocation </w:t>
            </w:r>
            <w:r w:rsidR="0009208D" w:rsidRPr="00E36FD2">
              <w:rPr>
                <w:rFonts w:cs="Arial"/>
                <w:sz w:val="19"/>
                <w:szCs w:val="19"/>
                <w:lang w:eastAsia="fr-CA"/>
              </w:rPr>
              <w:t xml:space="preserve">of </w:t>
            </w:r>
            <w:r w:rsidRPr="00E36FD2">
              <w:rPr>
                <w:rFonts w:cs="Arial"/>
                <w:sz w:val="19"/>
                <w:szCs w:val="19"/>
                <w:lang w:eastAsia="fr-CA"/>
              </w:rPr>
              <w:t xml:space="preserve">capacity at receipt points/delivery points.  Priority is given to existing users where </w:t>
            </w:r>
            <w:r w:rsidR="00211830" w:rsidRPr="00E36FD2">
              <w:rPr>
                <w:rFonts w:cs="Arial"/>
                <w:sz w:val="19"/>
                <w:szCs w:val="19"/>
                <w:lang w:eastAsia="fr-CA"/>
              </w:rPr>
              <w:t xml:space="preserve">the service provider </w:t>
            </w:r>
            <w:r w:rsidRPr="00E36FD2">
              <w:rPr>
                <w:rFonts w:cs="Arial"/>
                <w:sz w:val="19"/>
                <w:szCs w:val="19"/>
                <w:lang w:eastAsia="fr-CA"/>
              </w:rPr>
              <w:t xml:space="preserve">must give such priority to avoid breaching its contractual obligations.  Otherwise priority is allocated in accordance with the </w:t>
            </w:r>
            <w:r w:rsidR="002363C2" w:rsidRPr="00E36FD2">
              <w:rPr>
                <w:rFonts w:cs="Arial"/>
                <w:sz w:val="19"/>
                <w:szCs w:val="19"/>
                <w:lang w:eastAsia="fr-CA"/>
              </w:rPr>
              <w:t>p</w:t>
            </w:r>
            <w:r w:rsidRPr="00E36FD2">
              <w:rPr>
                <w:rFonts w:cs="Arial"/>
                <w:sz w:val="19"/>
                <w:szCs w:val="19"/>
                <w:lang w:eastAsia="fr-CA"/>
              </w:rPr>
              <w:t xml:space="preserve">riority </w:t>
            </w:r>
            <w:r w:rsidR="002363C2" w:rsidRPr="00E36FD2">
              <w:rPr>
                <w:rFonts w:cs="Arial"/>
                <w:sz w:val="19"/>
                <w:szCs w:val="19"/>
                <w:lang w:eastAsia="fr-CA"/>
              </w:rPr>
              <w:t>p</w:t>
            </w:r>
            <w:r w:rsidRPr="00E36FD2">
              <w:rPr>
                <w:rFonts w:cs="Arial"/>
                <w:sz w:val="19"/>
                <w:szCs w:val="19"/>
                <w:lang w:eastAsia="fr-CA"/>
              </w:rPr>
              <w:t xml:space="preserve">rinciples set out in the </w:t>
            </w:r>
            <w:r w:rsidR="00996004" w:rsidRPr="00E36FD2">
              <w:rPr>
                <w:rFonts w:cs="Arial"/>
                <w:sz w:val="19"/>
                <w:szCs w:val="19"/>
                <w:lang w:eastAsia="fr-CA"/>
              </w:rPr>
              <w:t>facility specific terms</w:t>
            </w:r>
            <w:r w:rsidRPr="00E36FD2">
              <w:rPr>
                <w:rFonts w:cs="Arial"/>
                <w:sz w:val="19"/>
                <w:szCs w:val="19"/>
                <w:lang w:eastAsia="fr-CA"/>
              </w:rPr>
              <w:t>.</w:t>
            </w:r>
          </w:p>
          <w:p w14:paraId="5C0D0422" w14:textId="77777777" w:rsidR="0057020B" w:rsidRPr="00E36FD2" w:rsidRDefault="0057020B" w:rsidP="00C05A16">
            <w:pPr>
              <w:widowControl w:val="0"/>
              <w:tabs>
                <w:tab w:val="left" w:pos="720"/>
              </w:tabs>
              <w:spacing w:before="80" w:after="80"/>
              <w:ind w:left="109"/>
              <w:rPr>
                <w:rFonts w:cs="Arial"/>
                <w:sz w:val="19"/>
                <w:szCs w:val="19"/>
                <w:lang w:eastAsia="fr-CA"/>
              </w:rPr>
            </w:pPr>
            <w:r w:rsidRPr="00E36FD2">
              <w:rPr>
                <w:rFonts w:cs="Arial"/>
                <w:sz w:val="19"/>
                <w:szCs w:val="19"/>
                <w:lang w:eastAsia="fr-CA"/>
              </w:rPr>
              <w:t xml:space="preserve">It is common for new receipt points or delivery points to be constructed for a specific shipper </w:t>
            </w:r>
            <w:r w:rsidR="00EC1759" w:rsidRPr="00E36FD2">
              <w:rPr>
                <w:rFonts w:cs="Arial"/>
                <w:sz w:val="19"/>
                <w:szCs w:val="19"/>
                <w:lang w:eastAsia="fr-CA"/>
              </w:rPr>
              <w:t>that</w:t>
            </w:r>
            <w:r w:rsidRPr="00E36FD2">
              <w:rPr>
                <w:rFonts w:cs="Arial"/>
                <w:sz w:val="19"/>
                <w:szCs w:val="19"/>
                <w:lang w:eastAsia="fr-CA"/>
              </w:rPr>
              <w:t xml:space="preserve"> requests </w:t>
            </w:r>
            <w:r w:rsidR="00211830" w:rsidRPr="00E36FD2">
              <w:rPr>
                <w:rFonts w:cs="Arial"/>
                <w:sz w:val="19"/>
                <w:szCs w:val="19"/>
                <w:lang w:eastAsia="fr-CA"/>
              </w:rPr>
              <w:t xml:space="preserve">the service provider </w:t>
            </w:r>
            <w:r w:rsidRPr="00E36FD2">
              <w:rPr>
                <w:rFonts w:cs="Arial"/>
                <w:sz w:val="19"/>
                <w:szCs w:val="19"/>
                <w:lang w:eastAsia="fr-CA"/>
              </w:rPr>
              <w:t xml:space="preserve">to construct the point and funds </w:t>
            </w:r>
            <w:r w:rsidR="00211830" w:rsidRPr="00E36FD2">
              <w:rPr>
                <w:rFonts w:cs="Arial"/>
                <w:sz w:val="19"/>
                <w:szCs w:val="19"/>
                <w:lang w:eastAsia="fr-CA"/>
              </w:rPr>
              <w:t xml:space="preserve">the service provider </w:t>
            </w:r>
            <w:r w:rsidRPr="00E36FD2">
              <w:rPr>
                <w:rFonts w:cs="Arial"/>
                <w:sz w:val="19"/>
                <w:szCs w:val="19"/>
                <w:lang w:eastAsia="fr-CA"/>
              </w:rPr>
              <w:t>doing so.  In return</w:t>
            </w:r>
            <w:r w:rsidR="00EC1759" w:rsidRPr="00E36FD2">
              <w:rPr>
                <w:rFonts w:cs="Arial"/>
                <w:sz w:val="19"/>
                <w:szCs w:val="19"/>
                <w:lang w:eastAsia="fr-CA"/>
              </w:rPr>
              <w:t>,</w:t>
            </w:r>
            <w:r w:rsidRPr="00E36FD2">
              <w:rPr>
                <w:rFonts w:cs="Arial"/>
                <w:sz w:val="19"/>
                <w:szCs w:val="19"/>
                <w:lang w:eastAsia="fr-CA"/>
              </w:rPr>
              <w:t xml:space="preserve"> </w:t>
            </w:r>
            <w:r w:rsidR="00211830" w:rsidRPr="00E36FD2">
              <w:rPr>
                <w:rFonts w:cs="Arial"/>
                <w:sz w:val="19"/>
                <w:szCs w:val="19"/>
                <w:lang w:eastAsia="fr-CA"/>
              </w:rPr>
              <w:t xml:space="preserve">the service provider </w:t>
            </w:r>
            <w:r w:rsidRPr="00E36FD2">
              <w:rPr>
                <w:rFonts w:cs="Arial"/>
                <w:sz w:val="19"/>
                <w:szCs w:val="19"/>
                <w:lang w:eastAsia="fr-CA"/>
              </w:rPr>
              <w:t xml:space="preserve">agrees that if new shippers commence using the point they must pay a fee (rebated to the original shipper who funded the construction) as a contribution to the construction costs.  Clause 14.3 recognises this and requires </w:t>
            </w:r>
            <w:r w:rsidR="00211830" w:rsidRPr="00E36FD2">
              <w:rPr>
                <w:rFonts w:cs="Arial"/>
                <w:sz w:val="19"/>
                <w:szCs w:val="19"/>
                <w:lang w:eastAsia="fr-CA"/>
              </w:rPr>
              <w:t>the secondary shipper</w:t>
            </w:r>
            <w:r w:rsidRPr="00E36FD2">
              <w:rPr>
                <w:rFonts w:cs="Arial"/>
                <w:sz w:val="19"/>
                <w:szCs w:val="19"/>
                <w:lang w:eastAsia="fr-CA"/>
              </w:rPr>
              <w:t xml:space="preserve"> to pay such fee where </w:t>
            </w:r>
            <w:r w:rsidR="00211830" w:rsidRPr="00E36FD2">
              <w:rPr>
                <w:rFonts w:cs="Arial"/>
                <w:sz w:val="19"/>
                <w:szCs w:val="19"/>
                <w:lang w:eastAsia="fr-CA"/>
              </w:rPr>
              <w:t xml:space="preserve">the service provider </w:t>
            </w:r>
            <w:r w:rsidRPr="00E36FD2">
              <w:rPr>
                <w:rFonts w:cs="Arial"/>
                <w:sz w:val="19"/>
                <w:szCs w:val="19"/>
                <w:lang w:eastAsia="fr-CA"/>
              </w:rPr>
              <w:t>is obliged by existing contractual arrangements to collect such fees.</w:t>
            </w:r>
          </w:p>
          <w:p w14:paraId="7A64666A" w14:textId="58007871" w:rsidR="00C05A16" w:rsidRPr="00E36FD2" w:rsidRDefault="00C05A16" w:rsidP="00C05A16">
            <w:pPr>
              <w:widowControl w:val="0"/>
              <w:tabs>
                <w:tab w:val="left" w:pos="720"/>
              </w:tabs>
              <w:spacing w:before="80" w:after="80"/>
              <w:ind w:left="109"/>
              <w:rPr>
                <w:sz w:val="19"/>
                <w:szCs w:val="19"/>
              </w:rPr>
            </w:pPr>
            <w:r w:rsidRPr="00E36FD2">
              <w:rPr>
                <w:rFonts w:cs="Arial"/>
                <w:sz w:val="19"/>
                <w:szCs w:val="19"/>
                <w:lang w:eastAsia="fr-CA"/>
              </w:rPr>
              <w:t xml:space="preserve">Capacity sold through the exchange and day-ahead auction </w:t>
            </w:r>
            <w:r w:rsidR="0057020B" w:rsidRPr="00E36FD2">
              <w:rPr>
                <w:rFonts w:cs="Arial"/>
                <w:sz w:val="19"/>
                <w:szCs w:val="19"/>
                <w:lang w:eastAsia="fr-CA"/>
              </w:rPr>
              <w:t>will be sold by reference to zones</w:t>
            </w:r>
            <w:r w:rsidRPr="00E36FD2">
              <w:rPr>
                <w:rFonts w:cs="Arial"/>
                <w:sz w:val="19"/>
                <w:szCs w:val="19"/>
                <w:lang w:eastAsia="fr-CA"/>
              </w:rPr>
              <w:t xml:space="preserve"> (see section </w:t>
            </w:r>
            <w:r w:rsidRPr="00E36FD2">
              <w:rPr>
                <w:rFonts w:cs="Arial"/>
                <w:sz w:val="19"/>
                <w:szCs w:val="19"/>
                <w:lang w:eastAsia="fr-CA"/>
              </w:rPr>
              <w:fldChar w:fldCharType="begin"/>
            </w:r>
            <w:r w:rsidRPr="00E36FD2">
              <w:rPr>
                <w:rFonts w:cs="Arial"/>
                <w:sz w:val="19"/>
                <w:szCs w:val="19"/>
                <w:lang w:eastAsia="fr-CA"/>
              </w:rPr>
              <w:instrText xml:space="preserve"> REF _Ref491760149 \r \h </w:instrText>
            </w:r>
            <w:r w:rsidR="00E87773" w:rsidRPr="00E36FD2">
              <w:rPr>
                <w:rFonts w:cs="Arial"/>
                <w:sz w:val="19"/>
                <w:szCs w:val="19"/>
                <w:lang w:eastAsia="fr-CA"/>
              </w:rPr>
              <w:instrText xml:space="preserve"> \* MERGEFORMAT </w:instrText>
            </w:r>
            <w:r w:rsidRPr="00E36FD2">
              <w:rPr>
                <w:rFonts w:cs="Arial"/>
                <w:sz w:val="19"/>
                <w:szCs w:val="19"/>
                <w:lang w:eastAsia="fr-CA"/>
              </w:rPr>
            </w:r>
            <w:r w:rsidRPr="00E36FD2">
              <w:rPr>
                <w:rFonts w:cs="Arial"/>
                <w:sz w:val="19"/>
                <w:szCs w:val="19"/>
                <w:lang w:eastAsia="fr-CA"/>
              </w:rPr>
              <w:fldChar w:fldCharType="separate"/>
            </w:r>
            <w:r w:rsidR="00947034">
              <w:rPr>
                <w:rFonts w:cs="Arial"/>
                <w:sz w:val="19"/>
                <w:szCs w:val="19"/>
                <w:lang w:eastAsia="fr-CA"/>
              </w:rPr>
              <w:t>4.2</w:t>
            </w:r>
            <w:r w:rsidRPr="00E36FD2">
              <w:rPr>
                <w:rFonts w:cs="Arial"/>
                <w:sz w:val="19"/>
                <w:szCs w:val="19"/>
                <w:lang w:eastAsia="fr-CA"/>
              </w:rPr>
              <w:fldChar w:fldCharType="end"/>
            </w:r>
            <w:r w:rsidRPr="00E36FD2">
              <w:rPr>
                <w:rFonts w:cs="Arial"/>
                <w:sz w:val="19"/>
                <w:szCs w:val="19"/>
                <w:lang w:eastAsia="fr-CA"/>
              </w:rPr>
              <w:t>)</w:t>
            </w:r>
            <w:r w:rsidR="00E87773" w:rsidRPr="00E36FD2">
              <w:rPr>
                <w:rFonts w:cs="Arial"/>
                <w:sz w:val="19"/>
                <w:szCs w:val="19"/>
                <w:lang w:eastAsia="fr-CA"/>
              </w:rPr>
              <w:t xml:space="preserve"> and </w:t>
            </w:r>
            <w:r w:rsidR="00211830" w:rsidRPr="00E36FD2">
              <w:rPr>
                <w:rFonts w:cs="Arial"/>
                <w:sz w:val="19"/>
                <w:szCs w:val="19"/>
                <w:lang w:eastAsia="fr-CA"/>
              </w:rPr>
              <w:t>secondary shipper</w:t>
            </w:r>
            <w:r w:rsidR="00E87773" w:rsidRPr="00E36FD2">
              <w:rPr>
                <w:rFonts w:cs="Arial"/>
                <w:sz w:val="19"/>
                <w:szCs w:val="19"/>
                <w:lang w:eastAsia="fr-CA"/>
              </w:rPr>
              <w:t>s will be allowed</w:t>
            </w:r>
            <w:r w:rsidR="0057020B" w:rsidRPr="00E36FD2">
              <w:rPr>
                <w:rFonts w:cs="Arial"/>
                <w:sz w:val="19"/>
                <w:szCs w:val="19"/>
                <w:lang w:eastAsia="fr-CA"/>
              </w:rPr>
              <w:t xml:space="preserve"> to supply gas to receipt points falling within the receipt point zone to which the product relates and take gas at the delivery points within the delivery point zone to which the product relates.  </w:t>
            </w:r>
            <w:r w:rsidRPr="00E36FD2">
              <w:rPr>
                <w:sz w:val="19"/>
                <w:szCs w:val="19"/>
              </w:rPr>
              <w:t xml:space="preserve">Where the secondary shipper has acquired its capacity through the exchange then its right to use a receipt point or delivery point will rank behind primary shippers </w:t>
            </w:r>
            <w:r w:rsidR="00E87773" w:rsidRPr="00E36FD2">
              <w:rPr>
                <w:sz w:val="19"/>
                <w:szCs w:val="19"/>
              </w:rPr>
              <w:t xml:space="preserve">with firm rights </w:t>
            </w:r>
            <w:r w:rsidRPr="00E36FD2">
              <w:rPr>
                <w:sz w:val="19"/>
                <w:szCs w:val="19"/>
              </w:rPr>
              <w:t xml:space="preserve">at the point.  </w:t>
            </w:r>
          </w:p>
          <w:p w14:paraId="78B9D715" w14:textId="77777777" w:rsidR="00C05A16" w:rsidRPr="00E36FD2" w:rsidRDefault="00C05A16" w:rsidP="00C05A16">
            <w:pPr>
              <w:widowControl w:val="0"/>
              <w:tabs>
                <w:tab w:val="left" w:pos="720"/>
              </w:tabs>
              <w:spacing w:before="80" w:after="80"/>
              <w:ind w:left="109"/>
              <w:rPr>
                <w:sz w:val="19"/>
                <w:szCs w:val="19"/>
              </w:rPr>
            </w:pPr>
            <w:r w:rsidRPr="00E36FD2">
              <w:rPr>
                <w:sz w:val="19"/>
                <w:szCs w:val="19"/>
              </w:rPr>
              <w:t xml:space="preserve">This limit does not apply where the secondary shipper has acquired its Firm Service MDQ by way of a bilateral trade from a primary shipper with existing reserved capacity at a receipt point or a delivery point.  In such case the secondary shipper steps into the shoes of that primary shipper. However even in the case of capacity acquired by way of a bilateral trade </w:t>
            </w:r>
            <w:r w:rsidRPr="00E36FD2">
              <w:rPr>
                <w:sz w:val="19"/>
                <w:szCs w:val="19"/>
                <w:lang w:eastAsia="fr-CA"/>
              </w:rPr>
              <w:t xml:space="preserve">the service provider </w:t>
            </w:r>
            <w:r w:rsidRPr="00E36FD2">
              <w:rPr>
                <w:sz w:val="19"/>
                <w:szCs w:val="19"/>
              </w:rPr>
              <w:t xml:space="preserve">may give priority to other users of a receipt point or delivery point if </w:t>
            </w:r>
            <w:r w:rsidRPr="00E36FD2">
              <w:rPr>
                <w:sz w:val="19"/>
                <w:szCs w:val="19"/>
                <w:lang w:eastAsia="fr-CA"/>
              </w:rPr>
              <w:t xml:space="preserve">the service provider </w:t>
            </w:r>
            <w:r w:rsidRPr="00E36FD2">
              <w:rPr>
                <w:sz w:val="19"/>
                <w:szCs w:val="19"/>
              </w:rPr>
              <w:t xml:space="preserve">is contractually obliged to do so.  This reflects the reality that pipeline owners may have existing commitments to shippers who have funded the construction of receipt points or delivery points to give them priority to capacity (an arrangement which is very common in the pipeline industry). </w:t>
            </w:r>
          </w:p>
          <w:p w14:paraId="3A44531D" w14:textId="77777777" w:rsidR="00C05A16" w:rsidRPr="00E36FD2" w:rsidRDefault="0057020B" w:rsidP="00C05A16">
            <w:pPr>
              <w:widowControl w:val="0"/>
              <w:tabs>
                <w:tab w:val="left" w:pos="720"/>
              </w:tabs>
              <w:spacing w:before="80" w:after="80"/>
              <w:ind w:left="109"/>
              <w:rPr>
                <w:rFonts w:cs="Arial"/>
                <w:sz w:val="19"/>
                <w:szCs w:val="19"/>
                <w:lang w:eastAsia="fr-CA"/>
              </w:rPr>
            </w:pPr>
            <w:r w:rsidRPr="00E36FD2">
              <w:rPr>
                <w:rFonts w:cs="Arial"/>
                <w:sz w:val="19"/>
                <w:szCs w:val="19"/>
                <w:lang w:eastAsia="fr-CA"/>
              </w:rPr>
              <w:t xml:space="preserve">Clause 14.4 sets out a procedure by which </w:t>
            </w:r>
            <w:r w:rsidR="00211830" w:rsidRPr="00E36FD2">
              <w:rPr>
                <w:rFonts w:cs="Arial"/>
                <w:sz w:val="19"/>
                <w:szCs w:val="19"/>
                <w:lang w:eastAsia="fr-CA"/>
              </w:rPr>
              <w:t>the secondary shipper</w:t>
            </w:r>
            <w:r w:rsidRPr="00E36FD2">
              <w:rPr>
                <w:rFonts w:cs="Arial"/>
                <w:sz w:val="19"/>
                <w:szCs w:val="19"/>
                <w:lang w:eastAsia="fr-CA"/>
              </w:rPr>
              <w:t xml:space="preserve"> can request </w:t>
            </w:r>
            <w:r w:rsidR="00211830" w:rsidRPr="00E36FD2">
              <w:rPr>
                <w:rFonts w:cs="Arial"/>
                <w:sz w:val="19"/>
                <w:szCs w:val="19"/>
                <w:lang w:eastAsia="fr-CA"/>
              </w:rPr>
              <w:t xml:space="preserve">the service provider </w:t>
            </w:r>
            <w:r w:rsidRPr="00E36FD2">
              <w:rPr>
                <w:rFonts w:cs="Arial"/>
                <w:sz w:val="19"/>
                <w:szCs w:val="19"/>
                <w:lang w:eastAsia="fr-CA"/>
              </w:rPr>
              <w:t>to allow it to supply gas or take gas outside of the zone to which its purchased product relates.</w:t>
            </w:r>
          </w:p>
        </w:tc>
      </w:tr>
      <w:tr w:rsidR="001C729B" w:rsidRPr="00E36FD2" w14:paraId="3164251C" w14:textId="77777777" w:rsidTr="00EC1759">
        <w:trPr>
          <w:cnfStyle w:val="000000010000" w:firstRow="0" w:lastRow="0" w:firstColumn="0" w:lastColumn="0" w:oddVBand="0" w:evenVBand="0" w:oddHBand="0" w:evenHBand="1" w:firstRowFirstColumn="0" w:firstRowLastColumn="0" w:lastRowFirstColumn="0" w:lastRowLastColumn="0"/>
          <w:cantSplit/>
        </w:trPr>
        <w:tc>
          <w:tcPr>
            <w:tcW w:w="261" w:type="pct"/>
          </w:tcPr>
          <w:p w14:paraId="186E0F2F" w14:textId="77777777" w:rsidR="0057020B" w:rsidRPr="00E36FD2" w:rsidRDefault="0057020B" w:rsidP="00C05A16">
            <w:pPr>
              <w:spacing w:before="80" w:after="120"/>
              <w:ind w:left="74" w:right="74"/>
              <w:jc w:val="center"/>
              <w:rPr>
                <w:rFonts w:cs="Arial"/>
                <w:sz w:val="19"/>
                <w:szCs w:val="19"/>
                <w:lang w:eastAsia="fr-CA"/>
              </w:rPr>
            </w:pPr>
            <w:r w:rsidRPr="00E36FD2">
              <w:rPr>
                <w:rFonts w:cs="Arial"/>
                <w:sz w:val="19"/>
                <w:szCs w:val="19"/>
                <w:lang w:eastAsia="fr-CA"/>
              </w:rPr>
              <w:lastRenderedPageBreak/>
              <w:t>15</w:t>
            </w:r>
          </w:p>
        </w:tc>
        <w:tc>
          <w:tcPr>
            <w:tcW w:w="725" w:type="pct"/>
          </w:tcPr>
          <w:p w14:paraId="51493B11" w14:textId="77777777" w:rsidR="0057020B" w:rsidRPr="00E36FD2" w:rsidRDefault="0057020B" w:rsidP="00C05A16">
            <w:pPr>
              <w:spacing w:before="80" w:after="120"/>
              <w:ind w:left="74" w:right="74"/>
              <w:rPr>
                <w:rFonts w:cs="Arial"/>
                <w:sz w:val="19"/>
                <w:szCs w:val="19"/>
                <w:lang w:eastAsia="fr-CA"/>
              </w:rPr>
            </w:pPr>
            <w:r w:rsidRPr="00E36FD2">
              <w:rPr>
                <w:rFonts w:cs="Arial"/>
                <w:sz w:val="19"/>
                <w:szCs w:val="19"/>
                <w:lang w:eastAsia="fr-CA"/>
              </w:rPr>
              <w:t>Metering and apportionment</w:t>
            </w:r>
          </w:p>
        </w:tc>
        <w:tc>
          <w:tcPr>
            <w:tcW w:w="4013" w:type="pct"/>
          </w:tcPr>
          <w:p w14:paraId="016BCF79" w14:textId="77777777" w:rsidR="0057020B" w:rsidRPr="00E36FD2" w:rsidRDefault="0057020B" w:rsidP="00C05A16">
            <w:pPr>
              <w:tabs>
                <w:tab w:val="left" w:pos="720"/>
              </w:tabs>
              <w:spacing w:before="80" w:after="120"/>
              <w:ind w:left="109"/>
              <w:rPr>
                <w:rFonts w:cs="Arial"/>
                <w:sz w:val="19"/>
                <w:szCs w:val="19"/>
                <w:lang w:eastAsia="fr-CA"/>
              </w:rPr>
            </w:pPr>
            <w:r w:rsidRPr="00E36FD2">
              <w:rPr>
                <w:rFonts w:cs="Arial"/>
                <w:sz w:val="19"/>
                <w:szCs w:val="19"/>
                <w:lang w:eastAsia="fr-CA"/>
              </w:rPr>
              <w:t xml:space="preserve">Where more than one person uses a receipt point or delivery point then quantities are to be apportioned between those persons in accordance with such methodology as they have agreed (provided it is acceptable to </w:t>
            </w:r>
            <w:r w:rsidR="00211830" w:rsidRPr="00E36FD2">
              <w:rPr>
                <w:rFonts w:cs="Arial"/>
                <w:sz w:val="19"/>
                <w:szCs w:val="19"/>
                <w:lang w:eastAsia="fr-CA"/>
              </w:rPr>
              <w:t xml:space="preserve">the service provider </w:t>
            </w:r>
            <w:r w:rsidRPr="00E36FD2">
              <w:rPr>
                <w:rFonts w:cs="Arial"/>
                <w:sz w:val="19"/>
                <w:szCs w:val="19"/>
                <w:lang w:eastAsia="fr-CA"/>
              </w:rPr>
              <w:t>acting reasonably).  In the absence of agreement</w:t>
            </w:r>
            <w:r w:rsidR="00EC1759" w:rsidRPr="00E36FD2">
              <w:rPr>
                <w:rFonts w:cs="Arial"/>
                <w:sz w:val="19"/>
                <w:szCs w:val="19"/>
                <w:lang w:eastAsia="fr-CA"/>
              </w:rPr>
              <w:t>,</w:t>
            </w:r>
            <w:r w:rsidRPr="00E36FD2">
              <w:rPr>
                <w:rFonts w:cs="Arial"/>
                <w:sz w:val="19"/>
                <w:szCs w:val="19"/>
                <w:lang w:eastAsia="fr-CA"/>
              </w:rPr>
              <w:t xml:space="preserve"> </w:t>
            </w:r>
            <w:r w:rsidR="00211830" w:rsidRPr="00E36FD2">
              <w:rPr>
                <w:rFonts w:cs="Arial"/>
                <w:sz w:val="19"/>
                <w:szCs w:val="19"/>
                <w:lang w:eastAsia="fr-CA"/>
              </w:rPr>
              <w:t xml:space="preserve">the service provider </w:t>
            </w:r>
            <w:r w:rsidRPr="00E36FD2">
              <w:rPr>
                <w:rFonts w:cs="Arial"/>
                <w:sz w:val="19"/>
                <w:szCs w:val="19"/>
                <w:lang w:eastAsia="fr-CA"/>
              </w:rPr>
              <w:t>will determine a reasonable apportionment procedure.</w:t>
            </w:r>
          </w:p>
          <w:p w14:paraId="200315B3" w14:textId="0AC137B0" w:rsidR="0057020B" w:rsidRPr="00E36FD2" w:rsidRDefault="0057020B" w:rsidP="00C05A16">
            <w:pPr>
              <w:tabs>
                <w:tab w:val="left" w:pos="720"/>
              </w:tabs>
              <w:spacing w:before="80" w:after="120"/>
              <w:ind w:left="109"/>
              <w:rPr>
                <w:rFonts w:cs="Arial"/>
                <w:sz w:val="19"/>
                <w:szCs w:val="19"/>
                <w:lang w:eastAsia="fr-CA"/>
              </w:rPr>
            </w:pPr>
            <w:r w:rsidRPr="00E36FD2">
              <w:rPr>
                <w:rFonts w:cs="Arial"/>
                <w:sz w:val="19"/>
                <w:szCs w:val="19"/>
                <w:lang w:eastAsia="fr-CA"/>
              </w:rPr>
              <w:t xml:space="preserve">It is proposed metering be largely dealt with by </w:t>
            </w:r>
            <w:r w:rsidR="0009208D" w:rsidRPr="00E36FD2">
              <w:rPr>
                <w:rFonts w:cs="Arial"/>
                <w:sz w:val="19"/>
                <w:szCs w:val="19"/>
                <w:lang w:eastAsia="fr-CA"/>
              </w:rPr>
              <w:t>facility s</w:t>
            </w:r>
            <w:r w:rsidRPr="00E36FD2">
              <w:rPr>
                <w:rFonts w:cs="Arial"/>
                <w:sz w:val="19"/>
                <w:szCs w:val="19"/>
                <w:lang w:eastAsia="fr-CA"/>
              </w:rPr>
              <w:t xml:space="preserve">pecific </w:t>
            </w:r>
            <w:r w:rsidR="0009208D" w:rsidRPr="00E36FD2">
              <w:rPr>
                <w:rFonts w:cs="Arial"/>
                <w:sz w:val="19"/>
                <w:szCs w:val="19"/>
                <w:lang w:eastAsia="fr-CA"/>
              </w:rPr>
              <w:t>t</w:t>
            </w:r>
            <w:r w:rsidRPr="00E36FD2">
              <w:rPr>
                <w:rFonts w:cs="Arial"/>
                <w:sz w:val="19"/>
                <w:szCs w:val="19"/>
                <w:lang w:eastAsia="fr-CA"/>
              </w:rPr>
              <w:t xml:space="preserve">erms, however clause 15.2 provides </w:t>
            </w:r>
            <w:r w:rsidR="00211830" w:rsidRPr="00E36FD2">
              <w:rPr>
                <w:rFonts w:cs="Arial"/>
                <w:sz w:val="19"/>
                <w:szCs w:val="19"/>
                <w:lang w:eastAsia="fr-CA"/>
              </w:rPr>
              <w:t>the secondary shipper</w:t>
            </w:r>
            <w:r w:rsidRPr="00E36FD2">
              <w:rPr>
                <w:rFonts w:cs="Arial"/>
                <w:sz w:val="19"/>
                <w:szCs w:val="19"/>
                <w:lang w:eastAsia="fr-CA"/>
              </w:rPr>
              <w:t xml:space="preserve"> with rights to be present at, and request, metering tests.</w:t>
            </w:r>
          </w:p>
        </w:tc>
      </w:tr>
      <w:tr w:rsidR="001C729B" w:rsidRPr="00E36FD2" w14:paraId="6DC61144" w14:textId="77777777" w:rsidTr="00EC1759">
        <w:trPr>
          <w:cantSplit/>
        </w:trPr>
        <w:tc>
          <w:tcPr>
            <w:tcW w:w="261" w:type="pct"/>
          </w:tcPr>
          <w:p w14:paraId="69F0612C" w14:textId="77777777" w:rsidR="0057020B" w:rsidRPr="00E36FD2" w:rsidRDefault="0057020B" w:rsidP="00C05A16">
            <w:pPr>
              <w:spacing w:before="80" w:after="120"/>
              <w:ind w:left="74" w:right="74"/>
              <w:jc w:val="center"/>
              <w:rPr>
                <w:rFonts w:cs="Arial"/>
                <w:sz w:val="19"/>
                <w:szCs w:val="19"/>
                <w:lang w:eastAsia="fr-CA"/>
              </w:rPr>
            </w:pPr>
            <w:r w:rsidRPr="00E36FD2">
              <w:rPr>
                <w:rFonts w:cs="Arial"/>
                <w:sz w:val="19"/>
                <w:szCs w:val="19"/>
                <w:lang w:eastAsia="fr-CA"/>
              </w:rPr>
              <w:t>16</w:t>
            </w:r>
          </w:p>
        </w:tc>
        <w:tc>
          <w:tcPr>
            <w:tcW w:w="725" w:type="pct"/>
          </w:tcPr>
          <w:p w14:paraId="45CCCDCE" w14:textId="77777777" w:rsidR="0057020B" w:rsidRPr="00E36FD2" w:rsidRDefault="0057020B" w:rsidP="00C05A16">
            <w:pPr>
              <w:spacing w:before="80" w:after="120"/>
              <w:ind w:left="74" w:right="74"/>
              <w:rPr>
                <w:rFonts w:cs="Arial"/>
                <w:sz w:val="19"/>
                <w:szCs w:val="19"/>
                <w:lang w:eastAsia="fr-CA"/>
              </w:rPr>
            </w:pPr>
            <w:r w:rsidRPr="00E36FD2">
              <w:rPr>
                <w:rFonts w:cs="Arial"/>
                <w:sz w:val="19"/>
                <w:szCs w:val="19"/>
                <w:lang w:eastAsia="fr-CA"/>
              </w:rPr>
              <w:t>Title, risk, responsibility and co-ordination</w:t>
            </w:r>
          </w:p>
        </w:tc>
        <w:tc>
          <w:tcPr>
            <w:tcW w:w="4013" w:type="pct"/>
          </w:tcPr>
          <w:p w14:paraId="5D0040E2" w14:textId="6A295CE2"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Clause 16 sets out relatively standard provisions relating to title and responsibility </w:t>
            </w:r>
            <w:r w:rsidR="0009208D" w:rsidRPr="00E36FD2">
              <w:rPr>
                <w:rFonts w:cs="Arial"/>
                <w:sz w:val="19"/>
                <w:szCs w:val="19"/>
                <w:lang w:eastAsia="fr-CA"/>
              </w:rPr>
              <w:t xml:space="preserve">for </w:t>
            </w:r>
            <w:r w:rsidRPr="00E36FD2">
              <w:rPr>
                <w:rFonts w:cs="Arial"/>
                <w:sz w:val="19"/>
                <w:szCs w:val="19"/>
                <w:lang w:eastAsia="fr-CA"/>
              </w:rPr>
              <w:t>gas and co-ordination of operations.</w:t>
            </w:r>
          </w:p>
        </w:tc>
      </w:tr>
      <w:tr w:rsidR="001C729B" w:rsidRPr="00E36FD2" w14:paraId="257BD397" w14:textId="77777777" w:rsidTr="00EC1759">
        <w:trPr>
          <w:cnfStyle w:val="000000010000" w:firstRow="0" w:lastRow="0" w:firstColumn="0" w:lastColumn="0" w:oddVBand="0" w:evenVBand="0" w:oddHBand="0" w:evenHBand="1" w:firstRowFirstColumn="0" w:firstRowLastColumn="0" w:lastRowFirstColumn="0" w:lastRowLastColumn="0"/>
          <w:cantSplit/>
        </w:trPr>
        <w:tc>
          <w:tcPr>
            <w:tcW w:w="261" w:type="pct"/>
          </w:tcPr>
          <w:p w14:paraId="62913E82" w14:textId="77777777" w:rsidR="0057020B" w:rsidRPr="00E36FD2" w:rsidRDefault="0057020B" w:rsidP="00C05A16">
            <w:pPr>
              <w:spacing w:before="80" w:after="120"/>
              <w:ind w:left="74" w:right="74"/>
              <w:jc w:val="center"/>
              <w:rPr>
                <w:rFonts w:cs="Arial"/>
                <w:sz w:val="19"/>
                <w:szCs w:val="19"/>
                <w:lang w:eastAsia="fr-CA"/>
              </w:rPr>
            </w:pPr>
            <w:r w:rsidRPr="00E36FD2">
              <w:rPr>
                <w:rFonts w:cs="Arial"/>
                <w:sz w:val="19"/>
                <w:szCs w:val="19"/>
                <w:lang w:eastAsia="fr-CA"/>
              </w:rPr>
              <w:t>17</w:t>
            </w:r>
          </w:p>
        </w:tc>
        <w:tc>
          <w:tcPr>
            <w:tcW w:w="725" w:type="pct"/>
          </w:tcPr>
          <w:p w14:paraId="7917F523" w14:textId="77777777" w:rsidR="0057020B" w:rsidRPr="00E36FD2" w:rsidRDefault="0057020B" w:rsidP="00C05A16">
            <w:pPr>
              <w:spacing w:before="80" w:after="120"/>
              <w:ind w:left="74" w:right="74"/>
              <w:rPr>
                <w:rFonts w:cs="Arial"/>
                <w:sz w:val="19"/>
                <w:szCs w:val="19"/>
                <w:lang w:eastAsia="fr-CA"/>
              </w:rPr>
            </w:pPr>
            <w:r w:rsidRPr="00E36FD2">
              <w:rPr>
                <w:rFonts w:cs="Arial"/>
                <w:sz w:val="19"/>
                <w:szCs w:val="19"/>
                <w:lang w:eastAsia="fr-CA"/>
              </w:rPr>
              <w:t>Liability</w:t>
            </w:r>
          </w:p>
        </w:tc>
        <w:tc>
          <w:tcPr>
            <w:tcW w:w="4013" w:type="pct"/>
          </w:tcPr>
          <w:p w14:paraId="27243FD8" w14:textId="77777777"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Clause 17 sets out a proposed liability regime. </w:t>
            </w:r>
          </w:p>
          <w:p w14:paraId="34B20C53" w14:textId="77777777"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In the case of </w:t>
            </w:r>
            <w:r w:rsidR="00211830" w:rsidRPr="00E36FD2">
              <w:rPr>
                <w:rFonts w:cs="Arial"/>
                <w:sz w:val="19"/>
                <w:szCs w:val="19"/>
                <w:lang w:eastAsia="fr-CA"/>
              </w:rPr>
              <w:t>the secondary shipper</w:t>
            </w:r>
            <w:r w:rsidRPr="00E36FD2">
              <w:rPr>
                <w:rFonts w:cs="Arial"/>
                <w:sz w:val="19"/>
                <w:szCs w:val="19"/>
                <w:lang w:eastAsia="fr-CA"/>
              </w:rPr>
              <w:t xml:space="preserve"> there are currently no proposed limits on liability with the exception that, other than in the case of </w:t>
            </w:r>
            <w:r w:rsidR="00211830" w:rsidRPr="00E36FD2">
              <w:rPr>
                <w:rFonts w:cs="Arial"/>
                <w:sz w:val="19"/>
                <w:szCs w:val="19"/>
                <w:lang w:eastAsia="fr-CA"/>
              </w:rPr>
              <w:t>the secondary shipper</w:t>
            </w:r>
            <w:r w:rsidR="00EC1759" w:rsidRPr="00E36FD2">
              <w:rPr>
                <w:rFonts w:cs="Arial"/>
                <w:sz w:val="19"/>
                <w:szCs w:val="19"/>
                <w:lang w:eastAsia="fr-CA"/>
              </w:rPr>
              <w:t>’s</w:t>
            </w:r>
            <w:r w:rsidRPr="00E36FD2">
              <w:rPr>
                <w:rFonts w:cs="Arial"/>
                <w:sz w:val="19"/>
                <w:szCs w:val="19"/>
                <w:lang w:eastAsia="fr-CA"/>
              </w:rPr>
              <w:t xml:space="preserve"> wilful misconduct (and potentially liability for the supply of off-specification gas), </w:t>
            </w:r>
            <w:r w:rsidR="00211830" w:rsidRPr="00E36FD2">
              <w:rPr>
                <w:rFonts w:cs="Arial"/>
                <w:sz w:val="19"/>
                <w:szCs w:val="19"/>
                <w:lang w:eastAsia="fr-CA"/>
              </w:rPr>
              <w:t>the secondary shipper</w:t>
            </w:r>
            <w:r w:rsidRPr="00E36FD2">
              <w:rPr>
                <w:rFonts w:cs="Arial"/>
                <w:sz w:val="19"/>
                <w:szCs w:val="19"/>
                <w:lang w:eastAsia="fr-CA"/>
              </w:rPr>
              <w:t xml:space="preserve"> is not liable for </w:t>
            </w:r>
            <w:r w:rsidR="00211830" w:rsidRPr="00E36FD2">
              <w:rPr>
                <w:rFonts w:cs="Arial"/>
                <w:sz w:val="19"/>
                <w:szCs w:val="19"/>
                <w:lang w:eastAsia="fr-CA"/>
              </w:rPr>
              <w:t>the 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 xml:space="preserve">rovider’s loss of profits or revenue.  </w:t>
            </w:r>
          </w:p>
          <w:p w14:paraId="2D8F913D" w14:textId="77777777"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In the case of </w:t>
            </w:r>
            <w:r w:rsidR="00211830" w:rsidRPr="00E36FD2">
              <w:rPr>
                <w:rFonts w:cs="Arial"/>
                <w:sz w:val="19"/>
                <w:szCs w:val="19"/>
                <w:lang w:eastAsia="fr-CA"/>
              </w:rPr>
              <w:t>the 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 xml:space="preserve">rovider, except in the case of wilful misconduct, the clause proposes </w:t>
            </w:r>
            <w:r w:rsidR="00211830" w:rsidRPr="00E36FD2">
              <w:rPr>
                <w:rFonts w:cs="Arial"/>
                <w:sz w:val="19"/>
                <w:szCs w:val="19"/>
                <w:lang w:eastAsia="fr-CA"/>
              </w:rPr>
              <w:t>the 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 xml:space="preserve">rovider’s liability be capped at a monetary amount and that </w:t>
            </w:r>
            <w:r w:rsidR="00211830" w:rsidRPr="00E36FD2">
              <w:rPr>
                <w:rFonts w:cs="Arial"/>
                <w:sz w:val="19"/>
                <w:szCs w:val="19"/>
                <w:lang w:eastAsia="fr-CA"/>
              </w:rPr>
              <w:t xml:space="preserve">the service provider </w:t>
            </w:r>
            <w:r w:rsidRPr="00E36FD2">
              <w:rPr>
                <w:rFonts w:cs="Arial"/>
                <w:sz w:val="19"/>
                <w:szCs w:val="19"/>
                <w:lang w:eastAsia="fr-CA"/>
              </w:rPr>
              <w:t xml:space="preserve">is not liable for </w:t>
            </w:r>
            <w:r w:rsidR="00211830" w:rsidRPr="00E36FD2">
              <w:rPr>
                <w:rFonts w:cs="Arial"/>
                <w:sz w:val="19"/>
                <w:szCs w:val="19"/>
                <w:lang w:eastAsia="fr-CA"/>
              </w:rPr>
              <w:t>the secondary shipper</w:t>
            </w:r>
            <w:r w:rsidRPr="00E36FD2">
              <w:rPr>
                <w:rFonts w:cs="Arial"/>
                <w:sz w:val="19"/>
                <w:szCs w:val="19"/>
                <w:lang w:eastAsia="fr-CA"/>
              </w:rPr>
              <w:t>’s consequential losses.</w:t>
            </w:r>
          </w:p>
          <w:p w14:paraId="79305616" w14:textId="77777777"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Clause 17 is a preliminary position and comments are sought as to the form of an appropriate liability regime.  Liability is discussed in more detail </w:t>
            </w:r>
            <w:r w:rsidR="00EC1759" w:rsidRPr="00E36FD2">
              <w:rPr>
                <w:rFonts w:cs="Arial"/>
                <w:sz w:val="19"/>
                <w:szCs w:val="19"/>
                <w:lang w:eastAsia="fr-CA"/>
              </w:rPr>
              <w:t>in the following sub-sections</w:t>
            </w:r>
            <w:r w:rsidRPr="00E36FD2">
              <w:rPr>
                <w:rFonts w:cs="Arial"/>
                <w:sz w:val="19"/>
                <w:szCs w:val="19"/>
                <w:lang w:eastAsia="fr-CA"/>
              </w:rPr>
              <w:t>.</w:t>
            </w:r>
          </w:p>
          <w:p w14:paraId="77C396C4" w14:textId="5922A273" w:rsidR="00E87773" w:rsidRPr="00E36FD2" w:rsidRDefault="00E87773"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See section </w:t>
            </w:r>
            <w:r w:rsidRPr="00E36FD2">
              <w:rPr>
                <w:rFonts w:cs="Arial"/>
                <w:sz w:val="19"/>
                <w:szCs w:val="19"/>
                <w:lang w:eastAsia="fr-CA"/>
              </w:rPr>
              <w:fldChar w:fldCharType="begin"/>
            </w:r>
            <w:r w:rsidRPr="00E36FD2">
              <w:rPr>
                <w:rFonts w:cs="Arial"/>
                <w:sz w:val="19"/>
                <w:szCs w:val="19"/>
                <w:lang w:eastAsia="fr-CA"/>
              </w:rPr>
              <w:instrText xml:space="preserve"> REF _Ref492230158 \r \h </w:instrText>
            </w:r>
            <w:r w:rsidR="00E36FD2">
              <w:rPr>
                <w:rFonts w:cs="Arial"/>
                <w:sz w:val="19"/>
                <w:szCs w:val="19"/>
                <w:lang w:eastAsia="fr-CA"/>
              </w:rPr>
              <w:instrText xml:space="preserve"> \* MERGEFORMAT </w:instrText>
            </w:r>
            <w:r w:rsidRPr="00E36FD2">
              <w:rPr>
                <w:rFonts w:cs="Arial"/>
                <w:sz w:val="19"/>
                <w:szCs w:val="19"/>
                <w:lang w:eastAsia="fr-CA"/>
              </w:rPr>
            </w:r>
            <w:r w:rsidRPr="00E36FD2">
              <w:rPr>
                <w:rFonts w:cs="Arial"/>
                <w:sz w:val="19"/>
                <w:szCs w:val="19"/>
                <w:lang w:eastAsia="fr-CA"/>
              </w:rPr>
              <w:fldChar w:fldCharType="separate"/>
            </w:r>
            <w:r w:rsidR="00947034">
              <w:rPr>
                <w:rFonts w:cs="Arial"/>
                <w:sz w:val="19"/>
                <w:szCs w:val="19"/>
                <w:lang w:eastAsia="fr-CA"/>
              </w:rPr>
              <w:t>3.3.2</w:t>
            </w:r>
            <w:r w:rsidRPr="00E36FD2">
              <w:rPr>
                <w:rFonts w:cs="Arial"/>
                <w:sz w:val="19"/>
                <w:szCs w:val="19"/>
                <w:lang w:eastAsia="fr-CA"/>
              </w:rPr>
              <w:fldChar w:fldCharType="end"/>
            </w:r>
            <w:r w:rsidRPr="00E36FD2">
              <w:rPr>
                <w:rFonts w:cs="Arial"/>
                <w:sz w:val="19"/>
                <w:szCs w:val="19"/>
                <w:lang w:eastAsia="fr-CA"/>
              </w:rPr>
              <w:t xml:space="preserve"> for further discussion regarding the liability regime.</w:t>
            </w:r>
          </w:p>
        </w:tc>
      </w:tr>
      <w:tr w:rsidR="001C729B" w:rsidRPr="00E36FD2" w14:paraId="4D3AB344" w14:textId="77777777" w:rsidTr="00EC1759">
        <w:trPr>
          <w:cantSplit/>
        </w:trPr>
        <w:tc>
          <w:tcPr>
            <w:tcW w:w="261" w:type="pct"/>
          </w:tcPr>
          <w:p w14:paraId="1A712166" w14:textId="77777777" w:rsidR="0057020B" w:rsidRPr="00E36FD2" w:rsidRDefault="0057020B" w:rsidP="00C05A16">
            <w:pPr>
              <w:spacing w:before="80" w:after="120"/>
              <w:ind w:left="74" w:right="74"/>
              <w:jc w:val="center"/>
              <w:rPr>
                <w:rFonts w:cs="Arial"/>
                <w:sz w:val="19"/>
                <w:szCs w:val="19"/>
                <w:lang w:eastAsia="fr-CA"/>
              </w:rPr>
            </w:pPr>
            <w:r w:rsidRPr="00E36FD2">
              <w:rPr>
                <w:rFonts w:cs="Arial"/>
                <w:sz w:val="19"/>
                <w:szCs w:val="19"/>
                <w:lang w:eastAsia="fr-CA"/>
              </w:rPr>
              <w:t>18</w:t>
            </w:r>
          </w:p>
        </w:tc>
        <w:tc>
          <w:tcPr>
            <w:tcW w:w="725" w:type="pct"/>
          </w:tcPr>
          <w:p w14:paraId="011AFBDB" w14:textId="77777777" w:rsidR="0057020B" w:rsidRPr="00E36FD2" w:rsidRDefault="0057020B" w:rsidP="00C05A16">
            <w:pPr>
              <w:spacing w:before="80" w:after="120"/>
              <w:ind w:left="74" w:right="74"/>
              <w:rPr>
                <w:rFonts w:cs="Arial"/>
                <w:sz w:val="19"/>
                <w:szCs w:val="19"/>
                <w:lang w:eastAsia="fr-CA"/>
              </w:rPr>
            </w:pPr>
            <w:r w:rsidRPr="00E36FD2">
              <w:rPr>
                <w:rFonts w:cs="Arial"/>
                <w:sz w:val="19"/>
                <w:szCs w:val="19"/>
                <w:lang w:eastAsia="fr-CA"/>
              </w:rPr>
              <w:t xml:space="preserve">Force Majeure </w:t>
            </w:r>
          </w:p>
        </w:tc>
        <w:tc>
          <w:tcPr>
            <w:tcW w:w="4013" w:type="pct"/>
          </w:tcPr>
          <w:p w14:paraId="033CC413" w14:textId="77777777"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Clause 18 is a standard form force majeure clause.</w:t>
            </w:r>
          </w:p>
        </w:tc>
      </w:tr>
      <w:tr w:rsidR="001C729B" w:rsidRPr="00E36FD2" w14:paraId="2DA0AB2C" w14:textId="77777777" w:rsidTr="001C729B">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261" w:type="pct"/>
          </w:tcPr>
          <w:p w14:paraId="5FFC1D0A" w14:textId="77777777" w:rsidR="0057020B" w:rsidRPr="00E36FD2" w:rsidRDefault="0057020B" w:rsidP="00C05A16">
            <w:pPr>
              <w:spacing w:before="80" w:after="120"/>
              <w:ind w:left="74" w:right="74"/>
              <w:jc w:val="center"/>
              <w:rPr>
                <w:rFonts w:cs="Arial"/>
                <w:sz w:val="19"/>
                <w:szCs w:val="19"/>
                <w:lang w:eastAsia="fr-CA"/>
              </w:rPr>
            </w:pPr>
            <w:r w:rsidRPr="00E36FD2">
              <w:rPr>
                <w:rFonts w:cs="Arial"/>
                <w:sz w:val="19"/>
                <w:szCs w:val="19"/>
                <w:lang w:eastAsia="fr-CA"/>
              </w:rPr>
              <w:t>19</w:t>
            </w:r>
          </w:p>
        </w:tc>
        <w:tc>
          <w:tcPr>
            <w:tcW w:w="725" w:type="pct"/>
          </w:tcPr>
          <w:p w14:paraId="65F2F859" w14:textId="77777777" w:rsidR="0057020B" w:rsidRPr="00E36FD2" w:rsidRDefault="0057020B" w:rsidP="00C05A16">
            <w:pPr>
              <w:spacing w:before="80" w:after="120"/>
              <w:ind w:left="74" w:right="74"/>
              <w:rPr>
                <w:rFonts w:cs="Arial"/>
                <w:sz w:val="19"/>
                <w:szCs w:val="19"/>
                <w:lang w:eastAsia="fr-CA"/>
              </w:rPr>
            </w:pPr>
            <w:r w:rsidRPr="00E36FD2">
              <w:rPr>
                <w:rFonts w:cs="Arial"/>
                <w:sz w:val="19"/>
                <w:szCs w:val="19"/>
                <w:lang w:eastAsia="fr-CA"/>
              </w:rPr>
              <w:t>Charges and Payments</w:t>
            </w:r>
          </w:p>
        </w:tc>
        <w:tc>
          <w:tcPr>
            <w:tcW w:w="4013" w:type="pct"/>
          </w:tcPr>
          <w:p w14:paraId="352E67DE" w14:textId="77777777"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Clause 19 deals with payments and invoicing. </w:t>
            </w:r>
          </w:p>
          <w:p w14:paraId="50537AF3" w14:textId="77777777"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While </w:t>
            </w:r>
            <w:r w:rsidR="00211830" w:rsidRPr="00E36FD2">
              <w:rPr>
                <w:rFonts w:cs="Arial"/>
                <w:sz w:val="19"/>
                <w:szCs w:val="19"/>
                <w:lang w:eastAsia="fr-CA"/>
              </w:rPr>
              <w:t>the secondary shipper</w:t>
            </w:r>
            <w:r w:rsidRPr="00E36FD2">
              <w:rPr>
                <w:rFonts w:cs="Arial"/>
                <w:sz w:val="19"/>
                <w:szCs w:val="19"/>
                <w:lang w:eastAsia="fr-CA"/>
              </w:rPr>
              <w:t xml:space="preserve"> will not pay the fixed charges in respect of the Firm MDQ and Park MDQ they acquire (this will continue to be paid by the </w:t>
            </w:r>
            <w:r w:rsidR="00211830" w:rsidRPr="00E36FD2">
              <w:rPr>
                <w:rFonts w:cs="Arial"/>
                <w:sz w:val="19"/>
                <w:szCs w:val="19"/>
                <w:lang w:eastAsia="fr-CA"/>
              </w:rPr>
              <w:t>p</w:t>
            </w:r>
            <w:r w:rsidRPr="00E36FD2">
              <w:rPr>
                <w:rFonts w:cs="Arial"/>
                <w:sz w:val="19"/>
                <w:szCs w:val="19"/>
                <w:lang w:eastAsia="fr-CA"/>
              </w:rPr>
              <w:t xml:space="preserve">rimary </w:t>
            </w:r>
            <w:r w:rsidR="00211830" w:rsidRPr="00E36FD2">
              <w:rPr>
                <w:rFonts w:cs="Arial"/>
                <w:sz w:val="19"/>
                <w:szCs w:val="19"/>
                <w:lang w:eastAsia="fr-CA"/>
              </w:rPr>
              <w:t>s</w:t>
            </w:r>
            <w:r w:rsidRPr="00E36FD2">
              <w:rPr>
                <w:rFonts w:cs="Arial"/>
                <w:sz w:val="19"/>
                <w:szCs w:val="19"/>
                <w:lang w:eastAsia="fr-CA"/>
              </w:rPr>
              <w:t xml:space="preserve">hipper from whom the capacity was acquired), various other charges may be payable by </w:t>
            </w:r>
            <w:r w:rsidR="00211830" w:rsidRPr="00E36FD2">
              <w:rPr>
                <w:rFonts w:cs="Arial"/>
                <w:sz w:val="19"/>
                <w:szCs w:val="19"/>
                <w:lang w:eastAsia="fr-CA"/>
              </w:rPr>
              <w:t>the secondary shipper</w:t>
            </w:r>
            <w:r w:rsidRPr="00E36FD2">
              <w:rPr>
                <w:rFonts w:cs="Arial"/>
                <w:sz w:val="19"/>
                <w:szCs w:val="19"/>
                <w:lang w:eastAsia="fr-CA"/>
              </w:rPr>
              <w:t xml:space="preserve"> including imbalance, daily overrun, hourly overrun and contribution to receipt point/delivery point costs.</w:t>
            </w:r>
          </w:p>
        </w:tc>
      </w:tr>
      <w:tr w:rsidR="001C729B" w:rsidRPr="00E36FD2" w14:paraId="662155E0" w14:textId="77777777" w:rsidTr="001C729B">
        <w:tblPrEx>
          <w:tblLook w:val="04A0" w:firstRow="1" w:lastRow="0" w:firstColumn="1" w:lastColumn="0" w:noHBand="0" w:noVBand="1"/>
        </w:tblPrEx>
        <w:tc>
          <w:tcPr>
            <w:tcW w:w="261" w:type="pct"/>
          </w:tcPr>
          <w:p w14:paraId="07D38A3C" w14:textId="77777777" w:rsidR="0057020B" w:rsidRPr="00E36FD2" w:rsidRDefault="0057020B" w:rsidP="00C05A16">
            <w:pPr>
              <w:spacing w:before="80" w:after="120"/>
              <w:ind w:left="74" w:right="74"/>
              <w:jc w:val="center"/>
              <w:rPr>
                <w:rFonts w:cs="Arial"/>
                <w:sz w:val="19"/>
                <w:szCs w:val="19"/>
                <w:lang w:eastAsia="fr-CA"/>
              </w:rPr>
            </w:pPr>
            <w:r w:rsidRPr="00E36FD2">
              <w:rPr>
                <w:rFonts w:cs="Arial"/>
                <w:sz w:val="19"/>
                <w:szCs w:val="19"/>
                <w:lang w:eastAsia="fr-CA"/>
              </w:rPr>
              <w:t>20</w:t>
            </w:r>
          </w:p>
        </w:tc>
        <w:tc>
          <w:tcPr>
            <w:tcW w:w="725" w:type="pct"/>
          </w:tcPr>
          <w:p w14:paraId="596ACBB4" w14:textId="77777777" w:rsidR="0057020B" w:rsidRPr="00E36FD2" w:rsidRDefault="0057020B" w:rsidP="00C05A16">
            <w:pPr>
              <w:spacing w:before="80" w:after="120"/>
              <w:ind w:left="74" w:right="74"/>
              <w:rPr>
                <w:rFonts w:cs="Arial"/>
                <w:sz w:val="19"/>
                <w:szCs w:val="19"/>
                <w:lang w:eastAsia="fr-CA"/>
              </w:rPr>
            </w:pPr>
            <w:r w:rsidRPr="00E36FD2">
              <w:rPr>
                <w:rFonts w:cs="Arial"/>
                <w:sz w:val="19"/>
                <w:szCs w:val="19"/>
                <w:lang w:eastAsia="fr-CA"/>
              </w:rPr>
              <w:t>GST</w:t>
            </w:r>
          </w:p>
        </w:tc>
        <w:tc>
          <w:tcPr>
            <w:tcW w:w="4013" w:type="pct"/>
          </w:tcPr>
          <w:p w14:paraId="7115A329" w14:textId="77777777"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Clause 20 is a standard form GST clause.</w:t>
            </w:r>
          </w:p>
        </w:tc>
      </w:tr>
      <w:tr w:rsidR="001C729B" w:rsidRPr="00E36FD2" w14:paraId="1D2C09DF" w14:textId="77777777" w:rsidTr="001C729B">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261" w:type="pct"/>
          </w:tcPr>
          <w:p w14:paraId="27E8677D" w14:textId="77777777" w:rsidR="0057020B" w:rsidRPr="00E36FD2" w:rsidRDefault="0057020B" w:rsidP="00C05A16">
            <w:pPr>
              <w:spacing w:before="80" w:after="120"/>
              <w:ind w:left="74" w:right="74"/>
              <w:jc w:val="center"/>
              <w:rPr>
                <w:rFonts w:cs="Arial"/>
                <w:sz w:val="19"/>
                <w:szCs w:val="19"/>
                <w:lang w:eastAsia="fr-CA"/>
              </w:rPr>
            </w:pPr>
            <w:r w:rsidRPr="00E36FD2">
              <w:rPr>
                <w:rFonts w:cs="Arial"/>
                <w:sz w:val="19"/>
                <w:szCs w:val="19"/>
                <w:lang w:eastAsia="fr-CA"/>
              </w:rPr>
              <w:lastRenderedPageBreak/>
              <w:t>21</w:t>
            </w:r>
          </w:p>
        </w:tc>
        <w:tc>
          <w:tcPr>
            <w:tcW w:w="725" w:type="pct"/>
          </w:tcPr>
          <w:p w14:paraId="19D6FC95" w14:textId="77777777" w:rsidR="0057020B" w:rsidRPr="00E36FD2" w:rsidRDefault="0057020B" w:rsidP="00C05A16">
            <w:pPr>
              <w:spacing w:before="80" w:after="120"/>
              <w:ind w:left="74" w:right="74"/>
              <w:rPr>
                <w:rFonts w:cs="Arial"/>
                <w:sz w:val="19"/>
                <w:szCs w:val="19"/>
                <w:lang w:eastAsia="fr-CA"/>
              </w:rPr>
            </w:pPr>
            <w:r w:rsidRPr="00E36FD2">
              <w:rPr>
                <w:rFonts w:cs="Arial"/>
                <w:sz w:val="19"/>
                <w:szCs w:val="19"/>
                <w:lang w:eastAsia="fr-CA"/>
              </w:rPr>
              <w:t>Credit</w:t>
            </w:r>
          </w:p>
        </w:tc>
        <w:tc>
          <w:tcPr>
            <w:tcW w:w="4013" w:type="pct"/>
          </w:tcPr>
          <w:p w14:paraId="67A48F42" w14:textId="77777777"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The purpose of clause 21 is to ensure </w:t>
            </w:r>
            <w:r w:rsidR="00211830" w:rsidRPr="00E36FD2">
              <w:rPr>
                <w:rFonts w:cs="Arial"/>
                <w:sz w:val="19"/>
                <w:szCs w:val="19"/>
                <w:lang w:eastAsia="fr-CA"/>
              </w:rPr>
              <w:t>the secondary shipper</w:t>
            </w:r>
            <w:r w:rsidRPr="00E36FD2">
              <w:rPr>
                <w:rFonts w:cs="Arial"/>
                <w:sz w:val="19"/>
                <w:szCs w:val="19"/>
                <w:lang w:eastAsia="fr-CA"/>
              </w:rPr>
              <w:t xml:space="preserve"> is appropriately insured and has sufficient credit.  This is necessary not just to protect </w:t>
            </w:r>
            <w:r w:rsidR="00211830" w:rsidRPr="00E36FD2">
              <w:rPr>
                <w:rFonts w:cs="Arial"/>
                <w:sz w:val="19"/>
                <w:szCs w:val="19"/>
                <w:lang w:eastAsia="fr-CA"/>
              </w:rPr>
              <w:t xml:space="preserve">the service provider </w:t>
            </w:r>
            <w:r w:rsidRPr="00E36FD2">
              <w:rPr>
                <w:rFonts w:cs="Arial"/>
                <w:sz w:val="19"/>
                <w:szCs w:val="19"/>
                <w:lang w:eastAsia="fr-CA"/>
              </w:rPr>
              <w:t>but also other shippers and ultimate consumers.  The integrity of a pipeline system will be threatened if persons commence using the pipeline who cannot stand behind their contractual obligations.</w:t>
            </w:r>
          </w:p>
          <w:p w14:paraId="2F18BA7C" w14:textId="77777777" w:rsidR="0057020B" w:rsidRPr="00E36FD2" w:rsidRDefault="0057020B" w:rsidP="00C05A16">
            <w:pPr>
              <w:keepNext/>
              <w:tabs>
                <w:tab w:val="left" w:pos="720"/>
              </w:tabs>
              <w:spacing w:before="80" w:after="120"/>
              <w:ind w:left="109"/>
              <w:rPr>
                <w:rFonts w:cs="Arial"/>
                <w:sz w:val="19"/>
                <w:szCs w:val="19"/>
                <w:lang w:eastAsia="fr-CA"/>
              </w:rPr>
            </w:pPr>
            <w:r w:rsidRPr="00E36FD2">
              <w:rPr>
                <w:rFonts w:cs="Arial"/>
                <w:sz w:val="19"/>
                <w:szCs w:val="19"/>
                <w:lang w:eastAsia="fr-CA"/>
              </w:rPr>
              <w:t xml:space="preserve">Clause 21.1 requires the </w:t>
            </w:r>
            <w:r w:rsidR="00211830" w:rsidRPr="00E36FD2">
              <w:rPr>
                <w:rFonts w:cs="Arial"/>
                <w:sz w:val="19"/>
                <w:szCs w:val="19"/>
                <w:lang w:eastAsia="fr-CA"/>
              </w:rPr>
              <w:t>secondary shipper</w:t>
            </w:r>
            <w:r w:rsidRPr="00E36FD2">
              <w:rPr>
                <w:rFonts w:cs="Arial"/>
                <w:sz w:val="19"/>
                <w:szCs w:val="19"/>
                <w:lang w:eastAsia="fr-CA"/>
              </w:rPr>
              <w:t xml:space="preserve"> to have in place appropriate third party public and products liability insurance.  This is principally to provide support in respect of </w:t>
            </w:r>
            <w:r w:rsidR="00211830" w:rsidRPr="00E36FD2">
              <w:rPr>
                <w:rFonts w:cs="Arial"/>
                <w:sz w:val="19"/>
                <w:szCs w:val="19"/>
                <w:lang w:eastAsia="fr-CA"/>
              </w:rPr>
              <w:t>the secondary shipper</w:t>
            </w:r>
            <w:r w:rsidRPr="00E36FD2">
              <w:rPr>
                <w:rFonts w:cs="Arial"/>
                <w:sz w:val="19"/>
                <w:szCs w:val="19"/>
                <w:lang w:eastAsia="fr-CA"/>
              </w:rPr>
              <w:t xml:space="preserve">’s obligations which, if breached, may cause damage to the pipeline.  In particular the supply into the pipeline of off-specification gas.  </w:t>
            </w:r>
          </w:p>
          <w:p w14:paraId="570F73FE" w14:textId="77777777" w:rsidR="00686058" w:rsidRDefault="0057020B" w:rsidP="00686058">
            <w:pPr>
              <w:keepNext/>
              <w:tabs>
                <w:tab w:val="left" w:pos="720"/>
              </w:tabs>
              <w:spacing w:before="80" w:after="120"/>
              <w:ind w:left="109"/>
              <w:rPr>
                <w:rFonts w:cs="Arial"/>
                <w:sz w:val="19"/>
                <w:szCs w:val="19"/>
                <w:lang w:eastAsia="fr-CA"/>
              </w:rPr>
            </w:pPr>
            <w:r w:rsidRPr="00E36FD2">
              <w:rPr>
                <w:rFonts w:cs="Arial"/>
                <w:sz w:val="19"/>
                <w:szCs w:val="19"/>
                <w:lang w:eastAsia="fr-CA"/>
              </w:rPr>
              <w:t xml:space="preserve">Clause 21.2 deals with the circumstances in which </w:t>
            </w:r>
            <w:r w:rsidR="00211830" w:rsidRPr="00E36FD2">
              <w:rPr>
                <w:rFonts w:cs="Arial"/>
                <w:sz w:val="19"/>
                <w:szCs w:val="19"/>
                <w:lang w:eastAsia="fr-CA"/>
              </w:rPr>
              <w:t xml:space="preserve">the service provider </w:t>
            </w:r>
            <w:r w:rsidRPr="00E36FD2">
              <w:rPr>
                <w:rFonts w:cs="Arial"/>
                <w:sz w:val="19"/>
                <w:szCs w:val="19"/>
                <w:lang w:eastAsia="fr-CA"/>
              </w:rPr>
              <w:t xml:space="preserve">may require credit support from </w:t>
            </w:r>
            <w:r w:rsidR="00211830" w:rsidRPr="00E36FD2">
              <w:rPr>
                <w:rFonts w:cs="Arial"/>
                <w:sz w:val="19"/>
                <w:szCs w:val="19"/>
                <w:lang w:eastAsia="fr-CA"/>
              </w:rPr>
              <w:t>the secondary shipper</w:t>
            </w:r>
            <w:r w:rsidRPr="00E36FD2">
              <w:rPr>
                <w:rFonts w:cs="Arial"/>
                <w:sz w:val="19"/>
                <w:szCs w:val="19"/>
                <w:lang w:eastAsia="fr-CA"/>
              </w:rPr>
              <w:t xml:space="preserve"> and, where credit support has been provided, the circumstances in which it may be called upon. </w:t>
            </w:r>
          </w:p>
          <w:p w14:paraId="62B6E2EA" w14:textId="5793D6BA" w:rsidR="00E87773" w:rsidRPr="00E36FD2" w:rsidRDefault="00E87773" w:rsidP="00686058">
            <w:pPr>
              <w:keepNext/>
              <w:tabs>
                <w:tab w:val="left" w:pos="720"/>
              </w:tabs>
              <w:spacing w:before="80" w:after="120"/>
              <w:ind w:left="109"/>
              <w:rPr>
                <w:rFonts w:cs="Arial"/>
                <w:sz w:val="19"/>
                <w:szCs w:val="19"/>
                <w:lang w:eastAsia="fr-CA"/>
              </w:rPr>
            </w:pPr>
            <w:r w:rsidRPr="00E36FD2">
              <w:rPr>
                <w:rFonts w:cs="Arial"/>
                <w:sz w:val="19"/>
                <w:szCs w:val="19"/>
                <w:lang w:eastAsia="fr-CA"/>
              </w:rPr>
              <w:t xml:space="preserve">See section </w:t>
            </w:r>
            <w:r w:rsidRPr="00E36FD2">
              <w:rPr>
                <w:rFonts w:cs="Arial"/>
                <w:sz w:val="19"/>
                <w:szCs w:val="19"/>
                <w:lang w:eastAsia="fr-CA"/>
              </w:rPr>
              <w:fldChar w:fldCharType="begin"/>
            </w:r>
            <w:r w:rsidRPr="00E36FD2">
              <w:rPr>
                <w:rFonts w:cs="Arial"/>
                <w:sz w:val="19"/>
                <w:szCs w:val="19"/>
                <w:lang w:eastAsia="fr-CA"/>
              </w:rPr>
              <w:instrText xml:space="preserve"> REF _Ref491798708 \r \h </w:instrText>
            </w:r>
            <w:r w:rsidR="00E36FD2">
              <w:rPr>
                <w:rFonts w:cs="Arial"/>
                <w:sz w:val="19"/>
                <w:szCs w:val="19"/>
                <w:lang w:eastAsia="fr-CA"/>
              </w:rPr>
              <w:instrText xml:space="preserve"> \* MERGEFORMAT </w:instrText>
            </w:r>
            <w:r w:rsidRPr="00E36FD2">
              <w:rPr>
                <w:rFonts w:cs="Arial"/>
                <w:sz w:val="19"/>
                <w:szCs w:val="19"/>
                <w:lang w:eastAsia="fr-CA"/>
              </w:rPr>
            </w:r>
            <w:r w:rsidRPr="00E36FD2">
              <w:rPr>
                <w:rFonts w:cs="Arial"/>
                <w:sz w:val="19"/>
                <w:szCs w:val="19"/>
                <w:lang w:eastAsia="fr-CA"/>
              </w:rPr>
              <w:fldChar w:fldCharType="separate"/>
            </w:r>
            <w:r w:rsidR="00947034">
              <w:rPr>
                <w:rFonts w:cs="Arial"/>
                <w:sz w:val="19"/>
                <w:szCs w:val="19"/>
                <w:lang w:eastAsia="fr-CA"/>
              </w:rPr>
              <w:t>3.3.3</w:t>
            </w:r>
            <w:r w:rsidRPr="00E36FD2">
              <w:rPr>
                <w:rFonts w:cs="Arial"/>
                <w:sz w:val="19"/>
                <w:szCs w:val="19"/>
                <w:lang w:eastAsia="fr-CA"/>
              </w:rPr>
              <w:fldChar w:fldCharType="end"/>
            </w:r>
            <w:r w:rsidRPr="00E36FD2">
              <w:rPr>
                <w:rFonts w:cs="Arial"/>
                <w:sz w:val="19"/>
                <w:szCs w:val="19"/>
                <w:lang w:eastAsia="fr-CA"/>
              </w:rPr>
              <w:t xml:space="preserve"> for further discussion regarding credit support.</w:t>
            </w:r>
          </w:p>
        </w:tc>
      </w:tr>
      <w:tr w:rsidR="001C729B" w:rsidRPr="00E36FD2" w14:paraId="42EFF0A8" w14:textId="77777777" w:rsidTr="001C729B">
        <w:tblPrEx>
          <w:tblLook w:val="04A0" w:firstRow="1" w:lastRow="0" w:firstColumn="1" w:lastColumn="0" w:noHBand="0" w:noVBand="1"/>
        </w:tblPrEx>
        <w:tc>
          <w:tcPr>
            <w:tcW w:w="261" w:type="pct"/>
          </w:tcPr>
          <w:p w14:paraId="3D8361D7" w14:textId="77777777" w:rsidR="0057020B" w:rsidRPr="00E36FD2" w:rsidRDefault="0057020B" w:rsidP="00D4786D">
            <w:pPr>
              <w:spacing w:before="80" w:after="80"/>
              <w:ind w:left="74" w:right="74"/>
              <w:jc w:val="center"/>
              <w:rPr>
                <w:rFonts w:cs="Arial"/>
                <w:sz w:val="19"/>
                <w:szCs w:val="19"/>
                <w:lang w:eastAsia="fr-CA"/>
              </w:rPr>
            </w:pPr>
            <w:r w:rsidRPr="00E36FD2">
              <w:rPr>
                <w:rFonts w:cs="Arial"/>
                <w:sz w:val="19"/>
                <w:szCs w:val="19"/>
                <w:lang w:eastAsia="fr-CA"/>
              </w:rPr>
              <w:t>22</w:t>
            </w:r>
          </w:p>
        </w:tc>
        <w:tc>
          <w:tcPr>
            <w:tcW w:w="725" w:type="pct"/>
          </w:tcPr>
          <w:p w14:paraId="744D46ED" w14:textId="77777777" w:rsidR="0057020B" w:rsidRPr="00E36FD2" w:rsidRDefault="0057020B" w:rsidP="00C05A16">
            <w:pPr>
              <w:spacing w:before="80" w:after="80"/>
              <w:ind w:left="74" w:right="74"/>
              <w:rPr>
                <w:rFonts w:cs="Arial"/>
                <w:sz w:val="19"/>
                <w:szCs w:val="19"/>
                <w:lang w:eastAsia="fr-CA"/>
              </w:rPr>
            </w:pPr>
            <w:r w:rsidRPr="00E36FD2">
              <w:rPr>
                <w:rFonts w:cs="Arial"/>
                <w:sz w:val="19"/>
                <w:szCs w:val="19"/>
                <w:lang w:eastAsia="fr-CA"/>
              </w:rPr>
              <w:t xml:space="preserve">Suspension and termination </w:t>
            </w:r>
          </w:p>
        </w:tc>
        <w:tc>
          <w:tcPr>
            <w:tcW w:w="4013" w:type="pct"/>
          </w:tcPr>
          <w:p w14:paraId="53A6D96C" w14:textId="041C0B68" w:rsidR="0057020B" w:rsidRPr="00E36FD2" w:rsidRDefault="0057020B" w:rsidP="00C05A16">
            <w:pPr>
              <w:keepNext/>
              <w:tabs>
                <w:tab w:val="left" w:pos="720"/>
              </w:tabs>
              <w:spacing w:before="80" w:after="80"/>
              <w:ind w:left="109"/>
              <w:rPr>
                <w:rFonts w:cs="Arial"/>
                <w:sz w:val="19"/>
                <w:szCs w:val="19"/>
                <w:lang w:eastAsia="fr-CA"/>
              </w:rPr>
            </w:pPr>
            <w:r w:rsidRPr="00E36FD2">
              <w:rPr>
                <w:rFonts w:cs="Arial"/>
                <w:sz w:val="19"/>
                <w:szCs w:val="19"/>
                <w:lang w:eastAsia="fr-CA"/>
              </w:rPr>
              <w:t xml:space="preserve">Clause 22 sets out the circumstances in which </w:t>
            </w:r>
            <w:r w:rsidR="00211830" w:rsidRPr="00E36FD2">
              <w:rPr>
                <w:rFonts w:cs="Arial"/>
                <w:sz w:val="19"/>
                <w:szCs w:val="19"/>
                <w:lang w:eastAsia="fr-CA"/>
              </w:rPr>
              <w:t xml:space="preserve">the service provider </w:t>
            </w:r>
            <w:r w:rsidRPr="00E36FD2">
              <w:rPr>
                <w:rFonts w:cs="Arial"/>
                <w:sz w:val="19"/>
                <w:szCs w:val="19"/>
                <w:lang w:eastAsia="fr-CA"/>
              </w:rPr>
              <w:t xml:space="preserve">may suspend services due to </w:t>
            </w:r>
            <w:r w:rsidR="00211830" w:rsidRPr="00E36FD2">
              <w:rPr>
                <w:rFonts w:cs="Arial"/>
                <w:sz w:val="19"/>
                <w:szCs w:val="19"/>
                <w:lang w:eastAsia="fr-CA"/>
              </w:rPr>
              <w:t>the secondary shipper</w:t>
            </w:r>
            <w:r w:rsidRPr="00E36FD2">
              <w:rPr>
                <w:rFonts w:cs="Arial"/>
                <w:sz w:val="19"/>
                <w:szCs w:val="19"/>
                <w:lang w:eastAsia="fr-CA"/>
              </w:rPr>
              <w:t xml:space="preserve"> having done something wrongful (for example</w:t>
            </w:r>
            <w:r w:rsidR="00EC1759" w:rsidRPr="00E36FD2">
              <w:rPr>
                <w:rFonts w:cs="Arial"/>
                <w:sz w:val="19"/>
                <w:szCs w:val="19"/>
                <w:lang w:eastAsia="fr-CA"/>
              </w:rPr>
              <w:t>,</w:t>
            </w:r>
            <w:r w:rsidRPr="00E36FD2">
              <w:rPr>
                <w:rFonts w:cs="Arial"/>
                <w:sz w:val="19"/>
                <w:szCs w:val="19"/>
                <w:lang w:eastAsia="fr-CA"/>
              </w:rPr>
              <w:t xml:space="preserve"> failing to ensure the required insurance is in place</w:t>
            </w:r>
            <w:r w:rsidR="00CC2039">
              <w:rPr>
                <w:rFonts w:cs="Arial"/>
                <w:sz w:val="19"/>
                <w:szCs w:val="19"/>
                <w:lang w:eastAsia="fr-CA"/>
              </w:rPr>
              <w:t xml:space="preserve"> or payment default</w:t>
            </w:r>
            <w:r w:rsidRPr="00E36FD2">
              <w:rPr>
                <w:rFonts w:cs="Arial"/>
                <w:sz w:val="19"/>
                <w:szCs w:val="19"/>
                <w:lang w:eastAsia="fr-CA"/>
              </w:rPr>
              <w:t xml:space="preserve">) and deals with the circumstances in which either party may terminate the </w:t>
            </w:r>
            <w:r w:rsidR="00D4786D">
              <w:rPr>
                <w:rFonts w:cs="Arial"/>
                <w:sz w:val="19"/>
                <w:szCs w:val="19"/>
                <w:lang w:eastAsia="fr-CA"/>
              </w:rPr>
              <w:t>o</w:t>
            </w:r>
            <w:r w:rsidRPr="00E36FD2">
              <w:rPr>
                <w:rFonts w:cs="Arial"/>
                <w:sz w:val="19"/>
                <w:szCs w:val="19"/>
                <w:lang w:eastAsia="fr-CA"/>
              </w:rPr>
              <w:t>perational GTA.</w:t>
            </w:r>
          </w:p>
        </w:tc>
      </w:tr>
      <w:tr w:rsidR="001C729B" w:rsidRPr="00E36FD2" w14:paraId="4832E4B8" w14:textId="77777777" w:rsidTr="001C729B">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261" w:type="pct"/>
          </w:tcPr>
          <w:p w14:paraId="09F03081" w14:textId="77777777" w:rsidR="0057020B" w:rsidRPr="00E36FD2" w:rsidRDefault="0057020B" w:rsidP="00D4786D">
            <w:pPr>
              <w:spacing w:before="80" w:after="80"/>
              <w:ind w:left="74" w:right="74"/>
              <w:jc w:val="center"/>
              <w:rPr>
                <w:rFonts w:cs="Arial"/>
                <w:sz w:val="19"/>
                <w:szCs w:val="19"/>
                <w:lang w:eastAsia="fr-CA"/>
              </w:rPr>
            </w:pPr>
            <w:r w:rsidRPr="00E36FD2">
              <w:rPr>
                <w:rFonts w:cs="Arial"/>
                <w:sz w:val="19"/>
                <w:szCs w:val="19"/>
                <w:lang w:eastAsia="fr-CA"/>
              </w:rPr>
              <w:t>23</w:t>
            </w:r>
          </w:p>
        </w:tc>
        <w:tc>
          <w:tcPr>
            <w:tcW w:w="725" w:type="pct"/>
          </w:tcPr>
          <w:p w14:paraId="5E8185AD" w14:textId="77777777" w:rsidR="0057020B" w:rsidRPr="00E36FD2" w:rsidRDefault="0057020B" w:rsidP="00C05A16">
            <w:pPr>
              <w:spacing w:before="80" w:after="80"/>
              <w:ind w:left="74" w:right="74"/>
              <w:rPr>
                <w:rFonts w:cs="Arial"/>
                <w:sz w:val="19"/>
                <w:szCs w:val="19"/>
                <w:lang w:eastAsia="fr-CA"/>
              </w:rPr>
            </w:pPr>
            <w:r w:rsidRPr="00E36FD2">
              <w:rPr>
                <w:rFonts w:cs="Arial"/>
                <w:sz w:val="19"/>
                <w:szCs w:val="19"/>
                <w:lang w:eastAsia="fr-CA"/>
              </w:rPr>
              <w:t>Dispute resolution</w:t>
            </w:r>
          </w:p>
        </w:tc>
        <w:tc>
          <w:tcPr>
            <w:tcW w:w="4013" w:type="pct"/>
          </w:tcPr>
          <w:p w14:paraId="29F21C42" w14:textId="77777777" w:rsidR="0057020B" w:rsidRPr="00E36FD2" w:rsidRDefault="0057020B" w:rsidP="00C05A16">
            <w:pPr>
              <w:keepNext/>
              <w:tabs>
                <w:tab w:val="left" w:pos="720"/>
              </w:tabs>
              <w:spacing w:before="80" w:after="80"/>
              <w:ind w:left="109"/>
              <w:rPr>
                <w:rFonts w:cs="Arial"/>
                <w:sz w:val="19"/>
                <w:szCs w:val="19"/>
                <w:lang w:eastAsia="fr-CA"/>
              </w:rPr>
            </w:pPr>
            <w:r w:rsidRPr="00E36FD2">
              <w:rPr>
                <w:rFonts w:cs="Arial"/>
                <w:sz w:val="19"/>
                <w:szCs w:val="19"/>
                <w:lang w:eastAsia="fr-CA"/>
              </w:rPr>
              <w:t>Clause 23 deals with dispute resolution.  Financial and technical disputes will be referred to an expert for determination.  Other disputes may be referred to court proceedings.</w:t>
            </w:r>
          </w:p>
        </w:tc>
      </w:tr>
      <w:tr w:rsidR="001C729B" w:rsidRPr="00E36FD2" w14:paraId="6AD7A326" w14:textId="77777777" w:rsidTr="001C729B">
        <w:tblPrEx>
          <w:tblLook w:val="04A0" w:firstRow="1" w:lastRow="0" w:firstColumn="1" w:lastColumn="0" w:noHBand="0" w:noVBand="1"/>
        </w:tblPrEx>
        <w:tc>
          <w:tcPr>
            <w:tcW w:w="261" w:type="pct"/>
          </w:tcPr>
          <w:p w14:paraId="637D5164" w14:textId="77777777" w:rsidR="0057020B" w:rsidRPr="00E36FD2" w:rsidRDefault="0057020B" w:rsidP="00D4786D">
            <w:pPr>
              <w:spacing w:before="80" w:after="80"/>
              <w:ind w:left="74" w:right="74"/>
              <w:jc w:val="center"/>
              <w:rPr>
                <w:rFonts w:cs="Arial"/>
                <w:sz w:val="19"/>
                <w:szCs w:val="19"/>
                <w:lang w:eastAsia="fr-CA"/>
              </w:rPr>
            </w:pPr>
            <w:r w:rsidRPr="00E36FD2">
              <w:rPr>
                <w:rFonts w:cs="Arial"/>
                <w:sz w:val="19"/>
                <w:szCs w:val="19"/>
                <w:lang w:eastAsia="fr-CA"/>
              </w:rPr>
              <w:t>24</w:t>
            </w:r>
          </w:p>
        </w:tc>
        <w:tc>
          <w:tcPr>
            <w:tcW w:w="725" w:type="pct"/>
          </w:tcPr>
          <w:p w14:paraId="59A84E68" w14:textId="77777777" w:rsidR="0057020B" w:rsidRPr="00E36FD2" w:rsidRDefault="0057020B" w:rsidP="00C05A16">
            <w:pPr>
              <w:spacing w:before="80" w:after="80"/>
              <w:ind w:left="74" w:right="74"/>
              <w:rPr>
                <w:rFonts w:cs="Arial"/>
                <w:sz w:val="19"/>
                <w:szCs w:val="19"/>
                <w:lang w:eastAsia="fr-CA"/>
              </w:rPr>
            </w:pPr>
            <w:r w:rsidRPr="00E36FD2">
              <w:rPr>
                <w:rFonts w:cs="Arial"/>
                <w:sz w:val="19"/>
                <w:szCs w:val="19"/>
                <w:lang w:eastAsia="fr-CA"/>
              </w:rPr>
              <w:t>Assignment/Novation</w:t>
            </w:r>
          </w:p>
        </w:tc>
        <w:tc>
          <w:tcPr>
            <w:tcW w:w="4013" w:type="pct"/>
          </w:tcPr>
          <w:p w14:paraId="28D4C6E5" w14:textId="77777777" w:rsidR="0057020B" w:rsidRPr="00E36FD2" w:rsidRDefault="0057020B" w:rsidP="00C05A16">
            <w:pPr>
              <w:keepNext/>
              <w:tabs>
                <w:tab w:val="left" w:pos="720"/>
              </w:tabs>
              <w:spacing w:before="80" w:after="80"/>
              <w:ind w:left="109"/>
              <w:rPr>
                <w:rFonts w:cs="Arial"/>
                <w:sz w:val="19"/>
                <w:szCs w:val="19"/>
                <w:lang w:eastAsia="fr-CA"/>
              </w:rPr>
            </w:pPr>
            <w:r w:rsidRPr="00E36FD2">
              <w:rPr>
                <w:rFonts w:cs="Arial"/>
                <w:sz w:val="19"/>
                <w:szCs w:val="19"/>
                <w:lang w:eastAsia="fr-CA"/>
              </w:rPr>
              <w:t xml:space="preserve">Clause 24.1 allows </w:t>
            </w:r>
            <w:r w:rsidR="00211830" w:rsidRPr="00E36FD2">
              <w:rPr>
                <w:rFonts w:cs="Arial"/>
                <w:sz w:val="19"/>
                <w:szCs w:val="19"/>
                <w:lang w:eastAsia="fr-CA"/>
              </w:rPr>
              <w:t>the secondary shipper</w:t>
            </w:r>
            <w:r w:rsidRPr="00E36FD2">
              <w:rPr>
                <w:rFonts w:cs="Arial"/>
                <w:sz w:val="19"/>
                <w:szCs w:val="19"/>
                <w:lang w:eastAsia="fr-CA"/>
              </w:rPr>
              <w:t xml:space="preserve"> to use its rights to haul gas on behalf of others (that is a bare transfer).  Otherwise </w:t>
            </w:r>
            <w:r w:rsidR="00211830" w:rsidRPr="00E36FD2">
              <w:rPr>
                <w:rFonts w:cs="Arial"/>
                <w:sz w:val="19"/>
                <w:szCs w:val="19"/>
                <w:lang w:eastAsia="fr-CA"/>
              </w:rPr>
              <w:t>the secondary shipper</w:t>
            </w:r>
            <w:r w:rsidRPr="00E36FD2">
              <w:rPr>
                <w:rFonts w:cs="Arial"/>
                <w:sz w:val="19"/>
                <w:szCs w:val="19"/>
                <w:lang w:eastAsia="fr-CA"/>
              </w:rPr>
              <w:t xml:space="preserve"> may not transfer its rights and obligations under the contract.  Such a right is seen as unnecessary as if another person wishes to utilise secondary capacity rights they can enter into their own Operational </w:t>
            </w:r>
            <w:r w:rsidR="002363C2" w:rsidRPr="00E36FD2">
              <w:rPr>
                <w:rFonts w:cs="Arial"/>
                <w:sz w:val="19"/>
                <w:szCs w:val="19"/>
                <w:lang w:eastAsia="fr-CA"/>
              </w:rPr>
              <w:t xml:space="preserve">GTA </w:t>
            </w:r>
            <w:r w:rsidRPr="00E36FD2">
              <w:rPr>
                <w:rFonts w:cs="Arial"/>
                <w:sz w:val="19"/>
                <w:szCs w:val="19"/>
                <w:lang w:eastAsia="fr-CA"/>
              </w:rPr>
              <w:t xml:space="preserve">and purchase capacity from the </w:t>
            </w:r>
            <w:r w:rsidR="00211830" w:rsidRPr="00E36FD2">
              <w:rPr>
                <w:rFonts w:cs="Arial"/>
                <w:sz w:val="19"/>
                <w:szCs w:val="19"/>
                <w:lang w:eastAsia="fr-CA"/>
              </w:rPr>
              <w:t>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rovider.</w:t>
            </w:r>
          </w:p>
          <w:p w14:paraId="05DF143D" w14:textId="234D3096" w:rsidR="0057020B" w:rsidRPr="00E36FD2" w:rsidRDefault="00211830" w:rsidP="00C05A16">
            <w:pPr>
              <w:keepNext/>
              <w:tabs>
                <w:tab w:val="left" w:pos="720"/>
              </w:tabs>
              <w:spacing w:before="80" w:after="80"/>
              <w:ind w:left="109"/>
              <w:rPr>
                <w:rFonts w:cs="Arial"/>
                <w:sz w:val="19"/>
                <w:szCs w:val="19"/>
                <w:lang w:eastAsia="fr-CA"/>
              </w:rPr>
            </w:pPr>
            <w:r w:rsidRPr="00E36FD2">
              <w:rPr>
                <w:rFonts w:cs="Arial"/>
                <w:sz w:val="19"/>
                <w:szCs w:val="19"/>
                <w:lang w:eastAsia="fr-CA"/>
              </w:rPr>
              <w:t>The s</w:t>
            </w:r>
            <w:r w:rsidR="0057020B" w:rsidRPr="00E36FD2">
              <w:rPr>
                <w:rFonts w:cs="Arial"/>
                <w:sz w:val="19"/>
                <w:szCs w:val="19"/>
                <w:lang w:eastAsia="fr-CA"/>
              </w:rPr>
              <w:t xml:space="preserve">ervice </w:t>
            </w:r>
            <w:r w:rsidRPr="00E36FD2">
              <w:rPr>
                <w:rFonts w:cs="Arial"/>
                <w:sz w:val="19"/>
                <w:szCs w:val="19"/>
                <w:lang w:eastAsia="fr-CA"/>
              </w:rPr>
              <w:t>p</w:t>
            </w:r>
            <w:r w:rsidR="0057020B" w:rsidRPr="00E36FD2">
              <w:rPr>
                <w:rFonts w:cs="Arial"/>
                <w:sz w:val="19"/>
                <w:szCs w:val="19"/>
                <w:lang w:eastAsia="fr-CA"/>
              </w:rPr>
              <w:t xml:space="preserve">rovider may novate the </w:t>
            </w:r>
            <w:r w:rsidR="00D4786D">
              <w:rPr>
                <w:rFonts w:cs="Arial"/>
                <w:sz w:val="19"/>
                <w:szCs w:val="19"/>
                <w:lang w:eastAsia="fr-CA"/>
              </w:rPr>
              <w:t>o</w:t>
            </w:r>
            <w:r w:rsidR="0009208D" w:rsidRPr="00E36FD2">
              <w:rPr>
                <w:rFonts w:cs="Arial"/>
                <w:sz w:val="19"/>
                <w:szCs w:val="19"/>
                <w:lang w:eastAsia="fr-CA"/>
              </w:rPr>
              <w:t xml:space="preserve">perational GTA </w:t>
            </w:r>
            <w:r w:rsidR="0057020B" w:rsidRPr="00E36FD2">
              <w:rPr>
                <w:rFonts w:cs="Arial"/>
                <w:sz w:val="19"/>
                <w:szCs w:val="19"/>
                <w:lang w:eastAsia="fr-CA"/>
              </w:rPr>
              <w:t xml:space="preserve">to persons who acquire the </w:t>
            </w:r>
            <w:r w:rsidR="002363C2" w:rsidRPr="00E36FD2">
              <w:rPr>
                <w:rFonts w:cs="Arial"/>
                <w:sz w:val="19"/>
                <w:szCs w:val="19"/>
                <w:lang w:eastAsia="fr-CA"/>
              </w:rPr>
              <w:t>pipeline</w:t>
            </w:r>
            <w:r w:rsidR="0057020B" w:rsidRPr="00E36FD2">
              <w:rPr>
                <w:rFonts w:cs="Arial"/>
                <w:sz w:val="19"/>
                <w:szCs w:val="19"/>
                <w:lang w:eastAsia="fr-CA"/>
              </w:rPr>
              <w:t xml:space="preserve"> from </w:t>
            </w:r>
            <w:r w:rsidRPr="00E36FD2">
              <w:rPr>
                <w:rFonts w:cs="Arial"/>
                <w:sz w:val="19"/>
                <w:szCs w:val="19"/>
                <w:lang w:eastAsia="fr-CA"/>
              </w:rPr>
              <w:t>the s</w:t>
            </w:r>
            <w:r w:rsidR="0057020B" w:rsidRPr="00E36FD2">
              <w:rPr>
                <w:rFonts w:cs="Arial"/>
                <w:sz w:val="19"/>
                <w:szCs w:val="19"/>
                <w:lang w:eastAsia="fr-CA"/>
              </w:rPr>
              <w:t xml:space="preserve">ervice </w:t>
            </w:r>
            <w:r w:rsidRPr="00E36FD2">
              <w:rPr>
                <w:rFonts w:cs="Arial"/>
                <w:sz w:val="19"/>
                <w:szCs w:val="19"/>
                <w:lang w:eastAsia="fr-CA"/>
              </w:rPr>
              <w:t>p</w:t>
            </w:r>
            <w:r w:rsidR="0057020B" w:rsidRPr="00E36FD2">
              <w:rPr>
                <w:rFonts w:cs="Arial"/>
                <w:sz w:val="19"/>
                <w:szCs w:val="19"/>
                <w:lang w:eastAsia="fr-CA"/>
              </w:rPr>
              <w:t>rovider.</w:t>
            </w:r>
          </w:p>
          <w:p w14:paraId="5A1821DB" w14:textId="77777777" w:rsidR="0057020B" w:rsidRPr="00E36FD2" w:rsidRDefault="0057020B" w:rsidP="00C05A16">
            <w:pPr>
              <w:keepNext/>
              <w:tabs>
                <w:tab w:val="left" w:pos="720"/>
              </w:tabs>
              <w:spacing w:before="80" w:after="80"/>
              <w:ind w:left="109"/>
              <w:rPr>
                <w:rFonts w:cs="Arial"/>
                <w:sz w:val="19"/>
                <w:szCs w:val="19"/>
                <w:lang w:eastAsia="fr-CA"/>
              </w:rPr>
            </w:pPr>
            <w:r w:rsidRPr="00E36FD2">
              <w:rPr>
                <w:rFonts w:cs="Arial"/>
                <w:sz w:val="19"/>
                <w:szCs w:val="19"/>
                <w:lang w:eastAsia="fr-CA"/>
              </w:rPr>
              <w:t xml:space="preserve">There is no change in control restriction. </w:t>
            </w:r>
          </w:p>
        </w:tc>
      </w:tr>
      <w:tr w:rsidR="001C729B" w:rsidRPr="00E36FD2" w14:paraId="1EEDD017" w14:textId="77777777" w:rsidTr="00C05A16">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Height w:val="120"/>
        </w:trPr>
        <w:tc>
          <w:tcPr>
            <w:tcW w:w="261" w:type="pct"/>
          </w:tcPr>
          <w:p w14:paraId="6D9AEBC7" w14:textId="77777777" w:rsidR="0057020B" w:rsidRPr="00E36FD2" w:rsidRDefault="0057020B" w:rsidP="00C05A16">
            <w:pPr>
              <w:spacing w:before="80" w:after="120"/>
              <w:ind w:left="74" w:right="74"/>
              <w:jc w:val="center"/>
              <w:rPr>
                <w:rFonts w:cs="Arial"/>
                <w:sz w:val="19"/>
                <w:szCs w:val="19"/>
                <w:lang w:eastAsia="fr-CA"/>
              </w:rPr>
            </w:pPr>
            <w:r w:rsidRPr="00E36FD2">
              <w:rPr>
                <w:rFonts w:cs="Arial"/>
                <w:sz w:val="19"/>
                <w:szCs w:val="19"/>
                <w:lang w:eastAsia="fr-CA"/>
              </w:rPr>
              <w:t>25</w:t>
            </w:r>
          </w:p>
        </w:tc>
        <w:tc>
          <w:tcPr>
            <w:tcW w:w="725" w:type="pct"/>
          </w:tcPr>
          <w:p w14:paraId="6B541E9C" w14:textId="77777777" w:rsidR="0057020B" w:rsidRPr="00E36FD2" w:rsidRDefault="0057020B" w:rsidP="00C05A16">
            <w:pPr>
              <w:spacing w:before="80" w:after="80"/>
              <w:ind w:left="74" w:right="74"/>
              <w:rPr>
                <w:rFonts w:cs="Arial"/>
                <w:sz w:val="19"/>
                <w:szCs w:val="19"/>
                <w:lang w:eastAsia="fr-CA"/>
              </w:rPr>
            </w:pPr>
            <w:r w:rsidRPr="00E36FD2">
              <w:rPr>
                <w:rFonts w:cs="Arial"/>
                <w:sz w:val="19"/>
                <w:szCs w:val="19"/>
                <w:lang w:eastAsia="fr-CA"/>
              </w:rPr>
              <w:t>Representations and warranties</w:t>
            </w:r>
          </w:p>
        </w:tc>
        <w:tc>
          <w:tcPr>
            <w:tcW w:w="4013" w:type="pct"/>
          </w:tcPr>
          <w:p w14:paraId="1527477A" w14:textId="77777777" w:rsidR="0057020B" w:rsidRPr="00E36FD2" w:rsidRDefault="0057020B" w:rsidP="00C05A16">
            <w:pPr>
              <w:keepNext/>
              <w:tabs>
                <w:tab w:val="left" w:pos="720"/>
              </w:tabs>
              <w:spacing w:before="80" w:after="80"/>
              <w:ind w:left="109"/>
              <w:rPr>
                <w:rFonts w:cs="Arial"/>
                <w:sz w:val="19"/>
                <w:szCs w:val="19"/>
                <w:lang w:eastAsia="fr-CA"/>
              </w:rPr>
            </w:pPr>
            <w:r w:rsidRPr="00E36FD2">
              <w:rPr>
                <w:rFonts w:cs="Arial"/>
                <w:sz w:val="19"/>
                <w:szCs w:val="19"/>
                <w:lang w:eastAsia="fr-CA"/>
              </w:rPr>
              <w:t>Clause 25 is a standard represen</w:t>
            </w:r>
            <w:r w:rsidR="00C05A16" w:rsidRPr="00E36FD2">
              <w:rPr>
                <w:rFonts w:cs="Arial"/>
                <w:sz w:val="19"/>
                <w:szCs w:val="19"/>
                <w:lang w:eastAsia="fr-CA"/>
              </w:rPr>
              <w:t xml:space="preserve">tations and warranties clause. </w:t>
            </w:r>
          </w:p>
        </w:tc>
      </w:tr>
      <w:tr w:rsidR="001C729B" w:rsidRPr="00E36FD2" w14:paraId="20D80101" w14:textId="77777777" w:rsidTr="001C729B">
        <w:tblPrEx>
          <w:tblLook w:val="04A0" w:firstRow="1" w:lastRow="0" w:firstColumn="1" w:lastColumn="0" w:noHBand="0" w:noVBand="1"/>
        </w:tblPrEx>
        <w:tc>
          <w:tcPr>
            <w:tcW w:w="261" w:type="pct"/>
          </w:tcPr>
          <w:p w14:paraId="2454C1BF" w14:textId="77777777" w:rsidR="0057020B" w:rsidRPr="00E36FD2" w:rsidRDefault="0057020B" w:rsidP="00C05A16">
            <w:pPr>
              <w:spacing w:before="80" w:after="120"/>
              <w:ind w:left="74" w:right="74"/>
              <w:jc w:val="center"/>
              <w:rPr>
                <w:rFonts w:cs="Arial"/>
                <w:sz w:val="19"/>
                <w:szCs w:val="19"/>
                <w:lang w:eastAsia="fr-CA"/>
              </w:rPr>
            </w:pPr>
            <w:r w:rsidRPr="00E36FD2">
              <w:rPr>
                <w:rFonts w:cs="Arial"/>
                <w:sz w:val="19"/>
                <w:szCs w:val="19"/>
                <w:lang w:eastAsia="fr-CA"/>
              </w:rPr>
              <w:t>26</w:t>
            </w:r>
          </w:p>
        </w:tc>
        <w:tc>
          <w:tcPr>
            <w:tcW w:w="725" w:type="pct"/>
          </w:tcPr>
          <w:p w14:paraId="6299897C" w14:textId="77777777" w:rsidR="0057020B" w:rsidRPr="00E36FD2" w:rsidRDefault="0057020B" w:rsidP="00C05A16">
            <w:pPr>
              <w:spacing w:before="80" w:after="80"/>
              <w:ind w:left="74" w:right="74"/>
              <w:rPr>
                <w:rFonts w:cs="Arial"/>
                <w:sz w:val="19"/>
                <w:szCs w:val="19"/>
                <w:lang w:eastAsia="fr-CA"/>
              </w:rPr>
            </w:pPr>
            <w:r w:rsidRPr="00E36FD2">
              <w:rPr>
                <w:rFonts w:cs="Arial"/>
                <w:sz w:val="19"/>
                <w:szCs w:val="19"/>
                <w:lang w:eastAsia="fr-CA"/>
              </w:rPr>
              <w:t>Confidentiality</w:t>
            </w:r>
          </w:p>
        </w:tc>
        <w:tc>
          <w:tcPr>
            <w:tcW w:w="4013" w:type="pct"/>
          </w:tcPr>
          <w:p w14:paraId="373C56BA" w14:textId="77777777" w:rsidR="0057020B" w:rsidRPr="00E36FD2" w:rsidRDefault="0057020B" w:rsidP="00C05A16">
            <w:pPr>
              <w:keepNext/>
              <w:tabs>
                <w:tab w:val="left" w:pos="720"/>
              </w:tabs>
              <w:spacing w:before="80" w:after="80"/>
              <w:ind w:left="109"/>
              <w:rPr>
                <w:rFonts w:cs="Arial"/>
                <w:sz w:val="19"/>
                <w:szCs w:val="19"/>
                <w:lang w:eastAsia="fr-CA"/>
              </w:rPr>
            </w:pPr>
            <w:r w:rsidRPr="00E36FD2">
              <w:rPr>
                <w:rFonts w:cs="Arial"/>
                <w:sz w:val="19"/>
                <w:szCs w:val="19"/>
                <w:lang w:eastAsia="fr-CA"/>
              </w:rPr>
              <w:t>Clause 26 is a standard confidentiality clause.</w:t>
            </w:r>
          </w:p>
        </w:tc>
      </w:tr>
      <w:tr w:rsidR="001C729B" w:rsidRPr="00E36FD2" w14:paraId="1F3C39A7" w14:textId="77777777" w:rsidTr="001C729B">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261" w:type="pct"/>
          </w:tcPr>
          <w:p w14:paraId="19AB3844" w14:textId="77777777" w:rsidR="0057020B" w:rsidRPr="00E36FD2" w:rsidRDefault="0057020B" w:rsidP="00C05A16">
            <w:pPr>
              <w:spacing w:before="80" w:after="120"/>
              <w:ind w:left="74" w:right="74"/>
              <w:jc w:val="center"/>
              <w:rPr>
                <w:rFonts w:cs="Arial"/>
                <w:sz w:val="19"/>
                <w:szCs w:val="19"/>
                <w:lang w:eastAsia="fr-CA"/>
              </w:rPr>
            </w:pPr>
            <w:r w:rsidRPr="00E36FD2">
              <w:rPr>
                <w:rFonts w:cs="Arial"/>
                <w:sz w:val="19"/>
                <w:szCs w:val="19"/>
                <w:lang w:eastAsia="fr-CA"/>
              </w:rPr>
              <w:t>27</w:t>
            </w:r>
          </w:p>
        </w:tc>
        <w:tc>
          <w:tcPr>
            <w:tcW w:w="725" w:type="pct"/>
          </w:tcPr>
          <w:p w14:paraId="589A4552" w14:textId="77777777" w:rsidR="0057020B" w:rsidRPr="00E36FD2" w:rsidRDefault="0057020B" w:rsidP="00C05A16">
            <w:pPr>
              <w:spacing w:before="80" w:after="80"/>
              <w:ind w:left="74" w:right="74"/>
              <w:rPr>
                <w:rFonts w:cs="Arial"/>
                <w:sz w:val="19"/>
                <w:szCs w:val="19"/>
                <w:lang w:eastAsia="fr-CA"/>
              </w:rPr>
            </w:pPr>
            <w:r w:rsidRPr="00E36FD2">
              <w:rPr>
                <w:rFonts w:cs="Arial"/>
                <w:sz w:val="19"/>
                <w:szCs w:val="19"/>
                <w:lang w:eastAsia="fr-CA"/>
              </w:rPr>
              <w:t>Notices</w:t>
            </w:r>
          </w:p>
        </w:tc>
        <w:tc>
          <w:tcPr>
            <w:tcW w:w="4013" w:type="pct"/>
          </w:tcPr>
          <w:p w14:paraId="3162329B" w14:textId="77777777" w:rsidR="0057020B" w:rsidRPr="00E36FD2" w:rsidRDefault="0057020B" w:rsidP="00C05A16">
            <w:pPr>
              <w:keepNext/>
              <w:tabs>
                <w:tab w:val="left" w:pos="720"/>
              </w:tabs>
              <w:spacing w:before="80" w:after="80"/>
              <w:ind w:left="109"/>
              <w:rPr>
                <w:rFonts w:cs="Arial"/>
                <w:sz w:val="19"/>
                <w:szCs w:val="19"/>
                <w:lang w:eastAsia="fr-CA"/>
              </w:rPr>
            </w:pPr>
            <w:r w:rsidRPr="00E36FD2">
              <w:rPr>
                <w:rFonts w:cs="Arial"/>
                <w:sz w:val="19"/>
                <w:szCs w:val="19"/>
                <w:lang w:eastAsia="fr-CA"/>
              </w:rPr>
              <w:t>Clause 27 is a standard notices clause.</w:t>
            </w:r>
          </w:p>
        </w:tc>
      </w:tr>
      <w:tr w:rsidR="001C729B" w:rsidRPr="00E36FD2" w14:paraId="3791DB95" w14:textId="77777777" w:rsidTr="001C729B">
        <w:tblPrEx>
          <w:tblLook w:val="04A0" w:firstRow="1" w:lastRow="0" w:firstColumn="1" w:lastColumn="0" w:noHBand="0" w:noVBand="1"/>
        </w:tblPrEx>
        <w:tc>
          <w:tcPr>
            <w:tcW w:w="261" w:type="pct"/>
          </w:tcPr>
          <w:p w14:paraId="647C913C" w14:textId="77777777" w:rsidR="0057020B" w:rsidRPr="00E36FD2" w:rsidRDefault="0057020B" w:rsidP="00C05A16">
            <w:pPr>
              <w:spacing w:before="80" w:after="120"/>
              <w:ind w:left="74" w:right="74"/>
              <w:jc w:val="center"/>
              <w:rPr>
                <w:rFonts w:cs="Arial"/>
                <w:sz w:val="19"/>
                <w:szCs w:val="19"/>
                <w:lang w:eastAsia="fr-CA"/>
              </w:rPr>
            </w:pPr>
            <w:r w:rsidRPr="00E36FD2">
              <w:rPr>
                <w:rFonts w:cs="Arial"/>
                <w:sz w:val="19"/>
                <w:szCs w:val="19"/>
                <w:lang w:eastAsia="fr-CA"/>
              </w:rPr>
              <w:t>28</w:t>
            </w:r>
          </w:p>
        </w:tc>
        <w:tc>
          <w:tcPr>
            <w:tcW w:w="725" w:type="pct"/>
          </w:tcPr>
          <w:p w14:paraId="19DC9546" w14:textId="77777777" w:rsidR="0057020B" w:rsidRPr="00E36FD2" w:rsidRDefault="0057020B" w:rsidP="00C05A16">
            <w:pPr>
              <w:spacing w:before="80" w:after="120"/>
              <w:ind w:left="74" w:right="74"/>
              <w:rPr>
                <w:rFonts w:cs="Arial"/>
                <w:sz w:val="19"/>
                <w:szCs w:val="19"/>
                <w:lang w:eastAsia="fr-CA"/>
              </w:rPr>
            </w:pPr>
            <w:r w:rsidRPr="00E36FD2">
              <w:rPr>
                <w:rFonts w:cs="Arial"/>
                <w:sz w:val="19"/>
                <w:szCs w:val="19"/>
                <w:lang w:eastAsia="fr-CA"/>
              </w:rPr>
              <w:t xml:space="preserve">Miscellaneous </w:t>
            </w:r>
          </w:p>
        </w:tc>
        <w:tc>
          <w:tcPr>
            <w:tcW w:w="4013" w:type="pct"/>
          </w:tcPr>
          <w:p w14:paraId="3E57562D" w14:textId="77777777" w:rsidR="0057020B" w:rsidRPr="00E36FD2" w:rsidRDefault="0057020B" w:rsidP="00C05A16">
            <w:pPr>
              <w:keepNext/>
              <w:tabs>
                <w:tab w:val="left" w:pos="720"/>
              </w:tabs>
              <w:spacing w:before="80" w:after="80"/>
              <w:ind w:left="109"/>
              <w:rPr>
                <w:rFonts w:cs="Arial"/>
                <w:sz w:val="19"/>
                <w:szCs w:val="19"/>
                <w:lang w:eastAsia="fr-CA"/>
              </w:rPr>
            </w:pPr>
            <w:r w:rsidRPr="00E36FD2">
              <w:rPr>
                <w:rFonts w:cs="Arial"/>
                <w:sz w:val="19"/>
                <w:szCs w:val="19"/>
                <w:lang w:eastAsia="fr-CA"/>
              </w:rPr>
              <w:t>Clause 28 deals with governing law and also obliges each party to do all that is reasonably necessary to give effect to the Operational GTA.</w:t>
            </w:r>
          </w:p>
        </w:tc>
      </w:tr>
      <w:tr w:rsidR="001C729B" w:rsidRPr="00E36FD2" w14:paraId="6414F0B0" w14:textId="77777777" w:rsidTr="00EC1759">
        <w:trPr>
          <w:cnfStyle w:val="000000010000" w:firstRow="0" w:lastRow="0" w:firstColumn="0" w:lastColumn="0" w:oddVBand="0" w:evenVBand="0" w:oddHBand="0" w:evenHBand="1" w:firstRowFirstColumn="0" w:firstRowLastColumn="0" w:lastRowFirstColumn="0" w:lastRowLastColumn="0"/>
          <w:cantSplit/>
        </w:trPr>
        <w:tc>
          <w:tcPr>
            <w:tcW w:w="5000" w:type="pct"/>
            <w:gridSpan w:val="3"/>
            <w:shd w:val="clear" w:color="auto" w:fill="65697F" w:themeFill="background2" w:themeFillShade="80"/>
          </w:tcPr>
          <w:p w14:paraId="71A1B7CC" w14:textId="77777777" w:rsidR="001C729B" w:rsidRPr="00E36FD2" w:rsidRDefault="001C729B" w:rsidP="00053FEC">
            <w:pPr>
              <w:keepNext/>
              <w:tabs>
                <w:tab w:val="left" w:pos="720"/>
              </w:tabs>
              <w:spacing w:before="80" w:after="120" w:line="252" w:lineRule="auto"/>
              <w:ind w:left="109"/>
              <w:jc w:val="center"/>
              <w:rPr>
                <w:rFonts w:cs="Arial"/>
                <w:b/>
                <w:color w:val="FFFFFF" w:themeColor="background1"/>
                <w:sz w:val="19"/>
                <w:szCs w:val="19"/>
                <w:lang w:eastAsia="fr-CA"/>
              </w:rPr>
            </w:pPr>
            <w:r w:rsidRPr="00E36FD2">
              <w:rPr>
                <w:rFonts w:cs="Arial"/>
                <w:b/>
                <w:color w:val="FFFFFF" w:themeColor="background1"/>
                <w:sz w:val="19"/>
                <w:szCs w:val="19"/>
                <w:lang w:eastAsia="fr-CA"/>
              </w:rPr>
              <w:lastRenderedPageBreak/>
              <w:t>Facility Specific Terms</w:t>
            </w:r>
          </w:p>
        </w:tc>
      </w:tr>
      <w:tr w:rsidR="001C729B" w:rsidRPr="00E36FD2" w14:paraId="3F2A4E42" w14:textId="77777777" w:rsidTr="00EC1759">
        <w:trPr>
          <w:cantSplit/>
        </w:trPr>
        <w:tc>
          <w:tcPr>
            <w:tcW w:w="261" w:type="pct"/>
          </w:tcPr>
          <w:p w14:paraId="12627937" w14:textId="77777777" w:rsidR="001C729B" w:rsidRPr="00E36FD2" w:rsidRDefault="001C729B" w:rsidP="00053FEC">
            <w:pPr>
              <w:spacing w:before="80" w:after="120" w:line="252" w:lineRule="auto"/>
              <w:ind w:left="74" w:right="74"/>
              <w:jc w:val="center"/>
              <w:rPr>
                <w:rFonts w:cs="Arial"/>
                <w:sz w:val="19"/>
                <w:szCs w:val="19"/>
                <w:lang w:eastAsia="fr-CA"/>
              </w:rPr>
            </w:pPr>
            <w:r w:rsidRPr="00E36FD2">
              <w:rPr>
                <w:rFonts w:cs="Arial"/>
                <w:sz w:val="19"/>
                <w:szCs w:val="19"/>
                <w:lang w:eastAsia="fr-CA"/>
              </w:rPr>
              <w:t>3</w:t>
            </w:r>
          </w:p>
        </w:tc>
        <w:tc>
          <w:tcPr>
            <w:tcW w:w="725" w:type="pct"/>
          </w:tcPr>
          <w:p w14:paraId="66D0EE52" w14:textId="77777777" w:rsidR="001C729B" w:rsidRPr="00E36FD2" w:rsidRDefault="001C729B" w:rsidP="00053FEC">
            <w:pPr>
              <w:spacing w:before="80" w:after="120" w:line="252" w:lineRule="auto"/>
              <w:ind w:left="74" w:right="74"/>
              <w:rPr>
                <w:rFonts w:cs="Arial"/>
                <w:sz w:val="19"/>
                <w:szCs w:val="19"/>
                <w:lang w:eastAsia="fr-CA"/>
              </w:rPr>
            </w:pPr>
            <w:r w:rsidRPr="00E36FD2">
              <w:rPr>
                <w:rFonts w:cs="Arial"/>
                <w:sz w:val="19"/>
                <w:szCs w:val="19"/>
                <w:lang w:eastAsia="fr-CA"/>
              </w:rPr>
              <w:t>Other Services</w:t>
            </w:r>
          </w:p>
        </w:tc>
        <w:tc>
          <w:tcPr>
            <w:tcW w:w="4013" w:type="pct"/>
          </w:tcPr>
          <w:p w14:paraId="7853BA98" w14:textId="4FA10EE1" w:rsidR="001C729B" w:rsidRPr="00E36FD2" w:rsidRDefault="001C729B" w:rsidP="00053FEC">
            <w:pPr>
              <w:keepNext/>
              <w:tabs>
                <w:tab w:val="left" w:pos="720"/>
              </w:tabs>
              <w:spacing w:before="80" w:after="120" w:line="252" w:lineRule="auto"/>
              <w:ind w:left="109"/>
              <w:rPr>
                <w:rFonts w:cs="Arial"/>
                <w:sz w:val="19"/>
                <w:szCs w:val="19"/>
                <w:lang w:eastAsia="fr-CA"/>
              </w:rPr>
            </w:pPr>
            <w:r w:rsidRPr="00E36FD2">
              <w:rPr>
                <w:rFonts w:cs="Arial"/>
                <w:sz w:val="19"/>
                <w:szCs w:val="19"/>
                <w:lang w:eastAsia="fr-CA"/>
              </w:rPr>
              <w:t xml:space="preserve">The </w:t>
            </w:r>
            <w:r w:rsidR="00996004" w:rsidRPr="00E36FD2">
              <w:rPr>
                <w:rFonts w:cs="Arial"/>
                <w:sz w:val="19"/>
                <w:szCs w:val="19"/>
                <w:lang w:eastAsia="fr-CA"/>
              </w:rPr>
              <w:t>facility specific terms</w:t>
            </w:r>
            <w:r w:rsidRPr="00E36FD2">
              <w:rPr>
                <w:rFonts w:cs="Arial"/>
                <w:sz w:val="19"/>
                <w:szCs w:val="19"/>
                <w:lang w:eastAsia="fr-CA"/>
              </w:rPr>
              <w:t xml:space="preserve"> allow the </w:t>
            </w:r>
            <w:r w:rsidR="00211830" w:rsidRPr="00E36FD2">
              <w:rPr>
                <w:rFonts w:cs="Arial"/>
                <w:sz w:val="19"/>
                <w:szCs w:val="19"/>
                <w:lang w:eastAsia="fr-CA"/>
              </w:rPr>
              <w:t>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rovider, at its absolute discretion, to offer addi</w:t>
            </w:r>
            <w:r w:rsidR="00211830" w:rsidRPr="00E36FD2">
              <w:rPr>
                <w:rFonts w:cs="Arial"/>
                <w:sz w:val="19"/>
                <w:szCs w:val="19"/>
                <w:lang w:eastAsia="fr-CA"/>
              </w:rPr>
              <w:t xml:space="preserve">tional </w:t>
            </w:r>
            <w:r w:rsidR="00EC1759" w:rsidRPr="00E36FD2">
              <w:rPr>
                <w:rFonts w:cs="Arial"/>
                <w:sz w:val="19"/>
                <w:szCs w:val="19"/>
                <w:lang w:eastAsia="fr-CA"/>
              </w:rPr>
              <w:t>transportation or ancillary (e.g. redirection</w:t>
            </w:r>
            <w:r w:rsidR="0009208D" w:rsidRPr="00E36FD2">
              <w:rPr>
                <w:rFonts w:cs="Arial"/>
                <w:sz w:val="19"/>
                <w:szCs w:val="19"/>
                <w:lang w:eastAsia="fr-CA"/>
              </w:rPr>
              <w:t>,</w:t>
            </w:r>
            <w:r w:rsidR="00EC1759" w:rsidRPr="00E36FD2">
              <w:rPr>
                <w:rFonts w:cs="Arial"/>
                <w:sz w:val="19"/>
                <w:szCs w:val="19"/>
                <w:lang w:eastAsia="fr-CA"/>
              </w:rPr>
              <w:t xml:space="preserve"> in -pipe trading</w:t>
            </w:r>
            <w:r w:rsidR="0009208D" w:rsidRPr="00E36FD2">
              <w:rPr>
                <w:rFonts w:cs="Arial"/>
                <w:sz w:val="19"/>
                <w:szCs w:val="19"/>
                <w:lang w:eastAsia="fr-CA"/>
              </w:rPr>
              <w:t xml:space="preserve"> and authorised overrun</w:t>
            </w:r>
            <w:r w:rsidR="00EC1759" w:rsidRPr="00E36FD2">
              <w:rPr>
                <w:rFonts w:cs="Arial"/>
                <w:sz w:val="19"/>
                <w:szCs w:val="19"/>
                <w:lang w:eastAsia="fr-CA"/>
              </w:rPr>
              <w:t xml:space="preserve">) </w:t>
            </w:r>
            <w:r w:rsidR="00211830" w:rsidRPr="00E36FD2">
              <w:rPr>
                <w:rFonts w:cs="Arial"/>
                <w:sz w:val="19"/>
                <w:szCs w:val="19"/>
                <w:lang w:eastAsia="fr-CA"/>
              </w:rPr>
              <w:t>services.  However, the 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 xml:space="preserve">rovider may not pressure the </w:t>
            </w:r>
            <w:r w:rsidR="00211830" w:rsidRPr="00E36FD2">
              <w:rPr>
                <w:rFonts w:cs="Arial"/>
                <w:sz w:val="19"/>
                <w:szCs w:val="19"/>
                <w:lang w:eastAsia="fr-CA"/>
              </w:rPr>
              <w:t>secondary shipper</w:t>
            </w:r>
            <w:r w:rsidRPr="00E36FD2">
              <w:rPr>
                <w:rFonts w:cs="Arial"/>
                <w:sz w:val="19"/>
                <w:szCs w:val="19"/>
                <w:lang w:eastAsia="fr-CA"/>
              </w:rPr>
              <w:t xml:space="preserve"> to acquire any such additional services (</w:t>
            </w:r>
            <w:r w:rsidRPr="00E36FD2">
              <w:rPr>
                <w:rFonts w:cs="Arial"/>
                <w:b/>
                <w:sz w:val="19"/>
                <w:szCs w:val="19"/>
                <w:lang w:eastAsia="fr-CA"/>
              </w:rPr>
              <w:t>Other Services</w:t>
            </w:r>
            <w:r w:rsidRPr="00E36FD2">
              <w:rPr>
                <w:rFonts w:cs="Arial"/>
                <w:sz w:val="19"/>
                <w:szCs w:val="19"/>
                <w:lang w:eastAsia="fr-CA"/>
              </w:rPr>
              <w:t xml:space="preserve">).  </w:t>
            </w:r>
            <w:r w:rsidR="00211830" w:rsidRPr="00E36FD2">
              <w:rPr>
                <w:rFonts w:cs="Arial"/>
                <w:sz w:val="19"/>
                <w:szCs w:val="19"/>
                <w:lang w:eastAsia="fr-CA"/>
              </w:rPr>
              <w:t>The 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 xml:space="preserve">rovider is largely at liberty to design the terms for Other Services provided they are reasonable and do not derogate from the </w:t>
            </w:r>
            <w:r w:rsidR="00996004" w:rsidRPr="00E36FD2">
              <w:rPr>
                <w:rFonts w:cs="Arial"/>
                <w:sz w:val="19"/>
                <w:szCs w:val="19"/>
                <w:lang w:eastAsia="fr-CA"/>
              </w:rPr>
              <w:t>standard terms</w:t>
            </w:r>
            <w:r w:rsidRPr="00E36FD2">
              <w:rPr>
                <w:rFonts w:cs="Arial"/>
                <w:sz w:val="19"/>
                <w:szCs w:val="19"/>
                <w:lang w:eastAsia="fr-CA"/>
              </w:rPr>
              <w:t>.</w:t>
            </w:r>
          </w:p>
        </w:tc>
      </w:tr>
      <w:tr w:rsidR="001C729B" w:rsidRPr="00E36FD2" w14:paraId="6A5D0A4B" w14:textId="77777777" w:rsidTr="00EC1759">
        <w:trPr>
          <w:cnfStyle w:val="000000010000" w:firstRow="0" w:lastRow="0" w:firstColumn="0" w:lastColumn="0" w:oddVBand="0" w:evenVBand="0" w:oddHBand="0" w:evenHBand="1" w:firstRowFirstColumn="0" w:firstRowLastColumn="0" w:lastRowFirstColumn="0" w:lastRowLastColumn="0"/>
          <w:cantSplit/>
        </w:trPr>
        <w:tc>
          <w:tcPr>
            <w:tcW w:w="261" w:type="pct"/>
            <w:hideMark/>
          </w:tcPr>
          <w:p w14:paraId="55090953" w14:textId="77777777" w:rsidR="001C729B" w:rsidRPr="00E36FD2" w:rsidRDefault="001C729B" w:rsidP="00053FEC">
            <w:pPr>
              <w:spacing w:before="80" w:after="120" w:line="252" w:lineRule="auto"/>
              <w:ind w:left="74" w:right="74"/>
              <w:jc w:val="center"/>
              <w:rPr>
                <w:rFonts w:cs="Arial"/>
                <w:sz w:val="19"/>
                <w:szCs w:val="19"/>
                <w:lang w:eastAsia="fr-CA"/>
              </w:rPr>
            </w:pPr>
            <w:r w:rsidRPr="00E36FD2">
              <w:rPr>
                <w:rFonts w:cs="Arial"/>
                <w:sz w:val="19"/>
                <w:szCs w:val="19"/>
                <w:lang w:eastAsia="fr-CA"/>
              </w:rPr>
              <w:t>4</w:t>
            </w:r>
          </w:p>
        </w:tc>
        <w:tc>
          <w:tcPr>
            <w:tcW w:w="725" w:type="pct"/>
          </w:tcPr>
          <w:p w14:paraId="56B79CB4" w14:textId="77777777" w:rsidR="001C729B" w:rsidRPr="00E36FD2" w:rsidRDefault="001C729B" w:rsidP="00053FEC">
            <w:pPr>
              <w:spacing w:before="80" w:after="120" w:line="252" w:lineRule="auto"/>
              <w:ind w:left="74" w:right="74"/>
              <w:rPr>
                <w:rFonts w:cs="Arial"/>
                <w:sz w:val="19"/>
                <w:szCs w:val="19"/>
                <w:lang w:eastAsia="fr-CA"/>
              </w:rPr>
            </w:pPr>
            <w:r w:rsidRPr="00E36FD2">
              <w:rPr>
                <w:rFonts w:cs="Arial"/>
                <w:sz w:val="19"/>
                <w:szCs w:val="19"/>
                <w:lang w:eastAsia="fr-CA"/>
              </w:rPr>
              <w:t xml:space="preserve">Scheduling </w:t>
            </w:r>
          </w:p>
        </w:tc>
        <w:tc>
          <w:tcPr>
            <w:tcW w:w="4013" w:type="pct"/>
          </w:tcPr>
          <w:p w14:paraId="5D038047" w14:textId="77777777" w:rsidR="001C729B" w:rsidRPr="00E36FD2" w:rsidRDefault="001C729B" w:rsidP="00053FEC">
            <w:pPr>
              <w:keepNext/>
              <w:tabs>
                <w:tab w:val="left" w:pos="720"/>
              </w:tabs>
              <w:spacing w:before="80" w:after="120" w:line="252" w:lineRule="auto"/>
              <w:ind w:left="109"/>
              <w:rPr>
                <w:rFonts w:cs="Arial"/>
                <w:sz w:val="19"/>
                <w:szCs w:val="19"/>
                <w:lang w:eastAsia="fr-CA"/>
              </w:rPr>
            </w:pPr>
            <w:r w:rsidRPr="00E36FD2">
              <w:rPr>
                <w:rFonts w:cs="Arial"/>
                <w:sz w:val="19"/>
                <w:szCs w:val="19"/>
                <w:lang w:eastAsia="fr-CA"/>
              </w:rPr>
              <w:t xml:space="preserve">Scheduling is the mechanism by which </w:t>
            </w:r>
            <w:r w:rsidR="00211830" w:rsidRPr="00E36FD2">
              <w:rPr>
                <w:rFonts w:cs="Arial"/>
                <w:sz w:val="19"/>
                <w:szCs w:val="19"/>
                <w:lang w:eastAsia="fr-CA"/>
              </w:rPr>
              <w:t xml:space="preserve">the service provider </w:t>
            </w:r>
            <w:r w:rsidRPr="00E36FD2">
              <w:rPr>
                <w:rFonts w:cs="Arial"/>
                <w:sz w:val="19"/>
                <w:szCs w:val="19"/>
                <w:lang w:eastAsia="fr-CA"/>
              </w:rPr>
              <w:t xml:space="preserve">notifies </w:t>
            </w:r>
            <w:r w:rsidR="00211830" w:rsidRPr="00E36FD2">
              <w:rPr>
                <w:rFonts w:cs="Arial"/>
                <w:sz w:val="19"/>
                <w:szCs w:val="19"/>
                <w:lang w:eastAsia="fr-CA"/>
              </w:rPr>
              <w:t>the secondary shipper</w:t>
            </w:r>
            <w:r w:rsidRPr="00E36FD2">
              <w:rPr>
                <w:rFonts w:cs="Arial"/>
                <w:sz w:val="19"/>
                <w:szCs w:val="19"/>
                <w:lang w:eastAsia="fr-CA"/>
              </w:rPr>
              <w:t xml:space="preserve"> of the quantities of gas it is required and permitted to supply and take delivery of on a day.  It is recognised that scheduling practice needs to be consistent with how </w:t>
            </w:r>
            <w:r w:rsidR="00211830" w:rsidRPr="00E36FD2">
              <w:rPr>
                <w:rFonts w:cs="Arial"/>
                <w:sz w:val="19"/>
                <w:szCs w:val="19"/>
                <w:lang w:eastAsia="fr-CA"/>
              </w:rPr>
              <w:t xml:space="preserve">the service provider </w:t>
            </w:r>
            <w:r w:rsidRPr="00E36FD2">
              <w:rPr>
                <w:rFonts w:cs="Arial"/>
                <w:sz w:val="19"/>
                <w:szCs w:val="19"/>
                <w:lang w:eastAsia="fr-CA"/>
              </w:rPr>
              <w:t>schedules under its existing contractual arrangements since service providers will schedule in a common manner across their shipper base.</w:t>
            </w:r>
          </w:p>
        </w:tc>
      </w:tr>
      <w:tr w:rsidR="001C729B" w:rsidRPr="00E36FD2" w14:paraId="7153E72B" w14:textId="77777777" w:rsidTr="00EC1759">
        <w:trPr>
          <w:cantSplit/>
        </w:trPr>
        <w:tc>
          <w:tcPr>
            <w:tcW w:w="261" w:type="pct"/>
            <w:hideMark/>
          </w:tcPr>
          <w:p w14:paraId="0E60CBAC" w14:textId="77777777" w:rsidR="001C729B" w:rsidRPr="00E36FD2" w:rsidRDefault="001C729B" w:rsidP="00053FEC">
            <w:pPr>
              <w:spacing w:before="80" w:after="120" w:line="252" w:lineRule="auto"/>
              <w:ind w:left="74" w:right="74"/>
              <w:jc w:val="center"/>
              <w:rPr>
                <w:rFonts w:cs="Arial"/>
                <w:sz w:val="19"/>
                <w:szCs w:val="19"/>
                <w:lang w:eastAsia="fr-CA"/>
              </w:rPr>
            </w:pPr>
            <w:r w:rsidRPr="00E36FD2">
              <w:rPr>
                <w:rFonts w:cs="Arial"/>
                <w:sz w:val="19"/>
                <w:szCs w:val="19"/>
                <w:lang w:eastAsia="fr-CA"/>
              </w:rPr>
              <w:t>5</w:t>
            </w:r>
          </w:p>
        </w:tc>
        <w:tc>
          <w:tcPr>
            <w:tcW w:w="725" w:type="pct"/>
          </w:tcPr>
          <w:p w14:paraId="32723298" w14:textId="77777777" w:rsidR="001C729B" w:rsidRPr="00E36FD2" w:rsidRDefault="001C729B" w:rsidP="00053FEC">
            <w:pPr>
              <w:spacing w:before="80" w:after="120" w:line="252" w:lineRule="auto"/>
              <w:ind w:left="74" w:right="74"/>
              <w:rPr>
                <w:rFonts w:cs="Arial"/>
                <w:sz w:val="19"/>
                <w:szCs w:val="19"/>
                <w:lang w:eastAsia="fr-CA"/>
              </w:rPr>
            </w:pPr>
            <w:r w:rsidRPr="00E36FD2">
              <w:rPr>
                <w:rFonts w:cs="Arial"/>
                <w:sz w:val="19"/>
                <w:szCs w:val="19"/>
                <w:lang w:eastAsia="fr-CA"/>
              </w:rPr>
              <w:t xml:space="preserve">Priority Principles </w:t>
            </w:r>
          </w:p>
        </w:tc>
        <w:tc>
          <w:tcPr>
            <w:tcW w:w="4013" w:type="pct"/>
          </w:tcPr>
          <w:p w14:paraId="620BB208" w14:textId="77777777" w:rsidR="001C729B" w:rsidRPr="00E36FD2" w:rsidRDefault="001C729B" w:rsidP="00053FEC">
            <w:pPr>
              <w:keepNext/>
              <w:tabs>
                <w:tab w:val="left" w:pos="720"/>
              </w:tabs>
              <w:spacing w:before="80" w:after="120" w:line="252" w:lineRule="auto"/>
              <w:ind w:left="109"/>
              <w:rPr>
                <w:rFonts w:cs="Arial"/>
                <w:sz w:val="19"/>
                <w:szCs w:val="19"/>
                <w:lang w:eastAsia="fr-CA"/>
              </w:rPr>
            </w:pPr>
            <w:r w:rsidRPr="00E36FD2">
              <w:rPr>
                <w:rFonts w:cs="Arial"/>
                <w:sz w:val="19"/>
                <w:szCs w:val="19"/>
                <w:lang w:eastAsia="fr-CA"/>
              </w:rPr>
              <w:t xml:space="preserve">The priority principles are used to determine how capacity is allocated in the event of shortfalls.  These mechanisms will need to be consistent with existing contractual arrangements as otherwise </w:t>
            </w:r>
            <w:r w:rsidR="00211830" w:rsidRPr="00E36FD2">
              <w:rPr>
                <w:rFonts w:cs="Arial"/>
                <w:sz w:val="19"/>
                <w:szCs w:val="19"/>
                <w:lang w:eastAsia="fr-CA"/>
              </w:rPr>
              <w:t xml:space="preserve">the service provider </w:t>
            </w:r>
            <w:r w:rsidRPr="00E36FD2">
              <w:rPr>
                <w:rFonts w:cs="Arial"/>
                <w:sz w:val="19"/>
                <w:szCs w:val="19"/>
                <w:lang w:eastAsia="fr-CA"/>
              </w:rPr>
              <w:t>will have inconsistent obligations to different categories of shippers.</w:t>
            </w:r>
          </w:p>
          <w:p w14:paraId="75B9BB50" w14:textId="77777777" w:rsidR="001C729B" w:rsidRPr="00E36FD2" w:rsidRDefault="001C729B" w:rsidP="00053FEC">
            <w:pPr>
              <w:keepNext/>
              <w:tabs>
                <w:tab w:val="left" w:pos="720"/>
              </w:tabs>
              <w:spacing w:before="80" w:after="120" w:line="252" w:lineRule="auto"/>
              <w:ind w:left="109"/>
              <w:rPr>
                <w:rFonts w:cs="Arial"/>
                <w:sz w:val="19"/>
                <w:szCs w:val="19"/>
                <w:lang w:eastAsia="fr-CA"/>
              </w:rPr>
            </w:pPr>
            <w:r w:rsidRPr="00E36FD2">
              <w:rPr>
                <w:rFonts w:cs="Arial"/>
                <w:sz w:val="19"/>
                <w:szCs w:val="19"/>
                <w:lang w:eastAsia="fr-CA"/>
              </w:rPr>
              <w:t xml:space="preserve">Secondary </w:t>
            </w:r>
            <w:r w:rsidR="00211830" w:rsidRPr="00E36FD2">
              <w:rPr>
                <w:rFonts w:cs="Arial"/>
                <w:sz w:val="19"/>
                <w:szCs w:val="19"/>
                <w:lang w:eastAsia="fr-CA"/>
              </w:rPr>
              <w:t>s</w:t>
            </w:r>
            <w:r w:rsidRPr="00E36FD2">
              <w:rPr>
                <w:rFonts w:cs="Arial"/>
                <w:sz w:val="19"/>
                <w:szCs w:val="19"/>
                <w:lang w:eastAsia="fr-CA"/>
              </w:rPr>
              <w:t xml:space="preserve">hippers acquiring Firm Service products should be given the same priority as other holders of Firm Service products.  The exception is </w:t>
            </w:r>
            <w:r w:rsidR="00211830" w:rsidRPr="00E36FD2">
              <w:rPr>
                <w:rFonts w:cs="Arial"/>
                <w:sz w:val="19"/>
                <w:szCs w:val="19"/>
                <w:lang w:eastAsia="fr-CA"/>
              </w:rPr>
              <w:t>f</w:t>
            </w:r>
            <w:r w:rsidRPr="00E36FD2">
              <w:rPr>
                <w:rFonts w:cs="Arial"/>
                <w:sz w:val="19"/>
                <w:szCs w:val="19"/>
                <w:lang w:eastAsia="fr-CA"/>
              </w:rPr>
              <w:t xml:space="preserve">oundation </w:t>
            </w:r>
            <w:r w:rsidR="00211830" w:rsidRPr="00E36FD2">
              <w:rPr>
                <w:rFonts w:cs="Arial"/>
                <w:sz w:val="19"/>
                <w:szCs w:val="19"/>
                <w:lang w:eastAsia="fr-CA"/>
              </w:rPr>
              <w:t>s</w:t>
            </w:r>
            <w:r w:rsidRPr="00E36FD2">
              <w:rPr>
                <w:rFonts w:cs="Arial"/>
                <w:sz w:val="19"/>
                <w:szCs w:val="19"/>
                <w:lang w:eastAsia="fr-CA"/>
              </w:rPr>
              <w:t xml:space="preserve">hippers where </w:t>
            </w:r>
            <w:r w:rsidR="00211830" w:rsidRPr="00E36FD2">
              <w:rPr>
                <w:rFonts w:cs="Arial"/>
                <w:sz w:val="19"/>
                <w:szCs w:val="19"/>
                <w:lang w:eastAsia="fr-CA"/>
              </w:rPr>
              <w:t xml:space="preserve">the service provider </w:t>
            </w:r>
            <w:r w:rsidRPr="00E36FD2">
              <w:rPr>
                <w:rFonts w:cs="Arial"/>
                <w:sz w:val="19"/>
                <w:szCs w:val="19"/>
                <w:lang w:eastAsia="fr-CA"/>
              </w:rPr>
              <w:t xml:space="preserve">may be contractually obliged, in consideration of the risks </w:t>
            </w:r>
            <w:r w:rsidR="00211830" w:rsidRPr="00E36FD2">
              <w:rPr>
                <w:rFonts w:cs="Arial"/>
                <w:sz w:val="19"/>
                <w:szCs w:val="19"/>
                <w:lang w:eastAsia="fr-CA"/>
              </w:rPr>
              <w:t>f</w:t>
            </w:r>
            <w:r w:rsidRPr="00E36FD2">
              <w:rPr>
                <w:rFonts w:cs="Arial"/>
                <w:sz w:val="19"/>
                <w:szCs w:val="19"/>
                <w:lang w:eastAsia="fr-CA"/>
              </w:rPr>
              <w:t xml:space="preserve">oundation </w:t>
            </w:r>
            <w:r w:rsidR="00211830" w:rsidRPr="00E36FD2">
              <w:rPr>
                <w:rFonts w:cs="Arial"/>
                <w:sz w:val="19"/>
                <w:szCs w:val="19"/>
                <w:lang w:eastAsia="fr-CA"/>
              </w:rPr>
              <w:t>s</w:t>
            </w:r>
            <w:r w:rsidRPr="00E36FD2">
              <w:rPr>
                <w:rFonts w:cs="Arial"/>
                <w:sz w:val="19"/>
                <w:szCs w:val="19"/>
                <w:lang w:eastAsia="fr-CA"/>
              </w:rPr>
              <w:t xml:space="preserve">hippers originally took, to give those shippers priority in the event of a curtailment. </w:t>
            </w:r>
          </w:p>
        </w:tc>
      </w:tr>
      <w:tr w:rsidR="001C729B" w:rsidRPr="00E36FD2" w14:paraId="128B01E5" w14:textId="77777777" w:rsidTr="00EC1759">
        <w:trPr>
          <w:cnfStyle w:val="000000010000" w:firstRow="0" w:lastRow="0" w:firstColumn="0" w:lastColumn="0" w:oddVBand="0" w:evenVBand="0" w:oddHBand="0" w:evenHBand="1" w:firstRowFirstColumn="0" w:firstRowLastColumn="0" w:lastRowFirstColumn="0" w:lastRowLastColumn="0"/>
          <w:cantSplit/>
        </w:trPr>
        <w:tc>
          <w:tcPr>
            <w:tcW w:w="261" w:type="pct"/>
            <w:hideMark/>
          </w:tcPr>
          <w:p w14:paraId="3AD8473F" w14:textId="77777777" w:rsidR="001C729B" w:rsidRPr="00E36FD2" w:rsidRDefault="001C729B" w:rsidP="00053FEC">
            <w:pPr>
              <w:spacing w:before="80" w:after="120" w:line="252" w:lineRule="auto"/>
              <w:ind w:left="74" w:right="74"/>
              <w:jc w:val="center"/>
              <w:rPr>
                <w:rFonts w:cs="Arial"/>
                <w:sz w:val="19"/>
                <w:szCs w:val="19"/>
                <w:lang w:eastAsia="fr-CA"/>
              </w:rPr>
            </w:pPr>
            <w:r w:rsidRPr="00E36FD2">
              <w:rPr>
                <w:rFonts w:cs="Arial"/>
                <w:sz w:val="19"/>
                <w:szCs w:val="19"/>
                <w:lang w:eastAsia="fr-CA"/>
              </w:rPr>
              <w:t>6</w:t>
            </w:r>
          </w:p>
        </w:tc>
        <w:tc>
          <w:tcPr>
            <w:tcW w:w="725" w:type="pct"/>
          </w:tcPr>
          <w:p w14:paraId="163201A6" w14:textId="77777777" w:rsidR="001C729B" w:rsidRPr="00E36FD2" w:rsidRDefault="001C729B" w:rsidP="00053FEC">
            <w:pPr>
              <w:spacing w:before="80" w:after="120" w:line="252" w:lineRule="auto"/>
              <w:ind w:left="74" w:right="74"/>
              <w:rPr>
                <w:rFonts w:cs="Arial"/>
                <w:sz w:val="19"/>
                <w:szCs w:val="19"/>
                <w:lang w:eastAsia="fr-CA"/>
              </w:rPr>
            </w:pPr>
            <w:r w:rsidRPr="00E36FD2">
              <w:rPr>
                <w:rFonts w:cs="Arial"/>
                <w:sz w:val="19"/>
                <w:szCs w:val="19"/>
                <w:lang w:eastAsia="fr-CA"/>
              </w:rPr>
              <w:t>System Use Gas</w:t>
            </w:r>
          </w:p>
        </w:tc>
        <w:tc>
          <w:tcPr>
            <w:tcW w:w="4013" w:type="pct"/>
          </w:tcPr>
          <w:p w14:paraId="1775F4E7" w14:textId="77777777" w:rsidR="001C729B" w:rsidRPr="00E36FD2" w:rsidRDefault="001C729B" w:rsidP="00053FEC">
            <w:pPr>
              <w:keepNext/>
              <w:tabs>
                <w:tab w:val="left" w:pos="720"/>
              </w:tabs>
              <w:spacing w:before="80" w:after="120" w:line="252" w:lineRule="auto"/>
              <w:ind w:left="109"/>
              <w:rPr>
                <w:rFonts w:cs="Arial"/>
                <w:sz w:val="19"/>
                <w:szCs w:val="19"/>
                <w:lang w:eastAsia="fr-CA"/>
              </w:rPr>
            </w:pPr>
            <w:r w:rsidRPr="00E36FD2">
              <w:rPr>
                <w:rFonts w:cs="Arial"/>
                <w:sz w:val="19"/>
                <w:szCs w:val="19"/>
                <w:lang w:eastAsia="fr-CA"/>
              </w:rPr>
              <w:t>System Use Gas procedures may differ between pipelines.  For example</w:t>
            </w:r>
            <w:r w:rsidR="00EC1759" w:rsidRPr="00E36FD2">
              <w:rPr>
                <w:rFonts w:cs="Arial"/>
                <w:sz w:val="19"/>
                <w:szCs w:val="19"/>
                <w:lang w:eastAsia="fr-CA"/>
              </w:rPr>
              <w:t>,</w:t>
            </w:r>
            <w:r w:rsidRPr="00E36FD2">
              <w:rPr>
                <w:rFonts w:cs="Arial"/>
                <w:sz w:val="19"/>
                <w:szCs w:val="19"/>
                <w:lang w:eastAsia="fr-CA"/>
              </w:rPr>
              <w:t xml:space="preserve"> some pipelines may determine the quantities of gas shippers must supply based on their receipt quantities and others may use their delivery quantities.  Some may break system use gas down into component parts – compressor fuel, heater fuel, </w:t>
            </w:r>
            <w:proofErr w:type="spellStart"/>
            <w:r w:rsidRPr="00E36FD2">
              <w:rPr>
                <w:rFonts w:cs="Arial"/>
                <w:sz w:val="19"/>
                <w:szCs w:val="19"/>
                <w:lang w:eastAsia="fr-CA"/>
              </w:rPr>
              <w:t>linepack</w:t>
            </w:r>
            <w:proofErr w:type="spellEnd"/>
            <w:r w:rsidRPr="00E36FD2">
              <w:rPr>
                <w:rFonts w:cs="Arial"/>
                <w:sz w:val="19"/>
                <w:szCs w:val="19"/>
                <w:lang w:eastAsia="fr-CA"/>
              </w:rPr>
              <w:t xml:space="preserve"> and other system use gas and have different procedures for the supply of each type of gas.  Some, but not all, pipelines will have a mechanism for returning system use gas to shippers.  </w:t>
            </w:r>
          </w:p>
          <w:p w14:paraId="23411338" w14:textId="77777777" w:rsidR="001C729B" w:rsidRPr="00E36FD2" w:rsidRDefault="001C729B" w:rsidP="00053FEC">
            <w:pPr>
              <w:keepNext/>
              <w:tabs>
                <w:tab w:val="left" w:pos="720"/>
              </w:tabs>
              <w:spacing w:before="80" w:after="120" w:line="252" w:lineRule="auto"/>
              <w:ind w:left="109"/>
              <w:rPr>
                <w:rFonts w:cs="Arial"/>
                <w:sz w:val="19"/>
                <w:szCs w:val="19"/>
                <w:lang w:eastAsia="fr-CA"/>
              </w:rPr>
            </w:pPr>
            <w:r w:rsidRPr="00E36FD2">
              <w:rPr>
                <w:rFonts w:cs="Arial"/>
                <w:sz w:val="19"/>
                <w:szCs w:val="19"/>
                <w:lang w:eastAsia="fr-CA"/>
              </w:rPr>
              <w:t>For the above reasons</w:t>
            </w:r>
            <w:r w:rsidR="00EC1759" w:rsidRPr="00E36FD2">
              <w:rPr>
                <w:rFonts w:cs="Arial"/>
                <w:sz w:val="19"/>
                <w:szCs w:val="19"/>
                <w:lang w:eastAsia="fr-CA"/>
              </w:rPr>
              <w:t>,</w:t>
            </w:r>
            <w:r w:rsidRPr="00E36FD2">
              <w:rPr>
                <w:rFonts w:cs="Arial"/>
                <w:sz w:val="19"/>
                <w:szCs w:val="19"/>
                <w:lang w:eastAsia="fr-CA"/>
              </w:rPr>
              <w:t xml:space="preserve"> it is considered that system use gas procedures need to be dealt with on a pipeline by pipeline basis.</w:t>
            </w:r>
          </w:p>
        </w:tc>
      </w:tr>
      <w:tr w:rsidR="001C729B" w:rsidRPr="00E36FD2" w14:paraId="14D5A05E" w14:textId="77777777" w:rsidTr="00EC1759">
        <w:trPr>
          <w:cantSplit/>
        </w:trPr>
        <w:tc>
          <w:tcPr>
            <w:tcW w:w="261" w:type="pct"/>
            <w:hideMark/>
          </w:tcPr>
          <w:p w14:paraId="79D46AA8" w14:textId="77777777" w:rsidR="001C729B" w:rsidRPr="00E36FD2" w:rsidRDefault="001C729B" w:rsidP="00053FEC">
            <w:pPr>
              <w:spacing w:before="80" w:after="120" w:line="252" w:lineRule="auto"/>
              <w:ind w:left="74" w:right="74"/>
              <w:jc w:val="center"/>
              <w:rPr>
                <w:rFonts w:cs="Arial"/>
                <w:sz w:val="19"/>
                <w:szCs w:val="19"/>
                <w:lang w:eastAsia="fr-CA"/>
              </w:rPr>
            </w:pPr>
            <w:r w:rsidRPr="00E36FD2">
              <w:rPr>
                <w:rFonts w:cs="Arial"/>
                <w:sz w:val="19"/>
                <w:szCs w:val="19"/>
                <w:lang w:eastAsia="fr-CA"/>
              </w:rPr>
              <w:t>7</w:t>
            </w:r>
          </w:p>
        </w:tc>
        <w:tc>
          <w:tcPr>
            <w:tcW w:w="725" w:type="pct"/>
          </w:tcPr>
          <w:p w14:paraId="650C9F46" w14:textId="77777777" w:rsidR="001C729B" w:rsidRPr="00E36FD2" w:rsidRDefault="001C729B" w:rsidP="00053FEC">
            <w:pPr>
              <w:spacing w:before="80" w:after="120" w:line="252" w:lineRule="auto"/>
              <w:ind w:left="74" w:right="74"/>
              <w:rPr>
                <w:rFonts w:cs="Arial"/>
                <w:sz w:val="19"/>
                <w:szCs w:val="19"/>
                <w:lang w:eastAsia="fr-CA"/>
              </w:rPr>
            </w:pPr>
            <w:r w:rsidRPr="00E36FD2">
              <w:rPr>
                <w:rFonts w:cs="Arial"/>
                <w:sz w:val="19"/>
                <w:szCs w:val="19"/>
                <w:lang w:eastAsia="fr-CA"/>
              </w:rPr>
              <w:t xml:space="preserve">Hourly Limitations </w:t>
            </w:r>
          </w:p>
        </w:tc>
        <w:tc>
          <w:tcPr>
            <w:tcW w:w="4013" w:type="pct"/>
          </w:tcPr>
          <w:p w14:paraId="30471E2B" w14:textId="77777777" w:rsidR="001C729B" w:rsidRPr="00E36FD2" w:rsidRDefault="001C729B" w:rsidP="00053FEC">
            <w:pPr>
              <w:keepNext/>
              <w:tabs>
                <w:tab w:val="left" w:pos="720"/>
              </w:tabs>
              <w:spacing w:before="80" w:after="120" w:line="252" w:lineRule="auto"/>
              <w:ind w:left="109"/>
              <w:rPr>
                <w:rFonts w:cs="Arial"/>
                <w:sz w:val="19"/>
                <w:szCs w:val="19"/>
                <w:lang w:eastAsia="fr-CA"/>
              </w:rPr>
            </w:pPr>
            <w:r w:rsidRPr="00E36FD2">
              <w:rPr>
                <w:rFonts w:cs="Arial"/>
                <w:sz w:val="19"/>
                <w:szCs w:val="19"/>
                <w:lang w:eastAsia="fr-CA"/>
              </w:rPr>
              <w:t>Hourly limits and hourly charging practices differ between pipelines.  For example</w:t>
            </w:r>
            <w:r w:rsidR="00EC1759" w:rsidRPr="00E36FD2">
              <w:rPr>
                <w:rFonts w:cs="Arial"/>
                <w:sz w:val="19"/>
                <w:szCs w:val="19"/>
                <w:lang w:eastAsia="fr-CA"/>
              </w:rPr>
              <w:t>,</w:t>
            </w:r>
            <w:r w:rsidRPr="00E36FD2">
              <w:rPr>
                <w:rFonts w:cs="Arial"/>
                <w:sz w:val="19"/>
                <w:szCs w:val="19"/>
                <w:lang w:eastAsia="fr-CA"/>
              </w:rPr>
              <w:t xml:space="preserve"> some pipelines levy charges only for exceeding delivery point hourly entitlements and others levy charges on both receipt and delivery points.</w:t>
            </w:r>
          </w:p>
          <w:p w14:paraId="335D1404" w14:textId="77777777" w:rsidR="001C729B" w:rsidRPr="00E36FD2" w:rsidRDefault="001C729B" w:rsidP="00053FEC">
            <w:pPr>
              <w:keepNext/>
              <w:tabs>
                <w:tab w:val="left" w:pos="720"/>
              </w:tabs>
              <w:spacing w:before="80" w:after="120" w:line="252" w:lineRule="auto"/>
              <w:ind w:left="109"/>
              <w:rPr>
                <w:rFonts w:cs="Arial"/>
                <w:sz w:val="19"/>
                <w:szCs w:val="19"/>
                <w:lang w:eastAsia="fr-CA"/>
              </w:rPr>
            </w:pPr>
            <w:r w:rsidRPr="00E36FD2">
              <w:rPr>
                <w:rFonts w:cs="Arial"/>
                <w:sz w:val="19"/>
                <w:szCs w:val="19"/>
                <w:lang w:eastAsia="fr-CA"/>
              </w:rPr>
              <w:t>For this reason</w:t>
            </w:r>
            <w:r w:rsidR="00EC1759" w:rsidRPr="00E36FD2">
              <w:rPr>
                <w:rFonts w:cs="Arial"/>
                <w:sz w:val="19"/>
                <w:szCs w:val="19"/>
                <w:lang w:eastAsia="fr-CA"/>
              </w:rPr>
              <w:t>,</w:t>
            </w:r>
            <w:r w:rsidRPr="00E36FD2">
              <w:rPr>
                <w:rFonts w:cs="Arial"/>
                <w:sz w:val="19"/>
                <w:szCs w:val="19"/>
                <w:lang w:eastAsia="fr-CA"/>
              </w:rPr>
              <w:t xml:space="preserve"> it is considered hourly limitations need to be dealt with as a specific term.  </w:t>
            </w:r>
          </w:p>
        </w:tc>
      </w:tr>
      <w:tr w:rsidR="001C729B" w:rsidRPr="00E36FD2" w14:paraId="38C82F4F" w14:textId="77777777" w:rsidTr="00EC1759">
        <w:trPr>
          <w:cnfStyle w:val="000000010000" w:firstRow="0" w:lastRow="0" w:firstColumn="0" w:lastColumn="0" w:oddVBand="0" w:evenVBand="0" w:oddHBand="0" w:evenHBand="1" w:firstRowFirstColumn="0" w:firstRowLastColumn="0" w:lastRowFirstColumn="0" w:lastRowLastColumn="0"/>
          <w:cantSplit/>
        </w:trPr>
        <w:tc>
          <w:tcPr>
            <w:tcW w:w="261" w:type="pct"/>
          </w:tcPr>
          <w:p w14:paraId="6275F17D" w14:textId="77777777" w:rsidR="001C729B" w:rsidRPr="00E36FD2" w:rsidRDefault="001C729B" w:rsidP="00053FEC">
            <w:pPr>
              <w:spacing w:before="80" w:after="120" w:line="252" w:lineRule="auto"/>
              <w:ind w:left="74" w:right="74"/>
              <w:jc w:val="center"/>
              <w:rPr>
                <w:rFonts w:cs="Arial"/>
                <w:sz w:val="19"/>
                <w:szCs w:val="19"/>
                <w:lang w:eastAsia="fr-CA"/>
              </w:rPr>
            </w:pPr>
            <w:r w:rsidRPr="00E36FD2">
              <w:rPr>
                <w:rFonts w:cs="Arial"/>
                <w:sz w:val="19"/>
                <w:szCs w:val="19"/>
                <w:lang w:eastAsia="fr-CA"/>
              </w:rPr>
              <w:lastRenderedPageBreak/>
              <w:t>8</w:t>
            </w:r>
          </w:p>
        </w:tc>
        <w:tc>
          <w:tcPr>
            <w:tcW w:w="725" w:type="pct"/>
          </w:tcPr>
          <w:p w14:paraId="61BE4337" w14:textId="77777777" w:rsidR="001C729B" w:rsidRPr="00E36FD2" w:rsidRDefault="001C729B" w:rsidP="00053FEC">
            <w:pPr>
              <w:spacing w:before="80" w:after="120" w:line="252" w:lineRule="auto"/>
              <w:ind w:left="74" w:right="74"/>
              <w:rPr>
                <w:rFonts w:cs="Arial"/>
                <w:sz w:val="19"/>
                <w:szCs w:val="19"/>
                <w:lang w:eastAsia="fr-CA"/>
              </w:rPr>
            </w:pPr>
            <w:r w:rsidRPr="00E36FD2">
              <w:rPr>
                <w:rFonts w:cs="Arial"/>
                <w:sz w:val="19"/>
                <w:szCs w:val="19"/>
                <w:lang w:eastAsia="fr-CA"/>
              </w:rPr>
              <w:t>Pressure and Temperature</w:t>
            </w:r>
          </w:p>
        </w:tc>
        <w:tc>
          <w:tcPr>
            <w:tcW w:w="4013" w:type="pct"/>
          </w:tcPr>
          <w:p w14:paraId="5B258A04" w14:textId="77777777" w:rsidR="001C729B" w:rsidRPr="00E36FD2" w:rsidRDefault="001C729B" w:rsidP="00053FEC">
            <w:pPr>
              <w:keepNext/>
              <w:tabs>
                <w:tab w:val="left" w:pos="720"/>
              </w:tabs>
              <w:spacing w:before="80" w:after="120" w:line="252" w:lineRule="auto"/>
              <w:ind w:left="109"/>
              <w:rPr>
                <w:rFonts w:cs="Arial"/>
                <w:sz w:val="19"/>
                <w:szCs w:val="19"/>
                <w:lang w:eastAsia="fr-CA"/>
              </w:rPr>
            </w:pPr>
            <w:r w:rsidRPr="00E36FD2">
              <w:rPr>
                <w:rFonts w:cs="Arial"/>
                <w:sz w:val="19"/>
                <w:szCs w:val="19"/>
                <w:lang w:eastAsia="fr-CA"/>
              </w:rPr>
              <w:t>Pressure and temperature requirements differ between pipelines and are therefore dealt with as a specific term.</w:t>
            </w:r>
          </w:p>
          <w:p w14:paraId="4A2CB104" w14:textId="0E65B30F" w:rsidR="001C729B" w:rsidRPr="00E36FD2" w:rsidRDefault="001C729B" w:rsidP="00053FEC">
            <w:pPr>
              <w:keepNext/>
              <w:tabs>
                <w:tab w:val="left" w:pos="720"/>
              </w:tabs>
              <w:spacing w:before="80" w:after="120" w:line="252" w:lineRule="auto"/>
              <w:ind w:left="109"/>
              <w:rPr>
                <w:rFonts w:cs="Arial"/>
                <w:sz w:val="19"/>
                <w:szCs w:val="19"/>
                <w:lang w:eastAsia="fr-CA"/>
              </w:rPr>
            </w:pPr>
            <w:r w:rsidRPr="00E36FD2">
              <w:rPr>
                <w:rFonts w:cs="Arial"/>
                <w:sz w:val="19"/>
                <w:szCs w:val="19"/>
                <w:lang w:eastAsia="fr-CA"/>
              </w:rPr>
              <w:t xml:space="preserve">To provide </w:t>
            </w:r>
            <w:r w:rsidR="00211830" w:rsidRPr="00E36FD2">
              <w:rPr>
                <w:rFonts w:cs="Arial"/>
                <w:sz w:val="19"/>
                <w:szCs w:val="19"/>
                <w:lang w:eastAsia="fr-CA"/>
              </w:rPr>
              <w:t>the secondary shipper</w:t>
            </w:r>
            <w:r w:rsidRPr="00E36FD2">
              <w:rPr>
                <w:rFonts w:cs="Arial"/>
                <w:sz w:val="19"/>
                <w:szCs w:val="19"/>
                <w:lang w:eastAsia="fr-CA"/>
              </w:rPr>
              <w:t xml:space="preserve">s with greater certainty the </w:t>
            </w:r>
            <w:r w:rsidR="0009208D" w:rsidRPr="00E36FD2">
              <w:rPr>
                <w:rFonts w:cs="Arial"/>
                <w:sz w:val="19"/>
                <w:szCs w:val="19"/>
                <w:lang w:eastAsia="fr-CA"/>
              </w:rPr>
              <w:t>facility s</w:t>
            </w:r>
            <w:r w:rsidRPr="00E36FD2">
              <w:rPr>
                <w:rFonts w:cs="Arial"/>
                <w:sz w:val="19"/>
                <w:szCs w:val="19"/>
                <w:lang w:eastAsia="fr-CA"/>
              </w:rPr>
              <w:t xml:space="preserve">pecific </w:t>
            </w:r>
            <w:r w:rsidR="0009208D" w:rsidRPr="00E36FD2">
              <w:rPr>
                <w:rFonts w:cs="Arial"/>
                <w:sz w:val="19"/>
                <w:szCs w:val="19"/>
                <w:lang w:eastAsia="fr-CA"/>
              </w:rPr>
              <w:t>t</w:t>
            </w:r>
            <w:r w:rsidRPr="00E36FD2">
              <w:rPr>
                <w:rFonts w:cs="Arial"/>
                <w:sz w:val="19"/>
                <w:szCs w:val="19"/>
                <w:lang w:eastAsia="fr-CA"/>
              </w:rPr>
              <w:t xml:space="preserve">erms require the </w:t>
            </w:r>
            <w:r w:rsidR="00211830" w:rsidRPr="00E36FD2">
              <w:rPr>
                <w:rFonts w:cs="Arial"/>
                <w:sz w:val="19"/>
                <w:szCs w:val="19"/>
                <w:lang w:eastAsia="fr-CA"/>
              </w:rPr>
              <w:t>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 xml:space="preserve">rovider to nominate actual values for pressure and temperature requirements rather than allowing </w:t>
            </w:r>
            <w:r w:rsidR="00211830" w:rsidRPr="00E36FD2">
              <w:rPr>
                <w:rFonts w:cs="Arial"/>
                <w:sz w:val="19"/>
                <w:szCs w:val="19"/>
                <w:lang w:eastAsia="fr-CA"/>
              </w:rPr>
              <w:t xml:space="preserve">the service provider </w:t>
            </w:r>
            <w:r w:rsidRPr="00E36FD2">
              <w:rPr>
                <w:rFonts w:cs="Arial"/>
                <w:sz w:val="19"/>
                <w:szCs w:val="19"/>
                <w:lang w:eastAsia="fr-CA"/>
              </w:rPr>
              <w:t xml:space="preserve">to define pressures and temperatures as whatever </w:t>
            </w:r>
            <w:r w:rsidR="00211830" w:rsidRPr="00E36FD2">
              <w:rPr>
                <w:rFonts w:cs="Arial"/>
                <w:sz w:val="19"/>
                <w:szCs w:val="19"/>
                <w:lang w:eastAsia="fr-CA"/>
              </w:rPr>
              <w:t xml:space="preserve">the service provider </w:t>
            </w:r>
            <w:r w:rsidRPr="00E36FD2">
              <w:rPr>
                <w:rFonts w:cs="Arial"/>
                <w:sz w:val="19"/>
                <w:szCs w:val="19"/>
                <w:lang w:eastAsia="fr-CA"/>
              </w:rPr>
              <w:t>nominates from time to time.</w:t>
            </w:r>
          </w:p>
          <w:p w14:paraId="2F8FC012" w14:textId="55A709AE" w:rsidR="001C729B" w:rsidRPr="00E36FD2" w:rsidRDefault="001C729B" w:rsidP="00053FEC">
            <w:pPr>
              <w:keepNext/>
              <w:tabs>
                <w:tab w:val="left" w:pos="720"/>
              </w:tabs>
              <w:spacing w:before="80" w:after="120" w:line="252" w:lineRule="auto"/>
              <w:ind w:left="109"/>
              <w:rPr>
                <w:rFonts w:cs="Arial"/>
                <w:sz w:val="19"/>
                <w:szCs w:val="19"/>
                <w:lang w:eastAsia="fr-CA"/>
              </w:rPr>
            </w:pPr>
            <w:r w:rsidRPr="00E36FD2">
              <w:rPr>
                <w:rFonts w:cs="Arial"/>
                <w:sz w:val="19"/>
                <w:szCs w:val="19"/>
                <w:lang w:eastAsia="fr-CA"/>
              </w:rPr>
              <w:t xml:space="preserve">That said service providers will be able to amend their </w:t>
            </w:r>
            <w:r w:rsidR="0009208D" w:rsidRPr="00E36FD2">
              <w:rPr>
                <w:rFonts w:cs="Arial"/>
                <w:sz w:val="19"/>
                <w:szCs w:val="19"/>
                <w:lang w:eastAsia="fr-CA"/>
              </w:rPr>
              <w:t>facility s</w:t>
            </w:r>
            <w:r w:rsidRPr="00E36FD2">
              <w:rPr>
                <w:rFonts w:cs="Arial"/>
                <w:sz w:val="19"/>
                <w:szCs w:val="19"/>
                <w:lang w:eastAsia="fr-CA"/>
              </w:rPr>
              <w:t xml:space="preserve">pecific </w:t>
            </w:r>
            <w:r w:rsidR="0009208D" w:rsidRPr="00E36FD2">
              <w:rPr>
                <w:rFonts w:cs="Arial"/>
                <w:sz w:val="19"/>
                <w:szCs w:val="19"/>
                <w:lang w:eastAsia="fr-CA"/>
              </w:rPr>
              <w:t>t</w:t>
            </w:r>
            <w:r w:rsidRPr="00E36FD2">
              <w:rPr>
                <w:rFonts w:cs="Arial"/>
                <w:sz w:val="19"/>
                <w:szCs w:val="19"/>
                <w:lang w:eastAsia="fr-CA"/>
              </w:rPr>
              <w:t>erms from time to time, which may result in a change in pressure and temperature requirements.  However</w:t>
            </w:r>
            <w:r w:rsidR="00EC1759" w:rsidRPr="00E36FD2">
              <w:rPr>
                <w:rFonts w:cs="Arial"/>
                <w:sz w:val="19"/>
                <w:szCs w:val="19"/>
                <w:lang w:eastAsia="fr-CA"/>
              </w:rPr>
              <w:t>,</w:t>
            </w:r>
            <w:r w:rsidRPr="00E36FD2">
              <w:rPr>
                <w:rFonts w:cs="Arial"/>
                <w:sz w:val="19"/>
                <w:szCs w:val="19"/>
                <w:lang w:eastAsia="fr-CA"/>
              </w:rPr>
              <w:t xml:space="preserve"> this power is constrained by the requirement to be consistent with the arrangements prevailing under primary shipper haulage agreements.</w:t>
            </w:r>
          </w:p>
        </w:tc>
      </w:tr>
      <w:tr w:rsidR="001C729B" w:rsidRPr="00E36FD2" w14:paraId="591F7829" w14:textId="77777777" w:rsidTr="00EC1759">
        <w:trPr>
          <w:cantSplit/>
        </w:trPr>
        <w:tc>
          <w:tcPr>
            <w:tcW w:w="261" w:type="pct"/>
          </w:tcPr>
          <w:p w14:paraId="72CBA916" w14:textId="77777777" w:rsidR="001C729B" w:rsidRPr="00E36FD2" w:rsidRDefault="001C729B" w:rsidP="00053FEC">
            <w:pPr>
              <w:spacing w:before="80" w:after="120" w:line="252" w:lineRule="auto"/>
              <w:ind w:left="74" w:right="74"/>
              <w:jc w:val="center"/>
              <w:rPr>
                <w:rFonts w:cs="Arial"/>
                <w:sz w:val="19"/>
                <w:szCs w:val="19"/>
                <w:lang w:eastAsia="fr-CA"/>
              </w:rPr>
            </w:pPr>
            <w:r w:rsidRPr="00E36FD2">
              <w:rPr>
                <w:rFonts w:cs="Arial"/>
                <w:sz w:val="19"/>
                <w:szCs w:val="19"/>
                <w:lang w:eastAsia="fr-CA"/>
              </w:rPr>
              <w:t>9</w:t>
            </w:r>
          </w:p>
        </w:tc>
        <w:tc>
          <w:tcPr>
            <w:tcW w:w="725" w:type="pct"/>
          </w:tcPr>
          <w:p w14:paraId="0A22A476" w14:textId="77777777" w:rsidR="001C729B" w:rsidRPr="00E36FD2" w:rsidRDefault="001C729B" w:rsidP="00053FEC">
            <w:pPr>
              <w:spacing w:before="80" w:after="120" w:line="252" w:lineRule="auto"/>
              <w:ind w:left="74" w:right="74"/>
              <w:rPr>
                <w:rFonts w:cs="Arial"/>
                <w:sz w:val="19"/>
                <w:szCs w:val="19"/>
                <w:lang w:eastAsia="fr-CA"/>
              </w:rPr>
            </w:pPr>
            <w:r w:rsidRPr="00E36FD2">
              <w:rPr>
                <w:rFonts w:cs="Arial"/>
                <w:sz w:val="19"/>
                <w:szCs w:val="19"/>
                <w:lang w:eastAsia="fr-CA"/>
              </w:rPr>
              <w:t>Charges</w:t>
            </w:r>
          </w:p>
        </w:tc>
        <w:tc>
          <w:tcPr>
            <w:tcW w:w="4013" w:type="pct"/>
          </w:tcPr>
          <w:p w14:paraId="6E0BF2E5" w14:textId="77777777" w:rsidR="001C729B" w:rsidRPr="00E36FD2" w:rsidRDefault="002363C2" w:rsidP="00053FEC">
            <w:pPr>
              <w:keepNext/>
              <w:tabs>
                <w:tab w:val="left" w:pos="720"/>
              </w:tabs>
              <w:spacing w:before="80" w:after="120" w:line="252" w:lineRule="auto"/>
              <w:ind w:left="109"/>
              <w:rPr>
                <w:rFonts w:cs="Arial"/>
                <w:sz w:val="19"/>
                <w:szCs w:val="19"/>
                <w:lang w:eastAsia="fr-CA"/>
              </w:rPr>
            </w:pPr>
            <w:r w:rsidRPr="00E36FD2">
              <w:rPr>
                <w:rFonts w:cs="Arial"/>
                <w:sz w:val="19"/>
                <w:szCs w:val="19"/>
                <w:lang w:eastAsia="fr-CA"/>
              </w:rPr>
              <w:t>Service providers</w:t>
            </w:r>
            <w:r w:rsidR="001C729B" w:rsidRPr="00E36FD2">
              <w:rPr>
                <w:rFonts w:cs="Arial"/>
                <w:sz w:val="19"/>
                <w:szCs w:val="19"/>
                <w:lang w:eastAsia="fr-CA"/>
              </w:rPr>
              <w:t xml:space="preserve"> invariably have a number of charges in addition to the primary charge for reservation of capacity.  Many of these charges exist to discourage behaviour </w:t>
            </w:r>
            <w:r w:rsidR="00EC1759" w:rsidRPr="00E36FD2">
              <w:rPr>
                <w:rFonts w:cs="Arial"/>
                <w:sz w:val="19"/>
                <w:szCs w:val="19"/>
                <w:lang w:eastAsia="fr-CA"/>
              </w:rPr>
              <w:t>that</w:t>
            </w:r>
            <w:r w:rsidR="001C729B" w:rsidRPr="00E36FD2">
              <w:rPr>
                <w:rFonts w:cs="Arial"/>
                <w:sz w:val="19"/>
                <w:szCs w:val="19"/>
                <w:lang w:eastAsia="fr-CA"/>
              </w:rPr>
              <w:t xml:space="preserve"> will jeopardise pipeline integrity and the ability to provide services to other shippers.  These charges include imbalance charges and unauthorised overrun charges. </w:t>
            </w:r>
          </w:p>
          <w:p w14:paraId="5B722597" w14:textId="0FF78168" w:rsidR="001C729B" w:rsidRPr="00E36FD2" w:rsidRDefault="001C729B" w:rsidP="00053FEC">
            <w:pPr>
              <w:keepNext/>
              <w:tabs>
                <w:tab w:val="left" w:pos="720"/>
              </w:tabs>
              <w:spacing w:before="80" w:after="120" w:line="252" w:lineRule="auto"/>
              <w:ind w:left="109"/>
              <w:rPr>
                <w:rFonts w:cs="Arial"/>
                <w:sz w:val="19"/>
                <w:szCs w:val="19"/>
                <w:lang w:eastAsia="fr-CA"/>
              </w:rPr>
            </w:pPr>
            <w:r w:rsidRPr="00E36FD2">
              <w:rPr>
                <w:rFonts w:cs="Arial"/>
                <w:sz w:val="19"/>
                <w:szCs w:val="19"/>
                <w:lang w:eastAsia="fr-CA"/>
              </w:rPr>
              <w:t xml:space="preserve">While it is conceivable that legislation could be passed requiring standardisation of these charges across pipelines, the approach that has been taken is to continue to allow pipelines to set charges appropriate to their individual arrangements provided those charges comply with the general principles regulating </w:t>
            </w:r>
            <w:r w:rsidR="002363C2" w:rsidRPr="00E36FD2">
              <w:rPr>
                <w:rFonts w:cs="Arial"/>
                <w:sz w:val="19"/>
                <w:szCs w:val="19"/>
                <w:lang w:eastAsia="fr-CA"/>
              </w:rPr>
              <w:t xml:space="preserve">the </w:t>
            </w:r>
            <w:r w:rsidR="00996004" w:rsidRPr="00E36FD2">
              <w:rPr>
                <w:rFonts w:cs="Arial"/>
                <w:sz w:val="19"/>
                <w:szCs w:val="19"/>
                <w:lang w:eastAsia="fr-CA"/>
              </w:rPr>
              <w:t>facility specific terms</w:t>
            </w:r>
            <w:r w:rsidR="002363C2" w:rsidRPr="00E36FD2">
              <w:rPr>
                <w:rFonts w:cs="Arial"/>
                <w:sz w:val="19"/>
                <w:szCs w:val="19"/>
                <w:lang w:eastAsia="fr-CA"/>
              </w:rPr>
              <w:t xml:space="preserve"> that will be set out in the NGR</w:t>
            </w:r>
            <w:r w:rsidRPr="00E36FD2">
              <w:rPr>
                <w:rFonts w:cs="Arial"/>
                <w:sz w:val="19"/>
                <w:szCs w:val="19"/>
                <w:lang w:eastAsia="fr-CA"/>
              </w:rPr>
              <w:t>.</w:t>
            </w:r>
          </w:p>
          <w:p w14:paraId="4518E8FF" w14:textId="77777777" w:rsidR="001C729B" w:rsidRPr="00E36FD2" w:rsidRDefault="001C729B" w:rsidP="00053FEC">
            <w:pPr>
              <w:keepNext/>
              <w:tabs>
                <w:tab w:val="left" w:pos="720"/>
              </w:tabs>
              <w:spacing w:before="80" w:after="120" w:line="252" w:lineRule="auto"/>
              <w:ind w:left="109"/>
              <w:rPr>
                <w:rFonts w:cs="Arial"/>
                <w:sz w:val="19"/>
                <w:szCs w:val="19"/>
                <w:lang w:eastAsia="fr-CA"/>
              </w:rPr>
            </w:pPr>
            <w:r w:rsidRPr="00E36FD2">
              <w:rPr>
                <w:rFonts w:cs="Arial"/>
                <w:sz w:val="19"/>
                <w:szCs w:val="19"/>
                <w:lang w:eastAsia="fr-CA"/>
              </w:rPr>
              <w:t xml:space="preserve">Clause 9 sets out the procedure for determining the quantum of these charges.  The imbalance charges and unauthorised overrun charges are to be consistent with any </w:t>
            </w:r>
            <w:r w:rsidR="005663EA" w:rsidRPr="00E36FD2">
              <w:rPr>
                <w:rFonts w:cs="Arial"/>
                <w:sz w:val="19"/>
                <w:szCs w:val="19"/>
                <w:lang w:eastAsia="fr-CA"/>
              </w:rPr>
              <w:t xml:space="preserve">AA </w:t>
            </w:r>
            <w:r w:rsidRPr="00E36FD2">
              <w:rPr>
                <w:rFonts w:cs="Arial"/>
                <w:sz w:val="19"/>
                <w:szCs w:val="19"/>
                <w:lang w:eastAsia="fr-CA"/>
              </w:rPr>
              <w:t xml:space="preserve">and, otherwise, consistent with practice under </w:t>
            </w:r>
            <w:r w:rsidR="00EC1759" w:rsidRPr="00E36FD2">
              <w:rPr>
                <w:rFonts w:cs="Arial"/>
                <w:sz w:val="19"/>
                <w:szCs w:val="19"/>
                <w:lang w:eastAsia="fr-CA"/>
              </w:rPr>
              <w:t xml:space="preserve">the pipeline’s </w:t>
            </w:r>
            <w:r w:rsidRPr="00E36FD2">
              <w:rPr>
                <w:rFonts w:cs="Arial"/>
                <w:sz w:val="19"/>
                <w:szCs w:val="19"/>
                <w:lang w:eastAsia="fr-CA"/>
              </w:rPr>
              <w:t>primary shipper GTAs.</w:t>
            </w:r>
          </w:p>
          <w:p w14:paraId="67AF61FD" w14:textId="159A1264" w:rsidR="001C729B" w:rsidRPr="00E36FD2" w:rsidRDefault="001C729B" w:rsidP="00053FEC">
            <w:pPr>
              <w:keepNext/>
              <w:tabs>
                <w:tab w:val="left" w:pos="720"/>
              </w:tabs>
              <w:spacing w:before="80" w:after="120" w:line="252" w:lineRule="auto"/>
              <w:ind w:left="109"/>
              <w:rPr>
                <w:rFonts w:cs="Arial"/>
                <w:sz w:val="19"/>
                <w:szCs w:val="19"/>
                <w:lang w:eastAsia="fr-CA"/>
              </w:rPr>
            </w:pPr>
            <w:r w:rsidRPr="00E36FD2">
              <w:rPr>
                <w:rFonts w:cs="Arial"/>
                <w:sz w:val="19"/>
                <w:szCs w:val="19"/>
                <w:lang w:eastAsia="fr-CA"/>
              </w:rPr>
              <w:t xml:space="preserve">It is also recognised that service providers will incur additional costs in administering the </w:t>
            </w:r>
            <w:r w:rsidR="00EC1759" w:rsidRPr="00E36FD2">
              <w:rPr>
                <w:rFonts w:cs="Arial"/>
                <w:sz w:val="19"/>
                <w:szCs w:val="19"/>
                <w:lang w:eastAsia="fr-CA"/>
              </w:rPr>
              <w:t>operational GTAs</w:t>
            </w:r>
            <w:r w:rsidRPr="00E36FD2">
              <w:rPr>
                <w:rFonts w:cs="Arial"/>
                <w:sz w:val="19"/>
                <w:szCs w:val="19"/>
                <w:lang w:eastAsia="fr-CA"/>
              </w:rPr>
              <w:t xml:space="preserve">.  </w:t>
            </w:r>
            <w:r w:rsidR="00EC1759" w:rsidRPr="00E36FD2">
              <w:rPr>
                <w:rFonts w:cs="Arial"/>
                <w:sz w:val="19"/>
                <w:szCs w:val="19"/>
                <w:lang w:eastAsia="fr-CA"/>
              </w:rPr>
              <w:t xml:space="preserve">Provision has therefore been made for </w:t>
            </w:r>
            <w:r w:rsidRPr="00E36FD2">
              <w:rPr>
                <w:rFonts w:cs="Arial"/>
                <w:sz w:val="19"/>
                <w:szCs w:val="19"/>
                <w:lang w:eastAsia="fr-CA"/>
              </w:rPr>
              <w:t xml:space="preserve">service providers to levy an Administration Charge to cover </w:t>
            </w:r>
            <w:r w:rsidR="00EC1759" w:rsidRPr="00E36FD2">
              <w:rPr>
                <w:rFonts w:cs="Arial"/>
                <w:sz w:val="19"/>
                <w:szCs w:val="19"/>
                <w:lang w:eastAsia="fr-CA"/>
              </w:rPr>
              <w:t xml:space="preserve">these incremental </w:t>
            </w:r>
            <w:r w:rsidRPr="00E36FD2">
              <w:rPr>
                <w:rFonts w:cs="Arial"/>
                <w:sz w:val="19"/>
                <w:szCs w:val="19"/>
                <w:lang w:eastAsia="fr-CA"/>
              </w:rPr>
              <w:t>costs provided the charge is reasonable</w:t>
            </w:r>
            <w:r w:rsidR="00EC1759" w:rsidRPr="00E36FD2">
              <w:rPr>
                <w:rFonts w:cs="Arial"/>
                <w:sz w:val="19"/>
                <w:szCs w:val="19"/>
                <w:lang w:eastAsia="fr-CA"/>
              </w:rPr>
              <w:t xml:space="preserve"> (see section </w:t>
            </w:r>
            <w:r w:rsidR="00EC1759" w:rsidRPr="00E36FD2">
              <w:rPr>
                <w:rFonts w:cs="Arial"/>
                <w:sz w:val="19"/>
                <w:szCs w:val="19"/>
                <w:lang w:eastAsia="fr-CA"/>
              </w:rPr>
              <w:fldChar w:fldCharType="begin"/>
            </w:r>
            <w:r w:rsidR="00EC1759" w:rsidRPr="00E36FD2">
              <w:rPr>
                <w:rFonts w:cs="Arial"/>
                <w:sz w:val="19"/>
                <w:szCs w:val="19"/>
                <w:lang w:eastAsia="fr-CA"/>
              </w:rPr>
              <w:instrText xml:space="preserve"> REF _Ref491430422 \r \h </w:instrText>
            </w:r>
            <w:r w:rsidR="00E36FD2">
              <w:rPr>
                <w:rFonts w:cs="Arial"/>
                <w:sz w:val="19"/>
                <w:szCs w:val="19"/>
                <w:lang w:eastAsia="fr-CA"/>
              </w:rPr>
              <w:instrText xml:space="preserve"> \* MERGEFORMAT </w:instrText>
            </w:r>
            <w:r w:rsidR="00EC1759" w:rsidRPr="00E36FD2">
              <w:rPr>
                <w:rFonts w:cs="Arial"/>
                <w:sz w:val="19"/>
                <w:szCs w:val="19"/>
                <w:lang w:eastAsia="fr-CA"/>
              </w:rPr>
            </w:r>
            <w:r w:rsidR="00EC1759" w:rsidRPr="00E36FD2">
              <w:rPr>
                <w:rFonts w:cs="Arial"/>
                <w:sz w:val="19"/>
                <w:szCs w:val="19"/>
                <w:lang w:eastAsia="fr-CA"/>
              </w:rPr>
              <w:fldChar w:fldCharType="separate"/>
            </w:r>
            <w:r w:rsidR="00947034">
              <w:rPr>
                <w:rFonts w:cs="Arial"/>
                <w:sz w:val="19"/>
                <w:szCs w:val="19"/>
                <w:lang w:eastAsia="fr-CA"/>
              </w:rPr>
              <w:t>3.6</w:t>
            </w:r>
            <w:r w:rsidR="00EC1759" w:rsidRPr="00E36FD2">
              <w:rPr>
                <w:rFonts w:cs="Arial"/>
                <w:sz w:val="19"/>
                <w:szCs w:val="19"/>
                <w:lang w:eastAsia="fr-CA"/>
              </w:rPr>
              <w:fldChar w:fldCharType="end"/>
            </w:r>
            <w:r w:rsidR="00EC1759" w:rsidRPr="00E36FD2">
              <w:rPr>
                <w:rFonts w:cs="Arial"/>
                <w:sz w:val="19"/>
                <w:szCs w:val="19"/>
                <w:lang w:eastAsia="fr-CA"/>
              </w:rPr>
              <w:t xml:space="preserve"> for more detail)</w:t>
            </w:r>
            <w:r w:rsidRPr="00E36FD2">
              <w:rPr>
                <w:rFonts w:cs="Arial"/>
                <w:sz w:val="19"/>
                <w:szCs w:val="19"/>
                <w:lang w:eastAsia="fr-CA"/>
              </w:rPr>
              <w:t xml:space="preserve">.  </w:t>
            </w:r>
          </w:p>
          <w:p w14:paraId="4E4F2191" w14:textId="6BCDEBE5" w:rsidR="001C729B" w:rsidRPr="00E36FD2" w:rsidRDefault="001C729B" w:rsidP="00053FEC">
            <w:pPr>
              <w:keepNext/>
              <w:tabs>
                <w:tab w:val="left" w:pos="720"/>
              </w:tabs>
              <w:spacing w:before="80" w:after="120" w:line="252" w:lineRule="auto"/>
              <w:ind w:left="109"/>
              <w:rPr>
                <w:rFonts w:cs="Arial"/>
                <w:sz w:val="19"/>
                <w:szCs w:val="19"/>
                <w:lang w:eastAsia="fr-CA"/>
              </w:rPr>
            </w:pPr>
            <w:r w:rsidRPr="00E36FD2">
              <w:rPr>
                <w:rFonts w:cs="Arial"/>
                <w:sz w:val="19"/>
                <w:szCs w:val="19"/>
                <w:lang w:eastAsia="fr-CA"/>
              </w:rPr>
              <w:t xml:space="preserve">Individual pipelines often have additional specific charges.  It is considered that these should also be payable by </w:t>
            </w:r>
            <w:r w:rsidR="00211830" w:rsidRPr="00E36FD2">
              <w:rPr>
                <w:rFonts w:cs="Arial"/>
                <w:sz w:val="19"/>
                <w:szCs w:val="19"/>
                <w:lang w:eastAsia="fr-CA"/>
              </w:rPr>
              <w:t>s</w:t>
            </w:r>
            <w:r w:rsidRPr="00E36FD2">
              <w:rPr>
                <w:rFonts w:cs="Arial"/>
                <w:sz w:val="19"/>
                <w:szCs w:val="19"/>
                <w:lang w:eastAsia="fr-CA"/>
              </w:rPr>
              <w:t xml:space="preserve">econdary </w:t>
            </w:r>
            <w:r w:rsidR="00211830" w:rsidRPr="00E36FD2">
              <w:rPr>
                <w:rFonts w:cs="Arial"/>
                <w:sz w:val="19"/>
                <w:szCs w:val="19"/>
                <w:lang w:eastAsia="fr-CA"/>
              </w:rPr>
              <w:t>s</w:t>
            </w:r>
            <w:r w:rsidRPr="00E36FD2">
              <w:rPr>
                <w:rFonts w:cs="Arial"/>
                <w:sz w:val="19"/>
                <w:szCs w:val="19"/>
                <w:lang w:eastAsia="fr-CA"/>
              </w:rPr>
              <w:t xml:space="preserve">hippers otherwise they will have an unfair advantage against </w:t>
            </w:r>
            <w:r w:rsidR="00211830" w:rsidRPr="00E36FD2">
              <w:rPr>
                <w:rFonts w:cs="Arial"/>
                <w:sz w:val="19"/>
                <w:szCs w:val="19"/>
                <w:lang w:eastAsia="fr-CA"/>
              </w:rPr>
              <w:t>p</w:t>
            </w:r>
            <w:r w:rsidRPr="00E36FD2">
              <w:rPr>
                <w:rFonts w:cs="Arial"/>
                <w:sz w:val="19"/>
                <w:szCs w:val="19"/>
                <w:lang w:eastAsia="fr-CA"/>
              </w:rPr>
              <w:t xml:space="preserve">rimary </w:t>
            </w:r>
            <w:r w:rsidR="00211830" w:rsidRPr="00E36FD2">
              <w:rPr>
                <w:rFonts w:cs="Arial"/>
                <w:sz w:val="19"/>
                <w:szCs w:val="19"/>
                <w:lang w:eastAsia="fr-CA"/>
              </w:rPr>
              <w:t>s</w:t>
            </w:r>
            <w:r w:rsidRPr="00E36FD2">
              <w:rPr>
                <w:rFonts w:cs="Arial"/>
                <w:sz w:val="19"/>
                <w:szCs w:val="19"/>
                <w:lang w:eastAsia="fr-CA"/>
              </w:rPr>
              <w:t xml:space="preserve">hippers (and also </w:t>
            </w:r>
            <w:r w:rsidR="00211830" w:rsidRPr="00E36FD2">
              <w:rPr>
                <w:rFonts w:cs="Arial"/>
                <w:sz w:val="19"/>
                <w:szCs w:val="19"/>
                <w:lang w:eastAsia="fr-CA"/>
              </w:rPr>
              <w:t>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 xml:space="preserve">roviders may be unfairly disadvantaged).  </w:t>
            </w:r>
            <w:r w:rsidR="00D4786D">
              <w:rPr>
                <w:rFonts w:cs="Arial"/>
                <w:sz w:val="19"/>
                <w:szCs w:val="19"/>
                <w:lang w:eastAsia="fr-CA"/>
              </w:rPr>
              <w:t>A</w:t>
            </w:r>
            <w:r w:rsidRPr="00E36FD2">
              <w:rPr>
                <w:rFonts w:cs="Arial"/>
                <w:sz w:val="19"/>
                <w:szCs w:val="19"/>
                <w:lang w:eastAsia="fr-CA"/>
              </w:rPr>
              <w:t xml:space="preserve"> higher threshold has been set as a precondition to imposition of these additional specific charges – they must represent practice under the majority of the </w:t>
            </w:r>
            <w:r w:rsidR="00211830" w:rsidRPr="00E36FD2">
              <w:rPr>
                <w:rFonts w:cs="Arial"/>
                <w:sz w:val="19"/>
                <w:szCs w:val="19"/>
                <w:lang w:eastAsia="fr-CA"/>
              </w:rPr>
              <w:t>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 xml:space="preserve">rovider’s contracts rather than common practice.  </w:t>
            </w:r>
          </w:p>
          <w:p w14:paraId="4CC79EC7" w14:textId="77777777" w:rsidR="001C729B" w:rsidRPr="00E36FD2" w:rsidRDefault="001C729B" w:rsidP="00053FEC">
            <w:pPr>
              <w:keepNext/>
              <w:tabs>
                <w:tab w:val="left" w:pos="720"/>
              </w:tabs>
              <w:spacing w:before="80" w:after="120" w:line="252" w:lineRule="auto"/>
              <w:ind w:left="109"/>
              <w:rPr>
                <w:rFonts w:cs="Arial"/>
                <w:sz w:val="19"/>
                <w:szCs w:val="19"/>
                <w:lang w:eastAsia="fr-CA"/>
              </w:rPr>
            </w:pPr>
            <w:r w:rsidRPr="00E36FD2">
              <w:rPr>
                <w:rFonts w:cs="Arial"/>
                <w:sz w:val="19"/>
                <w:szCs w:val="19"/>
                <w:lang w:eastAsia="fr-CA"/>
              </w:rPr>
              <w:t>However</w:t>
            </w:r>
            <w:r w:rsidR="00211830" w:rsidRPr="00E36FD2">
              <w:rPr>
                <w:rFonts w:cs="Arial"/>
                <w:sz w:val="19"/>
                <w:szCs w:val="19"/>
                <w:lang w:eastAsia="fr-CA"/>
              </w:rPr>
              <w:t>, it has been determined that s</w:t>
            </w:r>
            <w:r w:rsidRPr="00E36FD2">
              <w:rPr>
                <w:rFonts w:cs="Arial"/>
                <w:sz w:val="19"/>
                <w:szCs w:val="19"/>
                <w:lang w:eastAsia="fr-CA"/>
              </w:rPr>
              <w:t xml:space="preserve">econdary </w:t>
            </w:r>
            <w:r w:rsidR="00211830" w:rsidRPr="00E36FD2">
              <w:rPr>
                <w:rFonts w:cs="Arial"/>
                <w:sz w:val="19"/>
                <w:szCs w:val="19"/>
                <w:lang w:eastAsia="fr-CA"/>
              </w:rPr>
              <w:t>s</w:t>
            </w:r>
            <w:r w:rsidRPr="00E36FD2">
              <w:rPr>
                <w:rFonts w:cs="Arial"/>
                <w:sz w:val="19"/>
                <w:szCs w:val="19"/>
                <w:lang w:eastAsia="fr-CA"/>
              </w:rPr>
              <w:t>hippers should not be required to pay a charge for varying their nominations or scheduled quantities or a charge where their take differs from, but is not in excess of, their scheduled quantity.  It is considered that such charges, particularly in the case of shippers using capacity on a short</w:t>
            </w:r>
            <w:r w:rsidR="00EC1759" w:rsidRPr="00E36FD2">
              <w:rPr>
                <w:rFonts w:cs="Arial"/>
                <w:sz w:val="19"/>
                <w:szCs w:val="19"/>
                <w:lang w:eastAsia="fr-CA"/>
              </w:rPr>
              <w:t>-</w:t>
            </w:r>
            <w:r w:rsidRPr="00E36FD2">
              <w:rPr>
                <w:rFonts w:cs="Arial"/>
                <w:sz w:val="19"/>
                <w:szCs w:val="19"/>
                <w:lang w:eastAsia="fr-CA"/>
              </w:rPr>
              <w:t>term basis, would form too great a barrier to entry.</w:t>
            </w:r>
          </w:p>
          <w:p w14:paraId="21230FBD" w14:textId="77777777" w:rsidR="001C729B" w:rsidRPr="00E36FD2" w:rsidRDefault="001C729B" w:rsidP="00053FEC">
            <w:pPr>
              <w:keepNext/>
              <w:tabs>
                <w:tab w:val="left" w:pos="720"/>
              </w:tabs>
              <w:spacing w:before="80" w:after="120" w:line="252" w:lineRule="auto"/>
              <w:ind w:left="109"/>
              <w:rPr>
                <w:rFonts w:cs="Arial"/>
                <w:sz w:val="19"/>
                <w:szCs w:val="19"/>
                <w:lang w:eastAsia="fr-CA"/>
              </w:rPr>
            </w:pPr>
            <w:r w:rsidRPr="00E36FD2">
              <w:rPr>
                <w:rFonts w:cs="Arial"/>
                <w:sz w:val="19"/>
                <w:szCs w:val="19"/>
                <w:lang w:eastAsia="fr-CA"/>
              </w:rPr>
              <w:t xml:space="preserve">In the case of Other Services (that is additional services that </w:t>
            </w:r>
            <w:r w:rsidR="00211830" w:rsidRPr="00E36FD2">
              <w:rPr>
                <w:rFonts w:cs="Arial"/>
                <w:sz w:val="19"/>
                <w:szCs w:val="19"/>
                <w:lang w:eastAsia="fr-CA"/>
              </w:rPr>
              <w:t>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 xml:space="preserve">roviders elect to provide), </w:t>
            </w:r>
            <w:r w:rsidR="00211830" w:rsidRPr="00E36FD2">
              <w:rPr>
                <w:rFonts w:cs="Arial"/>
                <w:sz w:val="19"/>
                <w:szCs w:val="19"/>
                <w:lang w:eastAsia="fr-CA"/>
              </w:rPr>
              <w:t>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 xml:space="preserve">roviders are free to set charges at such level as they wish provided the charges are reasonable. </w:t>
            </w:r>
          </w:p>
        </w:tc>
      </w:tr>
      <w:tr w:rsidR="001C729B" w:rsidRPr="00E36FD2" w14:paraId="080D7FB4" w14:textId="77777777" w:rsidTr="00EC1759">
        <w:trPr>
          <w:cnfStyle w:val="000000010000" w:firstRow="0" w:lastRow="0" w:firstColumn="0" w:lastColumn="0" w:oddVBand="0" w:evenVBand="0" w:oddHBand="0" w:evenHBand="1" w:firstRowFirstColumn="0" w:firstRowLastColumn="0" w:lastRowFirstColumn="0" w:lastRowLastColumn="0"/>
          <w:cantSplit/>
        </w:trPr>
        <w:tc>
          <w:tcPr>
            <w:tcW w:w="261" w:type="pct"/>
          </w:tcPr>
          <w:p w14:paraId="2751A712" w14:textId="77777777" w:rsidR="001C729B" w:rsidRPr="00E36FD2" w:rsidRDefault="001C729B" w:rsidP="00053FEC">
            <w:pPr>
              <w:spacing w:before="80" w:after="80" w:line="252" w:lineRule="auto"/>
              <w:ind w:left="74" w:right="74"/>
              <w:rPr>
                <w:rFonts w:cs="Arial"/>
                <w:sz w:val="19"/>
                <w:szCs w:val="19"/>
                <w:lang w:eastAsia="fr-CA"/>
              </w:rPr>
            </w:pPr>
            <w:r w:rsidRPr="00E36FD2">
              <w:rPr>
                <w:rFonts w:cs="Arial"/>
                <w:sz w:val="19"/>
                <w:szCs w:val="19"/>
                <w:lang w:eastAsia="fr-CA"/>
              </w:rPr>
              <w:lastRenderedPageBreak/>
              <w:t>10</w:t>
            </w:r>
          </w:p>
        </w:tc>
        <w:tc>
          <w:tcPr>
            <w:tcW w:w="725" w:type="pct"/>
          </w:tcPr>
          <w:p w14:paraId="02831FC8" w14:textId="77777777" w:rsidR="001C729B" w:rsidRPr="00E36FD2" w:rsidRDefault="001C729B" w:rsidP="00053FEC">
            <w:pPr>
              <w:spacing w:before="80" w:after="80" w:line="252" w:lineRule="auto"/>
              <w:ind w:left="74" w:right="74"/>
              <w:rPr>
                <w:rFonts w:cs="Arial"/>
                <w:sz w:val="19"/>
                <w:szCs w:val="19"/>
                <w:lang w:eastAsia="fr-CA"/>
              </w:rPr>
            </w:pPr>
            <w:r w:rsidRPr="00E36FD2">
              <w:rPr>
                <w:rFonts w:cs="Arial"/>
                <w:sz w:val="19"/>
                <w:szCs w:val="19"/>
                <w:lang w:eastAsia="fr-CA"/>
              </w:rPr>
              <w:t>Imbalance</w:t>
            </w:r>
          </w:p>
        </w:tc>
        <w:tc>
          <w:tcPr>
            <w:tcW w:w="4013" w:type="pct"/>
          </w:tcPr>
          <w:p w14:paraId="7B66DEA5" w14:textId="39B4F20A" w:rsidR="001C729B" w:rsidRPr="00E36FD2" w:rsidRDefault="001C729B" w:rsidP="00053FEC">
            <w:pPr>
              <w:keepNext/>
              <w:tabs>
                <w:tab w:val="left" w:pos="720"/>
              </w:tabs>
              <w:spacing w:before="80" w:after="80" w:line="252" w:lineRule="auto"/>
              <w:ind w:left="109"/>
              <w:rPr>
                <w:rFonts w:cs="Arial"/>
                <w:sz w:val="19"/>
                <w:szCs w:val="19"/>
                <w:lang w:eastAsia="fr-CA"/>
              </w:rPr>
            </w:pPr>
            <w:r w:rsidRPr="00E36FD2">
              <w:rPr>
                <w:rFonts w:cs="Arial"/>
                <w:sz w:val="19"/>
                <w:szCs w:val="19"/>
                <w:lang w:eastAsia="fr-CA"/>
              </w:rPr>
              <w:t xml:space="preserve">As imbalance charges and tolerances </w:t>
            </w:r>
            <w:r w:rsidR="00053FEC">
              <w:rPr>
                <w:rFonts w:cs="Arial"/>
                <w:sz w:val="19"/>
                <w:szCs w:val="19"/>
                <w:lang w:eastAsia="fr-CA"/>
              </w:rPr>
              <w:t xml:space="preserve">currently </w:t>
            </w:r>
            <w:r w:rsidRPr="00E36FD2">
              <w:rPr>
                <w:rFonts w:cs="Arial"/>
                <w:sz w:val="19"/>
                <w:szCs w:val="19"/>
                <w:lang w:eastAsia="fr-CA"/>
              </w:rPr>
              <w:t xml:space="preserve">differ between pipelines, it is considered that imbalance has to be dealt with as a </w:t>
            </w:r>
            <w:r w:rsidR="00CC374B" w:rsidRPr="00E36FD2">
              <w:rPr>
                <w:rFonts w:cs="Arial"/>
                <w:sz w:val="19"/>
                <w:szCs w:val="19"/>
                <w:lang w:eastAsia="fr-CA"/>
              </w:rPr>
              <w:t>f</w:t>
            </w:r>
            <w:r w:rsidR="00EC1759" w:rsidRPr="00E36FD2">
              <w:rPr>
                <w:rFonts w:cs="Arial"/>
                <w:sz w:val="19"/>
                <w:szCs w:val="19"/>
                <w:lang w:eastAsia="fr-CA"/>
              </w:rPr>
              <w:t>acility</w:t>
            </w:r>
            <w:r w:rsidRPr="00E36FD2">
              <w:rPr>
                <w:rFonts w:cs="Arial"/>
                <w:sz w:val="19"/>
                <w:szCs w:val="19"/>
                <w:lang w:eastAsia="fr-CA"/>
              </w:rPr>
              <w:t xml:space="preserve"> </w:t>
            </w:r>
            <w:r w:rsidR="00CC374B" w:rsidRPr="00E36FD2">
              <w:rPr>
                <w:rFonts w:cs="Arial"/>
                <w:sz w:val="19"/>
                <w:szCs w:val="19"/>
                <w:lang w:eastAsia="fr-CA"/>
              </w:rPr>
              <w:t>s</w:t>
            </w:r>
            <w:r w:rsidRPr="00E36FD2">
              <w:rPr>
                <w:rFonts w:cs="Arial"/>
                <w:sz w:val="19"/>
                <w:szCs w:val="19"/>
                <w:lang w:eastAsia="fr-CA"/>
              </w:rPr>
              <w:t xml:space="preserve">pecific </w:t>
            </w:r>
            <w:r w:rsidR="00CC374B" w:rsidRPr="00E36FD2">
              <w:rPr>
                <w:rFonts w:cs="Arial"/>
                <w:sz w:val="19"/>
                <w:szCs w:val="19"/>
                <w:lang w:eastAsia="fr-CA"/>
              </w:rPr>
              <w:t>t</w:t>
            </w:r>
            <w:r w:rsidRPr="00E36FD2">
              <w:rPr>
                <w:rFonts w:cs="Arial"/>
                <w:sz w:val="19"/>
                <w:szCs w:val="19"/>
                <w:lang w:eastAsia="fr-CA"/>
              </w:rPr>
              <w:t>erm.</w:t>
            </w:r>
          </w:p>
          <w:p w14:paraId="3478597A" w14:textId="5487C634" w:rsidR="001C729B" w:rsidRPr="00E36FD2" w:rsidRDefault="001C729B" w:rsidP="00053FEC">
            <w:pPr>
              <w:keepNext/>
              <w:tabs>
                <w:tab w:val="left" w:pos="720"/>
              </w:tabs>
              <w:spacing w:before="80" w:after="80" w:line="252" w:lineRule="auto"/>
              <w:ind w:left="109"/>
              <w:rPr>
                <w:rFonts w:cs="Arial"/>
                <w:sz w:val="19"/>
                <w:szCs w:val="19"/>
                <w:lang w:eastAsia="fr-CA"/>
              </w:rPr>
            </w:pPr>
            <w:r w:rsidRPr="00E36FD2">
              <w:rPr>
                <w:rFonts w:cs="Arial"/>
                <w:sz w:val="19"/>
                <w:szCs w:val="19"/>
                <w:lang w:eastAsia="fr-CA"/>
              </w:rPr>
              <w:t xml:space="preserve">Clause 10 allows </w:t>
            </w:r>
            <w:r w:rsidR="00211830" w:rsidRPr="00E36FD2">
              <w:rPr>
                <w:rFonts w:cs="Arial"/>
                <w:sz w:val="19"/>
                <w:szCs w:val="19"/>
                <w:lang w:eastAsia="fr-CA"/>
              </w:rPr>
              <w:t xml:space="preserve">the service provider </w:t>
            </w:r>
            <w:r w:rsidRPr="00E36FD2">
              <w:rPr>
                <w:rFonts w:cs="Arial"/>
                <w:sz w:val="19"/>
                <w:szCs w:val="19"/>
                <w:lang w:eastAsia="fr-CA"/>
              </w:rPr>
              <w:t>to set the imbalance allowance</w:t>
            </w:r>
            <w:r w:rsidR="00053FEC">
              <w:rPr>
                <w:rFonts w:cs="Arial"/>
                <w:sz w:val="19"/>
                <w:szCs w:val="19"/>
                <w:lang w:eastAsia="fr-CA"/>
              </w:rPr>
              <w:t xml:space="preserve"> (which must not be zero)</w:t>
            </w:r>
            <w:r w:rsidRPr="00E36FD2">
              <w:rPr>
                <w:rFonts w:cs="Arial"/>
                <w:sz w:val="19"/>
                <w:szCs w:val="19"/>
                <w:lang w:eastAsia="fr-CA"/>
              </w:rPr>
              <w:t xml:space="preserve"> and imbalance charge.  It also allows </w:t>
            </w:r>
            <w:r w:rsidR="00211830" w:rsidRPr="00E36FD2">
              <w:rPr>
                <w:rFonts w:cs="Arial"/>
                <w:sz w:val="19"/>
                <w:szCs w:val="19"/>
                <w:lang w:eastAsia="fr-CA"/>
              </w:rPr>
              <w:t xml:space="preserve">the service provider </w:t>
            </w:r>
            <w:r w:rsidRPr="00E36FD2">
              <w:rPr>
                <w:rFonts w:cs="Arial"/>
                <w:sz w:val="19"/>
                <w:szCs w:val="19"/>
                <w:lang w:eastAsia="fr-CA"/>
              </w:rPr>
              <w:t xml:space="preserve">to set a level of imbalance below the imbalance allowance as a trigger for curtailments but only where </w:t>
            </w:r>
            <w:r w:rsidR="00211830" w:rsidRPr="00E36FD2">
              <w:rPr>
                <w:rFonts w:cs="Arial"/>
                <w:sz w:val="19"/>
                <w:szCs w:val="19"/>
                <w:lang w:eastAsia="fr-CA"/>
              </w:rPr>
              <w:t>the secondary shipper</w:t>
            </w:r>
            <w:r w:rsidRPr="00E36FD2">
              <w:rPr>
                <w:rFonts w:cs="Arial"/>
                <w:sz w:val="19"/>
                <w:szCs w:val="19"/>
                <w:lang w:eastAsia="fr-CA"/>
              </w:rPr>
              <w:t xml:space="preserve">’s imbalance being at that lower level is a threat to the operational integrity </w:t>
            </w:r>
            <w:r w:rsidR="00D4786D">
              <w:rPr>
                <w:rFonts w:cs="Arial"/>
                <w:sz w:val="19"/>
                <w:szCs w:val="19"/>
                <w:lang w:eastAsia="fr-CA"/>
              </w:rPr>
              <w:t xml:space="preserve">of </w:t>
            </w:r>
            <w:r w:rsidRPr="00E36FD2">
              <w:rPr>
                <w:rFonts w:cs="Arial"/>
                <w:sz w:val="19"/>
                <w:szCs w:val="19"/>
                <w:lang w:eastAsia="fr-CA"/>
              </w:rPr>
              <w:t xml:space="preserve">the pipeline.  </w:t>
            </w:r>
            <w:r w:rsidR="00D4786D">
              <w:rPr>
                <w:rFonts w:cs="Arial"/>
                <w:sz w:val="19"/>
                <w:szCs w:val="19"/>
                <w:lang w:eastAsia="fr-CA"/>
              </w:rPr>
              <w:t>F</w:t>
            </w:r>
            <w:r w:rsidRPr="00E36FD2">
              <w:rPr>
                <w:rFonts w:cs="Arial"/>
                <w:sz w:val="19"/>
                <w:szCs w:val="19"/>
                <w:lang w:eastAsia="fr-CA"/>
              </w:rPr>
              <w:t>or example, a pipeline may have an imbalance allowance of 8% and shippers may have to pay charges if their imbalance is greater than this level.  However</w:t>
            </w:r>
            <w:r w:rsidR="00EC1759" w:rsidRPr="00E36FD2">
              <w:rPr>
                <w:rFonts w:cs="Arial"/>
                <w:sz w:val="19"/>
                <w:szCs w:val="19"/>
                <w:lang w:eastAsia="fr-CA"/>
              </w:rPr>
              <w:t>,</w:t>
            </w:r>
            <w:r w:rsidRPr="00E36FD2">
              <w:rPr>
                <w:rFonts w:cs="Arial"/>
                <w:sz w:val="19"/>
                <w:szCs w:val="19"/>
                <w:lang w:eastAsia="fr-CA"/>
              </w:rPr>
              <w:t xml:space="preserve"> </w:t>
            </w:r>
            <w:r w:rsidR="00211830" w:rsidRPr="00E36FD2">
              <w:rPr>
                <w:rFonts w:cs="Arial"/>
                <w:sz w:val="19"/>
                <w:szCs w:val="19"/>
                <w:lang w:eastAsia="fr-CA"/>
              </w:rPr>
              <w:t xml:space="preserve">the service provider </w:t>
            </w:r>
            <w:r w:rsidRPr="00E36FD2">
              <w:rPr>
                <w:rFonts w:cs="Arial"/>
                <w:sz w:val="19"/>
                <w:szCs w:val="19"/>
                <w:lang w:eastAsia="fr-CA"/>
              </w:rPr>
              <w:t>may need to curtail at a 6% imbalance level if there is an adverse impact on the pipeline.</w:t>
            </w:r>
          </w:p>
        </w:tc>
      </w:tr>
      <w:tr w:rsidR="001C729B" w:rsidRPr="00E36FD2" w14:paraId="6383FE3C" w14:textId="77777777" w:rsidTr="00EC1759">
        <w:trPr>
          <w:cantSplit/>
        </w:trPr>
        <w:tc>
          <w:tcPr>
            <w:tcW w:w="261" w:type="pct"/>
          </w:tcPr>
          <w:p w14:paraId="08E8E2D4" w14:textId="77777777" w:rsidR="001C729B" w:rsidRPr="00E36FD2" w:rsidRDefault="001C729B" w:rsidP="00053FEC">
            <w:pPr>
              <w:spacing w:before="80" w:after="80" w:line="252" w:lineRule="auto"/>
              <w:ind w:left="74" w:right="74"/>
              <w:rPr>
                <w:rFonts w:cs="Arial"/>
                <w:sz w:val="19"/>
                <w:szCs w:val="19"/>
                <w:lang w:eastAsia="fr-CA"/>
              </w:rPr>
            </w:pPr>
            <w:r w:rsidRPr="00E36FD2">
              <w:rPr>
                <w:rFonts w:cs="Arial"/>
                <w:sz w:val="19"/>
                <w:szCs w:val="19"/>
                <w:lang w:eastAsia="fr-CA"/>
              </w:rPr>
              <w:t>11</w:t>
            </w:r>
          </w:p>
        </w:tc>
        <w:tc>
          <w:tcPr>
            <w:tcW w:w="725" w:type="pct"/>
          </w:tcPr>
          <w:p w14:paraId="69528899" w14:textId="77777777" w:rsidR="001C729B" w:rsidRPr="00E36FD2" w:rsidRDefault="001C729B" w:rsidP="00053FEC">
            <w:pPr>
              <w:spacing w:before="80" w:after="80" w:line="252" w:lineRule="auto"/>
              <w:ind w:left="74" w:right="74"/>
              <w:rPr>
                <w:rFonts w:cs="Arial"/>
                <w:sz w:val="19"/>
                <w:szCs w:val="19"/>
                <w:lang w:eastAsia="fr-CA"/>
              </w:rPr>
            </w:pPr>
            <w:proofErr w:type="spellStart"/>
            <w:r w:rsidRPr="00E36FD2">
              <w:rPr>
                <w:rFonts w:cs="Arial"/>
                <w:sz w:val="19"/>
                <w:szCs w:val="19"/>
                <w:lang w:eastAsia="fr-CA"/>
              </w:rPr>
              <w:t>Odorisation</w:t>
            </w:r>
            <w:proofErr w:type="spellEnd"/>
          </w:p>
        </w:tc>
        <w:tc>
          <w:tcPr>
            <w:tcW w:w="4013" w:type="pct"/>
          </w:tcPr>
          <w:p w14:paraId="1E4F4E85" w14:textId="16F482BD" w:rsidR="001C729B" w:rsidRPr="00E36FD2" w:rsidRDefault="00E87773" w:rsidP="00053FEC">
            <w:pPr>
              <w:keepNext/>
              <w:tabs>
                <w:tab w:val="left" w:pos="720"/>
              </w:tabs>
              <w:spacing w:before="80" w:after="80" w:line="252" w:lineRule="auto"/>
              <w:ind w:left="109"/>
              <w:rPr>
                <w:rFonts w:cs="Arial"/>
                <w:sz w:val="19"/>
                <w:szCs w:val="19"/>
                <w:lang w:eastAsia="fr-CA"/>
              </w:rPr>
            </w:pPr>
            <w:r w:rsidRPr="00E36FD2">
              <w:rPr>
                <w:rFonts w:cs="Arial"/>
                <w:sz w:val="19"/>
                <w:szCs w:val="19"/>
                <w:lang w:eastAsia="fr-CA"/>
              </w:rPr>
              <w:t>P</w:t>
            </w:r>
            <w:r w:rsidR="001C729B" w:rsidRPr="00E36FD2">
              <w:rPr>
                <w:rFonts w:cs="Arial"/>
                <w:sz w:val="19"/>
                <w:szCs w:val="19"/>
                <w:lang w:eastAsia="fr-CA"/>
              </w:rPr>
              <w:t xml:space="preserve">ipelines </w:t>
            </w:r>
            <w:r w:rsidRPr="00E36FD2">
              <w:rPr>
                <w:rFonts w:cs="Arial"/>
                <w:sz w:val="19"/>
                <w:szCs w:val="19"/>
                <w:lang w:eastAsia="fr-CA"/>
              </w:rPr>
              <w:t xml:space="preserve">can either </w:t>
            </w:r>
            <w:r w:rsidR="001C729B" w:rsidRPr="00E36FD2">
              <w:rPr>
                <w:rFonts w:cs="Arial"/>
                <w:sz w:val="19"/>
                <w:szCs w:val="19"/>
                <w:lang w:eastAsia="fr-CA"/>
              </w:rPr>
              <w:t xml:space="preserve">require, or provide, for the gas transported in them to be odorised.  As practice differs between pipelines the matter is dealt with as a </w:t>
            </w:r>
            <w:r w:rsidR="00CC374B" w:rsidRPr="00E36FD2">
              <w:rPr>
                <w:rFonts w:cs="Arial"/>
                <w:sz w:val="19"/>
                <w:szCs w:val="19"/>
                <w:lang w:eastAsia="fr-CA"/>
              </w:rPr>
              <w:t>f</w:t>
            </w:r>
            <w:r w:rsidR="00C05A16" w:rsidRPr="00E36FD2">
              <w:rPr>
                <w:rFonts w:cs="Arial"/>
                <w:sz w:val="19"/>
                <w:szCs w:val="19"/>
                <w:lang w:eastAsia="fr-CA"/>
              </w:rPr>
              <w:t xml:space="preserve">acility </w:t>
            </w:r>
            <w:r w:rsidR="00CC374B" w:rsidRPr="00E36FD2">
              <w:rPr>
                <w:rFonts w:cs="Arial"/>
                <w:sz w:val="19"/>
                <w:szCs w:val="19"/>
                <w:lang w:eastAsia="fr-CA"/>
              </w:rPr>
              <w:t>s</w:t>
            </w:r>
            <w:r w:rsidR="001C729B" w:rsidRPr="00E36FD2">
              <w:rPr>
                <w:rFonts w:cs="Arial"/>
                <w:sz w:val="19"/>
                <w:szCs w:val="19"/>
                <w:lang w:eastAsia="fr-CA"/>
              </w:rPr>
              <w:t xml:space="preserve">pecific </w:t>
            </w:r>
            <w:r w:rsidR="00CC374B" w:rsidRPr="00E36FD2">
              <w:rPr>
                <w:rFonts w:cs="Arial"/>
                <w:sz w:val="19"/>
                <w:szCs w:val="19"/>
                <w:lang w:eastAsia="fr-CA"/>
              </w:rPr>
              <w:t>t</w:t>
            </w:r>
            <w:r w:rsidR="001C729B" w:rsidRPr="00E36FD2">
              <w:rPr>
                <w:rFonts w:cs="Arial"/>
                <w:sz w:val="19"/>
                <w:szCs w:val="19"/>
                <w:lang w:eastAsia="fr-CA"/>
              </w:rPr>
              <w:t xml:space="preserve">erm.  Where </w:t>
            </w:r>
            <w:r w:rsidR="00211830" w:rsidRPr="00E36FD2">
              <w:rPr>
                <w:rFonts w:cs="Arial"/>
                <w:sz w:val="19"/>
                <w:szCs w:val="19"/>
                <w:lang w:eastAsia="fr-CA"/>
              </w:rPr>
              <w:t xml:space="preserve">the service provider </w:t>
            </w:r>
            <w:r w:rsidR="001C729B" w:rsidRPr="00E36FD2">
              <w:rPr>
                <w:rFonts w:cs="Arial"/>
                <w:sz w:val="19"/>
                <w:szCs w:val="19"/>
                <w:lang w:eastAsia="fr-CA"/>
              </w:rPr>
              <w:t xml:space="preserve">undertakes </w:t>
            </w:r>
            <w:proofErr w:type="spellStart"/>
            <w:r w:rsidR="001C729B" w:rsidRPr="00E36FD2">
              <w:rPr>
                <w:rFonts w:cs="Arial"/>
                <w:sz w:val="19"/>
                <w:szCs w:val="19"/>
                <w:lang w:eastAsia="fr-CA"/>
              </w:rPr>
              <w:t>odorisation</w:t>
            </w:r>
            <w:proofErr w:type="spellEnd"/>
            <w:r w:rsidR="001C729B" w:rsidRPr="00E36FD2">
              <w:rPr>
                <w:rFonts w:cs="Arial"/>
                <w:sz w:val="19"/>
                <w:szCs w:val="19"/>
                <w:lang w:eastAsia="fr-CA"/>
              </w:rPr>
              <w:t xml:space="preserve">, </w:t>
            </w:r>
            <w:r w:rsidR="00211830" w:rsidRPr="00E36FD2">
              <w:rPr>
                <w:rFonts w:cs="Arial"/>
                <w:sz w:val="19"/>
                <w:szCs w:val="19"/>
                <w:lang w:eastAsia="fr-CA"/>
              </w:rPr>
              <w:t xml:space="preserve">the service provider </w:t>
            </w:r>
            <w:r w:rsidR="001C729B" w:rsidRPr="00E36FD2">
              <w:rPr>
                <w:rFonts w:cs="Arial"/>
                <w:sz w:val="19"/>
                <w:szCs w:val="19"/>
                <w:lang w:eastAsia="fr-CA"/>
              </w:rPr>
              <w:t xml:space="preserve">may levy a charge if this is consistent with practice under </w:t>
            </w:r>
            <w:r w:rsidR="00D4786D">
              <w:rPr>
                <w:rFonts w:cs="Arial"/>
                <w:sz w:val="19"/>
                <w:szCs w:val="19"/>
                <w:lang w:eastAsia="fr-CA"/>
              </w:rPr>
              <w:t>p</w:t>
            </w:r>
            <w:r w:rsidR="001C729B" w:rsidRPr="00E36FD2">
              <w:rPr>
                <w:rFonts w:cs="Arial"/>
                <w:sz w:val="19"/>
                <w:szCs w:val="19"/>
                <w:lang w:eastAsia="fr-CA"/>
              </w:rPr>
              <w:t>rimary GTAs.</w:t>
            </w:r>
          </w:p>
        </w:tc>
      </w:tr>
      <w:tr w:rsidR="001C729B" w:rsidRPr="00E36FD2" w14:paraId="18ACA22A" w14:textId="77777777" w:rsidTr="00EC1759">
        <w:trPr>
          <w:cnfStyle w:val="000000010000" w:firstRow="0" w:lastRow="0" w:firstColumn="0" w:lastColumn="0" w:oddVBand="0" w:evenVBand="0" w:oddHBand="0" w:evenHBand="1" w:firstRowFirstColumn="0" w:firstRowLastColumn="0" w:lastRowFirstColumn="0" w:lastRowLastColumn="0"/>
          <w:cantSplit/>
        </w:trPr>
        <w:tc>
          <w:tcPr>
            <w:tcW w:w="261" w:type="pct"/>
          </w:tcPr>
          <w:p w14:paraId="59BD2D4B" w14:textId="77777777" w:rsidR="001C729B" w:rsidRPr="00E36FD2" w:rsidRDefault="001C729B" w:rsidP="00053FEC">
            <w:pPr>
              <w:spacing w:before="80" w:after="80" w:line="252" w:lineRule="auto"/>
              <w:ind w:left="74" w:right="74"/>
              <w:rPr>
                <w:rFonts w:cs="Arial"/>
                <w:sz w:val="19"/>
                <w:szCs w:val="19"/>
                <w:lang w:eastAsia="fr-CA"/>
              </w:rPr>
            </w:pPr>
            <w:r w:rsidRPr="00E36FD2">
              <w:rPr>
                <w:rFonts w:cs="Arial"/>
                <w:sz w:val="19"/>
                <w:szCs w:val="19"/>
                <w:lang w:eastAsia="fr-CA"/>
              </w:rPr>
              <w:t>12</w:t>
            </w:r>
          </w:p>
        </w:tc>
        <w:tc>
          <w:tcPr>
            <w:tcW w:w="725" w:type="pct"/>
          </w:tcPr>
          <w:p w14:paraId="497F8CDB" w14:textId="77777777" w:rsidR="001C729B" w:rsidRPr="00E36FD2" w:rsidRDefault="001C729B" w:rsidP="00053FEC">
            <w:pPr>
              <w:spacing w:before="80" w:after="80" w:line="252" w:lineRule="auto"/>
              <w:ind w:left="74" w:right="74"/>
              <w:rPr>
                <w:rFonts w:cs="Arial"/>
                <w:sz w:val="19"/>
                <w:szCs w:val="19"/>
                <w:lang w:eastAsia="fr-CA"/>
              </w:rPr>
            </w:pPr>
            <w:r w:rsidRPr="00E36FD2">
              <w:rPr>
                <w:rFonts w:cs="Arial"/>
                <w:sz w:val="19"/>
                <w:szCs w:val="19"/>
                <w:lang w:eastAsia="fr-CA"/>
              </w:rPr>
              <w:t>Metering Principles</w:t>
            </w:r>
          </w:p>
        </w:tc>
        <w:tc>
          <w:tcPr>
            <w:tcW w:w="4013" w:type="pct"/>
          </w:tcPr>
          <w:p w14:paraId="3D4B9C01" w14:textId="58DE6D9B" w:rsidR="001C729B" w:rsidRPr="00E36FD2" w:rsidRDefault="001C729B" w:rsidP="00053FEC">
            <w:pPr>
              <w:keepNext/>
              <w:tabs>
                <w:tab w:val="left" w:pos="720"/>
              </w:tabs>
              <w:spacing w:before="80" w:after="80" w:line="252" w:lineRule="auto"/>
              <w:ind w:left="109"/>
              <w:rPr>
                <w:rFonts w:cs="Arial"/>
                <w:sz w:val="19"/>
                <w:szCs w:val="19"/>
                <w:lang w:eastAsia="fr-CA"/>
              </w:rPr>
            </w:pPr>
            <w:r w:rsidRPr="00E36FD2">
              <w:rPr>
                <w:rFonts w:cs="Arial"/>
                <w:sz w:val="19"/>
                <w:szCs w:val="19"/>
                <w:lang w:eastAsia="fr-CA"/>
              </w:rPr>
              <w:t xml:space="preserve">Currently </w:t>
            </w:r>
            <w:r w:rsidR="002363C2" w:rsidRPr="00E36FD2">
              <w:rPr>
                <w:rFonts w:cs="Arial"/>
                <w:sz w:val="19"/>
                <w:szCs w:val="19"/>
                <w:lang w:eastAsia="fr-CA"/>
              </w:rPr>
              <w:t>service providers</w:t>
            </w:r>
            <w:r w:rsidRPr="00E36FD2">
              <w:rPr>
                <w:rFonts w:cs="Arial"/>
                <w:sz w:val="19"/>
                <w:szCs w:val="19"/>
                <w:lang w:eastAsia="fr-CA"/>
              </w:rPr>
              <w:t xml:space="preserve"> do not use uniform measurement principles and consequently metering is dealt with as a </w:t>
            </w:r>
            <w:r w:rsidR="00CC374B" w:rsidRPr="00E36FD2">
              <w:rPr>
                <w:rFonts w:cs="Arial"/>
                <w:sz w:val="19"/>
                <w:szCs w:val="19"/>
                <w:lang w:eastAsia="fr-CA"/>
              </w:rPr>
              <w:t>f</w:t>
            </w:r>
            <w:r w:rsidR="00EC1759" w:rsidRPr="00E36FD2">
              <w:rPr>
                <w:rFonts w:cs="Arial"/>
                <w:sz w:val="19"/>
                <w:szCs w:val="19"/>
                <w:lang w:eastAsia="fr-CA"/>
              </w:rPr>
              <w:t>acility</w:t>
            </w:r>
            <w:r w:rsidRPr="00E36FD2">
              <w:rPr>
                <w:rFonts w:cs="Arial"/>
                <w:sz w:val="19"/>
                <w:szCs w:val="19"/>
                <w:lang w:eastAsia="fr-CA"/>
              </w:rPr>
              <w:t xml:space="preserve"> </w:t>
            </w:r>
            <w:r w:rsidR="00CC374B" w:rsidRPr="00E36FD2">
              <w:rPr>
                <w:rFonts w:cs="Arial"/>
                <w:sz w:val="19"/>
                <w:szCs w:val="19"/>
                <w:lang w:eastAsia="fr-CA"/>
              </w:rPr>
              <w:t>s</w:t>
            </w:r>
            <w:r w:rsidRPr="00E36FD2">
              <w:rPr>
                <w:rFonts w:cs="Arial"/>
                <w:sz w:val="19"/>
                <w:szCs w:val="19"/>
                <w:lang w:eastAsia="fr-CA"/>
              </w:rPr>
              <w:t xml:space="preserve">pecific </w:t>
            </w:r>
            <w:r w:rsidR="00CC374B" w:rsidRPr="00E36FD2">
              <w:rPr>
                <w:rFonts w:cs="Arial"/>
                <w:sz w:val="19"/>
                <w:szCs w:val="19"/>
                <w:lang w:eastAsia="fr-CA"/>
              </w:rPr>
              <w:t>t</w:t>
            </w:r>
            <w:r w:rsidRPr="00E36FD2">
              <w:rPr>
                <w:rFonts w:cs="Arial"/>
                <w:sz w:val="19"/>
                <w:szCs w:val="19"/>
                <w:lang w:eastAsia="fr-CA"/>
              </w:rPr>
              <w:t xml:space="preserve">erm.  </w:t>
            </w:r>
            <w:r w:rsidR="00211830" w:rsidRPr="00E36FD2">
              <w:rPr>
                <w:rFonts w:cs="Arial"/>
                <w:sz w:val="19"/>
                <w:szCs w:val="19"/>
                <w:lang w:eastAsia="fr-CA"/>
              </w:rPr>
              <w:t>The 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 xml:space="preserve">rovider is to be responsible for metering equipment </w:t>
            </w:r>
            <w:r w:rsidR="00211830" w:rsidRPr="00E36FD2">
              <w:rPr>
                <w:rFonts w:cs="Arial"/>
                <w:sz w:val="19"/>
                <w:szCs w:val="19"/>
                <w:lang w:eastAsia="fr-CA"/>
              </w:rPr>
              <w:t xml:space="preserve">the service provider </w:t>
            </w:r>
            <w:r w:rsidRPr="00E36FD2">
              <w:rPr>
                <w:rFonts w:cs="Arial"/>
                <w:sz w:val="19"/>
                <w:szCs w:val="19"/>
                <w:lang w:eastAsia="fr-CA"/>
              </w:rPr>
              <w:t xml:space="preserve">owns or controls.  While the metering principles may make </w:t>
            </w:r>
            <w:r w:rsidR="00211830" w:rsidRPr="00E36FD2">
              <w:rPr>
                <w:rFonts w:cs="Arial"/>
                <w:sz w:val="19"/>
                <w:szCs w:val="19"/>
                <w:lang w:eastAsia="fr-CA"/>
              </w:rPr>
              <w:t>the secondary shipper</w:t>
            </w:r>
            <w:r w:rsidRPr="00E36FD2">
              <w:rPr>
                <w:rFonts w:cs="Arial"/>
                <w:sz w:val="19"/>
                <w:szCs w:val="19"/>
                <w:lang w:eastAsia="fr-CA"/>
              </w:rPr>
              <w:t xml:space="preserve"> responsible to ens</w:t>
            </w:r>
            <w:r w:rsidR="00211830" w:rsidRPr="00E36FD2">
              <w:rPr>
                <w:rFonts w:cs="Arial"/>
                <w:sz w:val="19"/>
                <w:szCs w:val="19"/>
                <w:lang w:eastAsia="fr-CA"/>
              </w:rPr>
              <w:t>ure other metering equipment (i.e.</w:t>
            </w:r>
            <w:r w:rsidRPr="00E36FD2">
              <w:rPr>
                <w:rFonts w:cs="Arial"/>
                <w:sz w:val="19"/>
                <w:szCs w:val="19"/>
                <w:lang w:eastAsia="fr-CA"/>
              </w:rPr>
              <w:t xml:space="preserve"> not owned or controlled by </w:t>
            </w:r>
            <w:r w:rsidR="00211830" w:rsidRPr="00E36FD2">
              <w:rPr>
                <w:rFonts w:cs="Arial"/>
                <w:sz w:val="19"/>
                <w:szCs w:val="19"/>
                <w:lang w:eastAsia="fr-CA"/>
              </w:rPr>
              <w:t>the s</w:t>
            </w:r>
            <w:r w:rsidRPr="00E36FD2">
              <w:rPr>
                <w:rFonts w:cs="Arial"/>
                <w:sz w:val="19"/>
                <w:szCs w:val="19"/>
                <w:lang w:eastAsia="fr-CA"/>
              </w:rPr>
              <w:t xml:space="preserve">ervice </w:t>
            </w:r>
            <w:r w:rsidR="00211830" w:rsidRPr="00E36FD2">
              <w:rPr>
                <w:rFonts w:cs="Arial"/>
                <w:sz w:val="19"/>
                <w:szCs w:val="19"/>
                <w:lang w:eastAsia="fr-CA"/>
              </w:rPr>
              <w:t>p</w:t>
            </w:r>
            <w:r w:rsidRPr="00E36FD2">
              <w:rPr>
                <w:rFonts w:cs="Arial"/>
                <w:sz w:val="19"/>
                <w:szCs w:val="19"/>
                <w:lang w:eastAsia="fr-CA"/>
              </w:rPr>
              <w:t>rovider) meets prescribed measurement standards</w:t>
            </w:r>
            <w:r w:rsidR="00D4786D">
              <w:rPr>
                <w:rFonts w:cs="Arial"/>
                <w:sz w:val="19"/>
                <w:szCs w:val="19"/>
                <w:lang w:eastAsia="fr-CA"/>
              </w:rPr>
              <w:t>,</w:t>
            </w:r>
            <w:r w:rsidRPr="00E36FD2">
              <w:rPr>
                <w:rFonts w:cs="Arial"/>
                <w:sz w:val="19"/>
                <w:szCs w:val="19"/>
                <w:lang w:eastAsia="fr-CA"/>
              </w:rPr>
              <w:t xml:space="preserve"> </w:t>
            </w:r>
            <w:r w:rsidR="00211830" w:rsidRPr="00E36FD2">
              <w:rPr>
                <w:rFonts w:cs="Arial"/>
                <w:sz w:val="19"/>
                <w:szCs w:val="19"/>
                <w:lang w:eastAsia="fr-CA"/>
              </w:rPr>
              <w:t>the secondary shipper</w:t>
            </w:r>
            <w:r w:rsidRPr="00E36FD2">
              <w:rPr>
                <w:rFonts w:cs="Arial"/>
                <w:sz w:val="19"/>
                <w:szCs w:val="19"/>
                <w:lang w:eastAsia="fr-CA"/>
              </w:rPr>
              <w:t xml:space="preserve"> cannot be required to make any modifications to existing metering equipment used by the </w:t>
            </w:r>
            <w:r w:rsidR="002363C2" w:rsidRPr="00E36FD2">
              <w:rPr>
                <w:rFonts w:cs="Arial"/>
                <w:sz w:val="19"/>
                <w:szCs w:val="19"/>
                <w:lang w:eastAsia="fr-CA"/>
              </w:rPr>
              <w:t>pipeline</w:t>
            </w:r>
            <w:r w:rsidRPr="00E36FD2">
              <w:rPr>
                <w:rFonts w:cs="Arial"/>
                <w:sz w:val="19"/>
                <w:szCs w:val="19"/>
                <w:lang w:eastAsia="fr-CA"/>
              </w:rPr>
              <w:t xml:space="preserve">.  Therefore if, for example, existing metering at a receipt point is provided by a gas producer, </w:t>
            </w:r>
            <w:r w:rsidR="00211830" w:rsidRPr="00E36FD2">
              <w:rPr>
                <w:rFonts w:cs="Arial"/>
                <w:sz w:val="19"/>
                <w:szCs w:val="19"/>
                <w:lang w:eastAsia="fr-CA"/>
              </w:rPr>
              <w:t xml:space="preserve">the service provider </w:t>
            </w:r>
            <w:r w:rsidRPr="00E36FD2">
              <w:rPr>
                <w:rFonts w:cs="Arial"/>
                <w:sz w:val="19"/>
                <w:szCs w:val="19"/>
                <w:lang w:eastAsia="fr-CA"/>
              </w:rPr>
              <w:t xml:space="preserve">cannot require </w:t>
            </w:r>
            <w:r w:rsidR="00211830" w:rsidRPr="00E36FD2">
              <w:rPr>
                <w:rFonts w:cs="Arial"/>
                <w:sz w:val="19"/>
                <w:szCs w:val="19"/>
                <w:lang w:eastAsia="fr-CA"/>
              </w:rPr>
              <w:t>the secondary shipper</w:t>
            </w:r>
            <w:r w:rsidRPr="00E36FD2">
              <w:rPr>
                <w:rFonts w:cs="Arial"/>
                <w:sz w:val="19"/>
                <w:szCs w:val="19"/>
                <w:lang w:eastAsia="fr-CA"/>
              </w:rPr>
              <w:t xml:space="preserve"> to make any modifications to that equipment.</w:t>
            </w:r>
          </w:p>
        </w:tc>
      </w:tr>
      <w:tr w:rsidR="001C729B" w:rsidRPr="00E36FD2" w14:paraId="46E515DB" w14:textId="77777777" w:rsidTr="00EC1759">
        <w:trPr>
          <w:cantSplit/>
        </w:trPr>
        <w:tc>
          <w:tcPr>
            <w:tcW w:w="261" w:type="pct"/>
          </w:tcPr>
          <w:p w14:paraId="31D5E9E5" w14:textId="77777777" w:rsidR="001C729B" w:rsidRPr="00E36FD2" w:rsidRDefault="001C729B" w:rsidP="00053FEC">
            <w:pPr>
              <w:spacing w:before="80" w:after="80" w:line="252" w:lineRule="auto"/>
              <w:ind w:left="74" w:right="74"/>
              <w:rPr>
                <w:rFonts w:cs="Arial"/>
                <w:sz w:val="19"/>
                <w:szCs w:val="19"/>
                <w:lang w:eastAsia="fr-CA"/>
              </w:rPr>
            </w:pPr>
            <w:r w:rsidRPr="00E36FD2">
              <w:rPr>
                <w:rFonts w:cs="Arial"/>
                <w:sz w:val="19"/>
                <w:szCs w:val="19"/>
                <w:lang w:eastAsia="fr-CA"/>
              </w:rPr>
              <w:t>13</w:t>
            </w:r>
          </w:p>
        </w:tc>
        <w:tc>
          <w:tcPr>
            <w:tcW w:w="725" w:type="pct"/>
          </w:tcPr>
          <w:p w14:paraId="767AB85A" w14:textId="77777777" w:rsidR="001C729B" w:rsidRPr="00E36FD2" w:rsidRDefault="001C729B" w:rsidP="00053FEC">
            <w:pPr>
              <w:spacing w:before="80" w:after="80" w:line="252" w:lineRule="auto"/>
              <w:ind w:left="74" w:right="74"/>
              <w:rPr>
                <w:rFonts w:cs="Arial"/>
                <w:sz w:val="19"/>
                <w:szCs w:val="19"/>
                <w:lang w:eastAsia="fr-CA"/>
              </w:rPr>
            </w:pPr>
            <w:r w:rsidRPr="00E36FD2">
              <w:rPr>
                <w:rFonts w:cs="Arial"/>
                <w:sz w:val="19"/>
                <w:szCs w:val="19"/>
                <w:lang w:eastAsia="fr-CA"/>
              </w:rPr>
              <w:t>Operational Communications</w:t>
            </w:r>
          </w:p>
        </w:tc>
        <w:tc>
          <w:tcPr>
            <w:tcW w:w="4013" w:type="pct"/>
          </w:tcPr>
          <w:p w14:paraId="5CFF3D72" w14:textId="7747693C" w:rsidR="001C729B" w:rsidRPr="00E36FD2" w:rsidRDefault="001C729B" w:rsidP="00053FEC">
            <w:pPr>
              <w:keepNext/>
              <w:tabs>
                <w:tab w:val="left" w:pos="720"/>
              </w:tabs>
              <w:spacing w:before="80" w:after="80" w:line="252" w:lineRule="auto"/>
              <w:ind w:left="109"/>
              <w:rPr>
                <w:rFonts w:cs="Arial"/>
                <w:sz w:val="19"/>
                <w:szCs w:val="19"/>
                <w:lang w:eastAsia="fr-CA"/>
              </w:rPr>
            </w:pPr>
            <w:r w:rsidRPr="00E36FD2">
              <w:rPr>
                <w:rFonts w:cs="Arial"/>
                <w:sz w:val="19"/>
                <w:szCs w:val="19"/>
                <w:lang w:eastAsia="fr-CA"/>
              </w:rPr>
              <w:t xml:space="preserve">Various </w:t>
            </w:r>
            <w:r w:rsidR="002363C2" w:rsidRPr="00E36FD2">
              <w:rPr>
                <w:rFonts w:cs="Arial"/>
                <w:sz w:val="19"/>
                <w:szCs w:val="19"/>
                <w:lang w:eastAsia="fr-CA"/>
              </w:rPr>
              <w:t>service providers</w:t>
            </w:r>
            <w:r w:rsidRPr="00E36FD2">
              <w:rPr>
                <w:rFonts w:cs="Arial"/>
                <w:sz w:val="19"/>
                <w:szCs w:val="19"/>
                <w:lang w:eastAsia="fr-CA"/>
              </w:rPr>
              <w:t xml:space="preserve"> use their own electronic systems for nominations and scheduling and other reporting.  Clause 13 allows the </w:t>
            </w:r>
            <w:r w:rsidR="00996004" w:rsidRPr="00E36FD2">
              <w:rPr>
                <w:rFonts w:cs="Arial"/>
                <w:sz w:val="19"/>
                <w:szCs w:val="19"/>
                <w:lang w:eastAsia="fr-CA"/>
              </w:rPr>
              <w:t>facility specific terms</w:t>
            </w:r>
            <w:r w:rsidRPr="00E36FD2">
              <w:rPr>
                <w:rFonts w:cs="Arial"/>
                <w:sz w:val="19"/>
                <w:szCs w:val="19"/>
                <w:lang w:eastAsia="fr-CA"/>
              </w:rPr>
              <w:t xml:space="preserve"> to incorporate procedures regulating use of these systems.</w:t>
            </w:r>
          </w:p>
        </w:tc>
      </w:tr>
      <w:tr w:rsidR="001C729B" w:rsidRPr="00E36FD2" w14:paraId="2DA8C82D" w14:textId="77777777" w:rsidTr="00EC1759">
        <w:trPr>
          <w:cnfStyle w:val="000000010000" w:firstRow="0" w:lastRow="0" w:firstColumn="0" w:lastColumn="0" w:oddVBand="0" w:evenVBand="0" w:oddHBand="0" w:evenHBand="1" w:firstRowFirstColumn="0" w:firstRowLastColumn="0" w:lastRowFirstColumn="0" w:lastRowLastColumn="0"/>
          <w:cantSplit/>
        </w:trPr>
        <w:tc>
          <w:tcPr>
            <w:tcW w:w="261" w:type="pct"/>
          </w:tcPr>
          <w:p w14:paraId="5D844B6C" w14:textId="77777777" w:rsidR="001C729B" w:rsidRPr="00E36FD2" w:rsidRDefault="001C729B" w:rsidP="00053FEC">
            <w:pPr>
              <w:spacing w:before="80" w:after="80" w:line="252" w:lineRule="auto"/>
              <w:ind w:left="74" w:right="74"/>
              <w:rPr>
                <w:rFonts w:cs="Arial"/>
                <w:sz w:val="19"/>
                <w:szCs w:val="19"/>
                <w:lang w:eastAsia="fr-CA"/>
              </w:rPr>
            </w:pPr>
            <w:r w:rsidRPr="00E36FD2">
              <w:rPr>
                <w:rFonts w:cs="Arial"/>
                <w:sz w:val="19"/>
                <w:szCs w:val="19"/>
                <w:lang w:eastAsia="fr-CA"/>
              </w:rPr>
              <w:t>14</w:t>
            </w:r>
          </w:p>
        </w:tc>
        <w:tc>
          <w:tcPr>
            <w:tcW w:w="725" w:type="pct"/>
          </w:tcPr>
          <w:p w14:paraId="374E5869" w14:textId="77777777" w:rsidR="001C729B" w:rsidRPr="00E36FD2" w:rsidRDefault="001C729B" w:rsidP="00053FEC">
            <w:pPr>
              <w:spacing w:before="80" w:after="80" w:line="252" w:lineRule="auto"/>
              <w:ind w:left="74" w:right="74"/>
              <w:rPr>
                <w:rFonts w:cs="Arial"/>
                <w:sz w:val="19"/>
                <w:szCs w:val="19"/>
                <w:lang w:eastAsia="fr-CA"/>
              </w:rPr>
            </w:pPr>
            <w:r w:rsidRPr="00E36FD2">
              <w:rPr>
                <w:rFonts w:cs="Arial"/>
                <w:sz w:val="19"/>
                <w:szCs w:val="19"/>
                <w:lang w:eastAsia="fr-CA"/>
              </w:rPr>
              <w:t>Compression Services</w:t>
            </w:r>
          </w:p>
        </w:tc>
        <w:tc>
          <w:tcPr>
            <w:tcW w:w="4013" w:type="pct"/>
          </w:tcPr>
          <w:p w14:paraId="53A27661" w14:textId="1B172A39" w:rsidR="001C729B" w:rsidRPr="00E36FD2" w:rsidRDefault="001C729B" w:rsidP="00053FEC">
            <w:pPr>
              <w:keepNext/>
              <w:tabs>
                <w:tab w:val="left" w:pos="720"/>
              </w:tabs>
              <w:spacing w:before="80" w:after="80" w:line="252" w:lineRule="auto"/>
              <w:ind w:left="109"/>
              <w:rPr>
                <w:rFonts w:cs="Arial"/>
                <w:sz w:val="19"/>
                <w:szCs w:val="19"/>
                <w:lang w:eastAsia="fr-CA"/>
              </w:rPr>
            </w:pPr>
            <w:r w:rsidRPr="00E36FD2">
              <w:rPr>
                <w:rFonts w:cs="Arial"/>
                <w:sz w:val="19"/>
                <w:szCs w:val="19"/>
                <w:lang w:eastAsia="fr-CA"/>
              </w:rPr>
              <w:t>In the case of certain pipelines</w:t>
            </w:r>
            <w:r w:rsidR="002363C2" w:rsidRPr="00E36FD2">
              <w:rPr>
                <w:rFonts w:cs="Arial"/>
                <w:sz w:val="19"/>
                <w:szCs w:val="19"/>
                <w:lang w:eastAsia="fr-CA"/>
              </w:rPr>
              <w:t>,</w:t>
            </w:r>
            <w:r w:rsidRPr="00E36FD2">
              <w:rPr>
                <w:rFonts w:cs="Arial"/>
                <w:sz w:val="19"/>
                <w:szCs w:val="19"/>
                <w:lang w:eastAsia="fr-CA"/>
              </w:rPr>
              <w:t xml:space="preserve"> a compression service is coupled with a Firm Service so as to enable the delivery of gas (particularly into a second pipeline).</w:t>
            </w:r>
            <w:r w:rsidR="00C05A16" w:rsidRPr="00E36FD2">
              <w:rPr>
                <w:rFonts w:cs="Arial"/>
                <w:sz w:val="19"/>
                <w:szCs w:val="19"/>
                <w:lang w:eastAsia="fr-CA"/>
              </w:rPr>
              <w:t xml:space="preserve"> </w:t>
            </w:r>
            <w:r w:rsidRPr="00E36FD2">
              <w:rPr>
                <w:rFonts w:cs="Arial"/>
                <w:sz w:val="19"/>
                <w:szCs w:val="19"/>
                <w:lang w:eastAsia="fr-CA"/>
              </w:rPr>
              <w:t xml:space="preserve">It is contemplated that Firm Service Products will be traded both with and without a Compression Service attached.  Where a Compression Service is acquired with the Firm Service Product, the terms upon which it is supplied will be set out in the </w:t>
            </w:r>
            <w:r w:rsidR="0009208D" w:rsidRPr="00E36FD2">
              <w:rPr>
                <w:rFonts w:cs="Arial"/>
                <w:sz w:val="19"/>
                <w:szCs w:val="19"/>
                <w:lang w:eastAsia="fr-CA"/>
              </w:rPr>
              <w:t>facility s</w:t>
            </w:r>
            <w:r w:rsidRPr="00E36FD2">
              <w:rPr>
                <w:rFonts w:cs="Arial"/>
                <w:sz w:val="19"/>
                <w:szCs w:val="19"/>
                <w:lang w:eastAsia="fr-CA"/>
              </w:rPr>
              <w:t xml:space="preserve">pecific </w:t>
            </w:r>
            <w:r w:rsidR="0009208D" w:rsidRPr="00E36FD2">
              <w:rPr>
                <w:rFonts w:cs="Arial"/>
                <w:sz w:val="19"/>
                <w:szCs w:val="19"/>
                <w:lang w:eastAsia="fr-CA"/>
              </w:rPr>
              <w:t>t</w:t>
            </w:r>
            <w:r w:rsidRPr="00E36FD2">
              <w:rPr>
                <w:rFonts w:cs="Arial"/>
                <w:sz w:val="19"/>
                <w:szCs w:val="19"/>
                <w:lang w:eastAsia="fr-CA"/>
              </w:rPr>
              <w:t xml:space="preserve">erms. </w:t>
            </w:r>
          </w:p>
          <w:p w14:paraId="1AA456F5" w14:textId="77777777" w:rsidR="001C729B" w:rsidRPr="00E36FD2" w:rsidRDefault="001C729B" w:rsidP="00053FEC">
            <w:pPr>
              <w:keepNext/>
              <w:tabs>
                <w:tab w:val="left" w:pos="720"/>
              </w:tabs>
              <w:spacing w:before="80" w:after="80" w:line="252" w:lineRule="auto"/>
              <w:ind w:left="109"/>
              <w:rPr>
                <w:rFonts w:cs="Arial"/>
                <w:sz w:val="19"/>
                <w:szCs w:val="19"/>
                <w:lang w:eastAsia="fr-CA"/>
              </w:rPr>
            </w:pPr>
            <w:r w:rsidRPr="00E36FD2">
              <w:rPr>
                <w:rFonts w:cs="Arial"/>
                <w:sz w:val="19"/>
                <w:szCs w:val="19"/>
                <w:lang w:eastAsia="fr-CA"/>
              </w:rPr>
              <w:t>There is also a second form of compression service which may be offered in the market.  This is a service offered by a facility owner who operates a compressor and provides the distinct service of compressing gas (independent of any transportation component).  It is proposed that separate principles and terms will regulate the provision of these stand</w:t>
            </w:r>
            <w:r w:rsidR="002363C2" w:rsidRPr="00E36FD2">
              <w:rPr>
                <w:rFonts w:cs="Arial"/>
                <w:sz w:val="19"/>
                <w:szCs w:val="19"/>
                <w:lang w:eastAsia="fr-CA"/>
              </w:rPr>
              <w:t>-</w:t>
            </w:r>
            <w:r w:rsidRPr="00E36FD2">
              <w:rPr>
                <w:rFonts w:cs="Arial"/>
                <w:sz w:val="19"/>
                <w:szCs w:val="19"/>
                <w:lang w:eastAsia="fr-CA"/>
              </w:rPr>
              <w:t xml:space="preserve">alone compression services, though they will be based on the same concepts as the terms </w:t>
            </w:r>
            <w:r w:rsidR="002363C2" w:rsidRPr="00E36FD2">
              <w:rPr>
                <w:rFonts w:cs="Arial"/>
                <w:sz w:val="19"/>
                <w:szCs w:val="19"/>
                <w:lang w:eastAsia="fr-CA"/>
              </w:rPr>
              <w:t>that</w:t>
            </w:r>
            <w:r w:rsidRPr="00E36FD2">
              <w:rPr>
                <w:rFonts w:cs="Arial"/>
                <w:sz w:val="19"/>
                <w:szCs w:val="19"/>
                <w:lang w:eastAsia="fr-CA"/>
              </w:rPr>
              <w:t xml:space="preserve"> govern transportation services.</w:t>
            </w:r>
          </w:p>
        </w:tc>
      </w:tr>
      <w:tr w:rsidR="001C729B" w:rsidRPr="00E36FD2" w14:paraId="0B733534" w14:textId="77777777" w:rsidTr="00EC1759">
        <w:trPr>
          <w:cantSplit/>
        </w:trPr>
        <w:tc>
          <w:tcPr>
            <w:tcW w:w="261" w:type="pct"/>
          </w:tcPr>
          <w:p w14:paraId="3F1431A7" w14:textId="77777777" w:rsidR="001C729B" w:rsidRPr="00E36FD2" w:rsidRDefault="001C729B" w:rsidP="00053FEC">
            <w:pPr>
              <w:spacing w:before="80" w:after="120" w:line="252" w:lineRule="auto"/>
              <w:ind w:left="74" w:right="74"/>
              <w:jc w:val="center"/>
              <w:rPr>
                <w:rFonts w:cs="Arial"/>
                <w:sz w:val="19"/>
                <w:szCs w:val="19"/>
                <w:lang w:eastAsia="fr-CA"/>
              </w:rPr>
            </w:pPr>
            <w:r w:rsidRPr="00E36FD2">
              <w:rPr>
                <w:rFonts w:cs="Arial"/>
                <w:sz w:val="19"/>
                <w:szCs w:val="19"/>
                <w:lang w:eastAsia="fr-CA"/>
              </w:rPr>
              <w:t>15</w:t>
            </w:r>
          </w:p>
        </w:tc>
        <w:tc>
          <w:tcPr>
            <w:tcW w:w="725" w:type="pct"/>
          </w:tcPr>
          <w:p w14:paraId="04C19C34" w14:textId="77777777" w:rsidR="001C729B" w:rsidRPr="00E36FD2" w:rsidRDefault="001C729B" w:rsidP="00053FEC">
            <w:pPr>
              <w:spacing w:before="80" w:after="120" w:line="252" w:lineRule="auto"/>
              <w:ind w:left="74" w:right="74"/>
              <w:rPr>
                <w:rFonts w:cs="Arial"/>
                <w:sz w:val="19"/>
                <w:szCs w:val="19"/>
                <w:lang w:eastAsia="fr-CA"/>
              </w:rPr>
            </w:pPr>
            <w:r w:rsidRPr="00E36FD2">
              <w:rPr>
                <w:rFonts w:cs="Arial"/>
                <w:sz w:val="19"/>
                <w:szCs w:val="19"/>
                <w:lang w:eastAsia="fr-CA"/>
              </w:rPr>
              <w:t xml:space="preserve">Receipt and Delivery Points </w:t>
            </w:r>
          </w:p>
        </w:tc>
        <w:tc>
          <w:tcPr>
            <w:tcW w:w="4013" w:type="pct"/>
          </w:tcPr>
          <w:p w14:paraId="129223C7" w14:textId="0642369C" w:rsidR="001C729B" w:rsidRPr="00E36FD2" w:rsidRDefault="001C729B" w:rsidP="00053FEC">
            <w:pPr>
              <w:keepNext/>
              <w:tabs>
                <w:tab w:val="left" w:pos="720"/>
              </w:tabs>
              <w:spacing w:before="80" w:after="120" w:line="252" w:lineRule="auto"/>
              <w:ind w:left="109"/>
              <w:rPr>
                <w:rFonts w:cs="Arial"/>
                <w:sz w:val="19"/>
                <w:szCs w:val="19"/>
                <w:lang w:eastAsia="fr-CA"/>
              </w:rPr>
            </w:pPr>
            <w:r w:rsidRPr="00E36FD2">
              <w:rPr>
                <w:rFonts w:cs="Arial"/>
                <w:sz w:val="19"/>
                <w:szCs w:val="19"/>
                <w:lang w:eastAsia="fr-CA"/>
              </w:rPr>
              <w:t xml:space="preserve">The </w:t>
            </w:r>
            <w:r w:rsidR="00996004" w:rsidRPr="00E36FD2">
              <w:rPr>
                <w:rFonts w:cs="Arial"/>
                <w:sz w:val="19"/>
                <w:szCs w:val="19"/>
                <w:lang w:eastAsia="fr-CA"/>
              </w:rPr>
              <w:t>facility specific terms</w:t>
            </w:r>
            <w:r w:rsidRPr="00E36FD2">
              <w:rPr>
                <w:rFonts w:cs="Arial"/>
                <w:sz w:val="19"/>
                <w:szCs w:val="19"/>
                <w:lang w:eastAsia="fr-CA"/>
              </w:rPr>
              <w:t xml:space="preserve"> will need to set out each receipt point and delivery point of the </w:t>
            </w:r>
            <w:r w:rsidR="002363C2" w:rsidRPr="00E36FD2">
              <w:rPr>
                <w:rFonts w:cs="Arial"/>
                <w:sz w:val="19"/>
                <w:szCs w:val="19"/>
                <w:lang w:eastAsia="fr-CA"/>
              </w:rPr>
              <w:t>p</w:t>
            </w:r>
            <w:r w:rsidRPr="00E36FD2">
              <w:rPr>
                <w:rFonts w:cs="Arial"/>
                <w:sz w:val="19"/>
                <w:szCs w:val="19"/>
                <w:lang w:eastAsia="fr-CA"/>
              </w:rPr>
              <w:t>ipeline and key details in relation to these points.  These will include the capacity of the points, any third</w:t>
            </w:r>
            <w:r w:rsidR="00C05A16" w:rsidRPr="00E36FD2">
              <w:rPr>
                <w:rFonts w:cs="Arial"/>
                <w:sz w:val="19"/>
                <w:szCs w:val="19"/>
                <w:lang w:eastAsia="fr-CA"/>
              </w:rPr>
              <w:t>-</w:t>
            </w:r>
            <w:r w:rsidRPr="00E36FD2">
              <w:rPr>
                <w:rFonts w:cs="Arial"/>
                <w:sz w:val="19"/>
                <w:szCs w:val="19"/>
                <w:lang w:eastAsia="fr-CA"/>
              </w:rPr>
              <w:t>party consents required before they can be used and details of existing allocation agreements.</w:t>
            </w:r>
          </w:p>
        </w:tc>
      </w:tr>
    </w:tbl>
    <w:p w14:paraId="5DCCD04C" w14:textId="77777777" w:rsidR="0057020B" w:rsidRPr="0057020B" w:rsidRDefault="0057020B" w:rsidP="0057020B">
      <w:pPr>
        <w:tabs>
          <w:tab w:val="left" w:pos="2268"/>
          <w:tab w:val="left" w:pos="4536"/>
          <w:tab w:val="left" w:pos="6804"/>
          <w:tab w:val="right" w:pos="9638"/>
        </w:tabs>
        <w:spacing w:before="240" w:after="120"/>
        <w:sectPr w:rsidR="0057020B" w:rsidRPr="0057020B" w:rsidSect="00CF1252">
          <w:pgSz w:w="16839" w:h="11907" w:orient="landscape" w:code="9"/>
          <w:pgMar w:top="1361" w:right="1417" w:bottom="992" w:left="2268" w:header="567" w:footer="397" w:gutter="0"/>
          <w:cols w:space="708"/>
          <w:docGrid w:linePitch="360"/>
        </w:sectPr>
      </w:pPr>
    </w:p>
    <w:p w14:paraId="155FED98" w14:textId="65E9EC61" w:rsidR="0057020B" w:rsidRPr="0057020B" w:rsidRDefault="0057020B" w:rsidP="0057020B">
      <w:pPr>
        <w:tabs>
          <w:tab w:val="left" w:pos="2268"/>
          <w:tab w:val="left" w:pos="4536"/>
          <w:tab w:val="left" w:pos="6804"/>
          <w:tab w:val="right" w:pos="9638"/>
        </w:tabs>
        <w:spacing w:before="240" w:after="120"/>
      </w:pPr>
      <w:r w:rsidRPr="0057020B">
        <w:lastRenderedPageBreak/>
        <w:t xml:space="preserve">While feedback is sought on all aspects of the </w:t>
      </w:r>
      <w:r w:rsidR="00996004">
        <w:t>s</w:t>
      </w:r>
      <w:r w:rsidRPr="0057020B">
        <w:t xml:space="preserve">tandard </w:t>
      </w:r>
      <w:r w:rsidR="00996004">
        <w:t>t</w:t>
      </w:r>
      <w:r w:rsidRPr="0057020B">
        <w:t xml:space="preserve">erms and </w:t>
      </w:r>
      <w:r w:rsidR="00996004">
        <w:t>facility specific requirements</w:t>
      </w:r>
      <w:r w:rsidRPr="0057020B">
        <w:t>, consultation to date has indicated that the following areas raise the most complex, and com</w:t>
      </w:r>
      <w:r w:rsidR="00C05A16">
        <w:t>peting, policy considerations</w:t>
      </w:r>
      <w:r w:rsidRPr="0057020B">
        <w:t xml:space="preserve">: </w:t>
      </w:r>
    </w:p>
    <w:p w14:paraId="1C2AAEF9" w14:textId="2FA88C74" w:rsidR="0057020B" w:rsidRPr="0057020B" w:rsidRDefault="0057020B" w:rsidP="0057020B">
      <w:pPr>
        <w:numPr>
          <w:ilvl w:val="0"/>
          <w:numId w:val="12"/>
        </w:numPr>
        <w:spacing w:before="120" w:after="120"/>
        <w:ind w:left="357" w:hanging="357"/>
      </w:pPr>
      <w:r w:rsidRPr="0057020B">
        <w:t xml:space="preserve">the </w:t>
      </w:r>
      <w:r w:rsidR="00B13F44">
        <w:t xml:space="preserve">liability provisions relating to </w:t>
      </w:r>
      <w:r w:rsidR="00C05A16">
        <w:t>off-specification gas</w:t>
      </w:r>
      <w:r w:rsidRPr="0057020B">
        <w:t xml:space="preserve">; </w:t>
      </w:r>
    </w:p>
    <w:p w14:paraId="2C873643" w14:textId="77777777" w:rsidR="00704FD2" w:rsidRDefault="00704FD2" w:rsidP="0057020B">
      <w:pPr>
        <w:numPr>
          <w:ilvl w:val="0"/>
          <w:numId w:val="12"/>
        </w:numPr>
        <w:spacing w:before="120" w:after="120"/>
        <w:ind w:left="357" w:hanging="357"/>
      </w:pPr>
      <w:r>
        <w:t>the general liability provisions;</w:t>
      </w:r>
    </w:p>
    <w:p w14:paraId="5A397DD5" w14:textId="77777777" w:rsidR="0057020B" w:rsidRPr="0057020B" w:rsidRDefault="0057020B" w:rsidP="0057020B">
      <w:pPr>
        <w:numPr>
          <w:ilvl w:val="0"/>
          <w:numId w:val="12"/>
        </w:numPr>
        <w:spacing w:before="120" w:after="120"/>
        <w:ind w:left="357" w:hanging="357"/>
      </w:pPr>
      <w:r w:rsidRPr="0057020B">
        <w:t>the credit support requirements; and</w:t>
      </w:r>
    </w:p>
    <w:p w14:paraId="6A9D37E2" w14:textId="64F912F1" w:rsidR="0057020B" w:rsidRPr="0057020B" w:rsidRDefault="00704FD2" w:rsidP="0057020B">
      <w:pPr>
        <w:numPr>
          <w:ilvl w:val="0"/>
          <w:numId w:val="12"/>
        </w:numPr>
        <w:spacing w:before="120" w:after="120"/>
        <w:ind w:left="357" w:hanging="357"/>
      </w:pPr>
      <w:r>
        <w:t>curtailment processes</w:t>
      </w:r>
      <w:r w:rsidR="0057020B" w:rsidRPr="0057020B">
        <w:t>.</w:t>
      </w:r>
    </w:p>
    <w:p w14:paraId="461B9E83" w14:textId="77777777" w:rsidR="007F6614" w:rsidRDefault="007F6614" w:rsidP="0057020B">
      <w:pPr>
        <w:spacing w:before="120" w:after="120"/>
      </w:pPr>
      <w:r w:rsidRPr="0057020B">
        <w:t>Feedback is therefore particularly sought in respect of these areas</w:t>
      </w:r>
      <w:r>
        <w:t>.</w:t>
      </w:r>
      <w:r w:rsidRPr="0057020B">
        <w:t xml:space="preserve"> </w:t>
      </w:r>
    </w:p>
    <w:p w14:paraId="2C75BB56" w14:textId="25A78872" w:rsidR="0057020B" w:rsidRDefault="0057020B" w:rsidP="0057020B">
      <w:pPr>
        <w:spacing w:before="120" w:after="120"/>
      </w:pPr>
      <w:r w:rsidRPr="0057020B">
        <w:t>Further detail on these provisions is provided below.</w:t>
      </w:r>
    </w:p>
    <w:p w14:paraId="3BA08ABD" w14:textId="77777777" w:rsidR="0057020B" w:rsidRDefault="00C616AE" w:rsidP="00EC1759">
      <w:pPr>
        <w:pStyle w:val="Heading3"/>
      </w:pPr>
      <w:bookmarkStart w:id="69" w:name="_Ref492230014"/>
      <w:r>
        <w:t>Off-s</w:t>
      </w:r>
      <w:r w:rsidR="0057020B" w:rsidRPr="0057020B">
        <w:t xml:space="preserve">pecification </w:t>
      </w:r>
      <w:r>
        <w:t>g</w:t>
      </w:r>
      <w:r w:rsidR="0057020B" w:rsidRPr="0057020B">
        <w:t>as</w:t>
      </w:r>
      <w:r>
        <w:t xml:space="preserve"> provisions</w:t>
      </w:r>
      <w:bookmarkEnd w:id="69"/>
    </w:p>
    <w:p w14:paraId="18F74CDA" w14:textId="1441B233" w:rsidR="00C616AE" w:rsidRPr="0057020B" w:rsidRDefault="00C616AE" w:rsidP="00C616AE">
      <w:pPr>
        <w:tabs>
          <w:tab w:val="left" w:pos="2268"/>
          <w:tab w:val="left" w:pos="4536"/>
          <w:tab w:val="left" w:pos="6804"/>
          <w:tab w:val="right" w:pos="9638"/>
        </w:tabs>
        <w:spacing w:before="240" w:after="120"/>
      </w:pPr>
      <w:r>
        <w:t>The liability for o</w:t>
      </w:r>
      <w:r w:rsidRPr="0057020B">
        <w:t>ff-</w:t>
      </w:r>
      <w:r>
        <w:t>s</w:t>
      </w:r>
      <w:r w:rsidRPr="0057020B">
        <w:t xml:space="preserve">pecification gas has been dealt with separately </w:t>
      </w:r>
      <w:r>
        <w:t xml:space="preserve">from other forms of liability </w:t>
      </w:r>
      <w:r w:rsidRPr="0057020B">
        <w:t xml:space="preserve">in the </w:t>
      </w:r>
      <w:r w:rsidR="00996004">
        <w:t>standard terms</w:t>
      </w:r>
      <w:r>
        <w:t xml:space="preserve"> because the </w:t>
      </w:r>
      <w:r w:rsidRPr="0057020B">
        <w:t>supply of off-specification gas is seen as the event most likely to cause major physical damage to a pipeline</w:t>
      </w:r>
      <w:r w:rsidR="00053FEC">
        <w:t xml:space="preserve"> and other shippers’ facilities</w:t>
      </w:r>
      <w:r w:rsidRPr="0057020B">
        <w:t>.</w:t>
      </w:r>
      <w:r>
        <w:t xml:space="preserve"> A distinction has been drawn in </w:t>
      </w:r>
      <w:r w:rsidR="007F642D">
        <w:t xml:space="preserve">the </w:t>
      </w:r>
      <w:r w:rsidR="00996004">
        <w:t>standard terms</w:t>
      </w:r>
      <w:r w:rsidR="007F642D">
        <w:t xml:space="preserve"> </w:t>
      </w:r>
      <w:r>
        <w:t xml:space="preserve">between the secondary shipper’s and the service provider’s liability for off-specification gas. Further detail on these </w:t>
      </w:r>
      <w:r w:rsidR="007F642D">
        <w:t xml:space="preserve">provisions </w:t>
      </w:r>
      <w:r>
        <w:t>is provided below.</w:t>
      </w:r>
    </w:p>
    <w:p w14:paraId="624C1904" w14:textId="77777777" w:rsidR="007F25F1" w:rsidRPr="007F25F1" w:rsidRDefault="007F25F1" w:rsidP="007F25F1">
      <w:pPr>
        <w:pStyle w:val="Heading4"/>
      </w:pPr>
      <w:r>
        <w:t>Secondary shipper’s liability</w:t>
      </w:r>
    </w:p>
    <w:p w14:paraId="1C6895C8" w14:textId="1CEC7A4A" w:rsidR="0057020B" w:rsidRPr="0057020B" w:rsidRDefault="00C616AE" w:rsidP="0057020B">
      <w:pPr>
        <w:tabs>
          <w:tab w:val="left" w:pos="2268"/>
          <w:tab w:val="left" w:pos="4536"/>
          <w:tab w:val="left" w:pos="6804"/>
          <w:tab w:val="right" w:pos="9638"/>
        </w:tabs>
        <w:spacing w:before="240" w:after="120"/>
      </w:pPr>
      <w:r>
        <w:t xml:space="preserve">If </w:t>
      </w:r>
      <w:r>
        <w:rPr>
          <w:lang w:eastAsia="fr-CA"/>
        </w:rPr>
        <w:t xml:space="preserve">a </w:t>
      </w:r>
      <w:r w:rsidR="00211830">
        <w:rPr>
          <w:lang w:eastAsia="fr-CA"/>
        </w:rPr>
        <w:t xml:space="preserve">service provider </w:t>
      </w:r>
      <w:r w:rsidR="0057020B" w:rsidRPr="0057020B">
        <w:t xml:space="preserve">agrees to accept off-specification gas then, as the </w:t>
      </w:r>
      <w:r w:rsidR="00996004">
        <w:t>standard terms</w:t>
      </w:r>
      <w:r w:rsidR="0057020B" w:rsidRPr="0057020B">
        <w:t xml:space="preserve"> are currently drafted, </w:t>
      </w:r>
      <w:r w:rsidR="00211830">
        <w:t>the secondary shipper</w:t>
      </w:r>
      <w:r w:rsidR="0057020B" w:rsidRPr="0057020B">
        <w:t xml:space="preserve"> </w:t>
      </w:r>
      <w:r>
        <w:t xml:space="preserve">will </w:t>
      </w:r>
      <w:r w:rsidR="0057020B" w:rsidRPr="0057020B">
        <w:t xml:space="preserve">not </w:t>
      </w:r>
      <w:r>
        <w:t xml:space="preserve">be </w:t>
      </w:r>
      <w:r w:rsidR="0057020B" w:rsidRPr="0057020B">
        <w:t xml:space="preserve">liable for the supply of that gas.  The liability regime is therefore only relevant where </w:t>
      </w:r>
      <w:r w:rsidR="00211830">
        <w:t>the secondary shipper</w:t>
      </w:r>
      <w:r>
        <w:t xml:space="preserve"> supplies</w:t>
      </w:r>
      <w:r w:rsidR="0057020B" w:rsidRPr="0057020B">
        <w:t>:</w:t>
      </w:r>
    </w:p>
    <w:p w14:paraId="7346DFA3" w14:textId="71B43B98" w:rsidR="0057020B" w:rsidRPr="0057020B" w:rsidRDefault="0057020B" w:rsidP="0057020B">
      <w:pPr>
        <w:numPr>
          <w:ilvl w:val="0"/>
          <w:numId w:val="12"/>
        </w:numPr>
        <w:spacing w:before="120" w:after="120"/>
        <w:ind w:left="357" w:hanging="357"/>
      </w:pPr>
      <w:r w:rsidRPr="0057020B">
        <w:t xml:space="preserve">off-specification gas </w:t>
      </w:r>
      <w:r w:rsidR="007F6614">
        <w:t xml:space="preserve">that </w:t>
      </w:r>
      <w:r w:rsidR="00211830">
        <w:rPr>
          <w:lang w:eastAsia="fr-CA"/>
        </w:rPr>
        <w:t xml:space="preserve">the service provider </w:t>
      </w:r>
      <w:r w:rsidRPr="0057020B">
        <w:t xml:space="preserve">has not agreed to accept; or </w:t>
      </w:r>
    </w:p>
    <w:p w14:paraId="00FE6316" w14:textId="4665637C" w:rsidR="0057020B" w:rsidRPr="0057020B" w:rsidRDefault="0057020B" w:rsidP="0057020B">
      <w:pPr>
        <w:numPr>
          <w:ilvl w:val="0"/>
          <w:numId w:val="12"/>
        </w:numPr>
        <w:spacing w:before="120" w:after="120"/>
        <w:ind w:left="357" w:hanging="357"/>
      </w:pPr>
      <w:r w:rsidRPr="0057020B">
        <w:t xml:space="preserve">off-specification gas </w:t>
      </w:r>
      <w:r w:rsidR="007F6614">
        <w:t xml:space="preserve">that is </w:t>
      </w:r>
      <w:r w:rsidRPr="0057020B">
        <w:t xml:space="preserve">of a specification different to the specification </w:t>
      </w:r>
      <w:r w:rsidR="00211830">
        <w:rPr>
          <w:lang w:eastAsia="fr-CA"/>
        </w:rPr>
        <w:t xml:space="preserve">the service provider </w:t>
      </w:r>
      <w:r w:rsidRPr="0057020B">
        <w:t>has agreed to accept (i</w:t>
      </w:r>
      <w:r w:rsidR="00C616AE">
        <w:t>.</w:t>
      </w:r>
      <w:r w:rsidRPr="0057020B">
        <w:t>e</w:t>
      </w:r>
      <w:r w:rsidR="00C616AE">
        <w:t>.</w:t>
      </w:r>
      <w:r w:rsidRPr="0057020B">
        <w:t xml:space="preserve"> </w:t>
      </w:r>
      <w:r w:rsidR="00211830">
        <w:rPr>
          <w:lang w:eastAsia="fr-CA"/>
        </w:rPr>
        <w:t xml:space="preserve">the service provider </w:t>
      </w:r>
      <w:r w:rsidRPr="0057020B">
        <w:t>agree</w:t>
      </w:r>
      <w:r w:rsidR="007F6614">
        <w:t>d</w:t>
      </w:r>
      <w:r w:rsidRPr="0057020B">
        <w:t xml:space="preserve"> to accept off-specification gas but </w:t>
      </w:r>
      <w:r w:rsidR="00211830">
        <w:t>the secondary shipper</w:t>
      </w:r>
      <w:r w:rsidRPr="0057020B">
        <w:t xml:space="preserve"> has supplied gas outside of the parameters </w:t>
      </w:r>
      <w:r w:rsidR="00211830">
        <w:rPr>
          <w:lang w:eastAsia="fr-CA"/>
        </w:rPr>
        <w:t xml:space="preserve">the service provider </w:t>
      </w:r>
      <w:r w:rsidRPr="0057020B">
        <w:t>agreed to accept).</w:t>
      </w:r>
    </w:p>
    <w:p w14:paraId="3A2BE1A3" w14:textId="0B8F0544" w:rsidR="0057020B" w:rsidRPr="0057020B" w:rsidRDefault="0057020B" w:rsidP="0057020B">
      <w:pPr>
        <w:tabs>
          <w:tab w:val="left" w:pos="2268"/>
          <w:tab w:val="left" w:pos="4536"/>
          <w:tab w:val="left" w:pos="6804"/>
          <w:tab w:val="right" w:pos="9638"/>
        </w:tabs>
        <w:spacing w:before="240" w:after="120"/>
      </w:pPr>
      <w:r w:rsidRPr="0057020B">
        <w:t>Under the regime</w:t>
      </w:r>
      <w:r w:rsidR="00C616AE">
        <w:t xml:space="preserve"> that is currently set out in the </w:t>
      </w:r>
      <w:r w:rsidR="00996004">
        <w:t>standard terms</w:t>
      </w:r>
      <w:r w:rsidR="00C616AE">
        <w:t>,</w:t>
      </w:r>
      <w:r w:rsidRPr="0057020B">
        <w:t xml:space="preserve"> </w:t>
      </w:r>
      <w:r w:rsidR="00211830">
        <w:t>the secondary shipper</w:t>
      </w:r>
      <w:r w:rsidRPr="0057020B">
        <w:t xml:space="preserve"> </w:t>
      </w:r>
      <w:r w:rsidR="00C616AE">
        <w:t xml:space="preserve">will be </w:t>
      </w:r>
      <w:r w:rsidRPr="0057020B">
        <w:t xml:space="preserve">liable for all loss </w:t>
      </w:r>
      <w:r w:rsidR="00211830">
        <w:rPr>
          <w:lang w:eastAsia="fr-CA"/>
        </w:rPr>
        <w:t xml:space="preserve">the service provider </w:t>
      </w:r>
      <w:r w:rsidRPr="0057020B">
        <w:t xml:space="preserve">suffers, other than </w:t>
      </w:r>
      <w:r w:rsidR="00C616AE">
        <w:t xml:space="preserve">the </w:t>
      </w:r>
      <w:r w:rsidRPr="0057020B">
        <w:t xml:space="preserve">loss </w:t>
      </w:r>
      <w:r w:rsidR="00C616AE">
        <w:t xml:space="preserve">the service provider </w:t>
      </w:r>
      <w:r w:rsidRPr="0057020B">
        <w:t xml:space="preserve">would have avoided had it acted as a reasonable and prudent operator.  </w:t>
      </w:r>
      <w:r w:rsidR="00C616AE">
        <w:t xml:space="preserve">The regime also states that </w:t>
      </w:r>
      <w:r w:rsidRPr="0057020B">
        <w:t xml:space="preserve">where gas is supplied in a common stream, </w:t>
      </w:r>
      <w:r w:rsidR="00211830">
        <w:t>the secondary shipper</w:t>
      </w:r>
      <w:r w:rsidRPr="0057020B">
        <w:t xml:space="preserve"> is only liable for a pro-rata portion of</w:t>
      </w:r>
      <w:r w:rsidRPr="0057020B">
        <w:rPr>
          <w:lang w:eastAsia="fr-CA"/>
        </w:rPr>
        <w:t xml:space="preserve"> </w:t>
      </w:r>
      <w:r w:rsidR="00211830">
        <w:rPr>
          <w:lang w:eastAsia="fr-CA"/>
        </w:rPr>
        <w:t>the s</w:t>
      </w:r>
      <w:r w:rsidRPr="0057020B">
        <w:rPr>
          <w:lang w:eastAsia="fr-CA"/>
        </w:rPr>
        <w:t xml:space="preserve">ervice </w:t>
      </w:r>
      <w:r w:rsidR="00211830">
        <w:rPr>
          <w:lang w:eastAsia="fr-CA"/>
        </w:rPr>
        <w:t>p</w:t>
      </w:r>
      <w:r w:rsidRPr="0057020B">
        <w:rPr>
          <w:lang w:eastAsia="fr-CA"/>
        </w:rPr>
        <w:t>rovider</w:t>
      </w:r>
      <w:r w:rsidRPr="0057020B">
        <w:t xml:space="preserve">’s losses. </w:t>
      </w:r>
    </w:p>
    <w:p w14:paraId="407C0F38" w14:textId="77777777" w:rsidR="0057020B" w:rsidRPr="0057020B" w:rsidRDefault="00C616AE" w:rsidP="0057020B">
      <w:pPr>
        <w:tabs>
          <w:tab w:val="left" w:pos="2268"/>
          <w:tab w:val="left" w:pos="4536"/>
          <w:tab w:val="left" w:pos="6804"/>
          <w:tab w:val="right" w:pos="9638"/>
        </w:tabs>
        <w:spacing w:before="240" w:after="120"/>
      </w:pPr>
      <w:r>
        <w:t xml:space="preserve">Some of the other </w:t>
      </w:r>
      <w:r w:rsidR="0057020B" w:rsidRPr="0057020B">
        <w:t xml:space="preserve">regimes </w:t>
      </w:r>
      <w:r>
        <w:t>that were discussed in the Standardisation project team include</w:t>
      </w:r>
      <w:r w:rsidR="0057020B" w:rsidRPr="0057020B">
        <w:t>:</w:t>
      </w:r>
    </w:p>
    <w:p w14:paraId="7260B6F3" w14:textId="77777777" w:rsidR="0057020B" w:rsidRPr="0057020B" w:rsidRDefault="00C616AE" w:rsidP="0057020B">
      <w:pPr>
        <w:numPr>
          <w:ilvl w:val="0"/>
          <w:numId w:val="12"/>
        </w:numPr>
        <w:spacing w:before="120" w:after="120"/>
        <w:ind w:left="357" w:hanging="357"/>
      </w:pPr>
      <w:r>
        <w:t>making the secondary shipper</w:t>
      </w:r>
      <w:r w:rsidRPr="0057020B">
        <w:t xml:space="preserve"> </w:t>
      </w:r>
      <w:r w:rsidR="0057020B" w:rsidRPr="0057020B">
        <w:t>liable for</w:t>
      </w:r>
      <w:r w:rsidR="0057020B" w:rsidRPr="0057020B">
        <w:rPr>
          <w:lang w:eastAsia="fr-CA"/>
        </w:rPr>
        <w:t xml:space="preserve"> </w:t>
      </w:r>
      <w:r w:rsidR="00211830">
        <w:rPr>
          <w:lang w:eastAsia="fr-CA"/>
        </w:rPr>
        <w:t>the s</w:t>
      </w:r>
      <w:r w:rsidR="0057020B" w:rsidRPr="0057020B">
        <w:rPr>
          <w:lang w:eastAsia="fr-CA"/>
        </w:rPr>
        <w:t xml:space="preserve">ervice </w:t>
      </w:r>
      <w:r w:rsidR="00211830">
        <w:rPr>
          <w:lang w:eastAsia="fr-CA"/>
        </w:rPr>
        <w:t>p</w:t>
      </w:r>
      <w:r w:rsidR="0057020B" w:rsidRPr="0057020B">
        <w:rPr>
          <w:lang w:eastAsia="fr-CA"/>
        </w:rPr>
        <w:t>rovider</w:t>
      </w:r>
      <w:r w:rsidR="0057020B" w:rsidRPr="0057020B">
        <w:t xml:space="preserve">’s losses up to a monetary cap; or </w:t>
      </w:r>
    </w:p>
    <w:p w14:paraId="03577FCB" w14:textId="25EF4D15" w:rsidR="0057020B" w:rsidRPr="0057020B" w:rsidRDefault="00C616AE" w:rsidP="0057020B">
      <w:pPr>
        <w:numPr>
          <w:ilvl w:val="0"/>
          <w:numId w:val="12"/>
        </w:numPr>
        <w:spacing w:before="120" w:after="120"/>
        <w:ind w:left="357" w:hanging="357"/>
      </w:pPr>
      <w:proofErr w:type="gramStart"/>
      <w:r>
        <w:t>making</w:t>
      </w:r>
      <w:proofErr w:type="gramEnd"/>
      <w:r>
        <w:t xml:space="preserve"> the secondary shipper </w:t>
      </w:r>
      <w:r w:rsidR="0057020B" w:rsidRPr="0057020B">
        <w:t>liable for</w:t>
      </w:r>
      <w:r w:rsidR="0057020B" w:rsidRPr="0057020B">
        <w:rPr>
          <w:lang w:eastAsia="fr-CA"/>
        </w:rPr>
        <w:t xml:space="preserve"> </w:t>
      </w:r>
      <w:r w:rsidR="00211830">
        <w:rPr>
          <w:lang w:eastAsia="fr-CA"/>
        </w:rPr>
        <w:t>the s</w:t>
      </w:r>
      <w:r w:rsidR="0057020B" w:rsidRPr="0057020B">
        <w:rPr>
          <w:lang w:eastAsia="fr-CA"/>
        </w:rPr>
        <w:t xml:space="preserve">ervice </w:t>
      </w:r>
      <w:r w:rsidR="00211830">
        <w:rPr>
          <w:lang w:eastAsia="fr-CA"/>
        </w:rPr>
        <w:t>p</w:t>
      </w:r>
      <w:r w:rsidR="0057020B" w:rsidRPr="0057020B">
        <w:rPr>
          <w:lang w:eastAsia="fr-CA"/>
        </w:rPr>
        <w:t>rovider</w:t>
      </w:r>
      <w:r w:rsidR="0057020B" w:rsidRPr="0057020B">
        <w:t xml:space="preserve">’s direct losses but not liable for losses </w:t>
      </w:r>
      <w:r w:rsidR="007F6614">
        <w:t xml:space="preserve">that </w:t>
      </w:r>
      <w:r w:rsidR="0057020B" w:rsidRPr="0057020B">
        <w:t>might be considered consequential – in particular loss of profits.</w:t>
      </w:r>
    </w:p>
    <w:p w14:paraId="4ECE376E" w14:textId="6A3AFB10" w:rsidR="0057020B" w:rsidRPr="0057020B" w:rsidRDefault="0057020B" w:rsidP="0057020B">
      <w:pPr>
        <w:tabs>
          <w:tab w:val="left" w:pos="2268"/>
          <w:tab w:val="left" w:pos="4536"/>
          <w:tab w:val="left" w:pos="6804"/>
          <w:tab w:val="right" w:pos="9638"/>
        </w:tabs>
        <w:spacing w:before="240" w:after="120"/>
      </w:pPr>
      <w:r w:rsidRPr="0057020B">
        <w:t>In this respect</w:t>
      </w:r>
      <w:r w:rsidR="00C616AE">
        <w:t>,</w:t>
      </w:r>
      <w:r w:rsidRPr="0057020B">
        <w:t xml:space="preserve"> it is </w:t>
      </w:r>
      <w:r w:rsidR="00C616AE">
        <w:t xml:space="preserve">worth noting that in </w:t>
      </w:r>
      <w:r w:rsidRPr="0057020B">
        <w:t xml:space="preserve">the </w:t>
      </w:r>
      <w:r w:rsidR="00C616AE">
        <w:t xml:space="preserve">2012-17 AA for </w:t>
      </w:r>
      <w:r w:rsidR="007F6614">
        <w:t xml:space="preserve">the </w:t>
      </w:r>
      <w:r w:rsidR="00C616AE" w:rsidRPr="0057020B">
        <w:t xml:space="preserve">Roma Brisbane Pipeline </w:t>
      </w:r>
      <w:r w:rsidR="00C616AE">
        <w:t>(RBP)</w:t>
      </w:r>
      <w:r w:rsidR="007F6614">
        <w:t xml:space="preserve"> that was approved by the AER</w:t>
      </w:r>
      <w:r w:rsidR="00C616AE">
        <w:t xml:space="preserve">, </w:t>
      </w:r>
      <w:r w:rsidRPr="0057020B">
        <w:t xml:space="preserve">there is no exclusion of consequential loss liability </w:t>
      </w:r>
      <w:r w:rsidRPr="0057020B">
        <w:lastRenderedPageBreak/>
        <w:t xml:space="preserve">where </w:t>
      </w:r>
      <w:r w:rsidR="00211830">
        <w:t>the shipper</w:t>
      </w:r>
      <w:r w:rsidRPr="0057020B">
        <w:t xml:space="preserve"> supplies off-specification gas.  There is also no exclusion of liability under the </w:t>
      </w:r>
      <w:r w:rsidR="005663EA">
        <w:t xml:space="preserve">AA </w:t>
      </w:r>
      <w:r w:rsidRPr="0057020B">
        <w:t>for the Dampier to Bunbury Pipeline</w:t>
      </w:r>
      <w:r w:rsidR="002363C2">
        <w:t xml:space="preserve"> (DBP)</w:t>
      </w:r>
      <w:r w:rsidR="00C616AE">
        <w:t xml:space="preserve"> that was approved by the ERA</w:t>
      </w:r>
      <w:r w:rsidRPr="0057020B">
        <w:t xml:space="preserve">. </w:t>
      </w:r>
      <w:r w:rsidR="00C616AE">
        <w:t xml:space="preserve"> In contrast to these AAs, </w:t>
      </w:r>
      <w:r w:rsidRPr="0057020B">
        <w:t xml:space="preserve">the </w:t>
      </w:r>
      <w:r w:rsidR="005663EA">
        <w:t xml:space="preserve">AA </w:t>
      </w:r>
      <w:r w:rsidRPr="0057020B">
        <w:t xml:space="preserve">for the Amadeus </w:t>
      </w:r>
      <w:r w:rsidR="00EC1BAD">
        <w:t xml:space="preserve">to Darwin </w:t>
      </w:r>
      <w:r w:rsidRPr="0057020B">
        <w:t>Pipeline</w:t>
      </w:r>
      <w:r w:rsidR="00EC1BAD">
        <w:t>, which was approved by the AER in 2016</w:t>
      </w:r>
      <w:r w:rsidR="007F6614">
        <w:t>,</w:t>
      </w:r>
      <w:r w:rsidR="00EC1BAD">
        <w:t xml:space="preserve"> states that</w:t>
      </w:r>
      <w:r w:rsidRPr="0057020B">
        <w:t xml:space="preserve"> the </w:t>
      </w:r>
      <w:r w:rsidR="00211830">
        <w:t>shipper</w:t>
      </w:r>
      <w:r w:rsidRPr="0057020B">
        <w:t xml:space="preserve"> is not</w:t>
      </w:r>
      <w:r w:rsidR="00CC2039">
        <w:t>, except in limited circumstances,</w:t>
      </w:r>
      <w:r w:rsidRPr="0057020B">
        <w:t xml:space="preserve"> liable for consequential losses</w:t>
      </w:r>
      <w:r w:rsidR="00CC2039">
        <w:t xml:space="preserve">, which exclusion appears to have the effect the shipper is not liable for consequential loss </w:t>
      </w:r>
      <w:r w:rsidRPr="0057020B">
        <w:t>caused by the supply of off-specification gas.</w:t>
      </w:r>
      <w:r w:rsidR="00CC2039" w:rsidRPr="00CC2039">
        <w:rPr>
          <w:rStyle w:val="FootnoteReference"/>
        </w:rPr>
        <w:t xml:space="preserve"> </w:t>
      </w:r>
      <w:r w:rsidR="00CC2039">
        <w:rPr>
          <w:rStyle w:val="FootnoteReference"/>
        </w:rPr>
        <w:footnoteReference w:id="30"/>
      </w:r>
    </w:p>
    <w:p w14:paraId="58316900" w14:textId="6C676557" w:rsidR="0057020B" w:rsidRPr="0057020B" w:rsidRDefault="00EC1BAD" w:rsidP="00EC1BAD">
      <w:pPr>
        <w:tabs>
          <w:tab w:val="left" w:pos="2268"/>
          <w:tab w:val="left" w:pos="4536"/>
          <w:tab w:val="left" w:pos="6804"/>
          <w:tab w:val="right" w:pos="9638"/>
        </w:tabs>
        <w:spacing w:before="240" w:after="120"/>
      </w:pPr>
      <w:r>
        <w:t xml:space="preserve">This issue was debated at length by the Standardisation project team. On one side of the debate were service provider representatives who stated that </w:t>
      </w:r>
      <w:r w:rsidR="00211830">
        <w:t>secondary shipper</w:t>
      </w:r>
      <w:r>
        <w:t>s should be</w:t>
      </w:r>
      <w:r w:rsidR="0057020B" w:rsidRPr="0057020B">
        <w:t xml:space="preserve"> liable for all </w:t>
      </w:r>
      <w:r>
        <w:t xml:space="preserve">the </w:t>
      </w:r>
      <w:r w:rsidR="0057020B" w:rsidRPr="0057020B">
        <w:t xml:space="preserve">loss </w:t>
      </w:r>
      <w:r w:rsidR="00211830">
        <w:rPr>
          <w:lang w:eastAsia="fr-CA"/>
        </w:rPr>
        <w:t xml:space="preserve">the service provider </w:t>
      </w:r>
      <w:r w:rsidR="0057020B" w:rsidRPr="0057020B">
        <w:t>suffers due to the supply of off-specification gas</w:t>
      </w:r>
      <w:r>
        <w:t xml:space="preserve"> (</w:t>
      </w:r>
      <w:r w:rsidR="0057020B" w:rsidRPr="0057020B">
        <w:t xml:space="preserve">except to the extent </w:t>
      </w:r>
      <w:r w:rsidR="00211830">
        <w:rPr>
          <w:lang w:eastAsia="fr-CA"/>
        </w:rPr>
        <w:t xml:space="preserve">the service provider </w:t>
      </w:r>
      <w:r w:rsidR="0057020B" w:rsidRPr="0057020B">
        <w:t>acting reasonably could have avoided that loss</w:t>
      </w:r>
      <w:r>
        <w:t>) because t</w:t>
      </w:r>
      <w:r w:rsidR="00211830">
        <w:rPr>
          <w:lang w:eastAsia="fr-CA"/>
        </w:rPr>
        <w:t xml:space="preserve">he service provider </w:t>
      </w:r>
      <w:r w:rsidR="0057020B" w:rsidRPr="0057020B">
        <w:t xml:space="preserve">does not control the quality of gas delivered </w:t>
      </w:r>
      <w:r>
        <w:t>into the pipeline.</w:t>
      </w:r>
      <w:r w:rsidR="0057020B" w:rsidRPr="0057020B">
        <w:t xml:space="preserve">  </w:t>
      </w:r>
      <w:r>
        <w:t>On the</w:t>
      </w:r>
      <w:r w:rsidR="00E87773">
        <w:t xml:space="preserve"> othe</w:t>
      </w:r>
      <w:r w:rsidR="00817F19">
        <w:t>r</w:t>
      </w:r>
      <w:r>
        <w:t xml:space="preserve"> side of the debate were shippers, who </w:t>
      </w:r>
      <w:r w:rsidR="007F6614">
        <w:t xml:space="preserve">noted </w:t>
      </w:r>
      <w:r>
        <w:t xml:space="preserve">that </w:t>
      </w:r>
      <w:r w:rsidR="0057020B" w:rsidRPr="0057020B">
        <w:t xml:space="preserve">service providers </w:t>
      </w:r>
      <w:r>
        <w:t xml:space="preserve">tend to </w:t>
      </w:r>
      <w:r w:rsidR="0057020B" w:rsidRPr="0057020B">
        <w:t xml:space="preserve">limit their liability to shippers </w:t>
      </w:r>
      <w:r>
        <w:t xml:space="preserve">for consequential losses, so their liability should also be </w:t>
      </w:r>
      <w:r w:rsidR="0057020B" w:rsidRPr="0057020B">
        <w:t>limited to some degree</w:t>
      </w:r>
      <w:r>
        <w:t>.</w:t>
      </w:r>
    </w:p>
    <w:p w14:paraId="7A96105E" w14:textId="153CE28A" w:rsidR="0057020B" w:rsidRPr="0057020B" w:rsidRDefault="00EC1BAD" w:rsidP="0057020B">
      <w:pPr>
        <w:tabs>
          <w:tab w:val="left" w:pos="2268"/>
          <w:tab w:val="left" w:pos="4536"/>
          <w:tab w:val="left" w:pos="6804"/>
          <w:tab w:val="right" w:pos="9638"/>
        </w:tabs>
        <w:spacing w:before="240" w:after="120"/>
      </w:pPr>
      <w:r>
        <w:t xml:space="preserve">Service provider representatives also claimed </w:t>
      </w:r>
      <w:r w:rsidR="0057020B" w:rsidRPr="0057020B">
        <w:t>that shippers can back</w:t>
      </w:r>
      <w:r>
        <w:t>-</w:t>
      </w:r>
      <w:r w:rsidR="0057020B" w:rsidRPr="0057020B">
        <w:t>to</w:t>
      </w:r>
      <w:r>
        <w:t>-</w:t>
      </w:r>
      <w:r w:rsidR="0057020B" w:rsidRPr="0057020B">
        <w:t>back any liability that they have to service providers with their gas supplier.  However</w:t>
      </w:r>
      <w:r>
        <w:t>,</w:t>
      </w:r>
      <w:r w:rsidR="0057020B" w:rsidRPr="0057020B">
        <w:t xml:space="preserve"> </w:t>
      </w:r>
      <w:r w:rsidR="007F6614">
        <w:t xml:space="preserve">the GMRG understands that </w:t>
      </w:r>
      <w:r>
        <w:t xml:space="preserve">in practice this does not occur because shippers tend to have very little bargaining power in negotiations with </w:t>
      </w:r>
      <w:r w:rsidR="0057020B" w:rsidRPr="0057020B">
        <w:t xml:space="preserve">gas producers.  </w:t>
      </w:r>
      <w:r>
        <w:t xml:space="preserve">So </w:t>
      </w:r>
      <w:r w:rsidR="0057020B" w:rsidRPr="0057020B">
        <w:t xml:space="preserve">shippers </w:t>
      </w:r>
      <w:r>
        <w:t xml:space="preserve">generally </w:t>
      </w:r>
      <w:r w:rsidR="0057020B" w:rsidRPr="0057020B">
        <w:t xml:space="preserve">find themselves caught between </w:t>
      </w:r>
      <w:r w:rsidR="002363C2">
        <w:t>service providers</w:t>
      </w:r>
      <w:r w:rsidR="0057020B" w:rsidRPr="0057020B">
        <w:t xml:space="preserve"> who require uncapped indemnities and producers who are willing to take only a limited degree of liability, and certainly no liability beyond direct losses. </w:t>
      </w:r>
    </w:p>
    <w:p w14:paraId="69FEF183" w14:textId="7A2BC839" w:rsidR="0057020B" w:rsidRPr="0057020B" w:rsidRDefault="00EC1BAD" w:rsidP="0057020B">
      <w:pPr>
        <w:tabs>
          <w:tab w:val="left" w:pos="2268"/>
          <w:tab w:val="left" w:pos="4536"/>
          <w:tab w:val="left" w:pos="6804"/>
          <w:tab w:val="right" w:pos="9638"/>
        </w:tabs>
        <w:spacing w:before="240" w:after="120"/>
      </w:pPr>
      <w:r>
        <w:t xml:space="preserve">Given the differences in views expressed on this issue, the GMRG is seeking other stakeholder views on the liability secondary shippers should have for off-specification gas and the draft </w:t>
      </w:r>
      <w:r w:rsidR="007F6614">
        <w:t xml:space="preserve">off-specification gas </w:t>
      </w:r>
      <w:r>
        <w:t xml:space="preserve">liability provisions set out in </w:t>
      </w:r>
      <w:r w:rsidR="000463D7">
        <w:t>Attachment 1</w:t>
      </w:r>
      <w:r>
        <w:t>. Some specific questions on this issue are se</w:t>
      </w:r>
      <w:r w:rsidRPr="00EC1BAD">
        <w:t xml:space="preserve">t out in </w:t>
      </w:r>
      <w:r w:rsidRPr="00EC1BAD">
        <w:fldChar w:fldCharType="begin"/>
      </w:r>
      <w:r w:rsidRPr="00EC1BAD">
        <w:instrText xml:space="preserve"> REF _Ref490384814 \h  \* MERGEFORMAT </w:instrText>
      </w:r>
      <w:r w:rsidRPr="00EC1BAD">
        <w:fldChar w:fldCharType="separate"/>
      </w:r>
      <w:r w:rsidR="00947034" w:rsidRPr="00947034">
        <w:rPr>
          <w:rFonts w:eastAsiaTheme="minorHAnsi" w:cstheme="minorBidi"/>
          <w:bCs/>
          <w:lang w:eastAsia="fr-CA"/>
        </w:rPr>
        <w:t xml:space="preserve">Box </w:t>
      </w:r>
      <w:r w:rsidR="00947034" w:rsidRPr="00947034">
        <w:rPr>
          <w:rFonts w:eastAsiaTheme="minorHAnsi" w:cstheme="minorBidi"/>
          <w:bCs/>
          <w:noProof/>
          <w:lang w:eastAsia="fr-CA"/>
        </w:rPr>
        <w:t>3.3</w:t>
      </w:r>
      <w:r w:rsidRPr="00EC1BAD">
        <w:fldChar w:fldCharType="end"/>
      </w:r>
      <w:r w:rsidRPr="00EC1BAD">
        <w:t>.</w:t>
      </w:r>
    </w:p>
    <w:p w14:paraId="74842918" w14:textId="77777777" w:rsidR="0057020B" w:rsidRPr="0057020B" w:rsidRDefault="0057020B" w:rsidP="007F25F1">
      <w:pPr>
        <w:pStyle w:val="Heading4"/>
      </w:pPr>
      <w:r w:rsidRPr="0057020B">
        <w:rPr>
          <w:lang w:eastAsia="fr-CA"/>
        </w:rPr>
        <w:t xml:space="preserve">Service </w:t>
      </w:r>
      <w:r w:rsidR="00EC1BAD">
        <w:rPr>
          <w:lang w:eastAsia="fr-CA"/>
        </w:rPr>
        <w:t>p</w:t>
      </w:r>
      <w:r w:rsidRPr="0057020B">
        <w:rPr>
          <w:lang w:eastAsia="fr-CA"/>
        </w:rPr>
        <w:t>rovider</w:t>
      </w:r>
      <w:r w:rsidR="007F25F1">
        <w:rPr>
          <w:lang w:eastAsia="fr-CA"/>
        </w:rPr>
        <w:t>’s</w:t>
      </w:r>
      <w:r w:rsidRPr="0057020B">
        <w:rPr>
          <w:sz w:val="16"/>
          <w:szCs w:val="16"/>
          <w:lang w:eastAsia="fr-CA"/>
        </w:rPr>
        <w:t xml:space="preserve"> </w:t>
      </w:r>
      <w:r w:rsidR="007F642D">
        <w:t>l</w:t>
      </w:r>
      <w:r w:rsidRPr="0057020B">
        <w:t xml:space="preserve">iability </w:t>
      </w:r>
    </w:p>
    <w:p w14:paraId="0D297D40" w14:textId="5B4DF4B5" w:rsidR="0057020B" w:rsidRPr="0057020B" w:rsidRDefault="0057020B" w:rsidP="0057020B">
      <w:pPr>
        <w:tabs>
          <w:tab w:val="left" w:pos="2268"/>
          <w:tab w:val="left" w:pos="4536"/>
          <w:tab w:val="left" w:pos="6804"/>
          <w:tab w:val="right" w:pos="9638"/>
        </w:tabs>
        <w:spacing w:before="240" w:after="120"/>
      </w:pPr>
      <w:bookmarkStart w:id="70" w:name="_Hlk491786197"/>
      <w:r w:rsidRPr="0057020B">
        <w:t xml:space="preserve">The </w:t>
      </w:r>
      <w:r w:rsidR="00E838B3">
        <w:t xml:space="preserve">draft </w:t>
      </w:r>
      <w:r w:rsidR="00996004">
        <w:t>standard terms</w:t>
      </w:r>
      <w:r w:rsidRPr="0057020B">
        <w:t xml:space="preserve"> apply the same liability regime to the delivery of off-specification gas by </w:t>
      </w:r>
      <w:r w:rsidR="00211830">
        <w:rPr>
          <w:lang w:eastAsia="fr-CA"/>
        </w:rPr>
        <w:t xml:space="preserve">the service provider </w:t>
      </w:r>
      <w:r w:rsidRPr="0057020B">
        <w:t xml:space="preserve">as to other breaches by </w:t>
      </w:r>
      <w:r w:rsidR="00211830">
        <w:t xml:space="preserve">the </w:t>
      </w:r>
      <w:r w:rsidR="00211830">
        <w:rPr>
          <w:lang w:eastAsia="fr-CA"/>
        </w:rPr>
        <w:t>s</w:t>
      </w:r>
      <w:r w:rsidRPr="0057020B">
        <w:rPr>
          <w:lang w:eastAsia="fr-CA"/>
        </w:rPr>
        <w:t xml:space="preserve">ervice </w:t>
      </w:r>
      <w:r w:rsidR="00211830">
        <w:rPr>
          <w:lang w:eastAsia="fr-CA"/>
        </w:rPr>
        <w:t>p</w:t>
      </w:r>
      <w:r w:rsidRPr="0057020B">
        <w:rPr>
          <w:lang w:eastAsia="fr-CA"/>
        </w:rPr>
        <w:t>rovider</w:t>
      </w:r>
      <w:r w:rsidRPr="0057020B">
        <w:t>.  That is</w:t>
      </w:r>
      <w:r w:rsidR="00EC1BAD">
        <w:t>,</w:t>
      </w:r>
      <w:r w:rsidRPr="0057020B">
        <w:t xml:space="preserve"> </w:t>
      </w:r>
      <w:r w:rsidR="00211830">
        <w:t xml:space="preserve">the </w:t>
      </w:r>
      <w:r w:rsidR="00211830">
        <w:rPr>
          <w:lang w:eastAsia="fr-CA"/>
        </w:rPr>
        <w:t>s</w:t>
      </w:r>
      <w:r w:rsidRPr="0057020B">
        <w:rPr>
          <w:lang w:eastAsia="fr-CA"/>
        </w:rPr>
        <w:t xml:space="preserve">ervice </w:t>
      </w:r>
      <w:r w:rsidR="00211830">
        <w:rPr>
          <w:lang w:eastAsia="fr-CA"/>
        </w:rPr>
        <w:t>p</w:t>
      </w:r>
      <w:r w:rsidRPr="0057020B">
        <w:rPr>
          <w:lang w:eastAsia="fr-CA"/>
        </w:rPr>
        <w:t>rovider</w:t>
      </w:r>
      <w:r w:rsidRPr="0057020B">
        <w:t xml:space="preserve">’s liability will be capped.  This is in contrast to the </w:t>
      </w:r>
      <w:r w:rsidR="00EC1BAD">
        <w:t xml:space="preserve">proposed </w:t>
      </w:r>
      <w:r w:rsidRPr="0057020B">
        <w:t xml:space="preserve">position of the </w:t>
      </w:r>
      <w:r w:rsidR="00211830">
        <w:t>secondary s</w:t>
      </w:r>
      <w:r w:rsidRPr="0057020B">
        <w:t>hipper who</w:t>
      </w:r>
      <w:r w:rsidR="00EC1BAD">
        <w:t xml:space="preserve">, as noted above, will be </w:t>
      </w:r>
      <w:r w:rsidRPr="0057020B">
        <w:t xml:space="preserve">required to provide an uncapped indemnity to </w:t>
      </w:r>
      <w:r w:rsidR="00211830">
        <w:t xml:space="preserve">the </w:t>
      </w:r>
      <w:r w:rsidR="00211830">
        <w:rPr>
          <w:lang w:eastAsia="fr-CA"/>
        </w:rPr>
        <w:t>s</w:t>
      </w:r>
      <w:r w:rsidRPr="0057020B">
        <w:rPr>
          <w:lang w:eastAsia="fr-CA"/>
        </w:rPr>
        <w:t xml:space="preserve">ervice </w:t>
      </w:r>
      <w:r w:rsidR="00211830">
        <w:rPr>
          <w:lang w:eastAsia="fr-CA"/>
        </w:rPr>
        <w:t>p</w:t>
      </w:r>
      <w:r w:rsidRPr="0057020B">
        <w:rPr>
          <w:lang w:eastAsia="fr-CA"/>
        </w:rPr>
        <w:t>rovider</w:t>
      </w:r>
      <w:r w:rsidRPr="0057020B">
        <w:t xml:space="preserve">. </w:t>
      </w:r>
      <w:r w:rsidR="00E838B3">
        <w:t>While the GMRG understands this may be common practice in primary GTAs, concerns were raised by some project team members about the difference in treatment of shipper and service provider liabilities for off-specification gas.</w:t>
      </w:r>
      <w:bookmarkEnd w:id="70"/>
    </w:p>
    <w:p w14:paraId="7BFFADE5" w14:textId="27F1E7A0" w:rsidR="0057020B" w:rsidRDefault="0057020B" w:rsidP="0057020B">
      <w:pPr>
        <w:tabs>
          <w:tab w:val="left" w:pos="2268"/>
          <w:tab w:val="left" w:pos="4536"/>
          <w:tab w:val="left" w:pos="6804"/>
          <w:tab w:val="right" w:pos="9638"/>
        </w:tabs>
        <w:spacing w:before="240" w:after="120"/>
      </w:pPr>
      <w:r w:rsidRPr="0057020B">
        <w:t>In addition</w:t>
      </w:r>
      <w:r w:rsidR="00E838B3">
        <w:t xml:space="preserve"> to this limitation</w:t>
      </w:r>
      <w:r w:rsidR="007F642D">
        <w:t>,</w:t>
      </w:r>
      <w:r w:rsidRPr="0057020B">
        <w:t xml:space="preserve"> the </w:t>
      </w:r>
      <w:r w:rsidR="00996004">
        <w:t>standard terms</w:t>
      </w:r>
      <w:r w:rsidRPr="0057020B">
        <w:t xml:space="preserve"> only make </w:t>
      </w:r>
      <w:r w:rsidR="00211830">
        <w:rPr>
          <w:lang w:eastAsia="fr-CA"/>
        </w:rPr>
        <w:t xml:space="preserve">the service provider </w:t>
      </w:r>
      <w:r w:rsidRPr="0057020B">
        <w:t xml:space="preserve">liable for off-specification gas it delivers to the extent </w:t>
      </w:r>
      <w:r w:rsidR="00211830">
        <w:rPr>
          <w:lang w:eastAsia="fr-CA"/>
        </w:rPr>
        <w:t xml:space="preserve">the service provider </w:t>
      </w:r>
      <w:r w:rsidRPr="0057020B">
        <w:t xml:space="preserve">accepted the </w:t>
      </w:r>
      <w:r w:rsidR="007F642D">
        <w:t>g</w:t>
      </w:r>
      <w:r w:rsidRPr="0057020B">
        <w:t xml:space="preserve">as into the </w:t>
      </w:r>
      <w:r w:rsidR="007F642D">
        <w:t>p</w:t>
      </w:r>
      <w:r w:rsidRPr="0057020B">
        <w:t xml:space="preserve">ipeline or could not, acting as a reasonable and prudent operator, have avoided delivering such off-specification gas.  </w:t>
      </w:r>
      <w:r w:rsidR="00E838B3">
        <w:t xml:space="preserve">Under this regime, </w:t>
      </w:r>
      <w:r w:rsidRPr="0057020B">
        <w:t xml:space="preserve">if Shipper A supplies off-specification gas into the </w:t>
      </w:r>
      <w:r w:rsidR="007F642D">
        <w:t>p</w:t>
      </w:r>
      <w:r w:rsidRPr="0057020B">
        <w:t xml:space="preserve">ipeline and this causes </w:t>
      </w:r>
      <w:r w:rsidR="00211830">
        <w:rPr>
          <w:lang w:eastAsia="fr-CA"/>
        </w:rPr>
        <w:t xml:space="preserve">the service provider </w:t>
      </w:r>
      <w:r w:rsidRPr="0057020B">
        <w:t xml:space="preserve">to deliver off-specification gas to Shipper B, </w:t>
      </w:r>
      <w:r w:rsidR="00211830">
        <w:rPr>
          <w:lang w:eastAsia="fr-CA"/>
        </w:rPr>
        <w:t xml:space="preserve">the service provider </w:t>
      </w:r>
      <w:r w:rsidRPr="0057020B">
        <w:t xml:space="preserve">is only liable to Shipper B if </w:t>
      </w:r>
      <w:r w:rsidR="00211830">
        <w:rPr>
          <w:lang w:eastAsia="fr-CA"/>
        </w:rPr>
        <w:t xml:space="preserve">the service provider </w:t>
      </w:r>
      <w:r w:rsidRPr="0057020B">
        <w:t>could, as a reasonable and prudent operator, avoid delivering the off-specification gas.  Shipper B is therefore left to pursue Shipper A directly for any loss it suffers, though whether Shipper B would have a claim</w:t>
      </w:r>
      <w:r w:rsidR="0009208D">
        <w:t>,</w:t>
      </w:r>
      <w:r w:rsidRPr="0057020B">
        <w:t xml:space="preserve"> and its nature, is unclear.</w:t>
      </w:r>
      <w:r w:rsidR="007F642D">
        <w:t xml:space="preserve"> An</w:t>
      </w:r>
      <w:r w:rsidRPr="0057020B">
        <w:t xml:space="preserve"> </w:t>
      </w:r>
      <w:r w:rsidRPr="0057020B">
        <w:lastRenderedPageBreak/>
        <w:t xml:space="preserve">alternative </w:t>
      </w:r>
      <w:r w:rsidR="007F642D">
        <w:t xml:space="preserve">approach would </w:t>
      </w:r>
      <w:r w:rsidR="00E838B3">
        <w:t>be to</w:t>
      </w:r>
      <w:r w:rsidR="007F642D">
        <w:t xml:space="preserve"> </w:t>
      </w:r>
      <w:r w:rsidR="00E838B3">
        <w:t xml:space="preserve">make </w:t>
      </w:r>
      <w:r w:rsidR="00211830">
        <w:rPr>
          <w:lang w:eastAsia="fr-CA"/>
        </w:rPr>
        <w:t xml:space="preserve">the service provider </w:t>
      </w:r>
      <w:r w:rsidRPr="0057020B">
        <w:t>liable to Shipper B</w:t>
      </w:r>
      <w:r w:rsidR="007F642D">
        <w:t xml:space="preserve">, so </w:t>
      </w:r>
      <w:r w:rsidRPr="0057020B">
        <w:t xml:space="preserve">Shipper B </w:t>
      </w:r>
      <w:r w:rsidR="00E838B3">
        <w:t>can</w:t>
      </w:r>
      <w:r w:rsidRPr="0057020B">
        <w:t xml:space="preserve"> claim against </w:t>
      </w:r>
      <w:r w:rsidR="00211830">
        <w:rPr>
          <w:lang w:eastAsia="fr-CA"/>
        </w:rPr>
        <w:t xml:space="preserve">the service provider </w:t>
      </w:r>
      <w:r w:rsidRPr="0057020B">
        <w:t xml:space="preserve">who </w:t>
      </w:r>
      <w:r w:rsidR="007F642D">
        <w:t>c</w:t>
      </w:r>
      <w:r w:rsidRPr="0057020B">
        <w:t>ould</w:t>
      </w:r>
      <w:r w:rsidR="007F642D">
        <w:t>,</w:t>
      </w:r>
      <w:r w:rsidRPr="0057020B">
        <w:t xml:space="preserve"> in turn</w:t>
      </w:r>
      <w:r w:rsidR="007F642D">
        <w:t>,</w:t>
      </w:r>
      <w:r w:rsidRPr="0057020B">
        <w:t xml:space="preserve"> claim against Shipper A. </w:t>
      </w:r>
    </w:p>
    <w:p w14:paraId="1ABF132B" w14:textId="6F9850D4" w:rsidR="007F642D" w:rsidRDefault="007F642D" w:rsidP="007F642D">
      <w:pPr>
        <w:tabs>
          <w:tab w:val="left" w:pos="2268"/>
          <w:tab w:val="left" w:pos="4536"/>
          <w:tab w:val="left" w:pos="6804"/>
          <w:tab w:val="right" w:pos="9638"/>
        </w:tabs>
        <w:spacing w:before="240" w:after="120"/>
      </w:pPr>
      <w:r>
        <w:t xml:space="preserve">The GMRG is interested in getting stakeholders’ views on these two </w:t>
      </w:r>
      <w:r w:rsidR="00E838B3">
        <w:t xml:space="preserve">issues and has </w:t>
      </w:r>
      <w:r>
        <w:t xml:space="preserve">included some specific questions on </w:t>
      </w:r>
      <w:r w:rsidR="00E838B3">
        <w:t xml:space="preserve">these </w:t>
      </w:r>
      <w:r>
        <w:t>issue</w:t>
      </w:r>
      <w:r w:rsidR="00D4786D">
        <w:t>s</w:t>
      </w:r>
      <w:r>
        <w:t xml:space="preserve"> </w:t>
      </w:r>
      <w:r w:rsidRPr="00EC1BAD">
        <w:t xml:space="preserve">in </w:t>
      </w:r>
      <w:r w:rsidRPr="00EC1BAD">
        <w:fldChar w:fldCharType="begin"/>
      </w:r>
      <w:r w:rsidRPr="00EC1BAD">
        <w:instrText xml:space="preserve"> REF _Ref490384814 \h  \* MERGEFORMAT </w:instrText>
      </w:r>
      <w:r w:rsidRPr="00EC1BAD">
        <w:fldChar w:fldCharType="separate"/>
      </w:r>
      <w:r w:rsidR="00947034" w:rsidRPr="00947034">
        <w:rPr>
          <w:rFonts w:eastAsiaTheme="minorHAnsi" w:cstheme="minorBidi"/>
          <w:bCs/>
          <w:lang w:eastAsia="fr-CA"/>
        </w:rPr>
        <w:t xml:space="preserve">Box </w:t>
      </w:r>
      <w:r w:rsidR="00947034" w:rsidRPr="00947034">
        <w:rPr>
          <w:rFonts w:eastAsiaTheme="minorHAnsi" w:cstheme="minorBidi"/>
          <w:bCs/>
          <w:noProof/>
          <w:lang w:eastAsia="fr-CA"/>
        </w:rPr>
        <w:t>3.3</w:t>
      </w:r>
      <w:r w:rsidRPr="00EC1BAD">
        <w:fldChar w:fldCharType="end"/>
      </w:r>
      <w:r w:rsidRPr="00EC1BAD">
        <w:t>.</w:t>
      </w:r>
    </w:p>
    <w:p w14:paraId="2F4F1E88" w14:textId="77777777" w:rsidR="0057020B" w:rsidRDefault="007F25F1" w:rsidP="00EC1759">
      <w:pPr>
        <w:pStyle w:val="Heading3"/>
      </w:pPr>
      <w:bookmarkStart w:id="71" w:name="_Ref492230158"/>
      <w:bookmarkStart w:id="72" w:name="_Ref491759301"/>
      <w:r>
        <w:t>General l</w:t>
      </w:r>
      <w:r w:rsidR="0057020B" w:rsidRPr="0057020B">
        <w:t>iability</w:t>
      </w:r>
      <w:bookmarkEnd w:id="71"/>
      <w:r w:rsidR="0057020B" w:rsidRPr="0057020B">
        <w:t xml:space="preserve"> </w:t>
      </w:r>
      <w:bookmarkEnd w:id="72"/>
    </w:p>
    <w:p w14:paraId="09530CF2" w14:textId="6953B948" w:rsidR="007F642D" w:rsidRPr="007F642D" w:rsidRDefault="007F642D" w:rsidP="007F642D">
      <w:pPr>
        <w:pStyle w:val="BodyText"/>
      </w:pPr>
      <w:r>
        <w:t xml:space="preserve">Like the off-specification gas provisions, a distinction has been drawn in the </w:t>
      </w:r>
      <w:r w:rsidR="00996004">
        <w:t>standard terms</w:t>
      </w:r>
      <w:r>
        <w:t xml:space="preserve"> between the secondary shipper’s and the service provider’s liability. Further detail on their respective liabilities is provided below.</w:t>
      </w:r>
    </w:p>
    <w:p w14:paraId="5224429B" w14:textId="77777777" w:rsidR="007F25F1" w:rsidRPr="007F25F1" w:rsidRDefault="007F25F1" w:rsidP="007F25F1">
      <w:pPr>
        <w:pStyle w:val="Heading4"/>
      </w:pPr>
      <w:r>
        <w:t xml:space="preserve">Secondary shipper’s liability </w:t>
      </w:r>
    </w:p>
    <w:p w14:paraId="53EA32E1" w14:textId="34226278" w:rsidR="0057020B" w:rsidRPr="0057020B" w:rsidRDefault="0057020B" w:rsidP="0057020B">
      <w:pPr>
        <w:tabs>
          <w:tab w:val="left" w:pos="2268"/>
          <w:tab w:val="left" w:pos="4536"/>
          <w:tab w:val="left" w:pos="6804"/>
          <w:tab w:val="right" w:pos="9638"/>
        </w:tabs>
        <w:spacing w:before="240" w:after="120"/>
      </w:pPr>
      <w:r w:rsidRPr="0057020B">
        <w:t xml:space="preserve">Under the current draft </w:t>
      </w:r>
      <w:r w:rsidR="00996004">
        <w:t>standard terms</w:t>
      </w:r>
      <w:r w:rsidRPr="0057020B">
        <w:t xml:space="preserve"> </w:t>
      </w:r>
      <w:r w:rsidR="00211830">
        <w:t>the secondary shipper</w:t>
      </w:r>
      <w:r w:rsidRPr="0057020B">
        <w:t xml:space="preserve"> is required to indemnify </w:t>
      </w:r>
      <w:r w:rsidR="00211830">
        <w:rPr>
          <w:lang w:eastAsia="fr-CA"/>
        </w:rPr>
        <w:t xml:space="preserve">the service provider </w:t>
      </w:r>
      <w:r w:rsidRPr="0057020B">
        <w:t xml:space="preserve">against any liability </w:t>
      </w:r>
      <w:r w:rsidR="00211830">
        <w:rPr>
          <w:lang w:eastAsia="fr-CA"/>
        </w:rPr>
        <w:t xml:space="preserve">the service provider </w:t>
      </w:r>
      <w:r w:rsidRPr="0057020B">
        <w:t xml:space="preserve">incurs to another shipper due to </w:t>
      </w:r>
      <w:r w:rsidR="00211830">
        <w:t>the secondary shipper</w:t>
      </w:r>
      <w:r w:rsidRPr="0057020B">
        <w:t xml:space="preserve">’s breach of contract.  The </w:t>
      </w:r>
      <w:r w:rsidR="007F642D">
        <w:t xml:space="preserve">rationale for this position </w:t>
      </w:r>
      <w:r w:rsidRPr="0057020B">
        <w:t xml:space="preserve">is </w:t>
      </w:r>
      <w:r w:rsidR="007F642D">
        <w:t xml:space="preserve">that </w:t>
      </w:r>
      <w:r w:rsidR="00211830">
        <w:rPr>
          <w:lang w:eastAsia="fr-CA"/>
        </w:rPr>
        <w:t xml:space="preserve">the service provider </w:t>
      </w:r>
      <w:r w:rsidRPr="0057020B">
        <w:t xml:space="preserve">should not be out of pocket because of liability it incurs due to </w:t>
      </w:r>
      <w:r w:rsidR="00211830">
        <w:t>the secondary shipper</w:t>
      </w:r>
      <w:r w:rsidRPr="0057020B">
        <w:t xml:space="preserve">’s breach of contract. Practically the exposure this indemnity creates for shippers may not be substantial given that service providers tend to limit their liability to </w:t>
      </w:r>
      <w:r w:rsidR="007F642D">
        <w:t xml:space="preserve">shippers </w:t>
      </w:r>
      <w:r w:rsidRPr="0057020B">
        <w:t>and often make clear they are not liable to one shipper for the act or omission of a second shipper.</w:t>
      </w:r>
    </w:p>
    <w:p w14:paraId="5AAECF22" w14:textId="60C2E88F" w:rsidR="0057020B" w:rsidRPr="0057020B" w:rsidRDefault="0057020B" w:rsidP="0057020B">
      <w:pPr>
        <w:tabs>
          <w:tab w:val="left" w:pos="2268"/>
          <w:tab w:val="left" w:pos="4536"/>
          <w:tab w:val="left" w:pos="6804"/>
          <w:tab w:val="right" w:pos="9638"/>
        </w:tabs>
        <w:spacing w:before="240" w:after="120"/>
      </w:pPr>
      <w:r w:rsidRPr="0057020B">
        <w:t xml:space="preserve">A second indemnity applies where </w:t>
      </w:r>
      <w:r w:rsidR="00211830">
        <w:t>the secondary shipper</w:t>
      </w:r>
      <w:r w:rsidRPr="0057020B">
        <w:t xml:space="preserve"> </w:t>
      </w:r>
      <w:r w:rsidR="007F642D">
        <w:t xml:space="preserve">transports </w:t>
      </w:r>
      <w:r w:rsidRPr="0057020B">
        <w:t>gas for another party.  In this case</w:t>
      </w:r>
      <w:r w:rsidR="007F642D">
        <w:t>,</w:t>
      </w:r>
      <w:r w:rsidRPr="0057020B">
        <w:t xml:space="preserve"> </w:t>
      </w:r>
      <w:r w:rsidR="00211830">
        <w:t>the secondary shipper</w:t>
      </w:r>
      <w:r w:rsidRPr="0057020B">
        <w:t xml:space="preserve"> indemnifies the </w:t>
      </w:r>
      <w:r w:rsidR="00211830">
        <w:rPr>
          <w:lang w:eastAsia="fr-CA"/>
        </w:rPr>
        <w:t xml:space="preserve">service provider </w:t>
      </w:r>
      <w:r w:rsidRPr="0057020B">
        <w:rPr>
          <w:lang w:eastAsia="fr-CA"/>
        </w:rPr>
        <w:t>a</w:t>
      </w:r>
      <w:r w:rsidRPr="0057020B">
        <w:t xml:space="preserve">gainst any claims by that other party to the extent this would cause </w:t>
      </w:r>
      <w:r w:rsidR="00211830">
        <w:rPr>
          <w:lang w:eastAsia="fr-CA"/>
        </w:rPr>
        <w:t xml:space="preserve">the service provider </w:t>
      </w:r>
      <w:r w:rsidRPr="0057020B">
        <w:t xml:space="preserve">to incur liability above the monetary limitations in the </w:t>
      </w:r>
      <w:r w:rsidR="00996004">
        <w:t>standard terms</w:t>
      </w:r>
      <w:r w:rsidRPr="0057020B">
        <w:t xml:space="preserve">.  The </w:t>
      </w:r>
      <w:r w:rsidR="007F642D">
        <w:t xml:space="preserve">rationale for this </w:t>
      </w:r>
      <w:r w:rsidRPr="0057020B">
        <w:t>indemnity is that if it is agreed there are to be limitations on</w:t>
      </w:r>
      <w:r w:rsidRPr="0057020B">
        <w:rPr>
          <w:lang w:eastAsia="fr-CA"/>
        </w:rPr>
        <w:t xml:space="preserve"> </w:t>
      </w:r>
      <w:r w:rsidR="00211830">
        <w:rPr>
          <w:lang w:eastAsia="fr-CA"/>
        </w:rPr>
        <w:t>the s</w:t>
      </w:r>
      <w:r w:rsidRPr="0057020B">
        <w:rPr>
          <w:lang w:eastAsia="fr-CA"/>
        </w:rPr>
        <w:t xml:space="preserve">ervice </w:t>
      </w:r>
      <w:r w:rsidR="00211830">
        <w:rPr>
          <w:lang w:eastAsia="fr-CA"/>
        </w:rPr>
        <w:t>p</w:t>
      </w:r>
      <w:r w:rsidRPr="0057020B">
        <w:rPr>
          <w:lang w:eastAsia="fr-CA"/>
        </w:rPr>
        <w:t>rovider</w:t>
      </w:r>
      <w:r w:rsidRPr="0057020B">
        <w:t>’s liability</w:t>
      </w:r>
      <w:r w:rsidR="007F642D">
        <w:t>,</w:t>
      </w:r>
      <w:r w:rsidRPr="0057020B">
        <w:t xml:space="preserve"> then these should not be circumvented by claims in negligence against </w:t>
      </w:r>
      <w:r w:rsidR="00211830">
        <w:rPr>
          <w:lang w:eastAsia="fr-CA"/>
        </w:rPr>
        <w:t xml:space="preserve">the service provider </w:t>
      </w:r>
      <w:r w:rsidRPr="0057020B">
        <w:t xml:space="preserve">by a person with whom </w:t>
      </w:r>
      <w:r w:rsidR="00211830">
        <w:rPr>
          <w:lang w:eastAsia="fr-CA"/>
        </w:rPr>
        <w:t xml:space="preserve">the service provider </w:t>
      </w:r>
      <w:r w:rsidRPr="0057020B">
        <w:t xml:space="preserve">does not have a contract but who is benefiting from the </w:t>
      </w:r>
      <w:r w:rsidR="007F642D">
        <w:t>s</w:t>
      </w:r>
      <w:r w:rsidRPr="0057020B">
        <w:t xml:space="preserve">ervices </w:t>
      </w:r>
      <w:r w:rsidR="00211830">
        <w:rPr>
          <w:lang w:eastAsia="fr-CA"/>
        </w:rPr>
        <w:t xml:space="preserve">the service provider </w:t>
      </w:r>
      <w:r w:rsidRPr="0057020B">
        <w:t xml:space="preserve">is providing to </w:t>
      </w:r>
      <w:r w:rsidR="00211830">
        <w:t>the secondary shipper</w:t>
      </w:r>
      <w:r w:rsidRPr="0057020B">
        <w:t xml:space="preserve">.  This indemnity should not pose a material risk for </w:t>
      </w:r>
      <w:r w:rsidR="00211830">
        <w:t>the secondary shipper</w:t>
      </w:r>
      <w:r w:rsidRPr="0057020B">
        <w:t xml:space="preserve"> as before agreeing to </w:t>
      </w:r>
      <w:r w:rsidR="007F642D">
        <w:t xml:space="preserve">transport </w:t>
      </w:r>
      <w:r w:rsidRPr="0057020B">
        <w:t>gas for another party</w:t>
      </w:r>
      <w:r w:rsidR="007F642D">
        <w:t>,</w:t>
      </w:r>
      <w:r w:rsidRPr="0057020B">
        <w:t xml:space="preserve"> </w:t>
      </w:r>
      <w:r w:rsidR="00211830">
        <w:t>the secondary shipper</w:t>
      </w:r>
      <w:r w:rsidRPr="0057020B">
        <w:t xml:space="preserve"> can require </w:t>
      </w:r>
      <w:r w:rsidR="007F642D">
        <w:t>the other party</w:t>
      </w:r>
      <w:r w:rsidRPr="0057020B">
        <w:t xml:space="preserve"> to agree not to sue </w:t>
      </w:r>
      <w:r w:rsidR="00211830">
        <w:rPr>
          <w:lang w:eastAsia="fr-CA"/>
        </w:rPr>
        <w:t xml:space="preserve">the service provider </w:t>
      </w:r>
      <w:r w:rsidRPr="0057020B">
        <w:t xml:space="preserve">in circumstances which trigger the indemnity. </w:t>
      </w:r>
    </w:p>
    <w:p w14:paraId="4EB80D8A" w14:textId="6473C83F" w:rsidR="0057020B" w:rsidRPr="0057020B" w:rsidRDefault="0057020B" w:rsidP="0057020B">
      <w:pPr>
        <w:tabs>
          <w:tab w:val="left" w:pos="2268"/>
          <w:tab w:val="left" w:pos="4536"/>
          <w:tab w:val="left" w:pos="6804"/>
          <w:tab w:val="right" w:pos="9638"/>
        </w:tabs>
        <w:spacing w:before="240" w:after="120"/>
      </w:pPr>
      <w:r w:rsidRPr="0057020B">
        <w:t xml:space="preserve">The </w:t>
      </w:r>
      <w:r w:rsidR="002D6D04">
        <w:t xml:space="preserve">draft </w:t>
      </w:r>
      <w:r w:rsidR="00996004">
        <w:t>standard terms</w:t>
      </w:r>
      <w:r w:rsidRPr="0057020B">
        <w:t xml:space="preserve"> </w:t>
      </w:r>
      <w:r w:rsidR="002D6D04">
        <w:t>state that</w:t>
      </w:r>
      <w:r w:rsidRPr="0057020B">
        <w:t xml:space="preserve"> </w:t>
      </w:r>
      <w:r w:rsidR="00211830">
        <w:t>the secondary shipper</w:t>
      </w:r>
      <w:r w:rsidRPr="0057020B">
        <w:t xml:space="preserve"> is not liable for</w:t>
      </w:r>
      <w:r w:rsidRPr="0057020B">
        <w:rPr>
          <w:lang w:eastAsia="fr-CA"/>
        </w:rPr>
        <w:t xml:space="preserve"> </w:t>
      </w:r>
      <w:r w:rsidR="00211830">
        <w:rPr>
          <w:lang w:eastAsia="fr-CA"/>
        </w:rPr>
        <w:t>the s</w:t>
      </w:r>
      <w:r w:rsidRPr="0057020B">
        <w:rPr>
          <w:lang w:eastAsia="fr-CA"/>
        </w:rPr>
        <w:t xml:space="preserve">ervice </w:t>
      </w:r>
      <w:r w:rsidR="00211830">
        <w:rPr>
          <w:lang w:eastAsia="fr-CA"/>
        </w:rPr>
        <w:t>p</w:t>
      </w:r>
      <w:r w:rsidRPr="0057020B">
        <w:rPr>
          <w:lang w:eastAsia="fr-CA"/>
        </w:rPr>
        <w:t>rovider</w:t>
      </w:r>
      <w:r w:rsidRPr="0057020B">
        <w:t xml:space="preserve">’s loss of profits or revenue (subject to the terms of the off-specification gas indemnity and provided this limit does not apply where </w:t>
      </w:r>
      <w:r w:rsidR="00211830">
        <w:t>the secondary shipper</w:t>
      </w:r>
      <w:r w:rsidRPr="0057020B">
        <w:t xml:space="preserve"> has engaged in wilful misconduct).  </w:t>
      </w:r>
      <w:r w:rsidR="002D6D04">
        <w:t xml:space="preserve">The secondary shipper will, however, be liable for other losses and there is </w:t>
      </w:r>
      <w:r w:rsidRPr="0057020B">
        <w:t xml:space="preserve">no monetary </w:t>
      </w:r>
      <w:r w:rsidR="002D6D04">
        <w:t xml:space="preserve">cap </w:t>
      </w:r>
      <w:r w:rsidRPr="0057020B">
        <w:t xml:space="preserve">on </w:t>
      </w:r>
      <w:r w:rsidR="002D6D04">
        <w:t xml:space="preserve">this </w:t>
      </w:r>
      <w:r w:rsidRPr="0057020B">
        <w:t xml:space="preserve">liability.  </w:t>
      </w:r>
      <w:r w:rsidR="002D6D04">
        <w:t xml:space="preserve">This is in direct contrast to the draft </w:t>
      </w:r>
      <w:r w:rsidR="00211830">
        <w:rPr>
          <w:lang w:eastAsia="fr-CA"/>
        </w:rPr>
        <w:t>s</w:t>
      </w:r>
      <w:r w:rsidRPr="0057020B">
        <w:rPr>
          <w:lang w:eastAsia="fr-CA"/>
        </w:rPr>
        <w:t xml:space="preserve">ervice </w:t>
      </w:r>
      <w:r w:rsidR="00211830">
        <w:rPr>
          <w:lang w:eastAsia="fr-CA"/>
        </w:rPr>
        <w:t>p</w:t>
      </w:r>
      <w:r w:rsidRPr="0057020B">
        <w:rPr>
          <w:lang w:eastAsia="fr-CA"/>
        </w:rPr>
        <w:t>rovider</w:t>
      </w:r>
      <w:r w:rsidRPr="0057020B">
        <w:t xml:space="preserve"> liability </w:t>
      </w:r>
      <w:r w:rsidR="002D6D04">
        <w:t xml:space="preserve">provisions, which impose a </w:t>
      </w:r>
      <w:r w:rsidRPr="0057020B">
        <w:t xml:space="preserve">monetary </w:t>
      </w:r>
      <w:r w:rsidR="002D6D04">
        <w:t xml:space="preserve">cap </w:t>
      </w:r>
      <w:r w:rsidRPr="0057020B">
        <w:t xml:space="preserve">on </w:t>
      </w:r>
      <w:r w:rsidR="00211830">
        <w:t>the secondary shipper</w:t>
      </w:r>
      <w:r w:rsidRPr="0057020B">
        <w:t xml:space="preserve">’s liability. </w:t>
      </w:r>
    </w:p>
    <w:p w14:paraId="54F55193" w14:textId="3A8A48AB" w:rsidR="0057020B" w:rsidRDefault="0057020B" w:rsidP="00C308F7">
      <w:pPr>
        <w:tabs>
          <w:tab w:val="left" w:pos="2268"/>
          <w:tab w:val="left" w:pos="4536"/>
          <w:tab w:val="left" w:pos="6804"/>
          <w:tab w:val="right" w:pos="9638"/>
        </w:tabs>
        <w:spacing w:before="240" w:after="120"/>
      </w:pPr>
      <w:r w:rsidRPr="0057020B">
        <w:t xml:space="preserve">The </w:t>
      </w:r>
      <w:r w:rsidR="007F642D">
        <w:t xml:space="preserve">GMRG understands that the </w:t>
      </w:r>
      <w:r w:rsidRPr="0057020B">
        <w:t xml:space="preserve">general practice under </w:t>
      </w:r>
      <w:r w:rsidR="007F642D">
        <w:t xml:space="preserve">GTAs </w:t>
      </w:r>
      <w:r w:rsidRPr="0057020B">
        <w:t xml:space="preserve">is for service providers to have more generous limits on their liability than those of shippers.  This is often justified by </w:t>
      </w:r>
      <w:r w:rsidR="007F642D">
        <w:t xml:space="preserve">service providers who claim that </w:t>
      </w:r>
      <w:r w:rsidRPr="0057020B">
        <w:t xml:space="preserve">as infrastructure owners </w:t>
      </w:r>
      <w:r w:rsidR="007F642D">
        <w:t xml:space="preserve">they </w:t>
      </w:r>
      <w:r w:rsidRPr="0057020B">
        <w:t xml:space="preserve">earn a relatively limited return </w:t>
      </w:r>
      <w:r w:rsidR="007F642D">
        <w:t xml:space="preserve">and </w:t>
      </w:r>
      <w:r w:rsidRPr="0057020B">
        <w:t xml:space="preserve">should not </w:t>
      </w:r>
      <w:r w:rsidR="007F642D">
        <w:t xml:space="preserve">therefore </w:t>
      </w:r>
      <w:r w:rsidRPr="0057020B">
        <w:t xml:space="preserve">be exposed to significant liabilities. </w:t>
      </w:r>
      <w:r w:rsidR="00C308F7">
        <w:t>The GMRG is also aware that u</w:t>
      </w:r>
      <w:r w:rsidRPr="0057020B">
        <w:t xml:space="preserve">nequal liability regimes are not necessarily inconsistent with </w:t>
      </w:r>
      <w:r w:rsidR="007F642D">
        <w:t xml:space="preserve">what is observed </w:t>
      </w:r>
      <w:r w:rsidR="007F642D">
        <w:lastRenderedPageBreak/>
        <w:t xml:space="preserve">in </w:t>
      </w:r>
      <w:r w:rsidRPr="0057020B">
        <w:t>workably competitive markets.</w:t>
      </w:r>
      <w:r w:rsidR="00C308F7">
        <w:rPr>
          <w:rStyle w:val="FootnoteReference"/>
        </w:rPr>
        <w:footnoteReference w:id="31"/>
      </w:r>
      <w:r w:rsidRPr="0057020B">
        <w:t xml:space="preserve">  </w:t>
      </w:r>
      <w:r w:rsidR="007F642D">
        <w:t>It is important to note</w:t>
      </w:r>
      <w:r w:rsidR="00C308F7">
        <w:t>, however,</w:t>
      </w:r>
      <w:r w:rsidR="007F642D">
        <w:t xml:space="preserve"> that in </w:t>
      </w:r>
      <w:r w:rsidRPr="0057020B">
        <w:t xml:space="preserve">these </w:t>
      </w:r>
      <w:r w:rsidR="00C308F7">
        <w:t>other industries</w:t>
      </w:r>
      <w:r w:rsidR="007F642D">
        <w:t>,</w:t>
      </w:r>
      <w:r w:rsidRPr="0057020B">
        <w:t xml:space="preserve"> the service recipient </w:t>
      </w:r>
      <w:r w:rsidR="00C308F7">
        <w:t xml:space="preserve">usually </w:t>
      </w:r>
      <w:r w:rsidRPr="0057020B">
        <w:t xml:space="preserve">only has an obligation to pay fees </w:t>
      </w:r>
      <w:r w:rsidR="007F642D">
        <w:t xml:space="preserve">and </w:t>
      </w:r>
      <w:r w:rsidR="00C308F7">
        <w:t xml:space="preserve">does </w:t>
      </w:r>
      <w:r w:rsidRPr="0057020B">
        <w:t xml:space="preserve">not have material obligations under </w:t>
      </w:r>
      <w:r w:rsidR="00C308F7">
        <w:t>its contract</w:t>
      </w:r>
      <w:r w:rsidRPr="0057020B">
        <w:t xml:space="preserve"> </w:t>
      </w:r>
      <w:r w:rsidR="007F642D">
        <w:t>for other liabilities</w:t>
      </w:r>
      <w:r w:rsidRPr="0057020B">
        <w:t>.</w:t>
      </w:r>
    </w:p>
    <w:p w14:paraId="62475761" w14:textId="150B3A88" w:rsidR="00DD540C" w:rsidRPr="0057020B" w:rsidRDefault="00C308F7" w:rsidP="00DD540C">
      <w:pPr>
        <w:tabs>
          <w:tab w:val="left" w:pos="2268"/>
          <w:tab w:val="left" w:pos="4536"/>
          <w:tab w:val="left" w:pos="6804"/>
          <w:tab w:val="right" w:pos="9638"/>
        </w:tabs>
        <w:spacing w:before="240" w:after="120"/>
      </w:pPr>
      <w:r>
        <w:t xml:space="preserve">The different treatment of shipper and service provider liabilities was discussed at length by the Standardisation project team, but team members were unable to reach a common view. </w:t>
      </w:r>
      <w:r w:rsidR="00DD540C">
        <w:t xml:space="preserve">The GMRG is </w:t>
      </w:r>
      <w:r>
        <w:t xml:space="preserve">therefore </w:t>
      </w:r>
      <w:r w:rsidR="00DD540C">
        <w:t xml:space="preserve">interested in whether stakeholders think the difference in liability regimes is </w:t>
      </w:r>
      <w:r>
        <w:t xml:space="preserve">appropriate or if the lack of a monetary cap may act as a barrier to entry to secondary shippers.  </w:t>
      </w:r>
      <w:r w:rsidR="00DD540C">
        <w:t>Some specific questions on this issue are se</w:t>
      </w:r>
      <w:r w:rsidR="00DD540C" w:rsidRPr="00EC1BAD">
        <w:t xml:space="preserve">t out in </w:t>
      </w:r>
      <w:r w:rsidR="00DD540C" w:rsidRPr="00EC1BAD">
        <w:fldChar w:fldCharType="begin"/>
      </w:r>
      <w:r w:rsidR="00DD540C" w:rsidRPr="00EC1BAD">
        <w:instrText xml:space="preserve"> REF _Ref490384814 \h  \* MERGEFORMAT </w:instrText>
      </w:r>
      <w:r w:rsidR="00DD540C" w:rsidRPr="00EC1BAD">
        <w:fldChar w:fldCharType="separate"/>
      </w:r>
      <w:r w:rsidR="00947034" w:rsidRPr="00947034">
        <w:rPr>
          <w:rFonts w:eastAsiaTheme="minorHAnsi" w:cstheme="minorBidi"/>
          <w:bCs/>
          <w:lang w:eastAsia="fr-CA"/>
        </w:rPr>
        <w:t xml:space="preserve">Box </w:t>
      </w:r>
      <w:r w:rsidR="00947034" w:rsidRPr="00947034">
        <w:rPr>
          <w:rFonts w:eastAsiaTheme="minorHAnsi" w:cstheme="minorBidi"/>
          <w:bCs/>
          <w:noProof/>
          <w:lang w:eastAsia="fr-CA"/>
        </w:rPr>
        <w:t>3.3</w:t>
      </w:r>
      <w:r w:rsidR="00DD540C" w:rsidRPr="00EC1BAD">
        <w:fldChar w:fldCharType="end"/>
      </w:r>
      <w:r w:rsidR="00DD540C" w:rsidRPr="00EC1BAD">
        <w:t>.</w:t>
      </w:r>
    </w:p>
    <w:p w14:paraId="65F0226A" w14:textId="77777777" w:rsidR="0057020B" w:rsidRPr="0057020B" w:rsidRDefault="0057020B" w:rsidP="007F25F1">
      <w:pPr>
        <w:pStyle w:val="Heading4"/>
      </w:pPr>
      <w:r w:rsidRPr="0057020B">
        <w:rPr>
          <w:lang w:eastAsia="fr-CA"/>
        </w:rPr>
        <w:t xml:space="preserve">Service </w:t>
      </w:r>
      <w:r w:rsidR="007F25F1">
        <w:rPr>
          <w:lang w:eastAsia="fr-CA"/>
        </w:rPr>
        <w:t>p</w:t>
      </w:r>
      <w:r w:rsidRPr="0057020B">
        <w:rPr>
          <w:lang w:eastAsia="fr-CA"/>
        </w:rPr>
        <w:t>rovider</w:t>
      </w:r>
      <w:r w:rsidR="007F25F1">
        <w:rPr>
          <w:lang w:eastAsia="fr-CA"/>
        </w:rPr>
        <w:t>’s</w:t>
      </w:r>
      <w:r w:rsidRPr="0057020B">
        <w:rPr>
          <w:sz w:val="16"/>
          <w:szCs w:val="16"/>
          <w:lang w:eastAsia="fr-CA"/>
        </w:rPr>
        <w:t xml:space="preserve"> </w:t>
      </w:r>
      <w:r w:rsidR="007F25F1">
        <w:t>l</w:t>
      </w:r>
      <w:r w:rsidRPr="0057020B">
        <w:t xml:space="preserve">iability </w:t>
      </w:r>
    </w:p>
    <w:p w14:paraId="48653837" w14:textId="042AE4E0" w:rsidR="0057020B" w:rsidRPr="0057020B" w:rsidRDefault="00CD4D98" w:rsidP="0057020B">
      <w:pPr>
        <w:tabs>
          <w:tab w:val="left" w:pos="2268"/>
          <w:tab w:val="left" w:pos="4536"/>
          <w:tab w:val="left" w:pos="6804"/>
          <w:tab w:val="right" w:pos="9638"/>
        </w:tabs>
        <w:spacing w:before="240" w:after="120"/>
      </w:pPr>
      <w:r>
        <w:t xml:space="preserve">The draft </w:t>
      </w:r>
      <w:r w:rsidR="00996004">
        <w:t>standard terms</w:t>
      </w:r>
      <w:r>
        <w:t xml:space="preserve"> currently provide for a </w:t>
      </w:r>
      <w:r w:rsidR="00211830">
        <w:rPr>
          <w:lang w:eastAsia="fr-CA"/>
        </w:rPr>
        <w:t>service provider</w:t>
      </w:r>
      <w:r>
        <w:t>’s</w:t>
      </w:r>
      <w:r w:rsidR="0057020B" w:rsidRPr="0057020B">
        <w:t xml:space="preserve"> liability </w:t>
      </w:r>
      <w:r>
        <w:t xml:space="preserve">to </w:t>
      </w:r>
      <w:r w:rsidR="0057020B" w:rsidRPr="0057020B">
        <w:t xml:space="preserve">be limited by reference to an annual cap on liability.  The amount of this cap is to be specified </w:t>
      </w:r>
      <w:r w:rsidR="00E87773">
        <w:t xml:space="preserve">in the standard terms </w:t>
      </w:r>
      <w:r w:rsidR="0057020B" w:rsidRPr="0057020B">
        <w:t xml:space="preserve">and the GMRG </w:t>
      </w:r>
      <w:r>
        <w:t xml:space="preserve">is seeking stakeholders’ views </w:t>
      </w:r>
      <w:r w:rsidR="0057020B" w:rsidRPr="0057020B">
        <w:t>on whether there should be such a cap and, if so, at what level it should be set.</w:t>
      </w:r>
    </w:p>
    <w:p w14:paraId="6E2A6B8C" w14:textId="77777777" w:rsidR="0057020B" w:rsidRDefault="0057020B" w:rsidP="0057020B">
      <w:pPr>
        <w:tabs>
          <w:tab w:val="left" w:pos="2268"/>
          <w:tab w:val="left" w:pos="4536"/>
          <w:tab w:val="left" w:pos="6804"/>
          <w:tab w:val="right" w:pos="9638"/>
        </w:tabs>
        <w:spacing w:before="240" w:after="120"/>
      </w:pPr>
      <w:r w:rsidRPr="0057020B">
        <w:t>It is contemplated that the cap will not apply to liability for repairing or replacing property.  In this case a separate per event cap is proposed. The reason for the different cap in this case is that liability for damaging property should be more readily insurable and therefore a higher liability cap in such cases seems appropriate.  Also</w:t>
      </w:r>
      <w:r w:rsidR="00DD540C">
        <w:t>,</w:t>
      </w:r>
      <w:r w:rsidRPr="0057020B">
        <w:t xml:space="preserve"> no cap is proposed for causing personal injury/death again because such liability may be insured against. </w:t>
      </w:r>
    </w:p>
    <w:p w14:paraId="6C6CC455" w14:textId="26596EAC" w:rsidR="0057020B" w:rsidRPr="0057020B" w:rsidRDefault="00DD540C" w:rsidP="0057020B">
      <w:pPr>
        <w:tabs>
          <w:tab w:val="left" w:pos="2268"/>
          <w:tab w:val="left" w:pos="4536"/>
          <w:tab w:val="left" w:pos="6804"/>
          <w:tab w:val="right" w:pos="9638"/>
        </w:tabs>
        <w:spacing w:before="240" w:after="120"/>
      </w:pPr>
      <w:r w:rsidRPr="0057020B">
        <w:t xml:space="preserve">The GMRG seeks </w:t>
      </w:r>
      <w:r>
        <w:t>feedback</w:t>
      </w:r>
      <w:r w:rsidRPr="0057020B">
        <w:t xml:space="preserve"> on whether these exceptions are appropriate</w:t>
      </w:r>
      <w:r>
        <w:t>,</w:t>
      </w:r>
      <w:r w:rsidRPr="0057020B">
        <w:t xml:space="preserve"> or whether</w:t>
      </w:r>
      <w:r w:rsidRPr="0057020B">
        <w:rPr>
          <w:lang w:eastAsia="fr-CA"/>
        </w:rPr>
        <w:t xml:space="preserve"> </w:t>
      </w:r>
      <w:r>
        <w:rPr>
          <w:lang w:eastAsia="fr-CA"/>
        </w:rPr>
        <w:t>the s</w:t>
      </w:r>
      <w:r w:rsidRPr="0057020B">
        <w:rPr>
          <w:lang w:eastAsia="fr-CA"/>
        </w:rPr>
        <w:t xml:space="preserve">ervice </w:t>
      </w:r>
      <w:r>
        <w:rPr>
          <w:lang w:eastAsia="fr-CA"/>
        </w:rPr>
        <w:t>p</w:t>
      </w:r>
      <w:r w:rsidRPr="0057020B">
        <w:rPr>
          <w:lang w:eastAsia="fr-CA"/>
        </w:rPr>
        <w:t>rovider</w:t>
      </w:r>
      <w:r w:rsidRPr="0057020B">
        <w:t xml:space="preserve">’s liability should be subject to a single cap or </w:t>
      </w:r>
      <w:r>
        <w:t xml:space="preserve">no </w:t>
      </w:r>
      <w:r w:rsidRPr="0057020B">
        <w:t xml:space="preserve">caps at all.  </w:t>
      </w:r>
      <w:r w:rsidR="00DB61AA">
        <w:t xml:space="preserve">In this regard, </w:t>
      </w:r>
      <w:r>
        <w:t xml:space="preserve">it is worth noting that </w:t>
      </w:r>
      <w:r w:rsidR="0057020B" w:rsidRPr="0057020B">
        <w:t xml:space="preserve">under the </w:t>
      </w:r>
      <w:r>
        <w:t xml:space="preserve">2012-17 </w:t>
      </w:r>
      <w:r w:rsidR="005663EA">
        <w:t>AA</w:t>
      </w:r>
      <w:r>
        <w:t xml:space="preserve"> </w:t>
      </w:r>
      <w:r w:rsidR="00DB61AA">
        <w:t xml:space="preserve">for the RBP </w:t>
      </w:r>
      <w:r>
        <w:t>that was approved by the AER</w:t>
      </w:r>
      <w:r w:rsidR="0057020B" w:rsidRPr="0057020B">
        <w:t xml:space="preserve">, </w:t>
      </w:r>
      <w:r>
        <w:t xml:space="preserve">the service provider’s </w:t>
      </w:r>
      <w:r w:rsidR="0057020B" w:rsidRPr="0057020B">
        <w:t xml:space="preserve">liability is capped at 10% of contract value. </w:t>
      </w:r>
      <w:r>
        <w:t>The 2016-20 AA</w:t>
      </w:r>
      <w:r w:rsidR="00DB61AA">
        <w:t xml:space="preserve"> for the DBP</w:t>
      </w:r>
      <w:r>
        <w:t xml:space="preserve">, on the other hand, </w:t>
      </w:r>
      <w:r w:rsidR="00DB61AA">
        <w:t xml:space="preserve">that </w:t>
      </w:r>
      <w:r>
        <w:t xml:space="preserve">was approved by the ERA has no </w:t>
      </w:r>
      <w:r w:rsidR="0057020B" w:rsidRPr="0057020B">
        <w:t>monetary limits on liability.</w:t>
      </w:r>
    </w:p>
    <w:p w14:paraId="23B4CF11" w14:textId="4E3D1B34" w:rsidR="0057020B" w:rsidRPr="0057020B" w:rsidRDefault="0057020B" w:rsidP="0057020B">
      <w:pPr>
        <w:tabs>
          <w:tab w:val="left" w:pos="2268"/>
          <w:tab w:val="left" w:pos="4536"/>
          <w:tab w:val="left" w:pos="6804"/>
          <w:tab w:val="right" w:pos="9638"/>
        </w:tabs>
        <w:spacing w:before="240" w:after="120"/>
      </w:pPr>
      <w:r w:rsidRPr="0057020B">
        <w:t xml:space="preserve">In addition to having a monetary cap on liability </w:t>
      </w:r>
      <w:r w:rsidR="00DD540C">
        <w:t xml:space="preserve">the draft </w:t>
      </w:r>
      <w:r w:rsidR="00996004">
        <w:t>standard terms</w:t>
      </w:r>
      <w:r w:rsidR="00DD540C">
        <w:t xml:space="preserve"> </w:t>
      </w:r>
      <w:r w:rsidRPr="0057020B">
        <w:t xml:space="preserve">also </w:t>
      </w:r>
      <w:r w:rsidR="00DD540C">
        <w:t xml:space="preserve">state </w:t>
      </w:r>
      <w:r w:rsidRPr="0057020B">
        <w:t xml:space="preserve">that, except in the case of wilful misconduct, </w:t>
      </w:r>
      <w:r w:rsidR="00211830">
        <w:rPr>
          <w:lang w:eastAsia="fr-CA"/>
        </w:rPr>
        <w:t xml:space="preserve">the service provider </w:t>
      </w:r>
      <w:r w:rsidR="00DD540C">
        <w:rPr>
          <w:lang w:eastAsia="fr-CA"/>
        </w:rPr>
        <w:t xml:space="preserve">will </w:t>
      </w:r>
      <w:r w:rsidRPr="0057020B">
        <w:t xml:space="preserve">not be liable for consequential loss suffered by </w:t>
      </w:r>
      <w:r w:rsidR="00211830">
        <w:t>the secondary shipper</w:t>
      </w:r>
      <w:r w:rsidRPr="0057020B">
        <w:t xml:space="preserve">.  This is consistent with the terms of approved </w:t>
      </w:r>
      <w:r w:rsidR="005663EA">
        <w:t xml:space="preserve">AAs </w:t>
      </w:r>
      <w:r w:rsidR="00DD540C">
        <w:t xml:space="preserve">and </w:t>
      </w:r>
      <w:r w:rsidRPr="0057020B">
        <w:t xml:space="preserve">the GMRG’s understanding of common practice in </w:t>
      </w:r>
      <w:r w:rsidR="00DB61AA">
        <w:t xml:space="preserve">workably </w:t>
      </w:r>
      <w:r w:rsidRPr="0057020B">
        <w:t xml:space="preserve">competitive markets.  </w:t>
      </w:r>
      <w:r w:rsidR="00DB61AA">
        <w:t xml:space="preserve">There is, however, as the Standardisation project team pointed out, no universally accepted definition of the </w:t>
      </w:r>
      <w:r w:rsidR="00DD540C">
        <w:t xml:space="preserve">term </w:t>
      </w:r>
      <w:r w:rsidRPr="0057020B">
        <w:t>consequential loss</w:t>
      </w:r>
      <w:r w:rsidR="00DB61AA">
        <w:t xml:space="preserve">. There was therefore some division amongst the project team about how consequential loss should be defined. </w:t>
      </w:r>
    </w:p>
    <w:p w14:paraId="7A81D98E" w14:textId="3D3E66CC" w:rsidR="008F1421" w:rsidRDefault="00DB61AA" w:rsidP="0057020B">
      <w:pPr>
        <w:tabs>
          <w:tab w:val="left" w:pos="2268"/>
          <w:tab w:val="left" w:pos="4536"/>
          <w:tab w:val="left" w:pos="6804"/>
          <w:tab w:val="right" w:pos="9638"/>
        </w:tabs>
        <w:spacing w:before="240" w:after="120"/>
      </w:pPr>
      <w:r>
        <w:t xml:space="preserve">The </w:t>
      </w:r>
      <w:r w:rsidR="0057020B" w:rsidRPr="0057020B">
        <w:t xml:space="preserve">proposed definition in clause 17.2(f) </w:t>
      </w:r>
      <w:r w:rsidR="00DD540C">
        <w:t xml:space="preserve">of the draft </w:t>
      </w:r>
      <w:r w:rsidR="00996004">
        <w:t>standard terms</w:t>
      </w:r>
      <w:r w:rsidR="00DD540C">
        <w:t xml:space="preserve"> </w:t>
      </w:r>
      <w:r>
        <w:t xml:space="preserve">is </w:t>
      </w:r>
      <w:r w:rsidR="0057020B" w:rsidRPr="0057020B">
        <w:t xml:space="preserve">based on definitions </w:t>
      </w:r>
      <w:r>
        <w:t xml:space="preserve">that the GMRG </w:t>
      </w:r>
      <w:r w:rsidR="0057020B" w:rsidRPr="0057020B">
        <w:t>has observed in standard pipeline terms</w:t>
      </w:r>
      <w:r w:rsidR="008F1421">
        <w:t>. The current drafting of this clause is set out below:</w:t>
      </w:r>
    </w:p>
    <w:p w14:paraId="1BEB0F5B" w14:textId="73AD3F26" w:rsidR="008F1421" w:rsidRPr="008F1421" w:rsidRDefault="008F1421" w:rsidP="00EC0A9D">
      <w:pPr>
        <w:pStyle w:val="Quote"/>
        <w:rPr>
          <w:b/>
        </w:rPr>
      </w:pPr>
      <w:r w:rsidRPr="008F1421">
        <w:t>Consequential Loss means:</w:t>
      </w:r>
    </w:p>
    <w:p w14:paraId="23B8DB25" w14:textId="77777777" w:rsidR="008F1421" w:rsidRPr="008F1421" w:rsidRDefault="008F1421" w:rsidP="00EC0A9D">
      <w:pPr>
        <w:pStyle w:val="Quote"/>
        <w:numPr>
          <w:ilvl w:val="3"/>
          <w:numId w:val="39"/>
        </w:numPr>
        <w:ind w:left="714" w:hanging="357"/>
        <w:rPr>
          <w:b/>
        </w:rPr>
      </w:pPr>
      <w:r w:rsidRPr="008F1421">
        <w:t>loss of profits or revenue;</w:t>
      </w:r>
    </w:p>
    <w:p w14:paraId="05BBE00E" w14:textId="77777777" w:rsidR="008F1421" w:rsidRPr="008F1421" w:rsidRDefault="008F1421" w:rsidP="00EC0A9D">
      <w:pPr>
        <w:pStyle w:val="Quote"/>
        <w:numPr>
          <w:ilvl w:val="3"/>
          <w:numId w:val="39"/>
        </w:numPr>
        <w:ind w:left="714" w:hanging="357"/>
        <w:rPr>
          <w:b/>
        </w:rPr>
      </w:pPr>
      <w:r w:rsidRPr="008F1421">
        <w:lastRenderedPageBreak/>
        <w:t>Shipper’s liability to third parties (other than for losses arising from personal injury or death or damage caused to the property of those third parties);</w:t>
      </w:r>
    </w:p>
    <w:p w14:paraId="138F22C0" w14:textId="5B259DCD" w:rsidR="008F1421" w:rsidRPr="008F1421" w:rsidRDefault="008F1421" w:rsidP="00EC0A9D">
      <w:pPr>
        <w:pStyle w:val="Quote"/>
        <w:numPr>
          <w:ilvl w:val="3"/>
          <w:numId w:val="39"/>
        </w:numPr>
        <w:ind w:left="714" w:hanging="357"/>
        <w:rPr>
          <w:b/>
        </w:rPr>
      </w:pPr>
      <w:r w:rsidRPr="008F1421">
        <w:t>incidental, special, remote or unforeseeable loss or damage;</w:t>
      </w:r>
    </w:p>
    <w:p w14:paraId="7534D2EC" w14:textId="6102D09E" w:rsidR="008F1421" w:rsidRPr="008F1421" w:rsidRDefault="008F1421" w:rsidP="00EC0A9D">
      <w:pPr>
        <w:pStyle w:val="Quote"/>
        <w:numPr>
          <w:ilvl w:val="3"/>
          <w:numId w:val="39"/>
        </w:numPr>
        <w:ind w:left="714" w:hanging="357"/>
        <w:rPr>
          <w:b/>
        </w:rPr>
      </w:pPr>
      <w:r w:rsidRPr="008F1421">
        <w:t>loss of bargain, opportunity, production, business, contract, goodwill or anticipated savings, loss caused by business interruption or the cost of obtaining new financing or maintaining existing financing;</w:t>
      </w:r>
    </w:p>
    <w:p w14:paraId="068CAA43" w14:textId="1AFDF505" w:rsidR="008F1421" w:rsidRPr="008F1421" w:rsidRDefault="008F1421" w:rsidP="00EC0A9D">
      <w:pPr>
        <w:pStyle w:val="Quote"/>
        <w:numPr>
          <w:ilvl w:val="3"/>
          <w:numId w:val="39"/>
        </w:numPr>
        <w:ind w:left="714" w:hanging="357"/>
        <w:rPr>
          <w:b/>
        </w:rPr>
      </w:pPr>
      <w:r w:rsidRPr="008F1421">
        <w:t xml:space="preserve">costs or expenses incurred to prevent or reduce loss or damage which otherwise may be incurred or suffered by a third party; or </w:t>
      </w:r>
    </w:p>
    <w:p w14:paraId="5D6C9000" w14:textId="47DA0FA5" w:rsidR="008F1421" w:rsidRPr="008F1421" w:rsidRDefault="008F1421" w:rsidP="00EC0A9D">
      <w:pPr>
        <w:pStyle w:val="Quote"/>
        <w:numPr>
          <w:ilvl w:val="3"/>
          <w:numId w:val="39"/>
        </w:numPr>
        <w:ind w:left="714" w:hanging="357"/>
        <w:rPr>
          <w:b/>
        </w:rPr>
      </w:pPr>
      <w:r w:rsidRPr="008F1421">
        <w:t>loss or damage of the nature set out above in paragraphs (iii) to (v) that is incurred or suffered by or to a third party</w:t>
      </w:r>
      <w:r>
        <w:t>.</w:t>
      </w:r>
    </w:p>
    <w:p w14:paraId="2BB06CE0" w14:textId="0D703BF5" w:rsidR="0057020B" w:rsidRDefault="008F1421" w:rsidP="0057020B">
      <w:pPr>
        <w:tabs>
          <w:tab w:val="left" w:pos="2268"/>
          <w:tab w:val="left" w:pos="4536"/>
          <w:tab w:val="left" w:pos="6804"/>
          <w:tab w:val="right" w:pos="9638"/>
        </w:tabs>
        <w:spacing w:before="240" w:after="120"/>
      </w:pPr>
      <w:r>
        <w:t xml:space="preserve">The GMRG understands from its discussions with the project team that while service providers may think this definition is appropriate, shippers </w:t>
      </w:r>
      <w:r w:rsidR="0057020B" w:rsidRPr="0057020B">
        <w:t xml:space="preserve">may </w:t>
      </w:r>
      <w:r>
        <w:t xml:space="preserve">think it </w:t>
      </w:r>
      <w:r w:rsidR="0057020B" w:rsidRPr="0057020B">
        <w:t>is too broad.  For example</w:t>
      </w:r>
      <w:r w:rsidR="00DD540C">
        <w:t>,</w:t>
      </w:r>
      <w:r w:rsidR="0057020B" w:rsidRPr="0057020B">
        <w:t xml:space="preserve"> paragraph (v) of the definition would preclude </w:t>
      </w:r>
      <w:r w:rsidR="00211830">
        <w:t>the secondary shipper</w:t>
      </w:r>
      <w:r w:rsidR="00DD540C">
        <w:t xml:space="preserve"> from </w:t>
      </w:r>
      <w:r w:rsidR="0057020B" w:rsidRPr="0057020B">
        <w:t>recover</w:t>
      </w:r>
      <w:r w:rsidR="00DD540C">
        <w:t>ing</w:t>
      </w:r>
      <w:r w:rsidR="0057020B" w:rsidRPr="0057020B">
        <w:t xml:space="preserve"> the costs of alternative gas or </w:t>
      </w:r>
      <w:r w:rsidR="00DD540C">
        <w:t>transportation</w:t>
      </w:r>
      <w:r w:rsidR="0057020B" w:rsidRPr="0057020B">
        <w:t xml:space="preserve"> acquired by </w:t>
      </w:r>
      <w:r w:rsidR="00211830">
        <w:t>the secondary shipper</w:t>
      </w:r>
      <w:r w:rsidR="0057020B" w:rsidRPr="0057020B">
        <w:t xml:space="preserve"> to replace gas </w:t>
      </w:r>
      <w:r w:rsidR="00211830">
        <w:rPr>
          <w:lang w:eastAsia="fr-CA"/>
        </w:rPr>
        <w:t xml:space="preserve">the service provider </w:t>
      </w:r>
      <w:r w:rsidR="0057020B" w:rsidRPr="0057020B">
        <w:t xml:space="preserve">fails to </w:t>
      </w:r>
      <w:r w:rsidR="00DD540C">
        <w:t>transport</w:t>
      </w:r>
      <w:r w:rsidR="0057020B" w:rsidRPr="0057020B">
        <w:t xml:space="preserve">.  Coupled with paragraph (iv) the exclusions are so broad it is difficult to pinpoint exactly what </w:t>
      </w:r>
      <w:r w:rsidR="00211830">
        <w:rPr>
          <w:lang w:eastAsia="fr-CA"/>
        </w:rPr>
        <w:t xml:space="preserve">the service provider </w:t>
      </w:r>
      <w:r w:rsidR="0057020B" w:rsidRPr="0057020B">
        <w:t xml:space="preserve">would be liable for. </w:t>
      </w:r>
      <w:r>
        <w:t>It is also worth noting that s</w:t>
      </w:r>
      <w:r w:rsidR="0057020B" w:rsidRPr="0057020B">
        <w:t xml:space="preserve">ome of the concepts used in paragraph (iii) of the definition do not have a clear meaning – in particular “incidental loss”.  It is </w:t>
      </w:r>
      <w:r>
        <w:t>also un</w:t>
      </w:r>
      <w:r w:rsidR="0057020B" w:rsidRPr="0057020B">
        <w:t>clear what is meant by the use in paragraph (iii) of “remote loss” given that the common law rules for measuring compensable loss would determine what is and is not too remote to be recoverable.</w:t>
      </w:r>
      <w:r w:rsidR="00DD540C">
        <w:t xml:space="preserve"> </w:t>
      </w:r>
    </w:p>
    <w:p w14:paraId="2A4D86D9" w14:textId="1C5E6813" w:rsidR="00DD540C" w:rsidRPr="0057020B" w:rsidRDefault="008F1421" w:rsidP="00DD540C">
      <w:pPr>
        <w:tabs>
          <w:tab w:val="left" w:pos="2268"/>
          <w:tab w:val="left" w:pos="4536"/>
          <w:tab w:val="left" w:pos="6804"/>
          <w:tab w:val="right" w:pos="9638"/>
        </w:tabs>
        <w:spacing w:before="240" w:after="120"/>
      </w:pPr>
      <w:r>
        <w:t>Given the diversity of views, t</w:t>
      </w:r>
      <w:r w:rsidR="00DD540C">
        <w:t xml:space="preserve">he GMRG is interested in </w:t>
      </w:r>
      <w:r>
        <w:t xml:space="preserve">getting </w:t>
      </w:r>
      <w:r w:rsidR="00DD540C">
        <w:t xml:space="preserve">stakeholders’ views on how the term ‘consequential loss’ should be defined and has set out some specific questions on this issue </w:t>
      </w:r>
      <w:r w:rsidR="00DD540C" w:rsidRPr="00EC1BAD">
        <w:t xml:space="preserve">in </w:t>
      </w:r>
      <w:r w:rsidR="00DD540C" w:rsidRPr="00EC1BAD">
        <w:fldChar w:fldCharType="begin"/>
      </w:r>
      <w:r w:rsidR="00DD540C" w:rsidRPr="00EC1BAD">
        <w:instrText xml:space="preserve"> REF _Ref490384814 \h  \* MERGEFORMAT </w:instrText>
      </w:r>
      <w:r w:rsidR="00DD540C" w:rsidRPr="00EC1BAD">
        <w:fldChar w:fldCharType="separate"/>
      </w:r>
      <w:r w:rsidR="00947034" w:rsidRPr="00947034">
        <w:rPr>
          <w:rFonts w:eastAsiaTheme="minorHAnsi" w:cstheme="minorBidi"/>
          <w:bCs/>
          <w:lang w:eastAsia="fr-CA"/>
        </w:rPr>
        <w:t xml:space="preserve">Box </w:t>
      </w:r>
      <w:r w:rsidR="00947034" w:rsidRPr="00947034">
        <w:rPr>
          <w:rFonts w:eastAsiaTheme="minorHAnsi" w:cstheme="minorBidi"/>
          <w:bCs/>
          <w:noProof/>
          <w:lang w:eastAsia="fr-CA"/>
        </w:rPr>
        <w:t>3.3</w:t>
      </w:r>
      <w:r w:rsidR="00DD540C" w:rsidRPr="00EC1BAD">
        <w:fldChar w:fldCharType="end"/>
      </w:r>
      <w:r w:rsidR="00DD540C" w:rsidRPr="00EC1BAD">
        <w:t>.</w:t>
      </w:r>
    </w:p>
    <w:p w14:paraId="7B3AF285" w14:textId="5CB3A5F6" w:rsidR="0057020B" w:rsidRPr="0057020B" w:rsidRDefault="0057020B" w:rsidP="00EC1759">
      <w:pPr>
        <w:pStyle w:val="Heading3"/>
      </w:pPr>
      <w:bookmarkStart w:id="73" w:name="_Ref491798708"/>
      <w:r w:rsidRPr="0057020B">
        <w:t>Credit support requirements</w:t>
      </w:r>
      <w:bookmarkEnd w:id="73"/>
      <w:r w:rsidR="00053FEC">
        <w:rPr>
          <w:rStyle w:val="FootnoteReference"/>
        </w:rPr>
        <w:footnoteReference w:id="32"/>
      </w:r>
    </w:p>
    <w:p w14:paraId="1367EEF1" w14:textId="72551DF0" w:rsidR="00EC0A9D" w:rsidRDefault="00EC0A9D" w:rsidP="00EC0A9D">
      <w:pPr>
        <w:tabs>
          <w:tab w:val="left" w:pos="2268"/>
          <w:tab w:val="left" w:pos="4536"/>
          <w:tab w:val="left" w:pos="6804"/>
          <w:tab w:val="right" w:pos="9638"/>
        </w:tabs>
        <w:spacing w:before="240" w:after="120"/>
      </w:pPr>
      <w:r>
        <w:t>The operational GTA will, as the AEMC noted in its final recommendations,</w:t>
      </w:r>
      <w:r>
        <w:rPr>
          <w:vertAlign w:val="superscript"/>
        </w:rPr>
        <w:t xml:space="preserve"> </w:t>
      </w:r>
      <w:r>
        <w:t>need to contain credit support arrangements to manage the risks to one counterparty when the other counterparty has low credit worthiness, because this risk will no longer be managed through bespoke prudential arrangements.</w:t>
      </w:r>
    </w:p>
    <w:p w14:paraId="15466081" w14:textId="3F913C6C" w:rsidR="00EC0A9D" w:rsidRDefault="00EC0A9D" w:rsidP="00EC0A9D">
      <w:pPr>
        <w:tabs>
          <w:tab w:val="left" w:pos="2268"/>
          <w:tab w:val="left" w:pos="4536"/>
          <w:tab w:val="left" w:pos="6804"/>
          <w:tab w:val="right" w:pos="9638"/>
        </w:tabs>
        <w:spacing w:before="240" w:after="120"/>
      </w:pPr>
      <w:r>
        <w:t>In developing the draft credit support arrangements, the GMRG has had regard to the following policy considerations</w:t>
      </w:r>
      <w:r w:rsidR="00053FEC">
        <w:t>, which are consistent with the principles in section 2.3</w:t>
      </w:r>
      <w:r>
        <w:t>:</w:t>
      </w:r>
    </w:p>
    <w:p w14:paraId="47F0FD3E" w14:textId="77777777" w:rsidR="00EC0A9D" w:rsidRDefault="00EC0A9D" w:rsidP="00EC0A9D">
      <w:pPr>
        <w:pStyle w:val="ListBullet"/>
      </w:pPr>
      <w:r>
        <w:t>Service providers should be adequately protected (in a manner consistent with a workably competitive market) against the risk of contracting with parties with insufficient financial substance. The risks a service provider is exposed to are that:</w:t>
      </w:r>
    </w:p>
    <w:p w14:paraId="03301F33" w14:textId="77777777" w:rsidR="00EC0A9D" w:rsidRDefault="00EC0A9D" w:rsidP="00D77D65">
      <w:pPr>
        <w:pStyle w:val="ListBullet2"/>
        <w:numPr>
          <w:ilvl w:val="0"/>
          <w:numId w:val="40"/>
        </w:numPr>
      </w:pPr>
      <w:r>
        <w:t xml:space="preserve">the secondary shipper fails to pay it any charges that are incurred under the operational GTA (e.g. for imbalance or overruns); or </w:t>
      </w:r>
    </w:p>
    <w:p w14:paraId="68299BAD" w14:textId="77777777" w:rsidR="00EC0A9D" w:rsidRDefault="00EC0A9D" w:rsidP="00D77D65">
      <w:pPr>
        <w:pStyle w:val="ListBullet2"/>
        <w:numPr>
          <w:ilvl w:val="0"/>
          <w:numId w:val="40"/>
        </w:numPr>
      </w:pPr>
      <w:r>
        <w:t xml:space="preserve">the secondary shipper incurs liability (for example, for supply of off-specification gas) but cannot meet that liability. </w:t>
      </w:r>
    </w:p>
    <w:p w14:paraId="1F4625E0" w14:textId="77777777" w:rsidR="00EC0A9D" w:rsidRDefault="00EC0A9D" w:rsidP="00EC0A9D">
      <w:pPr>
        <w:pStyle w:val="ListBullet2"/>
        <w:numPr>
          <w:ilvl w:val="0"/>
          <w:numId w:val="0"/>
        </w:numPr>
        <w:ind w:left="360"/>
      </w:pPr>
      <w:r>
        <w:lastRenderedPageBreak/>
        <w:t>It is important to note that secondary shippers do not pay the primary charge which secures the service provider’s revenue stream – that is the charges for reservation of capacity.  This charge will continue to be paid by the primary shipper. So the risks in (a) are not as substantial as they may be in primary GTAs.</w:t>
      </w:r>
    </w:p>
    <w:p w14:paraId="6127CDAD" w14:textId="77777777" w:rsidR="00EC0A9D" w:rsidRDefault="00EC0A9D" w:rsidP="00EC0A9D">
      <w:pPr>
        <w:pStyle w:val="ListBullet"/>
      </w:pPr>
      <w:r>
        <w:t>The presence of shippers that have insufficient credit to back their contractual obligations poses a risk to the service provider and other shippers (for example, if a shipper damages the pipeline but cannot meet the repair cost this poses a risk for all users of the pipeline).</w:t>
      </w:r>
    </w:p>
    <w:p w14:paraId="4F0A54BE" w14:textId="77777777" w:rsidR="00EC0A9D" w:rsidRDefault="00EC0A9D" w:rsidP="00EC0A9D">
      <w:pPr>
        <w:pStyle w:val="ListBullet"/>
      </w:pPr>
      <w:r>
        <w:t>Credit support is a material cost to new entrants and can act as a barrier to entry.</w:t>
      </w:r>
    </w:p>
    <w:p w14:paraId="5A61D044" w14:textId="77777777" w:rsidR="00EC0A9D" w:rsidRDefault="00EC0A9D" w:rsidP="00EC0A9D">
      <w:pPr>
        <w:pStyle w:val="ListBullet"/>
      </w:pPr>
      <w:r>
        <w:t>The level of credit support required should be proportionate to the risks faced by the service provider and not act as a barrier to secondary trading.</w:t>
      </w:r>
    </w:p>
    <w:p w14:paraId="757FB956" w14:textId="77777777" w:rsidR="00EC0A9D" w:rsidRDefault="00EC0A9D" w:rsidP="00EC0A9D">
      <w:pPr>
        <w:pStyle w:val="ListBullet"/>
      </w:pPr>
      <w:r>
        <w:t>The credit support arrangements should be transparent and known to enable the secondary shipper to properly evaluate the operational GTA.</w:t>
      </w:r>
    </w:p>
    <w:p w14:paraId="3FF60304" w14:textId="7F47CD93" w:rsidR="00EC0A9D" w:rsidRDefault="00EC0A9D" w:rsidP="00EC0A9D">
      <w:pPr>
        <w:tabs>
          <w:tab w:val="left" w:pos="2268"/>
          <w:tab w:val="left" w:pos="4536"/>
          <w:tab w:val="left" w:pos="6804"/>
          <w:tab w:val="right" w:pos="9638"/>
        </w:tabs>
        <w:spacing w:before="240" w:after="120"/>
      </w:pPr>
      <w:r>
        <w:t>Taking into account these matters, the GMRG’s preliminary view, reflecting the discussions of the Standardisation project team, is that where a shipper has a credit rating of Standard and Poor’s BBB- (or has its obligations guaranteed by an entity with such a rating</w:t>
      </w:r>
      <w:r w:rsidR="00CC2039">
        <w:t>– e.g. a parent company guarantee) no credit support should be required.  The shipper will, however, still be required to meet the insurance requirements set out in clause 21.1.  In respect of the form of guarantee it is proposed this be required to be in a form acceptable to service provider acting reasonably.  Stakeholders are asked to comment whether they consider this appropriate or whether the standard terms should attach a template form of guarantee or set out certain minimum requirements with which the guarantee must comply (for example set out the circumstances in which the guarantee must be released).</w:t>
      </w:r>
    </w:p>
    <w:p w14:paraId="5BDE8426" w14:textId="25C6E15B" w:rsidR="00EC0A9D" w:rsidRDefault="00EC0A9D" w:rsidP="00EC0A9D">
      <w:pPr>
        <w:tabs>
          <w:tab w:val="left" w:pos="2268"/>
          <w:tab w:val="left" w:pos="4536"/>
          <w:tab w:val="left" w:pos="6804"/>
          <w:tab w:val="right" w:pos="9638"/>
        </w:tabs>
        <w:spacing w:before="240" w:after="120"/>
      </w:pPr>
      <w:r>
        <w:t xml:space="preserve">The Standardisation project team considered what credit support should be provided where a shipper does not meet these requirements and how the amount of credit support should be determined.  The Standardisation project team identified bank guarantees and </w:t>
      </w:r>
      <w:r w:rsidR="00CC2039">
        <w:t xml:space="preserve">cash deposits </w:t>
      </w:r>
      <w:r>
        <w:t>as potential forms of credit support.  In relation to the amount of credit support that should be provided, the Standardisation project team identified the following options:</w:t>
      </w:r>
    </w:p>
    <w:p w14:paraId="02807B87" w14:textId="206669AE" w:rsidR="00EC0A9D" w:rsidRDefault="00EC0A9D" w:rsidP="00EC0A9D">
      <w:pPr>
        <w:pStyle w:val="ListBullet"/>
      </w:pPr>
      <w:r>
        <w:t xml:space="preserve">The level of credit support would be determined on a case by case </w:t>
      </w:r>
      <w:r w:rsidR="00D4786D">
        <w:t xml:space="preserve">basis </w:t>
      </w:r>
      <w:r>
        <w:t>by service providers (acting reasonably).  While this option would enable credit support to be tailored to an individual shipper’s circumstances, it would provide shippers with no certainty as to the level of credit support they would be required to provide.  The other potential issue with this option is that service providers may be too conservative in determining the level of credit support, which could act as a barrier to entry.</w:t>
      </w:r>
    </w:p>
    <w:p w14:paraId="6EEFD670" w14:textId="607B4177" w:rsidR="00EC0A9D" w:rsidRDefault="00EC0A9D" w:rsidP="00EC0A9D">
      <w:pPr>
        <w:pStyle w:val="ListBullet"/>
      </w:pPr>
      <w:r>
        <w:t xml:space="preserve">The </w:t>
      </w:r>
      <w:r w:rsidR="00F2482F">
        <w:t xml:space="preserve">level of </w:t>
      </w:r>
      <w:r>
        <w:t xml:space="preserve">credit support </w:t>
      </w:r>
      <w:r w:rsidR="00F2482F">
        <w:t xml:space="preserve">would be </w:t>
      </w:r>
      <w:r>
        <w:t xml:space="preserve">set by reference to the service provider’s determination of the charges (imbalance, overrun, hourly overrun) </w:t>
      </w:r>
      <w:r w:rsidR="00F2482F">
        <w:t xml:space="preserve">a secondary shipper was likely to incur.  Some project team members noted that this would be difficult to apply in practice given the nature of the charges </w:t>
      </w:r>
      <w:r>
        <w:t>and the difficulty of determining how often they would be incurred</w:t>
      </w:r>
      <w:r w:rsidR="00F2482F">
        <w:t>.</w:t>
      </w:r>
    </w:p>
    <w:p w14:paraId="22CD902E" w14:textId="27CDAEFF" w:rsidR="00F2482F" w:rsidRDefault="00EC0A9D" w:rsidP="00F2482F">
      <w:pPr>
        <w:pStyle w:val="ListBullet"/>
      </w:pPr>
      <w:r>
        <w:t xml:space="preserve">The </w:t>
      </w:r>
      <w:r w:rsidR="00F2482F">
        <w:t xml:space="preserve">level of </w:t>
      </w:r>
      <w:r>
        <w:t xml:space="preserve">credit support </w:t>
      </w:r>
      <w:r w:rsidR="00F2482F">
        <w:t xml:space="preserve">would </w:t>
      </w:r>
      <w:r>
        <w:t xml:space="preserve">be a </w:t>
      </w:r>
      <w:r w:rsidR="00F2482F">
        <w:t xml:space="preserve">fixed </w:t>
      </w:r>
      <w:r>
        <w:t xml:space="preserve">amount specified in the </w:t>
      </w:r>
      <w:r w:rsidR="00CC374B">
        <w:t>s</w:t>
      </w:r>
      <w:r>
        <w:t xml:space="preserve">tandard </w:t>
      </w:r>
      <w:r w:rsidR="00CC374B">
        <w:t>t</w:t>
      </w:r>
      <w:r>
        <w:t>erms</w:t>
      </w:r>
      <w:r w:rsidR="00F2482F">
        <w:t xml:space="preserve"> (f</w:t>
      </w:r>
      <w:r>
        <w:t>or example</w:t>
      </w:r>
      <w:r w:rsidR="00F2482F">
        <w:t>,</w:t>
      </w:r>
      <w:r>
        <w:t xml:space="preserve"> $1 million</w:t>
      </w:r>
      <w:r w:rsidR="00F2482F">
        <w:t>)</w:t>
      </w:r>
      <w:r>
        <w:t xml:space="preserve">.  </w:t>
      </w:r>
      <w:r w:rsidR="00F2482F">
        <w:t xml:space="preserve">The issue with this option is that the amount may not </w:t>
      </w:r>
      <w:r>
        <w:t xml:space="preserve">be appropriate </w:t>
      </w:r>
      <w:r w:rsidR="00F2482F">
        <w:t xml:space="preserve">in </w:t>
      </w:r>
      <w:r>
        <w:t>all circumstances.</w:t>
      </w:r>
    </w:p>
    <w:p w14:paraId="14343E35" w14:textId="3501A345" w:rsidR="00F2482F" w:rsidRDefault="00EC0A9D" w:rsidP="00F2482F">
      <w:pPr>
        <w:pStyle w:val="ListBullet"/>
      </w:pPr>
      <w:r>
        <w:lastRenderedPageBreak/>
        <w:t xml:space="preserve">The </w:t>
      </w:r>
      <w:r w:rsidR="00F2482F">
        <w:t xml:space="preserve">level of </w:t>
      </w:r>
      <w:r>
        <w:t xml:space="preserve">credit support </w:t>
      </w:r>
      <w:r w:rsidR="00F2482F">
        <w:t xml:space="preserve">would </w:t>
      </w:r>
      <w:r>
        <w:t xml:space="preserve">reflect the value of 60 days of </w:t>
      </w:r>
      <w:r w:rsidR="00F2482F">
        <w:t xml:space="preserve">charges payable for the </w:t>
      </w:r>
      <w:r>
        <w:t>MDQ.  For example</w:t>
      </w:r>
      <w:r w:rsidR="00F2482F">
        <w:t>,</w:t>
      </w:r>
      <w:r>
        <w:t xml:space="preserve"> if a shipper acquired 10TJ/day of traded capacity for 12 months then their credit support amount would be</w:t>
      </w:r>
      <w:r w:rsidR="00F2482F">
        <w:t>:</w:t>
      </w:r>
      <w:r>
        <w:t xml:space="preserve"> </w:t>
      </w:r>
    </w:p>
    <w:p w14:paraId="45A1BA12" w14:textId="08903000" w:rsidR="00F2482F" w:rsidRPr="00F2482F" w:rsidRDefault="00EC0A9D" w:rsidP="00F2482F">
      <w:pPr>
        <w:tabs>
          <w:tab w:val="left" w:pos="2268"/>
          <w:tab w:val="left" w:pos="4536"/>
          <w:tab w:val="left" w:pos="6804"/>
          <w:tab w:val="right" w:pos="9638"/>
        </w:tabs>
        <w:spacing w:before="240" w:after="120"/>
        <w:ind w:left="567"/>
        <w:rPr>
          <w:sz w:val="20"/>
          <w:szCs w:val="20"/>
        </w:rPr>
      </w:pPr>
      <w:r w:rsidRPr="00F2482F">
        <w:rPr>
          <w:sz w:val="20"/>
          <w:szCs w:val="20"/>
        </w:rPr>
        <w:t xml:space="preserve">10,000 * 60 * value of the MDQ on a per GJ basis.  </w:t>
      </w:r>
    </w:p>
    <w:p w14:paraId="21DD8C1E" w14:textId="62ABDBD0" w:rsidR="00EC0A9D" w:rsidRDefault="00EC0A9D" w:rsidP="003E002F">
      <w:pPr>
        <w:tabs>
          <w:tab w:val="left" w:pos="2268"/>
          <w:tab w:val="left" w:pos="4536"/>
          <w:tab w:val="left" w:pos="6804"/>
          <w:tab w:val="right" w:pos="9638"/>
        </w:tabs>
        <w:spacing w:before="240" w:after="120"/>
        <w:ind w:left="357"/>
      </w:pPr>
      <w:r>
        <w:t xml:space="preserve">The value of MDQ would be determined </w:t>
      </w:r>
      <w:r w:rsidR="00F2482F">
        <w:t>using either the facility’s r</w:t>
      </w:r>
      <w:r>
        <w:t xml:space="preserve">eference </w:t>
      </w:r>
      <w:r w:rsidR="00F2482F">
        <w:t>t</w:t>
      </w:r>
      <w:r>
        <w:t xml:space="preserve">ariff </w:t>
      </w:r>
      <w:r w:rsidR="00F2482F">
        <w:t>(in the case of a full regulation pipeline) or standing price (in the case of all other pipelines) for a firm service</w:t>
      </w:r>
      <w:r w:rsidR="003E002F">
        <w:t xml:space="preserve">.  </w:t>
      </w:r>
      <w:r>
        <w:t>So in the above example if MDQ were $1/GJ then the credit support required would be $600,000.</w:t>
      </w:r>
      <w:r w:rsidR="003E002F">
        <w:t xml:space="preserve"> Under this option, i</w:t>
      </w:r>
      <w:r>
        <w:t xml:space="preserve">t would be up to the shipper to nominate </w:t>
      </w:r>
      <w:r w:rsidR="003E002F">
        <w:t>its</w:t>
      </w:r>
      <w:r>
        <w:t xml:space="preserve"> credit level</w:t>
      </w:r>
      <w:r w:rsidR="003E002F">
        <w:t xml:space="preserve"> and would </w:t>
      </w:r>
      <w:r>
        <w:t xml:space="preserve">notify the service provider of the maximum value of MDQ </w:t>
      </w:r>
      <w:r w:rsidR="003E002F">
        <w:t>it</w:t>
      </w:r>
      <w:r>
        <w:t xml:space="preserve"> will acquire</w:t>
      </w:r>
      <w:r w:rsidR="003E002F">
        <w:t xml:space="preserve">. The </w:t>
      </w:r>
      <w:r>
        <w:t xml:space="preserve">credit support would </w:t>
      </w:r>
      <w:r w:rsidR="003E002F">
        <w:t xml:space="preserve">then </w:t>
      </w:r>
      <w:r>
        <w:t>be set</w:t>
      </w:r>
      <w:r w:rsidR="00F2482F">
        <w:t xml:space="preserve"> by reference to this amount. </w:t>
      </w:r>
      <w:r>
        <w:t xml:space="preserve">The shipper could change this level from time to time but would be prohibited from acquiring MDQ above the level nominated.  So in the above example </w:t>
      </w:r>
      <w:r w:rsidR="00F2482F">
        <w:t xml:space="preserve">if </w:t>
      </w:r>
      <w:r>
        <w:t xml:space="preserve">the shipper nominated 10TJ/day as </w:t>
      </w:r>
      <w:r w:rsidR="00F2482F">
        <w:t xml:space="preserve">its </w:t>
      </w:r>
      <w:r>
        <w:t>credit support level</w:t>
      </w:r>
      <w:r w:rsidR="00F2482F">
        <w:t xml:space="preserve">, it would not be able to </w:t>
      </w:r>
      <w:r>
        <w:t xml:space="preserve">acquire more than 10TJ/day </w:t>
      </w:r>
      <w:r w:rsidR="00F2482F">
        <w:t xml:space="preserve">through the exchange or auction </w:t>
      </w:r>
      <w:r w:rsidR="0009208D">
        <w:t>until it has increased its credit support level</w:t>
      </w:r>
      <w:r>
        <w:t xml:space="preserve">.  </w:t>
      </w:r>
      <w:r w:rsidR="003E002F">
        <w:t xml:space="preserve">In this example, </w:t>
      </w:r>
      <w:r>
        <w:t>if the shipper wanted to buy 15TJ/day for 6 months it would need to increase its credit support to $900,000 – at the end of the 6 months (in the absence of a further nomination) its credit support would drop back to $600,000 and its maximum trading entitlement to 10TJ/day.</w:t>
      </w:r>
    </w:p>
    <w:p w14:paraId="4B5528C0" w14:textId="5A384F15" w:rsidR="00EC0A9D" w:rsidRDefault="003E002F" w:rsidP="00EC0A9D">
      <w:pPr>
        <w:tabs>
          <w:tab w:val="left" w:pos="2268"/>
          <w:tab w:val="left" w:pos="4536"/>
          <w:tab w:val="left" w:pos="6804"/>
          <w:tab w:val="right" w:pos="9638"/>
        </w:tabs>
        <w:spacing w:before="240" w:after="120"/>
      </w:pPr>
      <w:r>
        <w:t xml:space="preserve">Of the options listed, the latter option appears to be most consistent with the policy considerations outlined above, with one of the main </w:t>
      </w:r>
      <w:r w:rsidR="00EC0A9D">
        <w:t>advantage</w:t>
      </w:r>
      <w:r>
        <w:t>s</w:t>
      </w:r>
      <w:r w:rsidR="00EC0A9D">
        <w:t xml:space="preserve"> </w:t>
      </w:r>
      <w:r>
        <w:t xml:space="preserve">being that it is </w:t>
      </w:r>
      <w:r w:rsidR="00EC0A9D">
        <w:t>simple, transparent and clear.  The disadvantage</w:t>
      </w:r>
      <w:r>
        <w:t>, however,</w:t>
      </w:r>
      <w:r w:rsidR="00EC0A9D">
        <w:t xml:space="preserve"> is that </w:t>
      </w:r>
      <w:r w:rsidR="008F3A37">
        <w:t>because</w:t>
      </w:r>
      <w:r w:rsidR="00EC0A9D">
        <w:t xml:space="preserve"> secondary shippers do not actually pay the reservation charges for MDQ, there is a lack of logic in linking their credit support level to the value of MDQ.  It may be </w:t>
      </w:r>
      <w:r w:rsidR="00D4786D">
        <w:t xml:space="preserve">that </w:t>
      </w:r>
      <w:r w:rsidR="00EC0A9D">
        <w:t xml:space="preserve">the credit support should not be equal to 100% of the value of MDQ but some proportion of it </w:t>
      </w:r>
      <w:r w:rsidR="00053FEC">
        <w:t xml:space="preserve">that is equivalent to the proportion of </w:t>
      </w:r>
      <w:r w:rsidR="00396529">
        <w:t xml:space="preserve">the service provider’s </w:t>
      </w:r>
      <w:r w:rsidR="00053FEC">
        <w:t xml:space="preserve">revenue that imbalance and overrun charges typically account for </w:t>
      </w:r>
      <w:r w:rsidR="00EC0A9D">
        <w:t>(</w:t>
      </w:r>
      <w:r w:rsidR="00396529">
        <w:t>e.g. 10</w:t>
      </w:r>
      <w:r w:rsidR="00EC0A9D">
        <w:t>%</w:t>
      </w:r>
      <w:r w:rsidR="00396529">
        <w:t>)</w:t>
      </w:r>
      <w:r w:rsidR="00EC0A9D">
        <w:t xml:space="preserve"> </w:t>
      </w:r>
    </w:p>
    <w:p w14:paraId="250B2C92" w14:textId="4A89CABD" w:rsidR="00EC1BAD" w:rsidRPr="0057020B" w:rsidRDefault="00EC1BAD" w:rsidP="0057020B">
      <w:pPr>
        <w:tabs>
          <w:tab w:val="left" w:pos="2268"/>
          <w:tab w:val="left" w:pos="4536"/>
          <w:tab w:val="left" w:pos="6804"/>
          <w:tab w:val="right" w:pos="9638"/>
        </w:tabs>
        <w:spacing w:before="240" w:after="120"/>
      </w:pPr>
      <w:r>
        <w:t xml:space="preserve">The GMRG is seeking feedback from stakeholders on this proposed credit support mechanism and has set out some specific questions on this issue </w:t>
      </w:r>
      <w:r w:rsidRPr="00EC1BAD">
        <w:t xml:space="preserve">in </w:t>
      </w:r>
      <w:r w:rsidRPr="00EC1BAD">
        <w:fldChar w:fldCharType="begin"/>
      </w:r>
      <w:r w:rsidRPr="00EC1BAD">
        <w:instrText xml:space="preserve"> REF _Ref490384814 \h  \* MERGEFORMAT </w:instrText>
      </w:r>
      <w:r w:rsidRPr="00EC1BAD">
        <w:fldChar w:fldCharType="separate"/>
      </w:r>
      <w:r w:rsidR="00947034" w:rsidRPr="00947034">
        <w:rPr>
          <w:rFonts w:eastAsiaTheme="minorHAnsi" w:cstheme="minorBidi"/>
          <w:bCs/>
          <w:lang w:eastAsia="fr-CA"/>
        </w:rPr>
        <w:t xml:space="preserve">Box </w:t>
      </w:r>
      <w:r w:rsidR="00947034" w:rsidRPr="00947034">
        <w:rPr>
          <w:rFonts w:eastAsiaTheme="minorHAnsi" w:cstheme="minorBidi"/>
          <w:bCs/>
          <w:noProof/>
          <w:lang w:eastAsia="fr-CA"/>
        </w:rPr>
        <w:t>3.3</w:t>
      </w:r>
      <w:r w:rsidRPr="00EC1BAD">
        <w:fldChar w:fldCharType="end"/>
      </w:r>
      <w:r w:rsidRPr="00EC1BAD">
        <w:t>.</w:t>
      </w:r>
    </w:p>
    <w:p w14:paraId="38B99DB4" w14:textId="77777777" w:rsidR="0057020B" w:rsidRPr="0057020B" w:rsidRDefault="0057020B" w:rsidP="00EC1759">
      <w:pPr>
        <w:pStyle w:val="Heading3"/>
      </w:pPr>
      <w:r w:rsidRPr="0057020B">
        <w:t>Curtailment</w:t>
      </w:r>
    </w:p>
    <w:p w14:paraId="43E3D2DD" w14:textId="57D490DD" w:rsidR="0057020B" w:rsidRPr="0057020B" w:rsidRDefault="00F14A8E" w:rsidP="0057020B">
      <w:pPr>
        <w:tabs>
          <w:tab w:val="left" w:pos="2268"/>
          <w:tab w:val="left" w:pos="4536"/>
          <w:tab w:val="left" w:pos="6804"/>
          <w:tab w:val="right" w:pos="9638"/>
        </w:tabs>
        <w:spacing w:before="240" w:after="120"/>
      </w:pPr>
      <w:r>
        <w:rPr>
          <w:lang w:eastAsia="en-US"/>
        </w:rPr>
        <w:t xml:space="preserve">Service providers will usually have the right under a GTA </w:t>
      </w:r>
      <w:r w:rsidR="007F25F1">
        <w:rPr>
          <w:lang w:eastAsia="en-US"/>
        </w:rPr>
        <w:t xml:space="preserve">to </w:t>
      </w:r>
      <w:r w:rsidR="0057020B" w:rsidRPr="0057020B">
        <w:rPr>
          <w:lang w:eastAsia="en-US"/>
        </w:rPr>
        <w:t xml:space="preserve">curtail a shipper for conditions caused by the shipper’s breach of contract </w:t>
      </w:r>
      <w:r w:rsidR="007F25F1">
        <w:rPr>
          <w:lang w:eastAsia="en-US"/>
        </w:rPr>
        <w:t xml:space="preserve">and </w:t>
      </w:r>
      <w:r w:rsidR="0057020B" w:rsidRPr="0057020B">
        <w:rPr>
          <w:lang w:eastAsia="en-US"/>
        </w:rPr>
        <w:t xml:space="preserve">for conditions </w:t>
      </w:r>
      <w:r w:rsidR="007F25F1">
        <w:rPr>
          <w:lang w:eastAsia="en-US"/>
        </w:rPr>
        <w:t xml:space="preserve">that </w:t>
      </w:r>
      <w:r w:rsidR="0057020B" w:rsidRPr="0057020B">
        <w:rPr>
          <w:lang w:eastAsia="en-US"/>
        </w:rPr>
        <w:t xml:space="preserve">do not arise due to the fault of </w:t>
      </w:r>
      <w:r w:rsidR="00D4786D">
        <w:rPr>
          <w:lang w:eastAsia="en-US"/>
        </w:rPr>
        <w:t xml:space="preserve">the </w:t>
      </w:r>
      <w:r w:rsidR="0057020B" w:rsidRPr="0057020B">
        <w:rPr>
          <w:lang w:eastAsia="en-US"/>
        </w:rPr>
        <w:t>shipper (for example</w:t>
      </w:r>
      <w:r w:rsidR="007F25F1">
        <w:rPr>
          <w:lang w:eastAsia="en-US"/>
        </w:rPr>
        <w:t>,</w:t>
      </w:r>
      <w:r w:rsidR="0057020B" w:rsidRPr="0057020B">
        <w:rPr>
          <w:lang w:eastAsia="en-US"/>
        </w:rPr>
        <w:t xml:space="preserve"> the need to undertake urgent maintenance). </w:t>
      </w:r>
      <w:r w:rsidR="007F25F1">
        <w:rPr>
          <w:lang w:eastAsia="en-US"/>
        </w:rPr>
        <w:t xml:space="preserve"> Before curtailing </w:t>
      </w:r>
      <w:r>
        <w:rPr>
          <w:lang w:eastAsia="en-US"/>
        </w:rPr>
        <w:t xml:space="preserve">a </w:t>
      </w:r>
      <w:r w:rsidR="007F25F1">
        <w:rPr>
          <w:lang w:eastAsia="en-US"/>
        </w:rPr>
        <w:t xml:space="preserve">shipper, </w:t>
      </w:r>
      <w:r>
        <w:rPr>
          <w:lang w:eastAsia="en-US"/>
        </w:rPr>
        <w:t xml:space="preserve">however, </w:t>
      </w:r>
      <w:r w:rsidR="007F25F1">
        <w:rPr>
          <w:lang w:eastAsia="en-US"/>
        </w:rPr>
        <w:t>service provider</w:t>
      </w:r>
      <w:r>
        <w:rPr>
          <w:lang w:eastAsia="en-US"/>
        </w:rPr>
        <w:t>s</w:t>
      </w:r>
      <w:r w:rsidR="007F25F1">
        <w:rPr>
          <w:lang w:eastAsia="en-US"/>
        </w:rPr>
        <w:t xml:space="preserve"> </w:t>
      </w:r>
      <w:r>
        <w:rPr>
          <w:lang w:eastAsia="en-US"/>
        </w:rPr>
        <w:t xml:space="preserve">are usually required </w:t>
      </w:r>
      <w:r w:rsidR="007F25F1">
        <w:rPr>
          <w:lang w:eastAsia="en-US"/>
        </w:rPr>
        <w:t xml:space="preserve">to issue the shipper </w:t>
      </w:r>
      <w:r w:rsidR="00D4786D">
        <w:rPr>
          <w:lang w:eastAsia="en-US"/>
        </w:rPr>
        <w:t xml:space="preserve">with </w:t>
      </w:r>
      <w:r w:rsidR="007F25F1">
        <w:rPr>
          <w:lang w:eastAsia="en-US"/>
        </w:rPr>
        <w:t xml:space="preserve">a curtailment notice. </w:t>
      </w:r>
    </w:p>
    <w:p w14:paraId="161D4546" w14:textId="05F58494" w:rsidR="0057020B" w:rsidRPr="0057020B" w:rsidRDefault="007F25F1" w:rsidP="0057020B">
      <w:pPr>
        <w:tabs>
          <w:tab w:val="left" w:pos="2268"/>
          <w:tab w:val="left" w:pos="4536"/>
          <w:tab w:val="left" w:pos="6804"/>
          <w:tab w:val="right" w:pos="9638"/>
        </w:tabs>
        <w:spacing w:before="240" w:after="120"/>
      </w:pPr>
      <w:r>
        <w:rPr>
          <w:lang w:eastAsia="en-US"/>
        </w:rPr>
        <w:t xml:space="preserve">One </w:t>
      </w:r>
      <w:r w:rsidR="00C616AE">
        <w:rPr>
          <w:lang w:eastAsia="en-US"/>
        </w:rPr>
        <w:t xml:space="preserve">matter that was debated amongst the </w:t>
      </w:r>
      <w:r>
        <w:rPr>
          <w:lang w:eastAsia="en-US"/>
        </w:rPr>
        <w:t xml:space="preserve">Standardisation project team is how </w:t>
      </w:r>
      <w:r w:rsidR="0057020B" w:rsidRPr="0057020B">
        <w:rPr>
          <w:lang w:eastAsia="en-US"/>
        </w:rPr>
        <w:t xml:space="preserve">long </w:t>
      </w:r>
      <w:r w:rsidR="00211830">
        <w:rPr>
          <w:lang w:eastAsia="en-US"/>
        </w:rPr>
        <w:t>the secondary shipper</w:t>
      </w:r>
      <w:r w:rsidR="0057020B" w:rsidRPr="0057020B">
        <w:rPr>
          <w:lang w:eastAsia="en-US"/>
        </w:rPr>
        <w:t xml:space="preserve"> </w:t>
      </w:r>
      <w:r>
        <w:rPr>
          <w:lang w:eastAsia="en-US"/>
        </w:rPr>
        <w:t xml:space="preserve">should </w:t>
      </w:r>
      <w:r w:rsidR="0057020B" w:rsidRPr="0057020B">
        <w:rPr>
          <w:lang w:eastAsia="en-US"/>
        </w:rPr>
        <w:t>have to comply with</w:t>
      </w:r>
      <w:r w:rsidR="0057020B" w:rsidRPr="0057020B">
        <w:rPr>
          <w:lang w:eastAsia="fr-CA"/>
        </w:rPr>
        <w:t xml:space="preserve"> </w:t>
      </w:r>
      <w:r w:rsidR="00F14A8E">
        <w:rPr>
          <w:lang w:eastAsia="fr-CA"/>
        </w:rPr>
        <w:t xml:space="preserve">such a </w:t>
      </w:r>
      <w:r w:rsidR="0057020B" w:rsidRPr="0057020B">
        <w:rPr>
          <w:lang w:eastAsia="en-US"/>
        </w:rPr>
        <w:t>notice</w:t>
      </w:r>
      <w:r w:rsidR="00F14A8E">
        <w:rPr>
          <w:lang w:eastAsia="en-US"/>
        </w:rPr>
        <w:t xml:space="preserve">. This is </w:t>
      </w:r>
      <w:r>
        <w:rPr>
          <w:lang w:eastAsia="en-US"/>
        </w:rPr>
        <w:t xml:space="preserve">not surprising given there is </w:t>
      </w:r>
      <w:r w:rsidR="0057020B" w:rsidRPr="0057020B">
        <w:rPr>
          <w:lang w:eastAsia="en-US"/>
        </w:rPr>
        <w:t xml:space="preserve">natural tension between </w:t>
      </w:r>
      <w:r w:rsidR="00211830">
        <w:rPr>
          <w:lang w:eastAsia="fr-CA"/>
        </w:rPr>
        <w:t xml:space="preserve">the service provider </w:t>
      </w:r>
      <w:r w:rsidR="0057020B" w:rsidRPr="0057020B">
        <w:rPr>
          <w:lang w:eastAsia="en-US"/>
        </w:rPr>
        <w:t xml:space="preserve">and </w:t>
      </w:r>
      <w:r w:rsidR="00211830">
        <w:rPr>
          <w:lang w:eastAsia="en-US"/>
        </w:rPr>
        <w:t>the secondary shipper</w:t>
      </w:r>
      <w:r w:rsidR="00F14A8E">
        <w:rPr>
          <w:lang w:eastAsia="en-US"/>
        </w:rPr>
        <w:t xml:space="preserve">, with </w:t>
      </w:r>
      <w:r w:rsidR="00211830">
        <w:rPr>
          <w:lang w:eastAsia="fr-CA"/>
        </w:rPr>
        <w:t>service provider</w:t>
      </w:r>
      <w:r w:rsidR="00F14A8E">
        <w:rPr>
          <w:lang w:eastAsia="fr-CA"/>
        </w:rPr>
        <w:t>s</w:t>
      </w:r>
      <w:r w:rsidR="00211830">
        <w:rPr>
          <w:lang w:eastAsia="fr-CA"/>
        </w:rPr>
        <w:t xml:space="preserve"> </w:t>
      </w:r>
      <w:r w:rsidR="00F14A8E">
        <w:rPr>
          <w:lang w:eastAsia="en-US"/>
        </w:rPr>
        <w:t xml:space="preserve">wanting </w:t>
      </w:r>
      <w:r w:rsidR="0057020B" w:rsidRPr="0057020B">
        <w:rPr>
          <w:lang w:eastAsia="en-US"/>
        </w:rPr>
        <w:t>to implement curtailments as soon as reasonably practicable</w:t>
      </w:r>
      <w:r>
        <w:rPr>
          <w:lang w:eastAsia="en-US"/>
        </w:rPr>
        <w:t>,</w:t>
      </w:r>
      <w:r w:rsidR="0057020B" w:rsidRPr="0057020B">
        <w:rPr>
          <w:lang w:eastAsia="en-US"/>
        </w:rPr>
        <w:t xml:space="preserve"> </w:t>
      </w:r>
      <w:r w:rsidR="00F14A8E">
        <w:rPr>
          <w:lang w:eastAsia="en-US"/>
        </w:rPr>
        <w:t xml:space="preserve">while </w:t>
      </w:r>
      <w:r w:rsidR="00211830">
        <w:rPr>
          <w:lang w:eastAsia="en-US"/>
        </w:rPr>
        <w:t>shipper</w:t>
      </w:r>
      <w:r w:rsidR="00F14A8E">
        <w:rPr>
          <w:lang w:eastAsia="en-US"/>
        </w:rPr>
        <w:t>s</w:t>
      </w:r>
      <w:r w:rsidR="0057020B" w:rsidRPr="0057020B">
        <w:rPr>
          <w:lang w:eastAsia="en-US"/>
        </w:rPr>
        <w:t xml:space="preserve"> may need time to take </w:t>
      </w:r>
      <w:r w:rsidR="00F14A8E">
        <w:rPr>
          <w:lang w:eastAsia="en-US"/>
        </w:rPr>
        <w:t xml:space="preserve">their </w:t>
      </w:r>
      <w:r w:rsidR="0057020B" w:rsidRPr="0057020B">
        <w:rPr>
          <w:lang w:eastAsia="en-US"/>
        </w:rPr>
        <w:t xml:space="preserve">facilities offline (particularly where </w:t>
      </w:r>
      <w:r w:rsidR="00211830">
        <w:rPr>
          <w:lang w:eastAsia="en-US"/>
        </w:rPr>
        <w:t>the shipper</w:t>
      </w:r>
      <w:r w:rsidR="0057020B" w:rsidRPr="0057020B">
        <w:rPr>
          <w:lang w:eastAsia="en-US"/>
        </w:rPr>
        <w:t xml:space="preserve"> is an end user of gas such as a manufacturing plant or power station). </w:t>
      </w:r>
    </w:p>
    <w:p w14:paraId="7BF751DD" w14:textId="076C92AA" w:rsidR="0057020B" w:rsidRPr="0057020B" w:rsidRDefault="0057020B" w:rsidP="0057020B">
      <w:pPr>
        <w:tabs>
          <w:tab w:val="left" w:pos="2268"/>
          <w:tab w:val="left" w:pos="4536"/>
          <w:tab w:val="left" w:pos="6804"/>
          <w:tab w:val="right" w:pos="9638"/>
        </w:tabs>
        <w:spacing w:before="240" w:after="120"/>
      </w:pPr>
      <w:r w:rsidRPr="0057020B">
        <w:rPr>
          <w:lang w:eastAsia="en-US"/>
        </w:rPr>
        <w:t xml:space="preserve">The current draft of the </w:t>
      </w:r>
      <w:r w:rsidR="00996004">
        <w:rPr>
          <w:lang w:eastAsia="en-US"/>
        </w:rPr>
        <w:t>standard terms</w:t>
      </w:r>
      <w:r w:rsidRPr="0057020B">
        <w:rPr>
          <w:lang w:eastAsia="en-US"/>
        </w:rPr>
        <w:t xml:space="preserve"> provide:</w:t>
      </w:r>
    </w:p>
    <w:p w14:paraId="5A0C7768" w14:textId="2F2D5E51" w:rsidR="0057020B" w:rsidRPr="0057020B" w:rsidRDefault="00817F19" w:rsidP="0057020B">
      <w:pPr>
        <w:numPr>
          <w:ilvl w:val="0"/>
          <w:numId w:val="12"/>
        </w:numPr>
        <w:spacing w:before="120" w:after="120"/>
        <w:ind w:left="357" w:hanging="357"/>
      </w:pPr>
      <w:r>
        <w:rPr>
          <w:lang w:eastAsia="en-US"/>
        </w:rPr>
        <w:lastRenderedPageBreak/>
        <w:t xml:space="preserve">that </w:t>
      </w:r>
      <w:r w:rsidR="0057020B" w:rsidRPr="0057020B">
        <w:rPr>
          <w:lang w:eastAsia="en-US"/>
        </w:rPr>
        <w:t xml:space="preserve">where the need for a curtailment was caused by </w:t>
      </w:r>
      <w:r w:rsidR="00211830">
        <w:rPr>
          <w:lang w:eastAsia="en-US"/>
        </w:rPr>
        <w:t>the secondary shipper</w:t>
      </w:r>
      <w:r w:rsidR="0057020B" w:rsidRPr="0057020B">
        <w:rPr>
          <w:lang w:eastAsia="en-US"/>
        </w:rPr>
        <w:t xml:space="preserve">’s breach then </w:t>
      </w:r>
      <w:r w:rsidR="00211830">
        <w:rPr>
          <w:lang w:eastAsia="en-US"/>
        </w:rPr>
        <w:t>the secondary shipper</w:t>
      </w:r>
      <w:r w:rsidR="0057020B" w:rsidRPr="0057020B">
        <w:rPr>
          <w:lang w:eastAsia="en-US"/>
        </w:rPr>
        <w:t xml:space="preserve"> must be allowed </w:t>
      </w:r>
      <w:r w:rsidR="00E87773">
        <w:rPr>
          <w:lang w:eastAsia="en-US"/>
        </w:rPr>
        <w:t xml:space="preserve">at least </w:t>
      </w:r>
      <w:r w:rsidR="007F25F1">
        <w:t>one</w:t>
      </w:r>
      <w:r w:rsidR="0057020B" w:rsidRPr="0057020B">
        <w:t xml:space="preserve"> hour to comply with a curtailment notice</w:t>
      </w:r>
      <w:r w:rsidR="007F25F1">
        <w:t>,</w:t>
      </w:r>
      <w:r w:rsidR="0057020B" w:rsidRPr="0057020B">
        <w:t xml:space="preserve"> but </w:t>
      </w:r>
      <w:r w:rsidR="00211830">
        <w:t xml:space="preserve">the service provider </w:t>
      </w:r>
      <w:r w:rsidR="0057020B" w:rsidRPr="0057020B">
        <w:t xml:space="preserve">may, acting as a reasonable and prudent operator, reduce this time period where required to preserve the operational integrity of the </w:t>
      </w:r>
      <w:r w:rsidR="007F25F1">
        <w:t>p</w:t>
      </w:r>
      <w:r w:rsidR="0057020B" w:rsidRPr="0057020B">
        <w:t xml:space="preserve">ipeline or avoid </w:t>
      </w:r>
      <w:r w:rsidR="00211830">
        <w:t xml:space="preserve">the service provider </w:t>
      </w:r>
      <w:r w:rsidR="0057020B" w:rsidRPr="0057020B">
        <w:t>incurring liability to other shippers;</w:t>
      </w:r>
      <w:r w:rsidR="007F25F1">
        <w:t xml:space="preserve"> and</w:t>
      </w:r>
    </w:p>
    <w:p w14:paraId="2B4DAED1" w14:textId="7868D60F" w:rsidR="0057020B" w:rsidRPr="0057020B" w:rsidRDefault="00817F19" w:rsidP="0057020B">
      <w:pPr>
        <w:numPr>
          <w:ilvl w:val="0"/>
          <w:numId w:val="12"/>
        </w:numPr>
        <w:spacing w:before="120" w:after="120"/>
        <w:ind w:left="357" w:hanging="357"/>
      </w:pPr>
      <w:r>
        <w:t xml:space="preserve">that </w:t>
      </w:r>
      <w:r w:rsidR="0057020B" w:rsidRPr="0057020B">
        <w:t xml:space="preserve">otherwise </w:t>
      </w:r>
      <w:r w:rsidR="00211830">
        <w:t xml:space="preserve">the service provider </w:t>
      </w:r>
      <w:r w:rsidR="0057020B" w:rsidRPr="0057020B">
        <w:rPr>
          <w:lang w:eastAsia="en-US"/>
        </w:rPr>
        <w:t xml:space="preserve">must allow </w:t>
      </w:r>
      <w:r w:rsidR="00211830">
        <w:rPr>
          <w:lang w:eastAsia="en-US"/>
        </w:rPr>
        <w:t>the secondary shipper</w:t>
      </w:r>
      <w:r w:rsidR="0057020B" w:rsidRPr="0057020B">
        <w:rPr>
          <w:lang w:eastAsia="en-US"/>
        </w:rPr>
        <w:t xml:space="preserve"> as much time as </w:t>
      </w:r>
      <w:r w:rsidR="00211830">
        <w:rPr>
          <w:lang w:eastAsia="fr-CA"/>
        </w:rPr>
        <w:t xml:space="preserve">the service provider </w:t>
      </w:r>
      <w:r w:rsidR="0057020B" w:rsidRPr="0057020B">
        <w:rPr>
          <w:lang w:eastAsia="en-US"/>
        </w:rPr>
        <w:t xml:space="preserve">is reasonably able (without adversely affecting the operational integrity of the </w:t>
      </w:r>
      <w:r w:rsidR="007F25F1">
        <w:rPr>
          <w:lang w:eastAsia="en-US"/>
        </w:rPr>
        <w:t xml:space="preserve">facility </w:t>
      </w:r>
      <w:r w:rsidR="0057020B" w:rsidRPr="0057020B">
        <w:rPr>
          <w:lang w:eastAsia="en-US"/>
        </w:rPr>
        <w:t xml:space="preserve">or creating a risk of </w:t>
      </w:r>
      <w:r w:rsidR="00211830">
        <w:rPr>
          <w:lang w:eastAsia="fr-CA"/>
        </w:rPr>
        <w:t xml:space="preserve">the service provider </w:t>
      </w:r>
      <w:r w:rsidR="0057020B" w:rsidRPr="0057020B">
        <w:rPr>
          <w:lang w:eastAsia="en-US"/>
        </w:rPr>
        <w:t>incurring liability to other shippers).</w:t>
      </w:r>
    </w:p>
    <w:p w14:paraId="5E386031" w14:textId="14CA9207" w:rsidR="0057020B" w:rsidRPr="0057020B" w:rsidRDefault="0057020B" w:rsidP="007F25F1">
      <w:pPr>
        <w:pStyle w:val="BodyText"/>
      </w:pPr>
      <w:r w:rsidRPr="0057020B">
        <w:rPr>
          <w:lang w:eastAsia="en-US"/>
        </w:rPr>
        <w:t xml:space="preserve">While the </w:t>
      </w:r>
      <w:r w:rsidR="00996004">
        <w:rPr>
          <w:lang w:eastAsia="en-US"/>
        </w:rPr>
        <w:t>standard terms</w:t>
      </w:r>
      <w:r w:rsidRPr="0057020B">
        <w:rPr>
          <w:lang w:eastAsia="en-US"/>
        </w:rPr>
        <w:t xml:space="preserve"> do not impose a charge for failure to comply with a curtailment notice, such a charge could be imposed through the </w:t>
      </w:r>
      <w:r w:rsidR="0009208D">
        <w:rPr>
          <w:lang w:eastAsia="en-US"/>
        </w:rPr>
        <w:t>f</w:t>
      </w:r>
      <w:r w:rsidR="007F25F1">
        <w:rPr>
          <w:lang w:eastAsia="en-US"/>
        </w:rPr>
        <w:t xml:space="preserve">acility </w:t>
      </w:r>
      <w:r w:rsidR="0009208D">
        <w:rPr>
          <w:lang w:eastAsia="en-US"/>
        </w:rPr>
        <w:t>s</w:t>
      </w:r>
      <w:r w:rsidRPr="0057020B">
        <w:rPr>
          <w:lang w:eastAsia="en-US"/>
        </w:rPr>
        <w:t xml:space="preserve">pecific </w:t>
      </w:r>
      <w:r w:rsidR="0009208D">
        <w:rPr>
          <w:lang w:eastAsia="en-US"/>
        </w:rPr>
        <w:t>t</w:t>
      </w:r>
      <w:r w:rsidRPr="0057020B">
        <w:rPr>
          <w:lang w:eastAsia="en-US"/>
        </w:rPr>
        <w:t xml:space="preserve">erm if doing so reflects the practice under the majority of </w:t>
      </w:r>
      <w:r w:rsidR="007F25F1">
        <w:rPr>
          <w:lang w:eastAsia="en-US"/>
        </w:rPr>
        <w:t>the primary GTAs</w:t>
      </w:r>
      <w:r w:rsidRPr="0057020B">
        <w:rPr>
          <w:lang w:eastAsia="en-US"/>
        </w:rPr>
        <w:t xml:space="preserve"> for the </w:t>
      </w:r>
      <w:r w:rsidR="007F25F1">
        <w:rPr>
          <w:lang w:eastAsia="en-US"/>
        </w:rPr>
        <w:t>p</w:t>
      </w:r>
      <w:r w:rsidRPr="0057020B">
        <w:rPr>
          <w:lang w:eastAsia="en-US"/>
        </w:rPr>
        <w:t xml:space="preserve">ipeline. </w:t>
      </w:r>
    </w:p>
    <w:p w14:paraId="33CF1098" w14:textId="1BE3BAF5" w:rsidR="00EC1BAD" w:rsidRDefault="0057020B" w:rsidP="00EC1BAD">
      <w:pPr>
        <w:tabs>
          <w:tab w:val="left" w:pos="2268"/>
          <w:tab w:val="left" w:pos="4536"/>
          <w:tab w:val="left" w:pos="6804"/>
          <w:tab w:val="right" w:pos="9638"/>
        </w:tabs>
        <w:spacing w:before="240" w:after="120"/>
      </w:pPr>
      <w:r w:rsidRPr="0057020B">
        <w:rPr>
          <w:lang w:eastAsia="en-US"/>
        </w:rPr>
        <w:t xml:space="preserve">The GMRG </w:t>
      </w:r>
      <w:r w:rsidR="007F25F1">
        <w:rPr>
          <w:lang w:eastAsia="en-US"/>
        </w:rPr>
        <w:t xml:space="preserve">is interested in hearing whether stakeholders think </w:t>
      </w:r>
      <w:r w:rsidRPr="0057020B">
        <w:rPr>
          <w:lang w:eastAsia="en-US"/>
        </w:rPr>
        <w:t xml:space="preserve">this regime is appropriate or whether, for example, there should be mandated minimum periods before </w:t>
      </w:r>
      <w:r w:rsidR="00211830">
        <w:rPr>
          <w:lang w:eastAsia="en-US"/>
        </w:rPr>
        <w:t>the secondary shipper</w:t>
      </w:r>
      <w:r w:rsidRPr="0057020B">
        <w:rPr>
          <w:lang w:eastAsia="en-US"/>
        </w:rPr>
        <w:t xml:space="preserve"> must comply with a curtailment notice</w:t>
      </w:r>
      <w:r w:rsidR="00F14A8E">
        <w:rPr>
          <w:lang w:eastAsia="en-US"/>
        </w:rPr>
        <w:t>,</w:t>
      </w:r>
      <w:r w:rsidRPr="0057020B">
        <w:rPr>
          <w:lang w:eastAsia="en-US"/>
        </w:rPr>
        <w:t xml:space="preserve"> or other forms of regulation of </w:t>
      </w:r>
      <w:r w:rsidR="007F25F1">
        <w:rPr>
          <w:lang w:eastAsia="en-US"/>
        </w:rPr>
        <w:t xml:space="preserve">the service provider’s </w:t>
      </w:r>
      <w:r w:rsidRPr="0057020B">
        <w:rPr>
          <w:lang w:eastAsia="en-US"/>
        </w:rPr>
        <w:t xml:space="preserve">right to curtail. </w:t>
      </w:r>
      <w:r w:rsidR="00EC1BAD">
        <w:rPr>
          <w:lang w:eastAsia="en-US"/>
        </w:rPr>
        <w:t xml:space="preserve"> </w:t>
      </w:r>
      <w:r w:rsidR="00EC1BAD">
        <w:t xml:space="preserve">Some specific questions on this issue are set out </w:t>
      </w:r>
      <w:r w:rsidR="00EC1BAD" w:rsidRPr="00EC1BAD">
        <w:t xml:space="preserve">in </w:t>
      </w:r>
      <w:r w:rsidR="00EC1BAD" w:rsidRPr="00EC1BAD">
        <w:fldChar w:fldCharType="begin"/>
      </w:r>
      <w:r w:rsidR="00EC1BAD" w:rsidRPr="00EC1BAD">
        <w:instrText xml:space="preserve"> REF _Ref490384814 \h  \* MERGEFORMAT </w:instrText>
      </w:r>
      <w:r w:rsidR="00EC1BAD" w:rsidRPr="00EC1BAD">
        <w:fldChar w:fldCharType="separate"/>
      </w:r>
      <w:r w:rsidR="00947034" w:rsidRPr="00947034">
        <w:rPr>
          <w:rFonts w:eastAsiaTheme="minorHAnsi" w:cstheme="minorBidi"/>
          <w:bCs/>
          <w:lang w:eastAsia="fr-CA"/>
        </w:rPr>
        <w:t xml:space="preserve">Box </w:t>
      </w:r>
      <w:r w:rsidR="00947034" w:rsidRPr="00947034">
        <w:rPr>
          <w:rFonts w:eastAsiaTheme="minorHAnsi" w:cstheme="minorBidi"/>
          <w:bCs/>
          <w:noProof/>
          <w:lang w:eastAsia="fr-CA"/>
        </w:rPr>
        <w:t>3.3</w:t>
      </w:r>
      <w:r w:rsidR="00EC1BAD" w:rsidRPr="00EC1BAD">
        <w:fldChar w:fldCharType="end"/>
      </w:r>
      <w:r w:rsidR="00EC1BAD" w:rsidRPr="00EC1BAD">
        <w:t>.</w:t>
      </w:r>
    </w:p>
    <w:p w14:paraId="4962BB94" w14:textId="37B4A038" w:rsidR="00CC2039" w:rsidRDefault="00CC2039" w:rsidP="00CC2039">
      <w:pPr>
        <w:pStyle w:val="Heading3"/>
      </w:pPr>
      <w:bookmarkStart w:id="74" w:name="_Ref492396846"/>
      <w:r>
        <w:t xml:space="preserve">Compression </w:t>
      </w:r>
      <w:r w:rsidR="00FF59D9">
        <w:t>s</w:t>
      </w:r>
      <w:r>
        <w:t>ervices</w:t>
      </w:r>
      <w:bookmarkEnd w:id="74"/>
      <w:r>
        <w:t xml:space="preserve"> </w:t>
      </w:r>
    </w:p>
    <w:p w14:paraId="2C62A407" w14:textId="4C39E012" w:rsidR="00FF59D9" w:rsidRDefault="00CC2039" w:rsidP="00CC2039">
      <w:pPr>
        <w:pStyle w:val="BodyText"/>
      </w:pPr>
      <w:r>
        <w:t xml:space="preserve">In their current form, the </w:t>
      </w:r>
      <w:r w:rsidR="0060797D">
        <w:t xml:space="preserve">draft </w:t>
      </w:r>
      <w:r>
        <w:t xml:space="preserve">standard terms and facility specific </w:t>
      </w:r>
      <w:r w:rsidR="0060797D">
        <w:t xml:space="preserve">terms </w:t>
      </w:r>
      <w:r>
        <w:t xml:space="preserve">only apply to firm forward haul and park products, so some changes may be required to enable the operational GTA to apply to compression services (see Chapter 7).  The GMRG </w:t>
      </w:r>
      <w:r w:rsidR="00FF59D9">
        <w:t>would welcome stakeholders’ views on this issue and, in particular, whether:</w:t>
      </w:r>
    </w:p>
    <w:p w14:paraId="02318C39" w14:textId="74621AB9" w:rsidR="00FF59D9" w:rsidRDefault="00CC2039" w:rsidP="00FF59D9">
      <w:pPr>
        <w:pStyle w:val="ListBullet"/>
      </w:pPr>
      <w:r>
        <w:t xml:space="preserve">the standard </w:t>
      </w:r>
      <w:r w:rsidR="00FF59D9">
        <w:t>terms can be utilised for stand-</w:t>
      </w:r>
      <w:r>
        <w:t xml:space="preserve">alone compression </w:t>
      </w:r>
      <w:r w:rsidR="00FF59D9">
        <w:t xml:space="preserve">services; </w:t>
      </w:r>
    </w:p>
    <w:p w14:paraId="00D10A19" w14:textId="638A94CB" w:rsidR="00FF59D9" w:rsidRDefault="00CC2039" w:rsidP="00FF59D9">
      <w:pPr>
        <w:pStyle w:val="ListBullet"/>
      </w:pPr>
      <w:r>
        <w:t>the issues raised by stand</w:t>
      </w:r>
      <w:r w:rsidR="00FF59D9">
        <w:t>-</w:t>
      </w:r>
      <w:r>
        <w:t>alone compression services are such that a separate set of standard terms should be developed</w:t>
      </w:r>
      <w:r w:rsidR="00FF59D9">
        <w:t>;</w:t>
      </w:r>
      <w:r w:rsidR="0060797D">
        <w:t xml:space="preserve"> or</w:t>
      </w:r>
    </w:p>
    <w:p w14:paraId="6BC2F4A7" w14:textId="4D1354E6" w:rsidR="00CC2039" w:rsidRDefault="00CC2039" w:rsidP="00FF59D9">
      <w:pPr>
        <w:pStyle w:val="ListBullet"/>
      </w:pPr>
      <w:r>
        <w:t xml:space="preserve">compression services </w:t>
      </w:r>
      <w:r w:rsidR="00FF59D9">
        <w:t xml:space="preserve">are </w:t>
      </w:r>
      <w:r>
        <w:t>so facility specific that each compressor operator should be required to develop its own compression specific terms subject to general guidelines as to how the terms should operate.</w:t>
      </w:r>
    </w:p>
    <w:p w14:paraId="3130AD58" w14:textId="7CC2518E" w:rsidR="00CC2039" w:rsidRDefault="00CC2039" w:rsidP="00CC2039">
      <w:pPr>
        <w:pStyle w:val="BodyText"/>
      </w:pPr>
      <w:r>
        <w:t xml:space="preserve">The GMRG understands that compression services raise a number of specific issues </w:t>
      </w:r>
      <w:r w:rsidR="00FF59D9">
        <w:t xml:space="preserve">that may need to be considered in this context, </w:t>
      </w:r>
      <w:r>
        <w:t>including that:</w:t>
      </w:r>
    </w:p>
    <w:p w14:paraId="3376DA6B" w14:textId="77777777" w:rsidR="00CC2039" w:rsidRDefault="00CC2039" w:rsidP="00CC2039">
      <w:pPr>
        <w:numPr>
          <w:ilvl w:val="0"/>
          <w:numId w:val="12"/>
        </w:numPr>
        <w:spacing w:before="120" w:after="120"/>
        <w:ind w:left="357" w:hanging="357"/>
      </w:pPr>
      <w:r>
        <w:t>capacity may be more variable (than transportation capacity) and depends upon suction pressure of interconnecting pipelines;</w:t>
      </w:r>
    </w:p>
    <w:p w14:paraId="71A5FF5A" w14:textId="6E461B14" w:rsidR="00CC2039" w:rsidRDefault="00CC2039" w:rsidP="00CC2039">
      <w:pPr>
        <w:numPr>
          <w:ilvl w:val="0"/>
          <w:numId w:val="12"/>
        </w:numPr>
        <w:spacing w:before="120" w:after="120"/>
        <w:ind w:left="357" w:hanging="357"/>
      </w:pPr>
      <w:r>
        <w:t>the compression pressure requested by a customer will impact the volume of gas it can supply</w:t>
      </w:r>
      <w:r w:rsidR="0060797D">
        <w:t xml:space="preserve"> and/or </w:t>
      </w:r>
      <w:r>
        <w:t>have delivered.</w:t>
      </w:r>
    </w:p>
    <w:p w14:paraId="084220A7" w14:textId="6454C6C2" w:rsidR="00CC2039" w:rsidRDefault="00CC2039" w:rsidP="00CC2039">
      <w:pPr>
        <w:pStyle w:val="BodyText"/>
      </w:pPr>
      <w:r>
        <w:t>At the same time, a number of provisions in the standard terms seem readily applicable to any infrastructure service contract including clauses 1.2-1.5, 3, 7.1, 9 and 17-28.</w:t>
      </w:r>
    </w:p>
    <w:p w14:paraId="69516AC6" w14:textId="77AAA877" w:rsidR="0024154A" w:rsidRDefault="0024154A" w:rsidP="0024154A">
      <w:pPr>
        <w:pStyle w:val="Heading3"/>
      </w:pPr>
      <w:r>
        <w:lastRenderedPageBreak/>
        <w:t>Imbalance trading</w:t>
      </w:r>
    </w:p>
    <w:p w14:paraId="09A7830E" w14:textId="77777777" w:rsidR="0060797D" w:rsidRDefault="0024154A" w:rsidP="00CC2039">
      <w:pPr>
        <w:pStyle w:val="BodyText"/>
      </w:pPr>
      <w:r w:rsidRPr="0024154A">
        <w:t>The standard terms have been drafted to provide for an imbalance trade.  The service provider may, if it elects, also offer an in-pipe trade service</w:t>
      </w:r>
      <w:r w:rsidRPr="0024154A">
        <w:rPr>
          <w:rStyle w:val="FootnoteReference"/>
        </w:rPr>
        <w:footnoteReference w:id="33"/>
      </w:r>
      <w:r w:rsidRPr="0024154A">
        <w:t xml:space="preserve"> as an “other” service.  The GMRG is seeking feedback from stakeholders as to whether this approach </w:t>
      </w:r>
      <w:r w:rsidR="0060797D">
        <w:t xml:space="preserve">is appropriate, </w:t>
      </w:r>
      <w:r w:rsidRPr="0024154A">
        <w:t>or whether</w:t>
      </w:r>
      <w:r w:rsidR="0060797D">
        <w:t>:</w:t>
      </w:r>
      <w:r w:rsidRPr="0024154A">
        <w:t xml:space="preserve"> </w:t>
      </w:r>
    </w:p>
    <w:p w14:paraId="2E5B4CD3" w14:textId="77777777" w:rsidR="0060797D" w:rsidRDefault="0024154A" w:rsidP="000463D7">
      <w:pPr>
        <w:pStyle w:val="ListBullet"/>
      </w:pPr>
      <w:r w:rsidRPr="0024154A">
        <w:t>the service provider should</w:t>
      </w:r>
      <w:r w:rsidR="0060797D">
        <w:t xml:space="preserve"> </w:t>
      </w:r>
      <w:r w:rsidRPr="0024154A">
        <w:t>have the option of offering either (1) imbalance trading or (2) in-pipe trading</w:t>
      </w:r>
      <w:r w:rsidR="0060797D">
        <w:t>; or</w:t>
      </w:r>
    </w:p>
    <w:p w14:paraId="311E9971" w14:textId="77777777" w:rsidR="0060797D" w:rsidRDefault="0024154A" w:rsidP="000463D7">
      <w:pPr>
        <w:pStyle w:val="ListBullet"/>
      </w:pPr>
      <w:r w:rsidRPr="0024154A">
        <w:t xml:space="preserve">the standard terms </w:t>
      </w:r>
      <w:r w:rsidR="0060797D">
        <w:t xml:space="preserve">should </w:t>
      </w:r>
      <w:r w:rsidRPr="0024154A">
        <w:t>make in-pipe trading the standard position rather than imbalance trades</w:t>
      </w:r>
      <w:r w:rsidR="0060797D">
        <w:t>.</w:t>
      </w:r>
    </w:p>
    <w:p w14:paraId="0EE0ACC1" w14:textId="1F8AC310" w:rsidR="0024154A" w:rsidRPr="0024154A" w:rsidRDefault="0060797D" w:rsidP="00CC2039">
      <w:pPr>
        <w:pStyle w:val="BodyText"/>
      </w:pPr>
      <w:r>
        <w:t xml:space="preserve">The GMRG is also interested in understanding what, if any changes, would need to be made to the standard terms if </w:t>
      </w:r>
      <w:r w:rsidR="000463D7">
        <w:t>a decision is made to include in-pipe trading in the standard terms.</w:t>
      </w:r>
    </w:p>
    <w:p w14:paraId="29BC5410" w14:textId="77777777" w:rsidR="0057020B" w:rsidRPr="0057020B" w:rsidRDefault="0057020B" w:rsidP="00F14A8E">
      <w:pPr>
        <w:pStyle w:val="Heading3"/>
      </w:pPr>
      <w:r w:rsidRPr="0057020B">
        <w:t>GMRG’s preliminary view and questions for stakeholders</w:t>
      </w:r>
    </w:p>
    <w:p w14:paraId="38F1B02C" w14:textId="50F54259" w:rsidR="0057020B" w:rsidRPr="0057020B" w:rsidRDefault="0057020B" w:rsidP="00AF665D">
      <w:pPr>
        <w:pStyle w:val="BodyText"/>
      </w:pPr>
      <w:r w:rsidRPr="0057020B">
        <w:t xml:space="preserve">The GMRG’s preliminary view on the form the </w:t>
      </w:r>
      <w:r w:rsidR="00996004">
        <w:t>standard terms</w:t>
      </w:r>
      <w:r w:rsidRPr="0057020B">
        <w:t xml:space="preserve"> </w:t>
      </w:r>
      <w:r w:rsidR="00AF665D">
        <w:t xml:space="preserve">should take </w:t>
      </w:r>
      <w:r w:rsidRPr="0057020B">
        <w:t xml:space="preserve">and the nature and scope of the </w:t>
      </w:r>
      <w:r w:rsidR="000463D7">
        <w:t xml:space="preserve">requirements for the </w:t>
      </w:r>
      <w:r w:rsidR="00996004">
        <w:t xml:space="preserve">facility specific </w:t>
      </w:r>
      <w:r w:rsidR="000463D7">
        <w:t xml:space="preserve">terms </w:t>
      </w:r>
      <w:r w:rsidRPr="0057020B">
        <w:t xml:space="preserve">can be found in </w:t>
      </w:r>
      <w:r w:rsidR="000463D7">
        <w:t>Attachment 1</w:t>
      </w:r>
      <w:r w:rsidRPr="0057020B">
        <w:t xml:space="preserve">. The GMRG welcomes </w:t>
      </w:r>
      <w:r w:rsidR="0005644F">
        <w:t xml:space="preserve">feedback on these terms and </w:t>
      </w:r>
      <w:r w:rsidR="00F14A8E">
        <w:t xml:space="preserve">requirements and </w:t>
      </w:r>
      <w:r w:rsidR="0005644F">
        <w:t xml:space="preserve">the </w:t>
      </w:r>
      <w:r w:rsidRPr="0057020B">
        <w:t xml:space="preserve">questions </w:t>
      </w:r>
      <w:r w:rsidR="0005644F">
        <w:t xml:space="preserve">in </w:t>
      </w:r>
      <w:r w:rsidR="0005644F" w:rsidRPr="0005644F">
        <w:fldChar w:fldCharType="begin"/>
      </w:r>
      <w:r w:rsidR="0005644F" w:rsidRPr="0005644F">
        <w:instrText xml:space="preserve"> REF _Ref490384814 \h  \* MERGEFORMAT </w:instrText>
      </w:r>
      <w:r w:rsidR="0005644F" w:rsidRPr="0005644F">
        <w:fldChar w:fldCharType="separate"/>
      </w:r>
      <w:r w:rsidR="00947034" w:rsidRPr="00947034">
        <w:rPr>
          <w:rFonts w:eastAsiaTheme="minorHAnsi" w:cstheme="minorBidi"/>
          <w:bCs/>
          <w:lang w:eastAsia="fr-CA"/>
        </w:rPr>
        <w:t xml:space="preserve">Box </w:t>
      </w:r>
      <w:r w:rsidR="00947034" w:rsidRPr="00947034">
        <w:rPr>
          <w:rFonts w:eastAsiaTheme="minorHAnsi" w:cstheme="minorBidi"/>
          <w:bCs/>
          <w:noProof/>
          <w:lang w:eastAsia="fr-CA"/>
        </w:rPr>
        <w:t>3.3</w:t>
      </w:r>
      <w:r w:rsidR="0005644F" w:rsidRPr="0005644F">
        <w:fldChar w:fldCharType="end"/>
      </w:r>
      <w:r w:rsidRPr="0005644F">
        <w:t>.</w:t>
      </w:r>
    </w:p>
    <w:tbl>
      <w:tblPr>
        <w:tblStyle w:val="PullOutBoxTable"/>
        <w:tblW w:w="5000" w:type="pct"/>
        <w:shd w:val="clear" w:color="auto" w:fill="B7E7FF"/>
        <w:tblCellMar>
          <w:top w:w="85" w:type="dxa"/>
          <w:bottom w:w="85" w:type="dxa"/>
        </w:tblCellMar>
        <w:tblLook w:val="0600" w:firstRow="0" w:lastRow="0" w:firstColumn="0" w:lastColumn="0" w:noHBand="1" w:noVBand="1"/>
        <w:tblCaption w:val="Box 3.3: Questions on standard terms and facility specific terms "/>
        <w:tblDescription w:val="Questions on standard terms and facility specific terms "/>
      </w:tblPr>
      <w:tblGrid>
        <w:gridCol w:w="8788"/>
      </w:tblGrid>
      <w:tr w:rsidR="0057020B" w:rsidRPr="0005644F" w14:paraId="10452A71" w14:textId="77777777" w:rsidTr="00274EE7">
        <w:trPr>
          <w:trHeight w:val="148"/>
          <w:tblHeader/>
        </w:trPr>
        <w:tc>
          <w:tcPr>
            <w:tcW w:w="5000" w:type="pct"/>
            <w:shd w:val="clear" w:color="auto" w:fill="auto"/>
          </w:tcPr>
          <w:p w14:paraId="3AF6270E" w14:textId="218FCB3D" w:rsidR="0024154A" w:rsidRPr="0024154A" w:rsidRDefault="0024154A" w:rsidP="00274EE7">
            <w:pPr>
              <w:spacing w:before="120" w:after="120"/>
            </w:pPr>
            <w:r w:rsidRPr="0024154A">
              <w:rPr>
                <w:rFonts w:eastAsiaTheme="majorEastAsia"/>
                <w:sz w:val="21"/>
                <w:szCs w:val="21"/>
              </w:rPr>
              <w:t xml:space="preserve"> </w:t>
            </w:r>
            <w:bookmarkStart w:id="75" w:name="_Ref490384814"/>
            <w:r w:rsidR="00274EE7" w:rsidRPr="0057020B">
              <w:rPr>
                <w:rFonts w:eastAsiaTheme="minorHAnsi" w:cstheme="minorBidi"/>
                <w:b/>
                <w:bCs/>
                <w:lang w:eastAsia="fr-CA"/>
              </w:rPr>
              <w:t xml:space="preserve">Box </w:t>
            </w:r>
            <w:r w:rsidR="00274EE7">
              <w:rPr>
                <w:rFonts w:eastAsiaTheme="minorHAnsi" w:cstheme="minorBidi"/>
                <w:b/>
                <w:bCs/>
                <w:lang w:eastAsia="fr-CA"/>
              </w:rPr>
              <w:fldChar w:fldCharType="begin"/>
            </w:r>
            <w:r w:rsidR="00274EE7">
              <w:rPr>
                <w:rFonts w:eastAsiaTheme="minorHAnsi" w:cstheme="minorBidi"/>
                <w:b/>
                <w:bCs/>
                <w:lang w:eastAsia="fr-CA"/>
              </w:rPr>
              <w:instrText xml:space="preserve"> STYLEREF 1 \s </w:instrText>
            </w:r>
            <w:r w:rsidR="00274EE7">
              <w:rPr>
                <w:rFonts w:eastAsiaTheme="minorHAnsi" w:cstheme="minorBidi"/>
                <w:b/>
                <w:bCs/>
                <w:lang w:eastAsia="fr-CA"/>
              </w:rPr>
              <w:fldChar w:fldCharType="separate"/>
            </w:r>
            <w:r w:rsidR="00274EE7">
              <w:rPr>
                <w:rFonts w:eastAsiaTheme="minorHAnsi" w:cstheme="minorBidi"/>
                <w:b/>
                <w:bCs/>
                <w:noProof/>
                <w:lang w:eastAsia="fr-CA"/>
              </w:rPr>
              <w:t>3</w:t>
            </w:r>
            <w:r w:rsidR="00274EE7">
              <w:rPr>
                <w:rFonts w:eastAsiaTheme="minorHAnsi" w:cstheme="minorBidi"/>
                <w:b/>
                <w:bCs/>
                <w:lang w:eastAsia="fr-CA"/>
              </w:rPr>
              <w:fldChar w:fldCharType="end"/>
            </w:r>
            <w:r w:rsidR="00274EE7">
              <w:rPr>
                <w:rFonts w:eastAsiaTheme="minorHAnsi" w:cstheme="minorBidi"/>
                <w:b/>
                <w:bCs/>
                <w:lang w:eastAsia="fr-CA"/>
              </w:rPr>
              <w:t>.</w:t>
            </w:r>
            <w:r w:rsidR="00274EE7">
              <w:rPr>
                <w:rFonts w:eastAsiaTheme="minorHAnsi" w:cstheme="minorBidi"/>
                <w:b/>
                <w:bCs/>
                <w:lang w:eastAsia="fr-CA"/>
              </w:rPr>
              <w:fldChar w:fldCharType="begin"/>
            </w:r>
            <w:r w:rsidR="00274EE7">
              <w:rPr>
                <w:rFonts w:eastAsiaTheme="minorHAnsi" w:cstheme="minorBidi"/>
                <w:b/>
                <w:bCs/>
                <w:lang w:eastAsia="fr-CA"/>
              </w:rPr>
              <w:instrText xml:space="preserve"> SEQ Box \* ARABIC \s 1 </w:instrText>
            </w:r>
            <w:r w:rsidR="00274EE7">
              <w:rPr>
                <w:rFonts w:eastAsiaTheme="minorHAnsi" w:cstheme="minorBidi"/>
                <w:b/>
                <w:bCs/>
                <w:lang w:eastAsia="fr-CA"/>
              </w:rPr>
              <w:fldChar w:fldCharType="separate"/>
            </w:r>
            <w:r w:rsidR="00274EE7">
              <w:rPr>
                <w:rFonts w:eastAsiaTheme="minorHAnsi" w:cstheme="minorBidi"/>
                <w:b/>
                <w:bCs/>
                <w:noProof/>
                <w:lang w:eastAsia="fr-CA"/>
              </w:rPr>
              <w:t>3</w:t>
            </w:r>
            <w:r w:rsidR="00274EE7">
              <w:rPr>
                <w:rFonts w:eastAsiaTheme="minorHAnsi" w:cstheme="minorBidi"/>
                <w:b/>
                <w:bCs/>
                <w:lang w:eastAsia="fr-CA"/>
              </w:rPr>
              <w:fldChar w:fldCharType="end"/>
            </w:r>
            <w:bookmarkEnd w:id="75"/>
            <w:r w:rsidR="00274EE7" w:rsidRPr="0057020B">
              <w:rPr>
                <w:rFonts w:eastAsiaTheme="minorHAnsi" w:cstheme="minorBidi"/>
                <w:b/>
                <w:bCs/>
                <w:lang w:eastAsia="fr-CA"/>
              </w:rPr>
              <w:t xml:space="preserve">: </w:t>
            </w:r>
            <w:r w:rsidR="00274EE7" w:rsidRPr="0057020B">
              <w:rPr>
                <w:rFonts w:eastAsiaTheme="minorHAnsi" w:cstheme="minorBidi"/>
                <w:b/>
                <w:lang w:eastAsia="fr-CA"/>
              </w:rPr>
              <w:t xml:space="preserve">Questions on </w:t>
            </w:r>
            <w:r w:rsidR="00274EE7">
              <w:rPr>
                <w:rFonts w:eastAsiaTheme="minorHAnsi" w:cstheme="minorBidi"/>
                <w:b/>
                <w:lang w:eastAsia="fr-CA"/>
              </w:rPr>
              <w:t xml:space="preserve">standard terms </w:t>
            </w:r>
            <w:r w:rsidR="00274EE7" w:rsidRPr="0057020B">
              <w:rPr>
                <w:rFonts w:eastAsiaTheme="minorHAnsi" w:cstheme="minorBidi"/>
                <w:b/>
                <w:lang w:eastAsia="fr-CA"/>
              </w:rPr>
              <w:t xml:space="preserve">and </w:t>
            </w:r>
            <w:r w:rsidR="00274EE7">
              <w:rPr>
                <w:rFonts w:eastAsiaTheme="minorHAnsi" w:cstheme="minorBidi"/>
                <w:b/>
                <w:lang w:eastAsia="fr-CA"/>
              </w:rPr>
              <w:t>facility specific terms</w:t>
            </w:r>
          </w:p>
        </w:tc>
      </w:tr>
      <w:tr w:rsidR="00274EE7" w:rsidRPr="0005644F" w14:paraId="3A5F7C14" w14:textId="77777777" w:rsidTr="00274EE7">
        <w:tc>
          <w:tcPr>
            <w:tcW w:w="5000" w:type="pct"/>
            <w:shd w:val="clear" w:color="auto" w:fill="B7E7FF"/>
          </w:tcPr>
          <w:p w14:paraId="1CEA0BD1" w14:textId="77777777" w:rsidR="00274EE7" w:rsidRPr="0005644F" w:rsidRDefault="00274EE7" w:rsidP="00274EE7">
            <w:pPr>
              <w:numPr>
                <w:ilvl w:val="0"/>
                <w:numId w:val="23"/>
              </w:numPr>
              <w:spacing w:before="120" w:after="120"/>
              <w:rPr>
                <w:rFonts w:eastAsiaTheme="majorEastAsia"/>
                <w:sz w:val="21"/>
                <w:szCs w:val="21"/>
              </w:rPr>
            </w:pPr>
            <w:r w:rsidRPr="0005644F">
              <w:rPr>
                <w:rFonts w:eastAsiaTheme="majorEastAsia"/>
                <w:sz w:val="21"/>
                <w:szCs w:val="21"/>
              </w:rPr>
              <w:t xml:space="preserve">Do you think the </w:t>
            </w:r>
            <w:r>
              <w:rPr>
                <w:rFonts w:eastAsiaTheme="majorEastAsia"/>
                <w:sz w:val="21"/>
                <w:szCs w:val="21"/>
              </w:rPr>
              <w:t>standard terms</w:t>
            </w:r>
            <w:r w:rsidRPr="0005644F">
              <w:rPr>
                <w:rFonts w:eastAsiaTheme="majorEastAsia"/>
                <w:sz w:val="21"/>
                <w:szCs w:val="21"/>
              </w:rPr>
              <w:t xml:space="preserve"> and the proposed scope of the </w:t>
            </w:r>
            <w:r>
              <w:rPr>
                <w:rFonts w:eastAsiaTheme="majorEastAsia"/>
                <w:sz w:val="21"/>
                <w:szCs w:val="21"/>
              </w:rPr>
              <w:t>f</w:t>
            </w:r>
            <w:r w:rsidRPr="0005644F">
              <w:rPr>
                <w:rFonts w:eastAsiaTheme="majorEastAsia"/>
                <w:sz w:val="21"/>
                <w:szCs w:val="21"/>
              </w:rPr>
              <w:t xml:space="preserve">acility </w:t>
            </w:r>
            <w:r>
              <w:rPr>
                <w:rFonts w:eastAsiaTheme="majorEastAsia"/>
                <w:sz w:val="21"/>
                <w:szCs w:val="21"/>
              </w:rPr>
              <w:t>s</w:t>
            </w:r>
            <w:r w:rsidRPr="0005644F">
              <w:rPr>
                <w:rFonts w:eastAsiaTheme="majorEastAsia"/>
                <w:sz w:val="21"/>
                <w:szCs w:val="21"/>
              </w:rPr>
              <w:t xml:space="preserve">pecific </w:t>
            </w:r>
            <w:r>
              <w:rPr>
                <w:rFonts w:eastAsiaTheme="majorEastAsia"/>
                <w:sz w:val="21"/>
                <w:szCs w:val="21"/>
              </w:rPr>
              <w:t>t</w:t>
            </w:r>
            <w:r w:rsidRPr="0005644F">
              <w:rPr>
                <w:rFonts w:eastAsiaTheme="majorEastAsia"/>
                <w:sz w:val="21"/>
                <w:szCs w:val="21"/>
              </w:rPr>
              <w:t xml:space="preserve">erms: </w:t>
            </w:r>
          </w:p>
          <w:p w14:paraId="59D41EC6" w14:textId="77777777" w:rsidR="00274EE7" w:rsidRPr="0005644F" w:rsidRDefault="00274EE7" w:rsidP="00274EE7">
            <w:pPr>
              <w:numPr>
                <w:ilvl w:val="0"/>
                <w:numId w:val="13"/>
              </w:numPr>
              <w:spacing w:before="120" w:after="120"/>
              <w:ind w:left="714" w:hanging="357"/>
              <w:rPr>
                <w:rFonts w:eastAsiaTheme="majorEastAsia"/>
                <w:sz w:val="21"/>
                <w:szCs w:val="21"/>
              </w:rPr>
            </w:pPr>
            <w:r w:rsidRPr="0005644F">
              <w:rPr>
                <w:rFonts w:eastAsiaTheme="majorEastAsia"/>
                <w:sz w:val="21"/>
                <w:szCs w:val="21"/>
              </w:rPr>
              <w:t>will achieve the stated objectives of facilitating more secondary capacity trading by making capacity products more fungible and reducing search and transaction costs? If not, please explain why.</w:t>
            </w:r>
          </w:p>
          <w:p w14:paraId="39AD8791" w14:textId="77777777" w:rsidR="00274EE7" w:rsidRPr="0005644F" w:rsidRDefault="00274EE7" w:rsidP="00274EE7">
            <w:pPr>
              <w:numPr>
                <w:ilvl w:val="0"/>
                <w:numId w:val="13"/>
              </w:numPr>
              <w:spacing w:before="120" w:after="120"/>
              <w:ind w:left="714" w:hanging="357"/>
              <w:rPr>
                <w:rFonts w:eastAsiaTheme="majorEastAsia"/>
                <w:sz w:val="21"/>
                <w:szCs w:val="21"/>
              </w:rPr>
            </w:pPr>
            <w:proofErr w:type="gramStart"/>
            <w:r w:rsidRPr="0005644F">
              <w:rPr>
                <w:rFonts w:eastAsiaTheme="majorEastAsia"/>
                <w:sz w:val="21"/>
                <w:szCs w:val="21"/>
              </w:rPr>
              <w:t>are</w:t>
            </w:r>
            <w:proofErr w:type="gramEnd"/>
            <w:r w:rsidRPr="0005644F">
              <w:rPr>
                <w:rFonts w:eastAsiaTheme="majorEastAsia"/>
                <w:sz w:val="21"/>
                <w:szCs w:val="21"/>
              </w:rPr>
              <w:t xml:space="preserve"> fit for purpose and embody the principles set out in section </w:t>
            </w:r>
            <w:r w:rsidRPr="0005644F">
              <w:rPr>
                <w:rFonts w:eastAsiaTheme="majorEastAsia"/>
                <w:sz w:val="21"/>
                <w:szCs w:val="21"/>
              </w:rPr>
              <w:fldChar w:fldCharType="begin"/>
            </w:r>
            <w:r w:rsidRPr="0005644F">
              <w:rPr>
                <w:rFonts w:eastAsiaTheme="majorEastAsia"/>
                <w:sz w:val="21"/>
                <w:szCs w:val="21"/>
              </w:rPr>
              <w:instrText xml:space="preserve"> REF _Ref491754432 \r \h </w:instrText>
            </w:r>
            <w:r>
              <w:rPr>
                <w:rFonts w:eastAsiaTheme="majorEastAsia"/>
                <w:sz w:val="21"/>
                <w:szCs w:val="21"/>
              </w:rPr>
              <w:instrText xml:space="preserve"> \* MERGEFORMAT </w:instrText>
            </w:r>
            <w:r w:rsidRPr="0005644F">
              <w:rPr>
                <w:rFonts w:eastAsiaTheme="majorEastAsia"/>
                <w:sz w:val="21"/>
                <w:szCs w:val="21"/>
              </w:rPr>
            </w:r>
            <w:r w:rsidRPr="0005644F">
              <w:rPr>
                <w:rFonts w:eastAsiaTheme="majorEastAsia"/>
                <w:sz w:val="21"/>
                <w:szCs w:val="21"/>
              </w:rPr>
              <w:fldChar w:fldCharType="separate"/>
            </w:r>
            <w:r>
              <w:rPr>
                <w:rFonts w:eastAsiaTheme="majorEastAsia"/>
                <w:sz w:val="21"/>
                <w:szCs w:val="21"/>
              </w:rPr>
              <w:t>2.3</w:t>
            </w:r>
            <w:r w:rsidRPr="0005644F">
              <w:rPr>
                <w:rFonts w:eastAsiaTheme="majorEastAsia"/>
                <w:sz w:val="21"/>
                <w:szCs w:val="21"/>
              </w:rPr>
              <w:fldChar w:fldCharType="end"/>
            </w:r>
            <w:r w:rsidRPr="0005644F">
              <w:rPr>
                <w:rFonts w:eastAsiaTheme="majorEastAsia"/>
                <w:sz w:val="21"/>
                <w:szCs w:val="21"/>
              </w:rPr>
              <w:t>? If not, please explain why.</w:t>
            </w:r>
          </w:p>
          <w:p w14:paraId="5136A642" w14:textId="77777777" w:rsidR="00274EE7" w:rsidRPr="0005644F" w:rsidRDefault="00274EE7" w:rsidP="00274EE7">
            <w:pPr>
              <w:numPr>
                <w:ilvl w:val="0"/>
                <w:numId w:val="23"/>
              </w:numPr>
              <w:spacing w:before="120" w:after="120"/>
              <w:rPr>
                <w:rFonts w:eastAsiaTheme="majorEastAsia"/>
                <w:sz w:val="21"/>
                <w:szCs w:val="21"/>
              </w:rPr>
            </w:pPr>
            <w:r w:rsidRPr="0005644F">
              <w:rPr>
                <w:rFonts w:eastAsiaTheme="majorEastAsia"/>
                <w:sz w:val="21"/>
                <w:szCs w:val="21"/>
              </w:rPr>
              <w:t xml:space="preserve">Do you think the balance between the </w:t>
            </w:r>
            <w:r>
              <w:rPr>
                <w:rFonts w:eastAsiaTheme="majorEastAsia"/>
                <w:sz w:val="21"/>
                <w:szCs w:val="21"/>
              </w:rPr>
              <w:t>standard terms</w:t>
            </w:r>
            <w:r w:rsidRPr="0005644F">
              <w:rPr>
                <w:rFonts w:eastAsiaTheme="majorEastAsia"/>
                <w:sz w:val="21"/>
                <w:szCs w:val="21"/>
              </w:rPr>
              <w:t xml:space="preserve"> and </w:t>
            </w:r>
            <w:r>
              <w:rPr>
                <w:rFonts w:eastAsiaTheme="majorEastAsia"/>
                <w:sz w:val="21"/>
                <w:szCs w:val="21"/>
              </w:rPr>
              <w:t>facility specific terms</w:t>
            </w:r>
            <w:r w:rsidRPr="0005644F">
              <w:rPr>
                <w:rFonts w:eastAsiaTheme="majorEastAsia"/>
                <w:sz w:val="21"/>
                <w:szCs w:val="21"/>
              </w:rPr>
              <w:t xml:space="preserve"> is appropriate, or do you think:</w:t>
            </w:r>
          </w:p>
          <w:p w14:paraId="389510FD" w14:textId="77777777" w:rsidR="00274EE7" w:rsidRPr="0005644F" w:rsidRDefault="00274EE7" w:rsidP="00274EE7">
            <w:pPr>
              <w:numPr>
                <w:ilvl w:val="0"/>
                <w:numId w:val="13"/>
              </w:numPr>
              <w:spacing w:before="120" w:after="120"/>
              <w:ind w:left="714" w:hanging="357"/>
              <w:rPr>
                <w:rFonts w:eastAsiaTheme="majorEastAsia"/>
                <w:sz w:val="21"/>
                <w:szCs w:val="21"/>
              </w:rPr>
            </w:pPr>
            <w:r w:rsidRPr="0005644F">
              <w:rPr>
                <w:rFonts w:eastAsiaTheme="majorEastAsia"/>
                <w:sz w:val="21"/>
                <w:szCs w:val="21"/>
              </w:rPr>
              <w:t>a greater level of standardisation is required? If so, please specify which provisions you think should be standardised.</w:t>
            </w:r>
          </w:p>
          <w:p w14:paraId="49B979AD" w14:textId="77777777" w:rsidR="00274EE7" w:rsidRPr="0005644F" w:rsidRDefault="00274EE7" w:rsidP="00274EE7">
            <w:pPr>
              <w:numPr>
                <w:ilvl w:val="0"/>
                <w:numId w:val="13"/>
              </w:numPr>
              <w:spacing w:before="120" w:after="120"/>
              <w:ind w:left="714" w:hanging="357"/>
              <w:rPr>
                <w:rFonts w:eastAsiaTheme="majorEastAsia"/>
                <w:sz w:val="21"/>
                <w:szCs w:val="21"/>
              </w:rPr>
            </w:pPr>
            <w:r w:rsidRPr="0005644F">
              <w:rPr>
                <w:rFonts w:eastAsiaTheme="majorEastAsia"/>
                <w:sz w:val="21"/>
                <w:szCs w:val="21"/>
              </w:rPr>
              <w:t>a lower level of standardisation is required? If so, please specify which provisions you think should not be standardised.</w:t>
            </w:r>
          </w:p>
          <w:p w14:paraId="6B7DAB6D" w14:textId="77777777" w:rsidR="00274EE7" w:rsidRPr="0005644F" w:rsidRDefault="00274EE7" w:rsidP="00274EE7">
            <w:pPr>
              <w:numPr>
                <w:ilvl w:val="0"/>
                <w:numId w:val="23"/>
              </w:numPr>
              <w:spacing w:before="120" w:after="120"/>
              <w:rPr>
                <w:rFonts w:eastAsiaTheme="majorEastAsia"/>
                <w:sz w:val="21"/>
                <w:szCs w:val="21"/>
              </w:rPr>
            </w:pPr>
            <w:r w:rsidRPr="0005644F">
              <w:rPr>
                <w:rFonts w:eastAsiaTheme="majorEastAsia"/>
                <w:sz w:val="21"/>
                <w:szCs w:val="21"/>
              </w:rPr>
              <w:t xml:space="preserve">Do you agree with the proposed approach to the </w:t>
            </w:r>
            <w:r w:rsidRPr="0005644F">
              <w:rPr>
                <w:rFonts w:eastAsiaTheme="majorEastAsia"/>
                <w:sz w:val="21"/>
                <w:szCs w:val="21"/>
                <w:u w:val="single"/>
              </w:rPr>
              <w:t>secondary shipper’s</w:t>
            </w:r>
            <w:r w:rsidRPr="0005644F">
              <w:rPr>
                <w:rFonts w:eastAsiaTheme="majorEastAsia"/>
                <w:sz w:val="21"/>
                <w:szCs w:val="21"/>
              </w:rPr>
              <w:t xml:space="preserve"> liability for off-specification gas</w:t>
            </w:r>
            <w:r>
              <w:rPr>
                <w:rFonts w:eastAsiaTheme="majorEastAsia"/>
                <w:sz w:val="21"/>
                <w:szCs w:val="21"/>
              </w:rPr>
              <w:t>? If not:</w:t>
            </w:r>
          </w:p>
          <w:p w14:paraId="4F265CAC" w14:textId="77777777" w:rsidR="00274EE7" w:rsidRPr="0005644F" w:rsidRDefault="00274EE7" w:rsidP="00274EE7">
            <w:pPr>
              <w:numPr>
                <w:ilvl w:val="0"/>
                <w:numId w:val="13"/>
              </w:numPr>
              <w:spacing w:before="120" w:after="120"/>
              <w:ind w:left="714" w:hanging="357"/>
              <w:rPr>
                <w:rFonts w:eastAsiaTheme="majorEastAsia"/>
                <w:sz w:val="21"/>
                <w:szCs w:val="21"/>
              </w:rPr>
            </w:pPr>
            <w:r>
              <w:rPr>
                <w:rFonts w:eastAsiaTheme="majorEastAsia"/>
                <w:sz w:val="21"/>
                <w:szCs w:val="21"/>
              </w:rPr>
              <w:t xml:space="preserve">Do you think </w:t>
            </w:r>
            <w:r w:rsidRPr="0005644F">
              <w:rPr>
                <w:rFonts w:eastAsiaTheme="majorEastAsia"/>
                <w:sz w:val="21"/>
                <w:szCs w:val="21"/>
              </w:rPr>
              <w:t xml:space="preserve">there should be limits on the secondary shipper’s liability for off-specification gas? </w:t>
            </w:r>
            <w:r>
              <w:rPr>
                <w:rFonts w:eastAsiaTheme="majorEastAsia"/>
                <w:sz w:val="21"/>
                <w:szCs w:val="21"/>
              </w:rPr>
              <w:t>If so, what do you think the limits should be?</w:t>
            </w:r>
          </w:p>
          <w:p w14:paraId="0DBE17DE" w14:textId="77777777" w:rsidR="00274EE7" w:rsidRPr="0005644F" w:rsidRDefault="00274EE7" w:rsidP="00274EE7">
            <w:pPr>
              <w:numPr>
                <w:ilvl w:val="0"/>
                <w:numId w:val="13"/>
              </w:numPr>
              <w:spacing w:before="120" w:after="120"/>
              <w:ind w:left="714" w:hanging="357"/>
              <w:rPr>
                <w:rFonts w:eastAsiaTheme="majorEastAsia"/>
                <w:sz w:val="21"/>
                <w:szCs w:val="21"/>
              </w:rPr>
            </w:pPr>
            <w:r>
              <w:rPr>
                <w:rFonts w:eastAsiaTheme="majorEastAsia"/>
                <w:sz w:val="21"/>
                <w:szCs w:val="21"/>
              </w:rPr>
              <w:t xml:space="preserve">Do you think </w:t>
            </w:r>
            <w:r w:rsidRPr="0005644F">
              <w:rPr>
                <w:rFonts w:eastAsiaTheme="majorEastAsia"/>
                <w:sz w:val="21"/>
                <w:szCs w:val="21"/>
              </w:rPr>
              <w:t>the secondary shipper should be liable for the service provider’s loss of profits caused by the secondary shipper supplying off-specification gas?</w:t>
            </w:r>
          </w:p>
          <w:p w14:paraId="50A649E8" w14:textId="77777777" w:rsidR="00274EE7" w:rsidRDefault="00274EE7" w:rsidP="00274EE7">
            <w:pPr>
              <w:numPr>
                <w:ilvl w:val="0"/>
                <w:numId w:val="23"/>
              </w:numPr>
              <w:spacing w:before="120" w:after="120"/>
              <w:rPr>
                <w:rFonts w:eastAsiaTheme="majorEastAsia"/>
                <w:sz w:val="21"/>
                <w:szCs w:val="21"/>
              </w:rPr>
            </w:pPr>
            <w:r w:rsidRPr="0005644F">
              <w:rPr>
                <w:rFonts w:eastAsiaTheme="majorEastAsia"/>
                <w:sz w:val="21"/>
                <w:szCs w:val="21"/>
              </w:rPr>
              <w:lastRenderedPageBreak/>
              <w:t>Do you agree with the proposed approach to</w:t>
            </w:r>
            <w:r w:rsidRPr="0005644F">
              <w:rPr>
                <w:sz w:val="21"/>
                <w:szCs w:val="21"/>
                <w:lang w:eastAsia="fr-CA"/>
              </w:rPr>
              <w:t xml:space="preserve"> the </w:t>
            </w:r>
            <w:r w:rsidRPr="0005644F">
              <w:rPr>
                <w:sz w:val="21"/>
                <w:szCs w:val="21"/>
                <w:u w:val="single"/>
                <w:lang w:eastAsia="fr-CA"/>
              </w:rPr>
              <w:t>service provider</w:t>
            </w:r>
            <w:r w:rsidRPr="0005644F">
              <w:rPr>
                <w:rFonts w:eastAsiaTheme="majorEastAsia"/>
                <w:sz w:val="21"/>
                <w:szCs w:val="21"/>
                <w:u w:val="single"/>
              </w:rPr>
              <w:t xml:space="preserve">’s </w:t>
            </w:r>
            <w:r w:rsidRPr="0005644F">
              <w:rPr>
                <w:rFonts w:eastAsiaTheme="majorEastAsia"/>
                <w:sz w:val="21"/>
                <w:szCs w:val="21"/>
              </w:rPr>
              <w:t>liability for off-specification gas?</w:t>
            </w:r>
            <w:r>
              <w:rPr>
                <w:rFonts w:eastAsiaTheme="majorEastAsia"/>
                <w:sz w:val="21"/>
                <w:szCs w:val="21"/>
              </w:rPr>
              <w:t xml:space="preserve"> If not:</w:t>
            </w:r>
          </w:p>
          <w:p w14:paraId="166E3435" w14:textId="77777777" w:rsidR="00274EE7" w:rsidRPr="0005644F" w:rsidRDefault="00274EE7" w:rsidP="00274EE7">
            <w:pPr>
              <w:numPr>
                <w:ilvl w:val="0"/>
                <w:numId w:val="13"/>
              </w:numPr>
              <w:spacing w:before="120" w:after="120"/>
              <w:ind w:left="714" w:hanging="357"/>
              <w:rPr>
                <w:rFonts w:eastAsiaTheme="majorEastAsia"/>
                <w:sz w:val="21"/>
                <w:szCs w:val="21"/>
              </w:rPr>
            </w:pPr>
            <w:r>
              <w:rPr>
                <w:rFonts w:eastAsiaTheme="majorEastAsia"/>
                <w:sz w:val="21"/>
                <w:szCs w:val="21"/>
              </w:rPr>
              <w:t>Do you think the service provider should be liable to other shippers, or should other shippers be required to make a claim against the shipper responsible for delivering off-specification gas into the pipeline?</w:t>
            </w:r>
          </w:p>
          <w:p w14:paraId="1CD59073" w14:textId="77777777" w:rsidR="00274EE7" w:rsidRDefault="00274EE7" w:rsidP="00274EE7">
            <w:pPr>
              <w:numPr>
                <w:ilvl w:val="0"/>
                <w:numId w:val="23"/>
              </w:numPr>
              <w:spacing w:before="120" w:after="120"/>
              <w:rPr>
                <w:rFonts w:eastAsiaTheme="majorEastAsia"/>
                <w:sz w:val="21"/>
                <w:szCs w:val="21"/>
              </w:rPr>
            </w:pPr>
            <w:r w:rsidRPr="0005644F">
              <w:rPr>
                <w:rFonts w:eastAsiaTheme="majorEastAsia"/>
                <w:sz w:val="21"/>
                <w:szCs w:val="21"/>
              </w:rPr>
              <w:t xml:space="preserve">Do you agree with the proposed approach to </w:t>
            </w:r>
            <w:r>
              <w:rPr>
                <w:rFonts w:eastAsiaTheme="majorEastAsia"/>
                <w:sz w:val="21"/>
                <w:szCs w:val="21"/>
              </w:rPr>
              <w:t xml:space="preserve">the </w:t>
            </w:r>
            <w:r w:rsidRPr="0005644F">
              <w:rPr>
                <w:rFonts w:eastAsiaTheme="majorEastAsia"/>
                <w:sz w:val="21"/>
                <w:szCs w:val="21"/>
                <w:u w:val="single"/>
              </w:rPr>
              <w:t>secondary shipper’s</w:t>
            </w:r>
            <w:r w:rsidRPr="0005644F">
              <w:rPr>
                <w:rFonts w:eastAsiaTheme="majorEastAsia"/>
                <w:sz w:val="21"/>
                <w:szCs w:val="21"/>
              </w:rPr>
              <w:t xml:space="preserve"> liability for breach of contract</w:t>
            </w:r>
            <w:r>
              <w:rPr>
                <w:rFonts w:eastAsiaTheme="majorEastAsia"/>
                <w:sz w:val="21"/>
                <w:szCs w:val="21"/>
              </w:rPr>
              <w:t>? If not:</w:t>
            </w:r>
          </w:p>
          <w:p w14:paraId="48135249" w14:textId="77777777" w:rsidR="00274EE7" w:rsidRDefault="00274EE7" w:rsidP="00274EE7">
            <w:pPr>
              <w:numPr>
                <w:ilvl w:val="0"/>
                <w:numId w:val="13"/>
              </w:numPr>
              <w:spacing w:before="120" w:after="120"/>
              <w:ind w:left="714" w:hanging="357"/>
              <w:rPr>
                <w:rFonts w:eastAsiaTheme="majorEastAsia"/>
                <w:sz w:val="21"/>
                <w:szCs w:val="21"/>
              </w:rPr>
            </w:pPr>
            <w:r>
              <w:rPr>
                <w:rFonts w:eastAsiaTheme="majorEastAsia"/>
                <w:sz w:val="21"/>
                <w:szCs w:val="21"/>
              </w:rPr>
              <w:t xml:space="preserve">Do you think the uncapped liability will act as a barrier to entry? </w:t>
            </w:r>
          </w:p>
          <w:p w14:paraId="28489170" w14:textId="77777777" w:rsidR="00274EE7" w:rsidRPr="0005644F" w:rsidRDefault="00274EE7" w:rsidP="00274EE7">
            <w:pPr>
              <w:numPr>
                <w:ilvl w:val="0"/>
                <w:numId w:val="13"/>
              </w:numPr>
              <w:spacing w:before="120" w:after="120"/>
              <w:ind w:left="714" w:hanging="357"/>
              <w:rPr>
                <w:rFonts w:eastAsiaTheme="majorEastAsia"/>
                <w:sz w:val="21"/>
                <w:szCs w:val="21"/>
              </w:rPr>
            </w:pPr>
            <w:r>
              <w:rPr>
                <w:rFonts w:eastAsiaTheme="majorEastAsia"/>
                <w:sz w:val="21"/>
                <w:szCs w:val="21"/>
              </w:rPr>
              <w:t xml:space="preserve">Do </w:t>
            </w:r>
            <w:r w:rsidRPr="0005644F">
              <w:rPr>
                <w:rFonts w:eastAsiaTheme="majorEastAsia"/>
                <w:sz w:val="21"/>
                <w:szCs w:val="21"/>
              </w:rPr>
              <w:t>you think there should be monetary caps, or other forms of limits, on the secondary shipper’s liability?  If so what should the caps and limits be?</w:t>
            </w:r>
          </w:p>
          <w:p w14:paraId="03004424" w14:textId="77777777" w:rsidR="00274EE7" w:rsidRDefault="00274EE7" w:rsidP="00274EE7">
            <w:pPr>
              <w:numPr>
                <w:ilvl w:val="0"/>
                <w:numId w:val="23"/>
              </w:numPr>
              <w:spacing w:before="120" w:after="120"/>
              <w:rPr>
                <w:rFonts w:eastAsiaTheme="majorEastAsia"/>
                <w:sz w:val="21"/>
                <w:szCs w:val="21"/>
              </w:rPr>
            </w:pPr>
            <w:r w:rsidRPr="0005644F">
              <w:rPr>
                <w:rFonts w:eastAsiaTheme="majorEastAsia"/>
                <w:sz w:val="21"/>
                <w:szCs w:val="21"/>
              </w:rPr>
              <w:t>Do you agree with the proposed approach to</w:t>
            </w:r>
            <w:r w:rsidRPr="0005644F">
              <w:rPr>
                <w:sz w:val="21"/>
                <w:szCs w:val="21"/>
                <w:lang w:eastAsia="fr-CA"/>
              </w:rPr>
              <w:t xml:space="preserve"> the </w:t>
            </w:r>
            <w:r w:rsidRPr="0005644F">
              <w:rPr>
                <w:sz w:val="21"/>
                <w:szCs w:val="21"/>
                <w:u w:val="single"/>
                <w:lang w:eastAsia="fr-CA"/>
              </w:rPr>
              <w:t>service provider</w:t>
            </w:r>
            <w:r w:rsidRPr="0005644F">
              <w:rPr>
                <w:rFonts w:eastAsiaTheme="majorEastAsia"/>
                <w:sz w:val="21"/>
                <w:szCs w:val="21"/>
                <w:u w:val="single"/>
              </w:rPr>
              <w:t>’s</w:t>
            </w:r>
            <w:r w:rsidRPr="0005644F">
              <w:rPr>
                <w:rFonts w:eastAsiaTheme="majorEastAsia"/>
                <w:sz w:val="21"/>
                <w:szCs w:val="21"/>
              </w:rPr>
              <w:t xml:space="preserve"> liability for breach of contract? </w:t>
            </w:r>
          </w:p>
          <w:p w14:paraId="3C42D35F" w14:textId="77777777" w:rsidR="00274EE7" w:rsidRPr="0005644F" w:rsidRDefault="00274EE7" w:rsidP="00274EE7">
            <w:pPr>
              <w:numPr>
                <w:ilvl w:val="0"/>
                <w:numId w:val="13"/>
              </w:numPr>
              <w:spacing w:before="120" w:after="120"/>
              <w:ind w:left="714" w:hanging="357"/>
              <w:rPr>
                <w:rFonts w:eastAsiaTheme="majorEastAsia"/>
                <w:sz w:val="21"/>
                <w:szCs w:val="21"/>
              </w:rPr>
            </w:pPr>
            <w:r>
              <w:rPr>
                <w:rFonts w:eastAsiaTheme="majorEastAsia"/>
                <w:sz w:val="21"/>
                <w:szCs w:val="21"/>
              </w:rPr>
              <w:t>If so, what level do you think the monetary cap on liability (or other limits) should be set at and do you think the repair or replacement of property should be subject to a different cap?</w:t>
            </w:r>
          </w:p>
          <w:p w14:paraId="6AB3C97D" w14:textId="77777777" w:rsidR="00274EE7" w:rsidRPr="0005644F" w:rsidRDefault="00274EE7" w:rsidP="00274EE7">
            <w:pPr>
              <w:numPr>
                <w:ilvl w:val="0"/>
                <w:numId w:val="13"/>
              </w:numPr>
              <w:spacing w:before="120" w:after="120"/>
              <w:ind w:left="714" w:hanging="357"/>
              <w:rPr>
                <w:rFonts w:eastAsiaTheme="majorEastAsia"/>
                <w:sz w:val="21"/>
                <w:szCs w:val="21"/>
              </w:rPr>
            </w:pPr>
            <w:r>
              <w:rPr>
                <w:rFonts w:eastAsiaTheme="majorEastAsia"/>
                <w:sz w:val="21"/>
                <w:szCs w:val="21"/>
              </w:rPr>
              <w:t>How do you think the term ‘consequential loss’ should be defined?</w:t>
            </w:r>
          </w:p>
          <w:p w14:paraId="0E45B96C" w14:textId="77777777" w:rsidR="00274EE7" w:rsidRDefault="00274EE7" w:rsidP="00274EE7">
            <w:pPr>
              <w:numPr>
                <w:ilvl w:val="0"/>
                <w:numId w:val="23"/>
              </w:numPr>
              <w:spacing w:before="120" w:after="120"/>
              <w:rPr>
                <w:rFonts w:eastAsiaTheme="majorEastAsia"/>
                <w:sz w:val="21"/>
                <w:szCs w:val="21"/>
              </w:rPr>
            </w:pPr>
            <w:r w:rsidRPr="0005644F">
              <w:rPr>
                <w:rFonts w:eastAsiaTheme="majorEastAsia"/>
                <w:sz w:val="21"/>
                <w:szCs w:val="21"/>
              </w:rPr>
              <w:t xml:space="preserve">Is it appropriate to have differing liability regimes for the </w:t>
            </w:r>
            <w:r w:rsidRPr="0005644F">
              <w:rPr>
                <w:sz w:val="21"/>
                <w:szCs w:val="21"/>
                <w:lang w:eastAsia="fr-CA"/>
              </w:rPr>
              <w:t xml:space="preserve">service provider </w:t>
            </w:r>
            <w:r w:rsidRPr="0005644F">
              <w:rPr>
                <w:rFonts w:eastAsiaTheme="majorEastAsia"/>
                <w:sz w:val="21"/>
                <w:szCs w:val="21"/>
              </w:rPr>
              <w:t>and secondary shipper?</w:t>
            </w:r>
          </w:p>
          <w:p w14:paraId="23E72520" w14:textId="77777777" w:rsidR="00274EE7" w:rsidRDefault="00274EE7" w:rsidP="00274EE7">
            <w:pPr>
              <w:numPr>
                <w:ilvl w:val="0"/>
                <w:numId w:val="23"/>
              </w:numPr>
              <w:spacing w:before="120" w:after="120"/>
              <w:rPr>
                <w:rFonts w:eastAsiaTheme="majorEastAsia"/>
                <w:sz w:val="21"/>
                <w:szCs w:val="21"/>
              </w:rPr>
            </w:pPr>
            <w:r w:rsidRPr="003E002F">
              <w:rPr>
                <w:rFonts w:eastAsiaTheme="majorEastAsia"/>
                <w:sz w:val="21"/>
                <w:szCs w:val="21"/>
              </w:rPr>
              <w:t xml:space="preserve">Do you agree </w:t>
            </w:r>
            <w:r>
              <w:rPr>
                <w:rFonts w:eastAsiaTheme="majorEastAsia"/>
                <w:sz w:val="21"/>
                <w:szCs w:val="21"/>
              </w:rPr>
              <w:t xml:space="preserve">that </w:t>
            </w:r>
            <w:r w:rsidRPr="003E002F">
              <w:rPr>
                <w:rFonts w:eastAsiaTheme="majorEastAsia"/>
                <w:sz w:val="21"/>
                <w:szCs w:val="21"/>
              </w:rPr>
              <w:t>if a shipper has a credit rating of BBB- and above it should not be required to provide credit support? If not, please explain why.</w:t>
            </w:r>
          </w:p>
          <w:p w14:paraId="7587FBA3" w14:textId="77777777" w:rsidR="00274EE7" w:rsidRPr="00FB6BDD" w:rsidRDefault="00274EE7" w:rsidP="00274EE7">
            <w:pPr>
              <w:numPr>
                <w:ilvl w:val="0"/>
                <w:numId w:val="23"/>
              </w:numPr>
              <w:spacing w:before="120" w:after="120"/>
              <w:rPr>
                <w:rFonts w:eastAsiaTheme="majorEastAsia"/>
                <w:sz w:val="21"/>
                <w:szCs w:val="21"/>
              </w:rPr>
            </w:pPr>
            <w:r>
              <w:rPr>
                <w:rFonts w:eastAsiaTheme="majorEastAsia"/>
                <w:sz w:val="21"/>
                <w:szCs w:val="21"/>
              </w:rPr>
              <w:t>Do you think the amount of credit support should be a function of the value of the MDQ as o</w:t>
            </w:r>
            <w:r w:rsidRPr="00FB6BDD">
              <w:rPr>
                <w:rFonts w:eastAsiaTheme="majorEastAsia"/>
                <w:sz w:val="21"/>
                <w:szCs w:val="21"/>
              </w:rPr>
              <w:t xml:space="preserve">utlined in section </w:t>
            </w:r>
            <w:r w:rsidRPr="00FB6BDD">
              <w:rPr>
                <w:rFonts w:eastAsiaTheme="majorEastAsia"/>
                <w:sz w:val="21"/>
                <w:szCs w:val="21"/>
              </w:rPr>
              <w:fldChar w:fldCharType="begin"/>
            </w:r>
            <w:r w:rsidRPr="00FB6BDD">
              <w:rPr>
                <w:rFonts w:eastAsiaTheme="majorEastAsia"/>
                <w:sz w:val="21"/>
                <w:szCs w:val="21"/>
              </w:rPr>
              <w:instrText xml:space="preserve"> REF _Ref491798708 \r \h </w:instrText>
            </w:r>
            <w:r>
              <w:rPr>
                <w:rFonts w:eastAsiaTheme="majorEastAsia"/>
                <w:sz w:val="21"/>
                <w:szCs w:val="21"/>
              </w:rPr>
              <w:instrText xml:space="preserve"> \* MERGEFORMAT </w:instrText>
            </w:r>
            <w:r w:rsidRPr="00FB6BDD">
              <w:rPr>
                <w:rFonts w:eastAsiaTheme="majorEastAsia"/>
                <w:sz w:val="21"/>
                <w:szCs w:val="21"/>
              </w:rPr>
            </w:r>
            <w:r w:rsidRPr="00FB6BDD">
              <w:rPr>
                <w:rFonts w:eastAsiaTheme="majorEastAsia"/>
                <w:sz w:val="21"/>
                <w:szCs w:val="21"/>
              </w:rPr>
              <w:fldChar w:fldCharType="separate"/>
            </w:r>
            <w:r>
              <w:rPr>
                <w:rFonts w:eastAsiaTheme="majorEastAsia"/>
                <w:sz w:val="21"/>
                <w:szCs w:val="21"/>
              </w:rPr>
              <w:t>3.3.3</w:t>
            </w:r>
            <w:r w:rsidRPr="00FB6BDD">
              <w:rPr>
                <w:rFonts w:eastAsiaTheme="majorEastAsia"/>
                <w:sz w:val="21"/>
                <w:szCs w:val="21"/>
              </w:rPr>
              <w:fldChar w:fldCharType="end"/>
            </w:r>
            <w:r w:rsidRPr="00FB6BDD">
              <w:rPr>
                <w:rFonts w:eastAsiaTheme="majorEastAsia"/>
                <w:sz w:val="21"/>
                <w:szCs w:val="21"/>
              </w:rPr>
              <w:t xml:space="preserve">? </w:t>
            </w:r>
          </w:p>
          <w:p w14:paraId="7CCD9333" w14:textId="77777777" w:rsidR="00274EE7" w:rsidRPr="00FB6BDD" w:rsidRDefault="00274EE7" w:rsidP="00274EE7">
            <w:pPr>
              <w:pStyle w:val="ListBullet2"/>
              <w:rPr>
                <w:rFonts w:eastAsiaTheme="majorEastAsia"/>
                <w:sz w:val="21"/>
                <w:szCs w:val="21"/>
              </w:rPr>
            </w:pPr>
            <w:r w:rsidRPr="00FB6BDD">
              <w:rPr>
                <w:rFonts w:eastAsiaTheme="majorEastAsia"/>
                <w:sz w:val="21"/>
                <w:szCs w:val="21"/>
              </w:rPr>
              <w:t xml:space="preserve">If not, please explain why and set out what other option you think should be used to determine the level of credit support. </w:t>
            </w:r>
          </w:p>
          <w:p w14:paraId="7594F672" w14:textId="77777777" w:rsidR="00274EE7" w:rsidRPr="00FB6BDD" w:rsidRDefault="00274EE7" w:rsidP="00274EE7">
            <w:pPr>
              <w:pStyle w:val="ListBullet2"/>
              <w:rPr>
                <w:rFonts w:eastAsiaTheme="majorEastAsia"/>
                <w:sz w:val="21"/>
                <w:szCs w:val="21"/>
              </w:rPr>
            </w:pPr>
            <w:r w:rsidRPr="00FB6BDD">
              <w:rPr>
                <w:rFonts w:eastAsiaTheme="majorEastAsia"/>
                <w:sz w:val="21"/>
                <w:szCs w:val="21"/>
              </w:rPr>
              <w:t xml:space="preserve">If so, do you think the level of credit support should be based on 100% of the value of the MDQ or a lower percentage given that the secondary shipper won’t actually be paying the service provider for the capacity? If you think a lower percentage should be applied, please state what percentage should be applied and why you think it is appropriate. </w:t>
            </w:r>
          </w:p>
          <w:p w14:paraId="6EBF7B68" w14:textId="77777777" w:rsidR="00274EE7" w:rsidRDefault="00274EE7" w:rsidP="00274EE7">
            <w:pPr>
              <w:numPr>
                <w:ilvl w:val="0"/>
                <w:numId w:val="23"/>
              </w:numPr>
              <w:spacing w:before="120" w:after="120"/>
              <w:rPr>
                <w:rFonts w:eastAsiaTheme="majorEastAsia"/>
                <w:sz w:val="21"/>
                <w:szCs w:val="21"/>
              </w:rPr>
            </w:pPr>
            <w:r w:rsidRPr="0005644F">
              <w:rPr>
                <w:rFonts w:eastAsiaTheme="majorEastAsia"/>
                <w:sz w:val="21"/>
                <w:szCs w:val="21"/>
              </w:rPr>
              <w:t>Is the proposed approach to curtailment timeframes appropriate?  Does the regime appropriately balance the interests of shippers and the need to preserve pipeline integrity and ensure that shippers have sufficient time to react to a curtailment?</w:t>
            </w:r>
          </w:p>
          <w:p w14:paraId="42EE38B2" w14:textId="77777777" w:rsidR="00274EE7" w:rsidRDefault="00274EE7" w:rsidP="00274EE7">
            <w:pPr>
              <w:numPr>
                <w:ilvl w:val="0"/>
                <w:numId w:val="23"/>
              </w:numPr>
              <w:spacing w:before="120" w:after="120"/>
              <w:rPr>
                <w:rFonts w:eastAsiaTheme="majorEastAsia"/>
                <w:sz w:val="21"/>
                <w:szCs w:val="21"/>
              </w:rPr>
            </w:pPr>
            <w:r>
              <w:rPr>
                <w:rFonts w:eastAsiaTheme="majorEastAsia"/>
                <w:sz w:val="21"/>
                <w:szCs w:val="21"/>
              </w:rPr>
              <w:t>Are the standard terms a suitable foundation for the provision of a stand-alone compression service or will such a service require a more tailored set of terms?  What specific provisions do stakeholders consider are required for a workable stand-alone compression service?</w:t>
            </w:r>
          </w:p>
          <w:p w14:paraId="4801DE81" w14:textId="77777777" w:rsidR="00274EE7" w:rsidRPr="0024154A" w:rsidRDefault="00274EE7" w:rsidP="00274EE7">
            <w:pPr>
              <w:numPr>
                <w:ilvl w:val="0"/>
                <w:numId w:val="23"/>
              </w:numPr>
              <w:spacing w:before="120" w:after="120"/>
            </w:pPr>
            <w:r w:rsidRPr="0024154A">
              <w:rPr>
                <w:rFonts w:eastAsiaTheme="majorEastAsia"/>
                <w:sz w:val="21"/>
                <w:szCs w:val="21"/>
              </w:rPr>
              <w:t>Do you agree with the way in which imbalance trading and in-pipe trade services have been dealt with in the operational GTA</w:t>
            </w:r>
            <w:r>
              <w:rPr>
                <w:rFonts w:eastAsiaTheme="majorEastAsia"/>
                <w:sz w:val="21"/>
                <w:szCs w:val="21"/>
              </w:rPr>
              <w:t>?</w:t>
            </w:r>
            <w:r w:rsidRPr="0024154A">
              <w:rPr>
                <w:rFonts w:eastAsiaTheme="majorEastAsia"/>
                <w:sz w:val="21"/>
                <w:szCs w:val="21"/>
              </w:rPr>
              <w:t xml:space="preserve"> </w:t>
            </w:r>
            <w:r>
              <w:rPr>
                <w:rFonts w:eastAsiaTheme="majorEastAsia"/>
                <w:sz w:val="21"/>
                <w:szCs w:val="21"/>
              </w:rPr>
              <w:t>O</w:t>
            </w:r>
            <w:r w:rsidRPr="0024154A">
              <w:rPr>
                <w:rFonts w:eastAsiaTheme="majorEastAsia"/>
                <w:sz w:val="21"/>
                <w:szCs w:val="21"/>
              </w:rPr>
              <w:t>r do you think</w:t>
            </w:r>
            <w:r>
              <w:rPr>
                <w:rFonts w:eastAsiaTheme="majorEastAsia"/>
                <w:sz w:val="21"/>
                <w:szCs w:val="21"/>
              </w:rPr>
              <w:t>:</w:t>
            </w:r>
            <w:r w:rsidRPr="0024154A">
              <w:rPr>
                <w:rFonts w:eastAsiaTheme="majorEastAsia"/>
                <w:sz w:val="21"/>
                <w:szCs w:val="21"/>
              </w:rPr>
              <w:t xml:space="preserve"> </w:t>
            </w:r>
          </w:p>
          <w:p w14:paraId="0AC1CC8A" w14:textId="77777777" w:rsidR="00274EE7" w:rsidRPr="0024154A" w:rsidRDefault="00274EE7" w:rsidP="00274EE7">
            <w:pPr>
              <w:pStyle w:val="ListBullet2"/>
              <w:rPr>
                <w:sz w:val="21"/>
                <w:szCs w:val="21"/>
              </w:rPr>
            </w:pPr>
            <w:r w:rsidRPr="0024154A">
              <w:rPr>
                <w:sz w:val="21"/>
                <w:szCs w:val="21"/>
              </w:rPr>
              <w:t xml:space="preserve">the service provider should have the option of offering either (1) imbalance trading or (2) in-pipe trading? </w:t>
            </w:r>
          </w:p>
          <w:p w14:paraId="47D07D29" w14:textId="77777777" w:rsidR="00274EE7" w:rsidRDefault="00274EE7" w:rsidP="00274EE7">
            <w:pPr>
              <w:pStyle w:val="ListBullet2"/>
              <w:rPr>
                <w:sz w:val="21"/>
                <w:szCs w:val="21"/>
              </w:rPr>
            </w:pPr>
            <w:r w:rsidRPr="0024154A">
              <w:rPr>
                <w:sz w:val="21"/>
                <w:szCs w:val="21"/>
              </w:rPr>
              <w:t>the standard terms should make in-pipe trading the standard position rather than imbalance trades?</w:t>
            </w:r>
            <w:r>
              <w:rPr>
                <w:sz w:val="21"/>
                <w:szCs w:val="21"/>
              </w:rPr>
              <w:t xml:space="preserve"> </w:t>
            </w:r>
          </w:p>
          <w:p w14:paraId="245E5C1F" w14:textId="77777777" w:rsidR="00274EE7" w:rsidRPr="000463D7" w:rsidRDefault="00274EE7" w:rsidP="00274EE7">
            <w:pPr>
              <w:pStyle w:val="BodyText"/>
              <w:ind w:left="357"/>
              <w:rPr>
                <w:sz w:val="21"/>
                <w:szCs w:val="21"/>
              </w:rPr>
            </w:pPr>
            <w:r w:rsidRPr="000463D7">
              <w:rPr>
                <w:sz w:val="21"/>
                <w:szCs w:val="21"/>
              </w:rPr>
              <w:t>If you think in-pipe trading should be reflected in the standard terms, what changes would need to be made to the standard terms.</w:t>
            </w:r>
          </w:p>
          <w:p w14:paraId="38B2B1E5" w14:textId="5300DD03" w:rsidR="00274EE7" w:rsidRPr="0005644F" w:rsidRDefault="00274EE7" w:rsidP="00274EE7">
            <w:pPr>
              <w:numPr>
                <w:ilvl w:val="0"/>
                <w:numId w:val="23"/>
              </w:numPr>
              <w:spacing w:before="120"/>
              <w:rPr>
                <w:rFonts w:eastAsiaTheme="majorEastAsia"/>
                <w:sz w:val="21"/>
                <w:szCs w:val="21"/>
              </w:rPr>
            </w:pPr>
            <w:r w:rsidRPr="0024154A">
              <w:rPr>
                <w:rFonts w:eastAsiaTheme="majorEastAsia"/>
                <w:sz w:val="21"/>
                <w:szCs w:val="21"/>
              </w:rPr>
              <w:lastRenderedPageBreak/>
              <w:t xml:space="preserve">Do you </w:t>
            </w:r>
            <w:r>
              <w:rPr>
                <w:rFonts w:eastAsiaTheme="majorEastAsia"/>
                <w:sz w:val="21"/>
                <w:szCs w:val="21"/>
              </w:rPr>
              <w:t>think the maintenance provisions are appropriate, or do you think the maintenance information that service providers are required to publish on the BB as part of the medium-term capacity outlook is sufficient?</w:t>
            </w:r>
          </w:p>
        </w:tc>
      </w:tr>
    </w:tbl>
    <w:p w14:paraId="4879E92C" w14:textId="77777777" w:rsidR="0057020B" w:rsidRPr="0057020B" w:rsidRDefault="0057020B" w:rsidP="00274EE7">
      <w:pPr>
        <w:keepNext/>
        <w:keepLines/>
        <w:numPr>
          <w:ilvl w:val="1"/>
          <w:numId w:val="9"/>
        </w:numPr>
        <w:spacing w:before="120" w:after="240"/>
        <w:ind w:left="624"/>
        <w:outlineLvl w:val="1"/>
        <w:rPr>
          <w:rFonts w:asciiTheme="majorHAnsi" w:eastAsiaTheme="majorEastAsia" w:hAnsiTheme="majorHAnsi" w:cstheme="majorBidi"/>
          <w:b/>
          <w:bCs/>
          <w:color w:val="007BC1"/>
          <w:sz w:val="28"/>
          <w:szCs w:val="26"/>
        </w:rPr>
      </w:pPr>
      <w:bookmarkStart w:id="76" w:name="_Ref490989573"/>
      <w:bookmarkStart w:id="77" w:name="_Toc491443344"/>
      <w:bookmarkStart w:id="78" w:name="_Toc492524740"/>
      <w:r w:rsidRPr="0057020B">
        <w:rPr>
          <w:rFonts w:asciiTheme="majorHAnsi" w:eastAsiaTheme="majorEastAsia" w:hAnsiTheme="majorHAnsi" w:cstheme="majorBidi"/>
          <w:b/>
          <w:bCs/>
          <w:color w:val="007BC1"/>
          <w:sz w:val="28"/>
          <w:szCs w:val="26"/>
        </w:rPr>
        <w:lastRenderedPageBreak/>
        <w:t>Application of the standardised operational GTA</w:t>
      </w:r>
      <w:bookmarkEnd w:id="76"/>
      <w:bookmarkEnd w:id="77"/>
      <w:bookmarkEnd w:id="78"/>
    </w:p>
    <w:p w14:paraId="07F318B3" w14:textId="77777777" w:rsidR="0057020B" w:rsidRPr="0057020B" w:rsidRDefault="0057020B" w:rsidP="0057020B">
      <w:pPr>
        <w:keepNext/>
        <w:keepLines/>
        <w:spacing w:before="240" w:after="120"/>
        <w:outlineLvl w:val="5"/>
        <w:rPr>
          <w:rFonts w:asciiTheme="majorHAnsi" w:eastAsiaTheme="majorEastAsia" w:hAnsiTheme="majorHAnsi" w:cstheme="majorBidi"/>
          <w:b/>
          <w:iCs/>
          <w:color w:val="0099CC"/>
          <w:lang w:eastAsia="en-US"/>
        </w:rPr>
      </w:pPr>
      <w:r w:rsidRPr="0057020B">
        <w:rPr>
          <w:rFonts w:asciiTheme="majorHAnsi" w:eastAsiaTheme="majorEastAsia" w:hAnsiTheme="majorHAnsi" w:cstheme="majorBidi"/>
          <w:b/>
          <w:iCs/>
          <w:color w:val="0099CC"/>
          <w:lang w:eastAsia="en-US"/>
        </w:rPr>
        <w:t xml:space="preserve">Background </w:t>
      </w:r>
    </w:p>
    <w:p w14:paraId="14074B18" w14:textId="77777777" w:rsidR="0057020B" w:rsidRPr="0057020B" w:rsidRDefault="0057020B" w:rsidP="0057020B">
      <w:pPr>
        <w:tabs>
          <w:tab w:val="left" w:pos="2268"/>
          <w:tab w:val="left" w:pos="4536"/>
          <w:tab w:val="left" w:pos="6804"/>
          <w:tab w:val="right" w:pos="9638"/>
        </w:tabs>
        <w:spacing w:before="240" w:after="120"/>
      </w:pPr>
      <w:r w:rsidRPr="0057020B">
        <w:t xml:space="preserve">One of the questions that the AEMC suggested the GMRG consider when developing the standardised terms is whether all of the terms would be mandatory, or if shippers and service providers would have the option to negotiate some of the terms and conditions. This issue was discussed with the Standardisation project team and GMRG has identified the following matters arising from those discussions. </w:t>
      </w:r>
    </w:p>
    <w:p w14:paraId="76D896CE" w14:textId="77777777" w:rsidR="0057020B" w:rsidRPr="0057020B" w:rsidRDefault="0057020B" w:rsidP="0057020B">
      <w:pPr>
        <w:numPr>
          <w:ilvl w:val="0"/>
          <w:numId w:val="12"/>
        </w:numPr>
        <w:spacing w:before="120" w:after="120"/>
        <w:ind w:left="357" w:hanging="357"/>
      </w:pPr>
      <w:r w:rsidRPr="0057020B">
        <w:t>It needs to be clear whether the negotiate/arbitrate framework in Part 23 of the NGR applies to the standardised terms. If it does, the service provider would be required to negotiate within that framework. If it does not, negotiation would be discretionary.</w:t>
      </w:r>
    </w:p>
    <w:p w14:paraId="6E1E5ACA" w14:textId="07848973" w:rsidR="0057020B" w:rsidRPr="0057020B" w:rsidRDefault="00211830" w:rsidP="0057020B">
      <w:pPr>
        <w:numPr>
          <w:ilvl w:val="0"/>
          <w:numId w:val="12"/>
        </w:numPr>
        <w:spacing w:before="120" w:after="120"/>
        <w:ind w:left="357" w:hanging="357"/>
      </w:pPr>
      <w:r>
        <w:t>Secondary s</w:t>
      </w:r>
      <w:r w:rsidR="0057020B" w:rsidRPr="0057020B">
        <w:t xml:space="preserve">hippers seeking an </w:t>
      </w:r>
      <w:r w:rsidR="00D4786D">
        <w:t>o</w:t>
      </w:r>
      <w:r w:rsidR="0057020B" w:rsidRPr="0057020B">
        <w:t xml:space="preserve">perational GTA on the standardised terms should not be required or expected to negotiate with service providers before the agreement is entered into. </w:t>
      </w:r>
    </w:p>
    <w:p w14:paraId="1D8DDE43" w14:textId="041970B0" w:rsidR="0057020B" w:rsidRPr="0057020B" w:rsidRDefault="0057020B" w:rsidP="0057020B">
      <w:pPr>
        <w:numPr>
          <w:ilvl w:val="0"/>
          <w:numId w:val="12"/>
        </w:numPr>
        <w:spacing w:before="120" w:after="120"/>
        <w:ind w:left="357" w:hanging="357"/>
      </w:pPr>
      <w:r w:rsidRPr="0057020B">
        <w:t xml:space="preserve">Negotiations will be needed for other services to be added to the </w:t>
      </w:r>
      <w:r w:rsidR="00D4786D">
        <w:t>o</w:t>
      </w:r>
      <w:r w:rsidRPr="0057020B">
        <w:t xml:space="preserve">perational GTA. However, it will not be mandatory for other services to be provided under the </w:t>
      </w:r>
      <w:r w:rsidR="00D4786D">
        <w:t>o</w:t>
      </w:r>
      <w:r w:rsidRPr="0057020B">
        <w:t>perational GTA and a different form of agreement could be used for those services.</w:t>
      </w:r>
    </w:p>
    <w:p w14:paraId="669472F3" w14:textId="77777777" w:rsidR="0057020B" w:rsidRPr="0057020B" w:rsidRDefault="0057020B" w:rsidP="0057020B">
      <w:pPr>
        <w:numPr>
          <w:ilvl w:val="0"/>
          <w:numId w:val="12"/>
        </w:numPr>
        <w:spacing w:before="120" w:after="120"/>
        <w:ind w:left="357" w:hanging="357"/>
      </w:pPr>
      <w:r w:rsidRPr="0057020B">
        <w:t>There may be value in allowing shippers that have a primary GTA to negotiate to include an operational transfer mechanism in their primary GTA, so that any purchases of secondary capacity could be added to this contract rather than a separate operational GTA.</w:t>
      </w:r>
      <w:r w:rsidRPr="0057020B">
        <w:rPr>
          <w:vertAlign w:val="superscript"/>
        </w:rPr>
        <w:footnoteReference w:id="34"/>
      </w:r>
      <w:r w:rsidRPr="0057020B">
        <w:t xml:space="preserve"> </w:t>
      </w:r>
    </w:p>
    <w:p w14:paraId="680AC079" w14:textId="6D5D5B46" w:rsidR="0057020B" w:rsidRDefault="0057020B" w:rsidP="0057020B">
      <w:pPr>
        <w:numPr>
          <w:ilvl w:val="0"/>
          <w:numId w:val="12"/>
        </w:numPr>
        <w:spacing w:before="120" w:after="120"/>
        <w:ind w:left="357" w:hanging="357"/>
      </w:pPr>
      <w:r w:rsidRPr="0057020B">
        <w:t xml:space="preserve">Whether the use of non-standard operational GTAs or primary GTAs would affect the efficient operation of the </w:t>
      </w:r>
      <w:r w:rsidR="00D4786D">
        <w:t xml:space="preserve">capacity </w:t>
      </w:r>
      <w:r w:rsidRPr="0057020B">
        <w:t xml:space="preserve">trading platform and </w:t>
      </w:r>
      <w:r w:rsidR="008C27E8">
        <w:t>day-ahead auction.</w:t>
      </w:r>
    </w:p>
    <w:p w14:paraId="160627E5" w14:textId="3D4EC911" w:rsidR="00B43DCB" w:rsidRPr="0057020B" w:rsidRDefault="00B43DCB" w:rsidP="00FB6BDD">
      <w:pPr>
        <w:pStyle w:val="ListBullet"/>
      </w:pPr>
      <w:r w:rsidRPr="00B43DCB">
        <w:t xml:space="preserve">Whether there should be any qualification or exceptions to the obligation to offer a standard form operational GTA.  </w:t>
      </w:r>
    </w:p>
    <w:p w14:paraId="7F86C6E2" w14:textId="77777777" w:rsidR="0057020B" w:rsidRPr="0057020B" w:rsidRDefault="0057020B" w:rsidP="0057020B">
      <w:pPr>
        <w:keepNext/>
        <w:keepLines/>
        <w:spacing w:before="240" w:after="120"/>
        <w:outlineLvl w:val="5"/>
        <w:rPr>
          <w:rFonts w:asciiTheme="majorHAnsi" w:eastAsiaTheme="majorEastAsia" w:hAnsiTheme="majorHAnsi" w:cstheme="majorBidi"/>
          <w:b/>
          <w:iCs/>
          <w:color w:val="0099CC"/>
          <w:lang w:eastAsia="en-US"/>
        </w:rPr>
      </w:pPr>
      <w:r w:rsidRPr="0057020B">
        <w:rPr>
          <w:rFonts w:asciiTheme="majorHAnsi" w:eastAsiaTheme="majorEastAsia" w:hAnsiTheme="majorHAnsi" w:cstheme="majorBidi"/>
          <w:b/>
          <w:iCs/>
          <w:color w:val="0099CC"/>
          <w:lang w:eastAsia="en-US"/>
        </w:rPr>
        <w:t>GMRG’s preliminary view and questions for stakeholders</w:t>
      </w:r>
    </w:p>
    <w:p w14:paraId="7088BFA3" w14:textId="77777777" w:rsidR="0057020B" w:rsidRPr="0057020B" w:rsidRDefault="0057020B" w:rsidP="0057020B">
      <w:pPr>
        <w:tabs>
          <w:tab w:val="left" w:pos="2268"/>
          <w:tab w:val="left" w:pos="4536"/>
          <w:tab w:val="left" w:pos="6804"/>
          <w:tab w:val="right" w:pos="9638"/>
        </w:tabs>
        <w:spacing w:before="240" w:after="120"/>
      </w:pPr>
      <w:r w:rsidRPr="0057020B">
        <w:t xml:space="preserve">Taking into account the project team’s views and the objectives of the standardisation and capacity trading reform package, the GMRG’s preliminary view is that: </w:t>
      </w:r>
    </w:p>
    <w:p w14:paraId="492CD403" w14:textId="6FD5A304" w:rsidR="0057020B" w:rsidRPr="0057020B" w:rsidRDefault="0057020B" w:rsidP="0057020B">
      <w:pPr>
        <w:numPr>
          <w:ilvl w:val="0"/>
          <w:numId w:val="12"/>
        </w:numPr>
        <w:spacing w:before="120" w:after="120"/>
        <w:ind w:left="357" w:hanging="357"/>
      </w:pPr>
      <w:r w:rsidRPr="0057020B">
        <w:t xml:space="preserve">It </w:t>
      </w:r>
      <w:r w:rsidR="00053FEC">
        <w:t>will</w:t>
      </w:r>
      <w:r w:rsidRPr="0057020B">
        <w:t xml:space="preserve"> be mandatory to offer the standardised operational GTA</w:t>
      </w:r>
      <w:r w:rsidR="00D4786D">
        <w:t xml:space="preserve"> and </w:t>
      </w:r>
      <w:r w:rsidRPr="0057020B">
        <w:t xml:space="preserve">service providers </w:t>
      </w:r>
      <w:r w:rsidR="00D4786D">
        <w:t xml:space="preserve">should </w:t>
      </w:r>
      <w:r w:rsidRPr="0057020B">
        <w:t xml:space="preserve">not </w:t>
      </w:r>
      <w:r w:rsidR="00D4786D">
        <w:t xml:space="preserve">be allowed to </w:t>
      </w:r>
      <w:r w:rsidRPr="0057020B">
        <w:t>require negotiation of any terms as a condition of offering the agreement.</w:t>
      </w:r>
    </w:p>
    <w:p w14:paraId="57CE6469" w14:textId="39626058" w:rsidR="0057020B" w:rsidRPr="0057020B" w:rsidRDefault="0057020B" w:rsidP="0057020B">
      <w:pPr>
        <w:numPr>
          <w:ilvl w:val="0"/>
          <w:numId w:val="12"/>
        </w:numPr>
        <w:spacing w:before="120" w:after="120"/>
        <w:ind w:left="357" w:hanging="357"/>
      </w:pPr>
      <w:r w:rsidRPr="0057020B">
        <w:t xml:space="preserve">There </w:t>
      </w:r>
      <w:r w:rsidR="00B43DCB">
        <w:t xml:space="preserve">will </w:t>
      </w:r>
      <w:r w:rsidRPr="0057020B">
        <w:t xml:space="preserve">be some </w:t>
      </w:r>
      <w:r w:rsidR="00B43DCB">
        <w:t xml:space="preserve">limited </w:t>
      </w:r>
      <w:r w:rsidRPr="0057020B">
        <w:t>qualifications to the obligation to offer a standardised operational GTA</w:t>
      </w:r>
      <w:r w:rsidR="00B43DCB">
        <w:t>.  F</w:t>
      </w:r>
      <w:r w:rsidRPr="0057020B">
        <w:t>or example</w:t>
      </w:r>
      <w:r w:rsidR="00B43DCB">
        <w:t xml:space="preserve">, a shipper may need to be a </w:t>
      </w:r>
      <w:r w:rsidRPr="0057020B">
        <w:t>compan</w:t>
      </w:r>
      <w:r w:rsidR="00B43DCB">
        <w:t>y</w:t>
      </w:r>
      <w:r w:rsidRPr="0057020B">
        <w:t xml:space="preserve"> incorporated in </w:t>
      </w:r>
      <w:r w:rsidRPr="0057020B">
        <w:lastRenderedPageBreak/>
        <w:t xml:space="preserve">Australia acting as principal.  Financial competence will be dealt with through requirements to provide </w:t>
      </w:r>
      <w:r w:rsidR="00053FEC">
        <w:t xml:space="preserve">credit support </w:t>
      </w:r>
      <w:r w:rsidRPr="0057020B">
        <w:t xml:space="preserve">but the GMRG's current view is that a technical competence qualification would not be appropriate or needed. </w:t>
      </w:r>
    </w:p>
    <w:p w14:paraId="23EEEA83" w14:textId="77777777" w:rsidR="0057020B" w:rsidRPr="0057020B" w:rsidRDefault="0057020B" w:rsidP="0057020B">
      <w:pPr>
        <w:numPr>
          <w:ilvl w:val="0"/>
          <w:numId w:val="12"/>
        </w:numPr>
        <w:spacing w:before="120" w:after="120"/>
        <w:ind w:left="357" w:hanging="357"/>
      </w:pPr>
      <w:r w:rsidRPr="0057020B">
        <w:t xml:space="preserve">The standard </w:t>
      </w:r>
      <w:r w:rsidR="008C27E8">
        <w:t xml:space="preserve">terms </w:t>
      </w:r>
      <w:r w:rsidRPr="0057020B">
        <w:t>under the standardised operational GTA should be excluded from the negotiation and arbitration framework in Part 23 of the NGR, so shippers will not be able to request negotiation of the terms under Part 23 or submit an access dispute about those terms to arbitration.</w:t>
      </w:r>
    </w:p>
    <w:p w14:paraId="1FA75951" w14:textId="78311C0A" w:rsidR="0057020B" w:rsidRPr="0057020B" w:rsidRDefault="0057020B" w:rsidP="0057020B">
      <w:pPr>
        <w:numPr>
          <w:ilvl w:val="0"/>
          <w:numId w:val="12"/>
        </w:numPr>
        <w:spacing w:before="120" w:after="120"/>
        <w:ind w:left="357" w:hanging="357"/>
      </w:pPr>
      <w:r w:rsidRPr="0057020B">
        <w:t xml:space="preserve">It should not be mandatory to offer </w:t>
      </w:r>
      <w:r w:rsidR="00B43DCB">
        <w:t>O</w:t>
      </w:r>
      <w:r w:rsidRPr="0057020B">
        <w:t xml:space="preserve">ther </w:t>
      </w:r>
      <w:r w:rsidR="00B43DCB">
        <w:t>S</w:t>
      </w:r>
      <w:r w:rsidRPr="0057020B">
        <w:t>ervices on the terms of the operational GTA.  Accordingly, negotiation about these services will be subject to the Part 23 negotiation and arbitration framework.</w:t>
      </w:r>
    </w:p>
    <w:p w14:paraId="721A34F7" w14:textId="77777777" w:rsidR="0057020B" w:rsidRPr="0057020B" w:rsidRDefault="0057020B" w:rsidP="0057020B">
      <w:pPr>
        <w:numPr>
          <w:ilvl w:val="0"/>
          <w:numId w:val="12"/>
        </w:numPr>
        <w:spacing w:before="120" w:after="120"/>
        <w:ind w:left="357" w:hanging="357"/>
      </w:pPr>
      <w:r w:rsidRPr="0057020B">
        <w:t>The NGL/NGR should not prohibit service providers and shippers from agreeing arrangements for operational transfers or other services on terms negotiated between them. This will give service providers and shippers the discretion to, for example, include secondary capacity in their primary GTA. It would be for the parties to consider the risks and benefits in doing so.</w:t>
      </w:r>
    </w:p>
    <w:p w14:paraId="726EDEF0" w14:textId="28F54100" w:rsidR="0057020B" w:rsidRPr="0057020B" w:rsidRDefault="0057020B" w:rsidP="0057020B">
      <w:pPr>
        <w:numPr>
          <w:ilvl w:val="0"/>
          <w:numId w:val="12"/>
        </w:numPr>
        <w:spacing w:before="120" w:after="120"/>
        <w:ind w:left="357" w:hanging="357"/>
      </w:pPr>
      <w:r w:rsidRPr="0057020B">
        <w:t xml:space="preserve">The </w:t>
      </w:r>
      <w:r w:rsidR="00D4786D">
        <w:t xml:space="preserve">capacity </w:t>
      </w:r>
      <w:r w:rsidRPr="0057020B">
        <w:t xml:space="preserve">trading platform and auction should be designed, operated and developed on the assumption that standard form operational GTAs are used to deliver all trades. Individual requirements arising out of negotiated operational GTAs or the use of primary GTAs will be for the shipper and the service provider to manage. The </w:t>
      </w:r>
      <w:r w:rsidR="00D4786D">
        <w:t xml:space="preserve">capacity </w:t>
      </w:r>
      <w:r w:rsidRPr="0057020B">
        <w:t xml:space="preserve">trading platform and auction will not seek to accommodate individual preferences beyond allowing service providers and shippers to nominate a contract against which trades are booked to be standard or non-standard.  AEMO will not be required to look into the </w:t>
      </w:r>
      <w:r w:rsidR="00053FEC">
        <w:t xml:space="preserve">specific terms and conditions of the </w:t>
      </w:r>
      <w:r w:rsidRPr="0057020B">
        <w:t>contract being used.</w:t>
      </w:r>
    </w:p>
    <w:p w14:paraId="226B9D18" w14:textId="4E9AF30C" w:rsidR="0057020B" w:rsidRPr="0057020B" w:rsidRDefault="0057020B" w:rsidP="0057020B">
      <w:pPr>
        <w:tabs>
          <w:tab w:val="left" w:pos="2268"/>
          <w:tab w:val="left" w:pos="4536"/>
          <w:tab w:val="left" w:pos="6804"/>
          <w:tab w:val="right" w:pos="9638"/>
        </w:tabs>
        <w:spacing w:before="240" w:after="120"/>
      </w:pPr>
      <w:r w:rsidRPr="0057020B">
        <w:t xml:space="preserve">The GMRG is interested in obtaining further feedback on this approach and on the questions set out in </w:t>
      </w:r>
      <w:r w:rsidRPr="008C27E8">
        <w:rPr>
          <w:highlight w:val="yellow"/>
        </w:rPr>
        <w:fldChar w:fldCharType="begin"/>
      </w:r>
      <w:r w:rsidRPr="008C27E8">
        <w:instrText xml:space="preserve"> REF _Ref490384814 \h </w:instrText>
      </w:r>
      <w:r w:rsidR="008C27E8" w:rsidRPr="008C27E8">
        <w:rPr>
          <w:highlight w:val="yellow"/>
        </w:rPr>
        <w:instrText xml:space="preserve"> \* MERGEFORMAT </w:instrText>
      </w:r>
      <w:r w:rsidRPr="008C27E8">
        <w:rPr>
          <w:highlight w:val="yellow"/>
        </w:rPr>
      </w:r>
      <w:r w:rsidRPr="008C27E8">
        <w:rPr>
          <w:highlight w:val="yellow"/>
        </w:rPr>
        <w:fldChar w:fldCharType="separate"/>
      </w:r>
      <w:r w:rsidR="00947034" w:rsidRPr="00947034">
        <w:rPr>
          <w:rFonts w:eastAsiaTheme="minorHAnsi" w:cstheme="minorBidi"/>
          <w:bCs/>
          <w:lang w:eastAsia="fr-CA"/>
        </w:rPr>
        <w:t xml:space="preserve">Box </w:t>
      </w:r>
      <w:r w:rsidR="00947034" w:rsidRPr="00947034">
        <w:rPr>
          <w:rFonts w:eastAsiaTheme="minorHAnsi" w:cstheme="minorBidi"/>
          <w:bCs/>
          <w:noProof/>
          <w:lang w:eastAsia="fr-CA"/>
        </w:rPr>
        <w:t>3.3</w:t>
      </w:r>
      <w:r w:rsidRPr="008C27E8">
        <w:rPr>
          <w:highlight w:val="yellow"/>
        </w:rPr>
        <w:fldChar w:fldCharType="end"/>
      </w:r>
      <w:r w:rsidRPr="008C27E8">
        <w:t>.</w:t>
      </w:r>
    </w:p>
    <w:tbl>
      <w:tblPr>
        <w:tblStyle w:val="PullOutBoxTable"/>
        <w:tblW w:w="5000" w:type="pct"/>
        <w:shd w:val="clear" w:color="auto" w:fill="B7E7FF"/>
        <w:tblCellMar>
          <w:top w:w="28" w:type="dxa"/>
          <w:bottom w:w="28" w:type="dxa"/>
        </w:tblCellMar>
        <w:tblLook w:val="0600" w:firstRow="0" w:lastRow="0" w:firstColumn="0" w:lastColumn="0" w:noHBand="1" w:noVBand="1"/>
        <w:tblCaption w:val="Box 3.4: Questions on the application of the standardised operational GTA "/>
        <w:tblDescription w:val="Questions on the application of the standardised operational GTA "/>
      </w:tblPr>
      <w:tblGrid>
        <w:gridCol w:w="8788"/>
      </w:tblGrid>
      <w:tr w:rsidR="00274EE7" w:rsidRPr="0057020B" w14:paraId="7B564028" w14:textId="77777777" w:rsidTr="00DA5886">
        <w:trPr>
          <w:tblHeader/>
        </w:trPr>
        <w:tc>
          <w:tcPr>
            <w:tcW w:w="5000" w:type="pct"/>
            <w:shd w:val="clear" w:color="auto" w:fill="auto"/>
          </w:tcPr>
          <w:p w14:paraId="1B147842" w14:textId="34EB199F" w:rsidR="00274EE7" w:rsidRPr="00274EE7" w:rsidRDefault="00DA5886" w:rsidP="00DA5886">
            <w:pPr>
              <w:spacing w:before="120" w:after="120"/>
              <w:rPr>
                <w:rFonts w:eastAsiaTheme="majorEastAsia"/>
                <w:sz w:val="21"/>
                <w:szCs w:val="21"/>
              </w:rPr>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3</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4</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Questions on the application of the standardised operational GTA</w:t>
            </w:r>
          </w:p>
        </w:tc>
      </w:tr>
      <w:tr w:rsidR="00DA5886" w:rsidRPr="0057020B" w14:paraId="2D4523D1" w14:textId="77777777" w:rsidTr="00274EE7">
        <w:tc>
          <w:tcPr>
            <w:tcW w:w="5000" w:type="pct"/>
            <w:shd w:val="clear" w:color="auto" w:fill="B7E7FF"/>
          </w:tcPr>
          <w:p w14:paraId="0BD66215" w14:textId="77777777" w:rsidR="00DA5886" w:rsidRPr="0057020B" w:rsidRDefault="00DA5886" w:rsidP="00DA5886">
            <w:pPr>
              <w:numPr>
                <w:ilvl w:val="0"/>
                <w:numId w:val="23"/>
              </w:numPr>
              <w:spacing w:before="120" w:after="120"/>
              <w:rPr>
                <w:rFonts w:eastAsiaTheme="majorEastAsia"/>
                <w:sz w:val="21"/>
                <w:szCs w:val="21"/>
              </w:rPr>
            </w:pPr>
            <w:r w:rsidRPr="0057020B">
              <w:rPr>
                <w:rFonts w:eastAsiaTheme="majorEastAsia"/>
                <w:sz w:val="21"/>
                <w:szCs w:val="21"/>
              </w:rPr>
              <w:t>What if any exceptions or qualifications should apply to the obligation for service providers that provide third party access to offer the standardised operational GTA?</w:t>
            </w:r>
          </w:p>
          <w:p w14:paraId="164C22E7" w14:textId="77777777" w:rsidR="00DA5886" w:rsidRDefault="00DA5886" w:rsidP="00DA5886">
            <w:pPr>
              <w:numPr>
                <w:ilvl w:val="0"/>
                <w:numId w:val="23"/>
              </w:numPr>
              <w:spacing w:before="120" w:after="120"/>
              <w:rPr>
                <w:rFonts w:eastAsiaTheme="majorEastAsia"/>
                <w:sz w:val="21"/>
                <w:szCs w:val="21"/>
              </w:rPr>
            </w:pPr>
            <w:r w:rsidRPr="0057020B">
              <w:rPr>
                <w:rFonts w:eastAsiaTheme="majorEastAsia"/>
                <w:sz w:val="21"/>
                <w:szCs w:val="21"/>
              </w:rPr>
              <w:t>Do you think the secondary shipper and service provider should be able to negotiate terms for operational transfers that are different to those in the standardised operational GTA, or do you think the terms should be compulsory for all operational transfers?</w:t>
            </w:r>
          </w:p>
          <w:p w14:paraId="040ACC1D" w14:textId="01E3AA59" w:rsidR="00DA5886" w:rsidRPr="00DA5886" w:rsidRDefault="00DA5886" w:rsidP="00DA5886">
            <w:pPr>
              <w:numPr>
                <w:ilvl w:val="0"/>
                <w:numId w:val="23"/>
              </w:numPr>
              <w:spacing w:before="120" w:after="120"/>
              <w:rPr>
                <w:rFonts w:eastAsiaTheme="majorEastAsia"/>
                <w:sz w:val="21"/>
                <w:szCs w:val="21"/>
              </w:rPr>
            </w:pPr>
            <w:r w:rsidRPr="00DA5886">
              <w:rPr>
                <w:rFonts w:eastAsiaTheme="majorEastAsia"/>
                <w:sz w:val="21"/>
                <w:szCs w:val="21"/>
              </w:rPr>
              <w:t>Do you think the secondary shipper should have the option to request the inclusion of any secondary capacity in its primary GTA, or do you have concerns with this option (e.g. do you think it will affect the nature of the product being sold)? If you think the option is reasonable, do you think it should be left to the service provider to decide whether to approve such a request?</w:t>
            </w:r>
          </w:p>
        </w:tc>
      </w:tr>
    </w:tbl>
    <w:p w14:paraId="37845331" w14:textId="77777777" w:rsidR="0057020B" w:rsidRPr="0057020B" w:rsidRDefault="0057020B" w:rsidP="004476B0">
      <w:pPr>
        <w:pStyle w:val="Heading2"/>
        <w:spacing w:after="120"/>
      </w:pPr>
      <w:bookmarkStart w:id="79" w:name="_Toc491443345"/>
      <w:bookmarkStart w:id="80" w:name="_Toc492524741"/>
      <w:r w:rsidRPr="0057020B">
        <w:t xml:space="preserve">Governance arrangements for </w:t>
      </w:r>
      <w:r w:rsidR="008C27E8">
        <w:t xml:space="preserve">the </w:t>
      </w:r>
      <w:r w:rsidRPr="0057020B">
        <w:t>operational GTA</w:t>
      </w:r>
      <w:bookmarkEnd w:id="79"/>
      <w:bookmarkEnd w:id="80"/>
    </w:p>
    <w:p w14:paraId="6A784F46" w14:textId="77777777" w:rsidR="0057020B" w:rsidRPr="0057020B" w:rsidRDefault="0057020B" w:rsidP="004476B0">
      <w:pPr>
        <w:tabs>
          <w:tab w:val="left" w:pos="2268"/>
          <w:tab w:val="left" w:pos="4536"/>
          <w:tab w:val="left" w:pos="6804"/>
          <w:tab w:val="right" w:pos="9638"/>
        </w:tabs>
        <w:spacing w:before="120" w:after="120"/>
      </w:pPr>
      <w:r w:rsidRPr="0057020B">
        <w:t xml:space="preserve">As noted in section 3.1, the AEMC recommended that the GMRG consider whether: </w:t>
      </w:r>
    </w:p>
    <w:p w14:paraId="24860D6B" w14:textId="77777777" w:rsidR="0057020B" w:rsidRPr="0057020B" w:rsidRDefault="0057020B" w:rsidP="0057020B">
      <w:pPr>
        <w:numPr>
          <w:ilvl w:val="0"/>
          <w:numId w:val="12"/>
        </w:numPr>
        <w:spacing w:before="120" w:after="120"/>
        <w:ind w:left="357" w:hanging="357"/>
      </w:pPr>
      <w:r w:rsidRPr="0057020B">
        <w:t xml:space="preserve">any changes to the functions and powers of the AEMC, AER or AEMO and/or the NGL, the NGR or subordinate instruments, would be required to give effect to any of the standardisation related reforms; and </w:t>
      </w:r>
    </w:p>
    <w:p w14:paraId="45BD854E" w14:textId="77777777" w:rsidR="0057020B" w:rsidRPr="0057020B" w:rsidRDefault="0057020B" w:rsidP="0057020B">
      <w:pPr>
        <w:numPr>
          <w:ilvl w:val="0"/>
          <w:numId w:val="12"/>
        </w:numPr>
        <w:spacing w:before="120" w:after="120"/>
        <w:ind w:left="357" w:hanging="357"/>
      </w:pPr>
      <w:r w:rsidRPr="0057020B">
        <w:lastRenderedPageBreak/>
        <w:t>any other governance arrangements would be required to enable standards to be amended over time.</w:t>
      </w:r>
    </w:p>
    <w:p w14:paraId="12AFED76" w14:textId="738F9E91" w:rsidR="0057020B" w:rsidRPr="0057020B" w:rsidRDefault="0057020B" w:rsidP="004476B0">
      <w:pPr>
        <w:tabs>
          <w:tab w:val="left" w:pos="2268"/>
          <w:tab w:val="left" w:pos="4536"/>
          <w:tab w:val="left" w:pos="6804"/>
          <w:tab w:val="right" w:pos="9638"/>
        </w:tabs>
        <w:spacing w:before="60" w:after="60"/>
      </w:pPr>
      <w:r w:rsidRPr="0057020B">
        <w:t xml:space="preserve">The GMRG has worked with the Standardisation project team and JWS on these issues and is of the view that the governance arrangements for the standardised operational GTA will need to </w:t>
      </w:r>
      <w:r w:rsidR="00E86BB7">
        <w:t>include</w:t>
      </w:r>
      <w:r w:rsidRPr="0057020B">
        <w:t>:</w:t>
      </w:r>
      <w:r w:rsidR="00E86BB7" w:rsidRPr="00E86BB7">
        <w:rPr>
          <w:rStyle w:val="FootnoteReference"/>
        </w:rPr>
        <w:t xml:space="preserve"> </w:t>
      </w:r>
      <w:r w:rsidR="00E86BB7">
        <w:rPr>
          <w:rStyle w:val="FootnoteReference"/>
        </w:rPr>
        <w:footnoteReference w:id="35"/>
      </w:r>
      <w:r w:rsidRPr="0057020B">
        <w:t xml:space="preserve"> </w:t>
      </w:r>
    </w:p>
    <w:p w14:paraId="02357F78" w14:textId="0F50D34A" w:rsidR="0057020B" w:rsidRPr="0057020B" w:rsidRDefault="0057020B" w:rsidP="004476B0">
      <w:pPr>
        <w:numPr>
          <w:ilvl w:val="0"/>
          <w:numId w:val="12"/>
        </w:numPr>
        <w:spacing w:before="60" w:after="60"/>
        <w:ind w:left="357" w:hanging="357"/>
      </w:pPr>
      <w:bookmarkStart w:id="81" w:name="_Hlk490989021"/>
      <w:r w:rsidRPr="0057020B">
        <w:t>arrangements for the development, pu</w:t>
      </w:r>
      <w:r w:rsidR="002363C2">
        <w:t xml:space="preserve">blication and amendment of </w:t>
      </w:r>
      <w:r w:rsidR="00396529">
        <w:t>both elements of the standardised operational GTA (</w:t>
      </w:r>
      <w:r w:rsidR="002363C2">
        <w:t xml:space="preserve">the </w:t>
      </w:r>
      <w:r w:rsidR="00996004">
        <w:t>standard terms</w:t>
      </w:r>
      <w:r w:rsidRPr="0057020B">
        <w:t xml:space="preserve"> and </w:t>
      </w:r>
      <w:r w:rsidR="00B13F44">
        <w:t xml:space="preserve">the requirements for </w:t>
      </w:r>
      <w:r w:rsidRPr="0057020B">
        <w:t xml:space="preserve">the </w:t>
      </w:r>
      <w:r w:rsidR="00996004">
        <w:t>facility specific terms</w:t>
      </w:r>
      <w:r w:rsidR="00396529">
        <w:t>)</w:t>
      </w:r>
      <w:r w:rsidR="00B43DCB">
        <w:t xml:space="preserve"> </w:t>
      </w:r>
      <w:r w:rsidR="00E86BB7">
        <w:t xml:space="preserve">the GMRG’s preliminary view is that these would </w:t>
      </w:r>
      <w:r w:rsidR="00B43DCB">
        <w:t>be published together as an "</w:t>
      </w:r>
      <w:r w:rsidR="00B43DCB" w:rsidRPr="00012827">
        <w:rPr>
          <w:b/>
        </w:rPr>
        <w:t>Operational GTA Code</w:t>
      </w:r>
      <w:r w:rsidR="00B43DCB">
        <w:t>")</w:t>
      </w:r>
      <w:r w:rsidRPr="0057020B">
        <w:t>;</w:t>
      </w:r>
    </w:p>
    <w:p w14:paraId="215C5B5D" w14:textId="7E367DD7" w:rsidR="00E86BB7" w:rsidRDefault="0057020B" w:rsidP="004476B0">
      <w:pPr>
        <w:numPr>
          <w:ilvl w:val="0"/>
          <w:numId w:val="12"/>
        </w:numPr>
        <w:spacing w:before="60" w:after="60"/>
        <w:ind w:left="357" w:hanging="357"/>
      </w:pPr>
      <w:r w:rsidRPr="0057020B">
        <w:t xml:space="preserve">provisions under which service providers publish an operational GTA (incorporating the </w:t>
      </w:r>
      <w:r w:rsidR="00996004">
        <w:t>standard terms</w:t>
      </w:r>
      <w:r w:rsidRPr="0057020B">
        <w:t xml:space="preserve"> </w:t>
      </w:r>
      <w:r w:rsidR="00B43DCB">
        <w:t xml:space="preserve">in the Operational GTA Code </w:t>
      </w:r>
      <w:r w:rsidRPr="0057020B">
        <w:t xml:space="preserve">and </w:t>
      </w:r>
      <w:r w:rsidR="00996004">
        <w:t>facility specific terms</w:t>
      </w:r>
      <w:r w:rsidR="00B43DCB">
        <w:t xml:space="preserve"> covering the matters listed in the </w:t>
      </w:r>
      <w:r w:rsidR="000463D7">
        <w:t xml:space="preserve">requirements for facility specific terms in the </w:t>
      </w:r>
      <w:r w:rsidR="00B43DCB">
        <w:t>Operational GTA Code and consistent with the NGR principles</w:t>
      </w:r>
      <w:r w:rsidRPr="0057020B">
        <w:t>) and are required to offer to enter into the standard</w:t>
      </w:r>
      <w:r w:rsidR="00396529">
        <w:t>ised</w:t>
      </w:r>
      <w:r w:rsidRPr="0057020B">
        <w:t xml:space="preserve"> operational GTA on request by a secondary shipper; </w:t>
      </w:r>
    </w:p>
    <w:p w14:paraId="1934535D" w14:textId="77777777" w:rsidR="00E86BB7" w:rsidRPr="0057020B" w:rsidRDefault="00E86BB7" w:rsidP="00E86BB7">
      <w:pPr>
        <w:numPr>
          <w:ilvl w:val="0"/>
          <w:numId w:val="12"/>
        </w:numPr>
        <w:spacing w:before="60" w:after="60"/>
        <w:ind w:left="357" w:hanging="357"/>
      </w:pPr>
      <w:r>
        <w:t xml:space="preserve">high level principles in the NGR that service providers must comply with when determining their facility specific terms; </w:t>
      </w:r>
      <w:r w:rsidRPr="0057020B">
        <w:t>and</w:t>
      </w:r>
    </w:p>
    <w:p w14:paraId="7DAB1CF4" w14:textId="1B4CE07A" w:rsidR="0057020B" w:rsidRPr="0057020B" w:rsidRDefault="0057020B" w:rsidP="004476B0">
      <w:pPr>
        <w:numPr>
          <w:ilvl w:val="0"/>
          <w:numId w:val="12"/>
        </w:numPr>
        <w:spacing w:before="60" w:after="60"/>
        <w:ind w:left="357" w:hanging="357"/>
      </w:pPr>
      <w:r w:rsidRPr="0057020B">
        <w:t xml:space="preserve">arrangements under which service providers and AEMO (as operator of the </w:t>
      </w:r>
      <w:r w:rsidR="00D4786D">
        <w:t xml:space="preserve">capacity </w:t>
      </w:r>
      <w:r w:rsidRPr="0057020B">
        <w:t>trading platform and the day-ahead auction platform) exchange information relating to capacity trad</w:t>
      </w:r>
      <w:r w:rsidR="00396529">
        <w:t xml:space="preserve">ing platform trades and the day-ahead </w:t>
      </w:r>
      <w:r w:rsidR="00396529" w:rsidRPr="0057020B">
        <w:t>auction</w:t>
      </w:r>
      <w:r w:rsidRPr="0057020B">
        <w:t>.</w:t>
      </w:r>
    </w:p>
    <w:bookmarkEnd w:id="81"/>
    <w:p w14:paraId="2882B67A" w14:textId="77777777" w:rsidR="0057020B" w:rsidRPr="0057020B" w:rsidRDefault="0057020B" w:rsidP="0057020B">
      <w:pPr>
        <w:tabs>
          <w:tab w:val="left" w:pos="2268"/>
          <w:tab w:val="left" w:pos="4536"/>
          <w:tab w:val="left" w:pos="6804"/>
          <w:tab w:val="right" w:pos="9638"/>
        </w:tabs>
        <w:spacing w:before="240" w:after="120"/>
      </w:pPr>
      <w:r w:rsidRPr="0057020B">
        <w:t>These issues are discussed in further detail below.</w:t>
      </w:r>
    </w:p>
    <w:p w14:paraId="399F2749" w14:textId="6C2F5F35" w:rsidR="0057020B" w:rsidRPr="008C27E8" w:rsidRDefault="0057020B" w:rsidP="0057020B">
      <w:pPr>
        <w:tabs>
          <w:tab w:val="left" w:pos="2268"/>
          <w:tab w:val="left" w:pos="4536"/>
          <w:tab w:val="left" w:pos="6804"/>
          <w:tab w:val="right" w:pos="9638"/>
        </w:tabs>
        <w:spacing w:before="240" w:after="120"/>
      </w:pPr>
      <w:r w:rsidRPr="0057020B">
        <w:t xml:space="preserve">The governance framework for the capacity trading reform package as a whole will also need to cover governance of the capacity trading platform and day-ahead auction. </w:t>
      </w:r>
      <w:r w:rsidRPr="008C27E8">
        <w:t xml:space="preserve"> </w:t>
      </w:r>
      <w:r w:rsidRPr="008C27E8">
        <w:fldChar w:fldCharType="begin"/>
      </w:r>
      <w:r w:rsidRPr="008C27E8">
        <w:instrText xml:space="preserve"> REF _Ref490986429 \h </w:instrText>
      </w:r>
      <w:r w:rsidR="008C27E8" w:rsidRPr="008C27E8">
        <w:instrText xml:space="preserve"> \* MERGEFORMAT </w:instrText>
      </w:r>
      <w:r w:rsidRPr="008C27E8">
        <w:fldChar w:fldCharType="separate"/>
      </w:r>
      <w:r w:rsidR="00947034" w:rsidRPr="00947034">
        <w:rPr>
          <w:rFonts w:eastAsiaTheme="minorHAnsi" w:cstheme="minorBidi"/>
          <w:bCs/>
          <w:lang w:eastAsia="fr-CA"/>
        </w:rPr>
        <w:t xml:space="preserve">Box </w:t>
      </w:r>
      <w:r w:rsidR="00947034" w:rsidRPr="00947034">
        <w:rPr>
          <w:rFonts w:eastAsiaTheme="minorHAnsi" w:cstheme="minorBidi"/>
          <w:bCs/>
          <w:noProof/>
          <w:lang w:eastAsia="fr-CA"/>
        </w:rPr>
        <w:t>3.5</w:t>
      </w:r>
      <w:r w:rsidRPr="008C27E8">
        <w:fldChar w:fldCharType="end"/>
      </w:r>
      <w:r w:rsidRPr="008C27E8">
        <w:t xml:space="preserve"> sets out an indicative governance framework for those two platforms.</w:t>
      </w:r>
    </w:p>
    <w:tbl>
      <w:tblPr>
        <w:tblStyle w:val="PullOutBoxTable"/>
        <w:tblW w:w="5000" w:type="pct"/>
        <w:tblCellMar>
          <w:top w:w="85" w:type="dxa"/>
          <w:bottom w:w="85" w:type="dxa"/>
        </w:tblCellMar>
        <w:tblLook w:val="0600" w:firstRow="0" w:lastRow="0" w:firstColumn="0" w:lastColumn="0" w:noHBand="1" w:noVBand="1"/>
        <w:tblCaption w:val="Box 3.5: Indicative governance framework for capacity trading platform and auction"/>
        <w:tblDescription w:val="Indicative governance framework for capacity trading platform and auction"/>
      </w:tblPr>
      <w:tblGrid>
        <w:gridCol w:w="8788"/>
      </w:tblGrid>
      <w:tr w:rsidR="00DA5886" w:rsidRPr="0057020B" w14:paraId="2B99AC34" w14:textId="77777777" w:rsidTr="00DA5886">
        <w:trPr>
          <w:trHeight w:val="259"/>
          <w:tblHeader/>
        </w:trPr>
        <w:tc>
          <w:tcPr>
            <w:tcW w:w="5000" w:type="pct"/>
            <w:shd w:val="clear" w:color="auto" w:fill="auto"/>
          </w:tcPr>
          <w:p w14:paraId="59FBCAA3" w14:textId="1CBC3C47" w:rsidR="00DA5886" w:rsidRPr="0057020B" w:rsidRDefault="00DA5886" w:rsidP="00DA5886">
            <w:pPr>
              <w:keepNext/>
              <w:spacing w:before="40" w:after="60"/>
              <w:ind w:right="85"/>
              <w:rPr>
                <w:rFonts w:eastAsiaTheme="majorEastAsia" w:cs="Arial"/>
                <w:b/>
                <w:sz w:val="20"/>
                <w:szCs w:val="20"/>
              </w:rPr>
            </w:pPr>
            <w:bookmarkStart w:id="82" w:name="_Ref490986429"/>
            <w:bookmarkStart w:id="83" w:name="_Hlk492107526"/>
            <w:r w:rsidRPr="00DA5886">
              <w:rPr>
                <w:rFonts w:eastAsiaTheme="minorHAnsi" w:cstheme="minorBidi"/>
                <w:b/>
                <w:bCs/>
                <w:sz w:val="21"/>
                <w:szCs w:val="21"/>
                <w:lang w:eastAsia="fr-CA"/>
              </w:rPr>
              <w:lastRenderedPageBreak/>
              <w:t xml:space="preserve">Box </w:t>
            </w:r>
            <w:r w:rsidRPr="00DA5886">
              <w:rPr>
                <w:rFonts w:eastAsiaTheme="minorHAnsi" w:cstheme="minorBidi"/>
                <w:b/>
                <w:bCs/>
                <w:sz w:val="21"/>
                <w:szCs w:val="21"/>
                <w:lang w:eastAsia="fr-CA"/>
              </w:rPr>
              <w:fldChar w:fldCharType="begin"/>
            </w:r>
            <w:r w:rsidRPr="00DA5886">
              <w:rPr>
                <w:rFonts w:eastAsiaTheme="minorHAnsi" w:cstheme="minorBidi"/>
                <w:b/>
                <w:bCs/>
                <w:sz w:val="21"/>
                <w:szCs w:val="21"/>
                <w:lang w:eastAsia="fr-CA"/>
              </w:rPr>
              <w:instrText xml:space="preserve"> STYLEREF 1 \s </w:instrText>
            </w:r>
            <w:r w:rsidRPr="00DA5886">
              <w:rPr>
                <w:rFonts w:eastAsiaTheme="minorHAnsi" w:cstheme="minorBidi"/>
                <w:b/>
                <w:bCs/>
                <w:sz w:val="21"/>
                <w:szCs w:val="21"/>
                <w:lang w:eastAsia="fr-CA"/>
              </w:rPr>
              <w:fldChar w:fldCharType="separate"/>
            </w:r>
            <w:r w:rsidRPr="00DA5886">
              <w:rPr>
                <w:rFonts w:eastAsiaTheme="minorHAnsi" w:cstheme="minorBidi"/>
                <w:b/>
                <w:bCs/>
                <w:noProof/>
                <w:sz w:val="21"/>
                <w:szCs w:val="21"/>
                <w:lang w:eastAsia="fr-CA"/>
              </w:rPr>
              <w:t>3</w:t>
            </w:r>
            <w:r w:rsidRPr="00DA5886">
              <w:rPr>
                <w:rFonts w:eastAsiaTheme="minorHAnsi" w:cstheme="minorBidi"/>
                <w:b/>
                <w:bCs/>
                <w:sz w:val="21"/>
                <w:szCs w:val="21"/>
                <w:lang w:eastAsia="fr-CA"/>
              </w:rPr>
              <w:fldChar w:fldCharType="end"/>
            </w:r>
            <w:r w:rsidRPr="00DA5886">
              <w:rPr>
                <w:rFonts w:eastAsiaTheme="minorHAnsi" w:cstheme="minorBidi"/>
                <w:b/>
                <w:bCs/>
                <w:sz w:val="21"/>
                <w:szCs w:val="21"/>
                <w:lang w:eastAsia="fr-CA"/>
              </w:rPr>
              <w:t>.</w:t>
            </w:r>
            <w:r w:rsidRPr="00DA5886">
              <w:rPr>
                <w:rFonts w:eastAsiaTheme="minorHAnsi" w:cstheme="minorBidi"/>
                <w:b/>
                <w:bCs/>
                <w:sz w:val="21"/>
                <w:szCs w:val="21"/>
                <w:lang w:eastAsia="fr-CA"/>
              </w:rPr>
              <w:fldChar w:fldCharType="begin"/>
            </w:r>
            <w:r w:rsidRPr="00DA5886">
              <w:rPr>
                <w:rFonts w:eastAsiaTheme="minorHAnsi" w:cstheme="minorBidi"/>
                <w:b/>
                <w:bCs/>
                <w:sz w:val="21"/>
                <w:szCs w:val="21"/>
                <w:lang w:eastAsia="fr-CA"/>
              </w:rPr>
              <w:instrText xml:space="preserve"> SEQ Box \* ARABIC \s 1 </w:instrText>
            </w:r>
            <w:r w:rsidRPr="00DA5886">
              <w:rPr>
                <w:rFonts w:eastAsiaTheme="minorHAnsi" w:cstheme="minorBidi"/>
                <w:b/>
                <w:bCs/>
                <w:sz w:val="21"/>
                <w:szCs w:val="21"/>
                <w:lang w:eastAsia="fr-CA"/>
              </w:rPr>
              <w:fldChar w:fldCharType="separate"/>
            </w:r>
            <w:r w:rsidRPr="00DA5886">
              <w:rPr>
                <w:rFonts w:eastAsiaTheme="minorHAnsi" w:cstheme="minorBidi"/>
                <w:b/>
                <w:bCs/>
                <w:noProof/>
                <w:sz w:val="21"/>
                <w:szCs w:val="21"/>
                <w:lang w:eastAsia="fr-CA"/>
              </w:rPr>
              <w:t>5</w:t>
            </w:r>
            <w:r w:rsidRPr="00DA5886">
              <w:rPr>
                <w:rFonts w:eastAsiaTheme="minorHAnsi" w:cstheme="minorBidi"/>
                <w:b/>
                <w:bCs/>
                <w:sz w:val="21"/>
                <w:szCs w:val="21"/>
                <w:lang w:eastAsia="fr-CA"/>
              </w:rPr>
              <w:fldChar w:fldCharType="end"/>
            </w:r>
            <w:bookmarkEnd w:id="82"/>
            <w:r w:rsidRPr="00DA5886">
              <w:rPr>
                <w:rFonts w:eastAsiaTheme="minorHAnsi" w:cstheme="minorBidi"/>
                <w:b/>
                <w:bCs/>
                <w:sz w:val="21"/>
                <w:szCs w:val="21"/>
                <w:lang w:eastAsia="fr-CA"/>
              </w:rPr>
              <w:t>: Indicative governance framework for capacity trading platform and auction</w:t>
            </w:r>
          </w:p>
        </w:tc>
      </w:tr>
      <w:tr w:rsidR="00DA5886" w:rsidRPr="0057020B" w14:paraId="42E5D127" w14:textId="77777777" w:rsidTr="00DA5886">
        <w:tc>
          <w:tcPr>
            <w:tcW w:w="5000" w:type="pct"/>
          </w:tcPr>
          <w:p w14:paraId="7A599D4F" w14:textId="77777777" w:rsidR="00DA5886" w:rsidRPr="0057020B" w:rsidRDefault="00DA5886" w:rsidP="00DA5886">
            <w:pPr>
              <w:keepNext/>
              <w:spacing w:before="40" w:after="60"/>
              <w:ind w:right="85"/>
              <w:rPr>
                <w:rFonts w:eastAsiaTheme="majorEastAsia" w:cs="Arial"/>
                <w:b/>
                <w:sz w:val="20"/>
                <w:szCs w:val="20"/>
              </w:rPr>
            </w:pPr>
            <w:r w:rsidRPr="0057020B">
              <w:rPr>
                <w:rFonts w:eastAsiaTheme="majorEastAsia" w:cs="Arial"/>
                <w:b/>
                <w:sz w:val="20"/>
                <w:szCs w:val="20"/>
              </w:rPr>
              <w:t>Capacity trading platform</w:t>
            </w:r>
          </w:p>
          <w:p w14:paraId="5AF4DDCD" w14:textId="77777777" w:rsidR="00DA5886" w:rsidRPr="0057020B" w:rsidRDefault="00DA5886" w:rsidP="00DA5886">
            <w:pPr>
              <w:keepNext/>
              <w:tabs>
                <w:tab w:val="left" w:pos="2268"/>
                <w:tab w:val="left" w:pos="4536"/>
                <w:tab w:val="left" w:pos="6804"/>
                <w:tab w:val="right" w:pos="9638"/>
              </w:tabs>
              <w:spacing w:before="40" w:after="120"/>
              <w:rPr>
                <w:rFonts w:eastAsiaTheme="majorEastAsia"/>
                <w:sz w:val="20"/>
                <w:szCs w:val="20"/>
              </w:rPr>
            </w:pPr>
            <w:r w:rsidRPr="0057020B">
              <w:rPr>
                <w:rFonts w:eastAsiaTheme="majorEastAsia"/>
                <w:sz w:val="20"/>
                <w:szCs w:val="20"/>
              </w:rPr>
              <w:t>The capacity trading platform will be established as part of the gas trading exchange and so will fall under the existing governance framework, which operates as follows:</w:t>
            </w:r>
          </w:p>
          <w:p w14:paraId="7EEDF648" w14:textId="77777777" w:rsidR="00DA5886" w:rsidRPr="0057020B" w:rsidRDefault="00DA5886" w:rsidP="00DA5886">
            <w:pPr>
              <w:keepNext/>
              <w:numPr>
                <w:ilvl w:val="0"/>
                <w:numId w:val="12"/>
              </w:numPr>
              <w:spacing w:before="40" w:after="120"/>
              <w:ind w:left="357" w:hanging="357"/>
              <w:rPr>
                <w:rFonts w:eastAsiaTheme="majorEastAsia"/>
                <w:sz w:val="20"/>
                <w:szCs w:val="20"/>
              </w:rPr>
            </w:pPr>
            <w:r w:rsidRPr="0057020B">
              <w:rPr>
                <w:rFonts w:eastAsiaTheme="majorEastAsia"/>
                <w:sz w:val="20"/>
                <w:szCs w:val="20"/>
              </w:rPr>
              <w:t xml:space="preserve">The NGL defines AEMO’s gas trading exchange functions (at section 91BRK) to include establishing and administering one or more gas trading exchanges and making and administering a gas trading </w:t>
            </w:r>
            <w:r>
              <w:rPr>
                <w:rFonts w:eastAsiaTheme="majorEastAsia"/>
                <w:sz w:val="20"/>
                <w:szCs w:val="20"/>
              </w:rPr>
              <w:t>E</w:t>
            </w:r>
            <w:r w:rsidRPr="0057020B">
              <w:rPr>
                <w:rFonts w:eastAsiaTheme="majorEastAsia"/>
                <w:sz w:val="20"/>
                <w:szCs w:val="20"/>
              </w:rPr>
              <w:t xml:space="preserve">xchange </w:t>
            </w:r>
            <w:r>
              <w:rPr>
                <w:rFonts w:eastAsiaTheme="majorEastAsia"/>
                <w:sz w:val="20"/>
                <w:szCs w:val="20"/>
              </w:rPr>
              <w:t>A</w:t>
            </w:r>
            <w:r w:rsidRPr="0057020B">
              <w:rPr>
                <w:rFonts w:eastAsiaTheme="majorEastAsia"/>
                <w:sz w:val="20"/>
                <w:szCs w:val="20"/>
              </w:rPr>
              <w:t>greement for the purposes of the exchange.  AEMO’s gas trading exchange functions and the operation of the gas trading exchange are included as subjects for the NGR (section 74(1</w:t>
            </w:r>
            <w:proofErr w:type="gramStart"/>
            <w:r w:rsidRPr="0057020B">
              <w:rPr>
                <w:rFonts w:eastAsiaTheme="majorEastAsia"/>
                <w:sz w:val="20"/>
                <w:szCs w:val="20"/>
              </w:rPr>
              <w:t>)(</w:t>
            </w:r>
            <w:proofErr w:type="spellStart"/>
            <w:proofErr w:type="gramEnd"/>
            <w:r w:rsidRPr="0057020B">
              <w:rPr>
                <w:rFonts w:eastAsiaTheme="majorEastAsia"/>
                <w:sz w:val="20"/>
                <w:szCs w:val="20"/>
              </w:rPr>
              <w:t>aaa</w:t>
            </w:r>
            <w:proofErr w:type="spellEnd"/>
            <w:r w:rsidRPr="0057020B">
              <w:rPr>
                <w:rFonts w:eastAsiaTheme="majorEastAsia"/>
                <w:sz w:val="20"/>
                <w:szCs w:val="20"/>
              </w:rPr>
              <w:t xml:space="preserve">)).  </w:t>
            </w:r>
          </w:p>
          <w:p w14:paraId="0A0E2F2E" w14:textId="77777777" w:rsidR="00DA5886" w:rsidRPr="0057020B" w:rsidRDefault="00DA5886" w:rsidP="00DA5886">
            <w:pPr>
              <w:keepNext/>
              <w:numPr>
                <w:ilvl w:val="0"/>
                <w:numId w:val="12"/>
              </w:numPr>
              <w:spacing w:before="40" w:after="120"/>
              <w:ind w:left="357" w:hanging="357"/>
              <w:rPr>
                <w:rFonts w:eastAsiaTheme="majorEastAsia"/>
                <w:sz w:val="20"/>
                <w:szCs w:val="20"/>
              </w:rPr>
            </w:pPr>
            <w:r w:rsidRPr="0057020B">
              <w:rPr>
                <w:rFonts w:eastAsiaTheme="majorEastAsia"/>
                <w:sz w:val="20"/>
                <w:szCs w:val="20"/>
              </w:rPr>
              <w:t xml:space="preserve">Part 22 of the NGR contains rules applicable to the gas trading exchange.  Matters covered in Part 22 include high level design parameters for the exchange, arrangements for the determination of charges for delivery failures, arrangements for becoming a member and AEMO’s power to suspend a member, the subject matter for the </w:t>
            </w:r>
            <w:r>
              <w:rPr>
                <w:rFonts w:eastAsiaTheme="majorEastAsia"/>
                <w:sz w:val="20"/>
                <w:szCs w:val="20"/>
              </w:rPr>
              <w:t>E</w:t>
            </w:r>
            <w:r w:rsidRPr="0057020B">
              <w:rPr>
                <w:rFonts w:eastAsiaTheme="majorEastAsia"/>
                <w:sz w:val="20"/>
                <w:szCs w:val="20"/>
              </w:rPr>
              <w:t xml:space="preserve">xchange </w:t>
            </w:r>
            <w:r>
              <w:rPr>
                <w:rFonts w:eastAsiaTheme="majorEastAsia"/>
                <w:sz w:val="20"/>
                <w:szCs w:val="20"/>
              </w:rPr>
              <w:t>A</w:t>
            </w:r>
            <w:r w:rsidRPr="0057020B">
              <w:rPr>
                <w:rFonts w:eastAsiaTheme="majorEastAsia"/>
                <w:sz w:val="20"/>
                <w:szCs w:val="20"/>
              </w:rPr>
              <w:t>greement and the market conduct rules. Part 22 can be amended by the AEMC through the usual rule change process.  The AER monitors compliance and can investigate and enforce breaches under it general powers.  It has a specific duty in Part 22 to monitor compliance with the market conduct rules.</w:t>
            </w:r>
          </w:p>
          <w:p w14:paraId="5D34B779" w14:textId="77777777" w:rsidR="00DA5886" w:rsidRPr="0057020B" w:rsidRDefault="00DA5886" w:rsidP="00DA5886">
            <w:pPr>
              <w:keepNext/>
              <w:numPr>
                <w:ilvl w:val="0"/>
                <w:numId w:val="12"/>
              </w:numPr>
              <w:spacing w:before="40" w:after="120"/>
              <w:ind w:left="357" w:hanging="357"/>
              <w:rPr>
                <w:rFonts w:eastAsiaTheme="majorEastAsia"/>
                <w:sz w:val="20"/>
                <w:szCs w:val="20"/>
              </w:rPr>
            </w:pPr>
            <w:r w:rsidRPr="0057020B">
              <w:rPr>
                <w:rFonts w:eastAsiaTheme="majorEastAsia"/>
                <w:sz w:val="20"/>
                <w:szCs w:val="20"/>
              </w:rPr>
              <w:t xml:space="preserve">The Exchange Agreement made by AEMO as required by the NGR is a multilateral contract.  It covers admission to the exchange, prudential requirements, </w:t>
            </w:r>
            <w:proofErr w:type="gramStart"/>
            <w:r w:rsidRPr="0057020B">
              <w:rPr>
                <w:rFonts w:eastAsiaTheme="majorEastAsia"/>
                <w:sz w:val="20"/>
                <w:szCs w:val="20"/>
              </w:rPr>
              <w:t>operation</w:t>
            </w:r>
            <w:proofErr w:type="gramEnd"/>
            <w:r w:rsidRPr="0057020B">
              <w:rPr>
                <w:rFonts w:eastAsiaTheme="majorEastAsia"/>
                <w:sz w:val="20"/>
                <w:szCs w:val="20"/>
              </w:rPr>
              <w:t xml:space="preserve"> of the exchange, product definition, delivery obligations and settlement.  Some provisions (such as the settlement calculations) are set</w:t>
            </w:r>
            <w:r>
              <w:rPr>
                <w:rFonts w:eastAsiaTheme="majorEastAsia"/>
                <w:sz w:val="20"/>
                <w:szCs w:val="20"/>
              </w:rPr>
              <w:t xml:space="preserve"> out in subsidiary documents.  </w:t>
            </w:r>
            <w:r w:rsidRPr="0057020B">
              <w:rPr>
                <w:rFonts w:eastAsiaTheme="majorEastAsia"/>
                <w:sz w:val="20"/>
                <w:szCs w:val="20"/>
              </w:rPr>
              <w:t>The Exchange Agreement can be amended by AEMO, following a procedure in the agreement.  It is enforceable as a contract.</w:t>
            </w:r>
          </w:p>
          <w:p w14:paraId="4A6F8CE6" w14:textId="77777777" w:rsidR="00DA5886" w:rsidRPr="0057020B" w:rsidRDefault="00DA5886" w:rsidP="00DA5886">
            <w:pPr>
              <w:keepNext/>
              <w:tabs>
                <w:tab w:val="left" w:pos="2268"/>
                <w:tab w:val="left" w:pos="4536"/>
                <w:tab w:val="left" w:pos="6804"/>
                <w:tab w:val="right" w:pos="9638"/>
              </w:tabs>
              <w:spacing w:before="40" w:after="120"/>
              <w:rPr>
                <w:rFonts w:eastAsiaTheme="majorEastAsia"/>
                <w:sz w:val="20"/>
                <w:szCs w:val="20"/>
              </w:rPr>
            </w:pPr>
            <w:r w:rsidRPr="0057020B">
              <w:rPr>
                <w:rFonts w:eastAsiaTheme="majorEastAsia"/>
                <w:sz w:val="20"/>
                <w:szCs w:val="20"/>
              </w:rPr>
              <w:t xml:space="preserve">The introduction of capacity trading </w:t>
            </w:r>
            <w:r>
              <w:rPr>
                <w:rFonts w:eastAsiaTheme="majorEastAsia"/>
                <w:sz w:val="20"/>
                <w:szCs w:val="20"/>
              </w:rPr>
              <w:t xml:space="preserve">and the day-ahead auction </w:t>
            </w:r>
            <w:r w:rsidRPr="0057020B">
              <w:rPr>
                <w:rFonts w:eastAsiaTheme="majorEastAsia"/>
                <w:sz w:val="20"/>
                <w:szCs w:val="20"/>
              </w:rPr>
              <w:t xml:space="preserve">will require AEMO and service providers to exchange information about capacity in accordance with a market timetable.  It is proposed that these arrangements would be in new capacity transfer procedures made by AEMO. </w:t>
            </w:r>
          </w:p>
          <w:p w14:paraId="347D3BA2" w14:textId="77777777" w:rsidR="00DA5886" w:rsidRPr="0057020B" w:rsidRDefault="00DA5886" w:rsidP="00DA5886">
            <w:pPr>
              <w:keepNext/>
              <w:spacing w:before="40" w:after="60"/>
              <w:ind w:right="85"/>
              <w:rPr>
                <w:rFonts w:eastAsiaTheme="majorEastAsia" w:cs="Arial"/>
                <w:b/>
                <w:sz w:val="20"/>
                <w:szCs w:val="20"/>
              </w:rPr>
            </w:pPr>
            <w:r w:rsidRPr="0057020B">
              <w:rPr>
                <w:rFonts w:eastAsiaTheme="majorEastAsia" w:cs="Arial"/>
                <w:b/>
                <w:sz w:val="20"/>
                <w:szCs w:val="20"/>
              </w:rPr>
              <w:t xml:space="preserve">Day-ahead auction </w:t>
            </w:r>
          </w:p>
          <w:p w14:paraId="436574CB" w14:textId="77777777" w:rsidR="00DA5886" w:rsidRPr="0057020B" w:rsidRDefault="00DA5886" w:rsidP="00DA5886">
            <w:pPr>
              <w:keepNext/>
              <w:tabs>
                <w:tab w:val="left" w:pos="2268"/>
                <w:tab w:val="left" w:pos="4536"/>
                <w:tab w:val="left" w:pos="6804"/>
                <w:tab w:val="right" w:pos="9638"/>
              </w:tabs>
              <w:spacing w:before="40" w:after="120"/>
              <w:rPr>
                <w:rFonts w:eastAsiaTheme="majorEastAsia"/>
                <w:sz w:val="20"/>
                <w:szCs w:val="20"/>
              </w:rPr>
            </w:pPr>
            <w:r w:rsidRPr="0057020B">
              <w:rPr>
                <w:rFonts w:eastAsiaTheme="majorEastAsia"/>
                <w:sz w:val="20"/>
                <w:szCs w:val="20"/>
              </w:rPr>
              <w:t xml:space="preserve">The governance arrangements for </w:t>
            </w:r>
            <w:r>
              <w:rPr>
                <w:rFonts w:eastAsiaTheme="majorEastAsia"/>
                <w:sz w:val="20"/>
                <w:szCs w:val="20"/>
              </w:rPr>
              <w:t xml:space="preserve">the </w:t>
            </w:r>
            <w:r w:rsidRPr="0057020B">
              <w:rPr>
                <w:rFonts w:eastAsiaTheme="majorEastAsia"/>
                <w:sz w:val="20"/>
                <w:szCs w:val="20"/>
              </w:rPr>
              <w:t xml:space="preserve">day-ahead auction are being developed and will be the subject of a separate consultation. The </w:t>
            </w:r>
            <w:r>
              <w:rPr>
                <w:rFonts w:eastAsiaTheme="majorEastAsia"/>
                <w:sz w:val="20"/>
                <w:szCs w:val="20"/>
              </w:rPr>
              <w:t xml:space="preserve">GMRG’s </w:t>
            </w:r>
            <w:r w:rsidRPr="0057020B">
              <w:rPr>
                <w:rFonts w:eastAsiaTheme="majorEastAsia"/>
                <w:sz w:val="20"/>
                <w:szCs w:val="20"/>
              </w:rPr>
              <w:t xml:space="preserve">preliminary view is that they will include the following arrangements. </w:t>
            </w:r>
          </w:p>
          <w:p w14:paraId="263E5967" w14:textId="77777777" w:rsidR="00DA5886" w:rsidRPr="0057020B" w:rsidRDefault="00DA5886" w:rsidP="00DA5886">
            <w:pPr>
              <w:keepNext/>
              <w:numPr>
                <w:ilvl w:val="0"/>
                <w:numId w:val="12"/>
              </w:numPr>
              <w:spacing w:before="40" w:after="120"/>
              <w:ind w:left="357" w:hanging="357"/>
              <w:rPr>
                <w:rFonts w:eastAsiaTheme="majorEastAsia"/>
                <w:sz w:val="20"/>
                <w:szCs w:val="20"/>
              </w:rPr>
            </w:pPr>
            <w:r w:rsidRPr="0057020B">
              <w:rPr>
                <w:rFonts w:eastAsiaTheme="majorEastAsia"/>
                <w:sz w:val="20"/>
                <w:szCs w:val="20"/>
              </w:rPr>
              <w:t xml:space="preserve">The obligation of service providers to make capacity available to the day-ahead auction.  This may include obligations in the NGL for service providers to register with AEMO (or be exempted by the AER), comply with the provisions in the NGR applicable to day-ahead auctions and comply with procedures to be made by AEMO under the NGL dealing with information exchange and timing.  </w:t>
            </w:r>
          </w:p>
          <w:p w14:paraId="7FA27FF3" w14:textId="77777777" w:rsidR="00DA5886" w:rsidRDefault="00DA5886" w:rsidP="00DA5886">
            <w:pPr>
              <w:keepNext/>
              <w:numPr>
                <w:ilvl w:val="0"/>
                <w:numId w:val="12"/>
              </w:numPr>
              <w:spacing w:before="40" w:after="120"/>
              <w:ind w:left="357" w:hanging="357"/>
              <w:rPr>
                <w:rFonts w:eastAsiaTheme="majorEastAsia"/>
                <w:sz w:val="20"/>
                <w:szCs w:val="20"/>
              </w:rPr>
            </w:pPr>
            <w:r w:rsidRPr="0057020B">
              <w:rPr>
                <w:rFonts w:eastAsiaTheme="majorEastAsia"/>
                <w:sz w:val="20"/>
                <w:szCs w:val="20"/>
              </w:rPr>
              <w:t>New functions and powers in the NGL</w:t>
            </w:r>
            <w:r>
              <w:rPr>
                <w:rFonts w:eastAsiaTheme="majorEastAsia"/>
                <w:sz w:val="20"/>
                <w:szCs w:val="20"/>
              </w:rPr>
              <w:t xml:space="preserve"> for AEMO to administer the day-</w:t>
            </w:r>
            <w:r w:rsidRPr="0057020B">
              <w:rPr>
                <w:rFonts w:eastAsiaTheme="majorEastAsia"/>
                <w:sz w:val="20"/>
                <w:szCs w:val="20"/>
              </w:rPr>
              <w:t xml:space="preserve">ahead auction, operate the day-ahead auction, make capacity transfer procedures dealing with information exchange and timing and make and administer </w:t>
            </w:r>
            <w:r>
              <w:rPr>
                <w:rFonts w:eastAsiaTheme="majorEastAsia"/>
                <w:sz w:val="20"/>
                <w:szCs w:val="20"/>
              </w:rPr>
              <w:t>an</w:t>
            </w:r>
            <w:r w:rsidRPr="0057020B">
              <w:rPr>
                <w:rFonts w:eastAsiaTheme="majorEastAsia"/>
                <w:sz w:val="20"/>
                <w:szCs w:val="20"/>
              </w:rPr>
              <w:t xml:space="preserve"> </w:t>
            </w:r>
            <w:r>
              <w:rPr>
                <w:rFonts w:eastAsiaTheme="majorEastAsia"/>
                <w:sz w:val="20"/>
                <w:szCs w:val="20"/>
              </w:rPr>
              <w:t>A</w:t>
            </w:r>
            <w:r w:rsidRPr="0057020B">
              <w:rPr>
                <w:rFonts w:eastAsiaTheme="majorEastAsia"/>
                <w:sz w:val="20"/>
                <w:szCs w:val="20"/>
              </w:rPr>
              <w:t xml:space="preserve">uction </w:t>
            </w:r>
            <w:r>
              <w:rPr>
                <w:rFonts w:eastAsiaTheme="majorEastAsia"/>
                <w:sz w:val="20"/>
                <w:szCs w:val="20"/>
              </w:rPr>
              <w:t>A</w:t>
            </w:r>
            <w:r w:rsidRPr="0057020B">
              <w:rPr>
                <w:rFonts w:eastAsiaTheme="majorEastAsia"/>
                <w:sz w:val="20"/>
                <w:szCs w:val="20"/>
              </w:rPr>
              <w:t xml:space="preserve">greement (or procedures) governing participation in auctions and the auction process.  </w:t>
            </w:r>
          </w:p>
          <w:p w14:paraId="6325F99C" w14:textId="181376DB" w:rsidR="00DA5886" w:rsidRPr="00DA5886" w:rsidRDefault="00DA5886" w:rsidP="00DA5886">
            <w:pPr>
              <w:keepNext/>
              <w:numPr>
                <w:ilvl w:val="0"/>
                <w:numId w:val="12"/>
              </w:numPr>
              <w:spacing w:before="40" w:after="120"/>
              <w:ind w:left="357" w:hanging="357"/>
              <w:rPr>
                <w:rFonts w:eastAsiaTheme="majorEastAsia"/>
                <w:sz w:val="20"/>
                <w:szCs w:val="20"/>
              </w:rPr>
            </w:pPr>
            <w:r w:rsidRPr="00DA5886">
              <w:rPr>
                <w:rFonts w:eastAsiaTheme="majorEastAsia"/>
                <w:sz w:val="20"/>
                <w:szCs w:val="20"/>
              </w:rPr>
              <w:t xml:space="preserve">The AER would be responsible for monitoring compliance, investigation of breaches and enforcement of the NGL, NGR and procedures.  </w:t>
            </w:r>
          </w:p>
        </w:tc>
      </w:tr>
    </w:tbl>
    <w:p w14:paraId="036F1867" w14:textId="7C9B177F" w:rsidR="0057020B" w:rsidRPr="0057020B" w:rsidRDefault="0057020B" w:rsidP="008C27E8">
      <w:pPr>
        <w:pStyle w:val="Heading3"/>
      </w:pPr>
      <w:bookmarkStart w:id="84" w:name="_Ref491784814"/>
      <w:bookmarkEnd w:id="83"/>
      <w:r w:rsidRPr="0057020B">
        <w:t xml:space="preserve">Development, publication and amendment of </w:t>
      </w:r>
      <w:r w:rsidR="00B43DCB">
        <w:t>Operational GTA Code</w:t>
      </w:r>
      <w:bookmarkEnd w:id="84"/>
    </w:p>
    <w:p w14:paraId="5807E276" w14:textId="57226EF4" w:rsidR="0057020B" w:rsidRPr="0057020B" w:rsidRDefault="0057020B" w:rsidP="008C27E8">
      <w:pPr>
        <w:pStyle w:val="BodyText"/>
      </w:pPr>
      <w:r w:rsidRPr="0057020B">
        <w:t xml:space="preserve">The first question that must be considered is whether the </w:t>
      </w:r>
      <w:r w:rsidR="00B43DCB">
        <w:t xml:space="preserve">Operational GTA Code </w:t>
      </w:r>
      <w:r w:rsidRPr="0057020B">
        <w:t xml:space="preserve">should be included in the NGR or </w:t>
      </w:r>
      <w:r w:rsidR="00B43DCB">
        <w:t>should be a separate</w:t>
      </w:r>
      <w:r w:rsidRPr="0057020B">
        <w:t xml:space="preserve"> instrument</w:t>
      </w:r>
      <w:r w:rsidR="00B43DCB">
        <w:t xml:space="preserve">. </w:t>
      </w:r>
      <w:r w:rsidRPr="0057020B">
        <w:t xml:space="preserve"> If </w:t>
      </w:r>
      <w:r w:rsidR="00B43DCB">
        <w:t>it is a separate</w:t>
      </w:r>
      <w:r w:rsidRPr="0057020B">
        <w:t xml:space="preserve"> instrument</w:t>
      </w:r>
      <w:r w:rsidR="00B43DCB">
        <w:t xml:space="preserve">, </w:t>
      </w:r>
      <w:r w:rsidRPr="0057020B">
        <w:t xml:space="preserve">consideration will also need to be given to who should be responsible for publishing and amending the instrument over time and the change process that will apply. </w:t>
      </w:r>
    </w:p>
    <w:p w14:paraId="4187A7CD" w14:textId="77777777" w:rsidR="0057020B" w:rsidRPr="0057020B" w:rsidRDefault="0057020B" w:rsidP="0057020B">
      <w:pPr>
        <w:tabs>
          <w:tab w:val="left" w:pos="2268"/>
          <w:tab w:val="left" w:pos="4536"/>
          <w:tab w:val="left" w:pos="6804"/>
          <w:tab w:val="right" w:pos="9638"/>
        </w:tabs>
        <w:spacing w:before="240" w:after="120"/>
      </w:pPr>
      <w:r w:rsidRPr="0057020B">
        <w:t>In assessing these options, the GMRG has considered the following factors:</w:t>
      </w:r>
    </w:p>
    <w:p w14:paraId="0C3D42A3" w14:textId="0CDF5044" w:rsidR="0057020B" w:rsidRPr="0057020B" w:rsidRDefault="0057020B" w:rsidP="0057020B">
      <w:pPr>
        <w:numPr>
          <w:ilvl w:val="0"/>
          <w:numId w:val="12"/>
        </w:numPr>
        <w:spacing w:before="120" w:after="120"/>
        <w:ind w:left="357" w:hanging="357"/>
      </w:pPr>
      <w:r w:rsidRPr="0057020B">
        <w:rPr>
          <w:b/>
        </w:rPr>
        <w:lastRenderedPageBreak/>
        <w:t>Alignment with other roles</w:t>
      </w:r>
      <w:r w:rsidRPr="0057020B">
        <w:t xml:space="preserve">:  Determining the terms and conditions of </w:t>
      </w:r>
      <w:r w:rsidR="008C27E8">
        <w:t>an operational GTA</w:t>
      </w:r>
      <w:r w:rsidRPr="0057020B">
        <w:t xml:space="preserve"> </w:t>
      </w:r>
      <w:r w:rsidR="007B4229">
        <w:t xml:space="preserve">through the Operational GTA Code </w:t>
      </w:r>
      <w:r w:rsidRPr="0057020B">
        <w:t>would be a new role for the AEMC or any panel established by it and also for AEMO. The AER already has a role in approving the terms and conditions of access in AA</w:t>
      </w:r>
      <w:r w:rsidR="00826583">
        <w:t>s</w:t>
      </w:r>
      <w:r w:rsidRPr="0057020B">
        <w:t xml:space="preserve"> for full regulation pipelines. AEMO will run the </w:t>
      </w:r>
      <w:r w:rsidR="00D4786D">
        <w:t xml:space="preserve">capacity </w:t>
      </w:r>
      <w:r w:rsidRPr="0057020B">
        <w:t xml:space="preserve">trading platform and </w:t>
      </w:r>
      <w:r w:rsidR="00D4786D">
        <w:t xml:space="preserve">day-ahead </w:t>
      </w:r>
      <w:r w:rsidRPr="0057020B">
        <w:t>auction.</w:t>
      </w:r>
      <w:r w:rsidR="00B43DCB">
        <w:t xml:space="preserve"> The AEMC is responsible for market development through the NGR rule change process, which will include any provisions in the NGR applicable to the Operational GTA Code, the </w:t>
      </w:r>
      <w:r w:rsidR="00D4786D">
        <w:t xml:space="preserve">capacity </w:t>
      </w:r>
      <w:r w:rsidR="00B43DCB">
        <w:t xml:space="preserve">trading platform </w:t>
      </w:r>
      <w:r w:rsidR="000463D7">
        <w:t xml:space="preserve">and </w:t>
      </w:r>
      <w:r w:rsidR="00B43DCB">
        <w:t>the day-ahead auction.</w:t>
      </w:r>
    </w:p>
    <w:p w14:paraId="25320E8E" w14:textId="0A60A6B0" w:rsidR="0057020B" w:rsidRPr="0057020B" w:rsidRDefault="0057020B" w:rsidP="0057020B">
      <w:pPr>
        <w:numPr>
          <w:ilvl w:val="0"/>
          <w:numId w:val="12"/>
        </w:numPr>
        <w:spacing w:before="120" w:after="120"/>
        <w:ind w:left="357" w:hanging="357"/>
      </w:pPr>
      <w:r w:rsidRPr="0057020B">
        <w:rPr>
          <w:b/>
        </w:rPr>
        <w:t>Allocation of roles</w:t>
      </w:r>
      <w:r w:rsidRPr="0057020B">
        <w:t>:  The NGL and NGR framework separate the roles of the rule maker and market developer (AEMC), the regulator (AER) and market operator (AEMO) in order to, among other things, avoid potential conflicts of interest that might arise when roles are combined in one entity. Responsibility for amendments can be further allocated among a process administrator, the body responsible fo</w:t>
      </w:r>
      <w:r w:rsidRPr="00012827">
        <w:t xml:space="preserve">r recommending changes and the body responsible for approving changes. </w:t>
      </w:r>
      <w:r w:rsidRPr="00012827">
        <w:fldChar w:fldCharType="begin"/>
      </w:r>
      <w:r w:rsidRPr="00012827">
        <w:instrText xml:space="preserve"> REF _Ref490988577 \h </w:instrText>
      </w:r>
      <w:r w:rsidR="008C27E8" w:rsidRPr="00012827">
        <w:instrText xml:space="preserve"> \* MERGEFORMAT </w:instrText>
      </w:r>
      <w:r w:rsidRPr="00012827">
        <w:fldChar w:fldCharType="separate"/>
      </w:r>
      <w:r w:rsidR="00947034" w:rsidRPr="00947034">
        <w:rPr>
          <w:rFonts w:eastAsiaTheme="minorHAnsi" w:cstheme="minorBidi"/>
          <w:bCs/>
          <w:lang w:eastAsia="fr-CA"/>
        </w:rPr>
        <w:t xml:space="preserve">Table </w:t>
      </w:r>
      <w:r w:rsidR="00947034" w:rsidRPr="00947034">
        <w:rPr>
          <w:rFonts w:eastAsiaTheme="minorHAnsi" w:cstheme="minorBidi"/>
          <w:bCs/>
          <w:noProof/>
          <w:lang w:eastAsia="fr-CA"/>
        </w:rPr>
        <w:t>3.2</w:t>
      </w:r>
      <w:r w:rsidRPr="00012827">
        <w:fldChar w:fldCharType="end"/>
      </w:r>
      <w:r w:rsidRPr="00012827">
        <w:t xml:space="preserve"> </w:t>
      </w:r>
      <w:r w:rsidRPr="0057020B">
        <w:t>sets out examples of the options that could be employed when these roles are allocated among different entities.</w:t>
      </w:r>
    </w:p>
    <w:p w14:paraId="0C651EED" w14:textId="7B3F013E" w:rsidR="0057020B" w:rsidRPr="0057020B" w:rsidRDefault="0057020B" w:rsidP="0057020B">
      <w:pPr>
        <w:numPr>
          <w:ilvl w:val="0"/>
          <w:numId w:val="12"/>
        </w:numPr>
        <w:spacing w:before="120" w:after="120"/>
        <w:ind w:left="357" w:hanging="357"/>
      </w:pPr>
      <w:r w:rsidRPr="0057020B">
        <w:rPr>
          <w:b/>
        </w:rPr>
        <w:t>Nature of the instrument</w:t>
      </w:r>
      <w:r w:rsidRPr="0057020B">
        <w:t xml:space="preserve">:  Operational GTAs complying with </w:t>
      </w:r>
      <w:r w:rsidR="007B4229">
        <w:t xml:space="preserve">the Operational GTA Code </w:t>
      </w:r>
      <w:r w:rsidRPr="0057020B">
        <w:t>and</w:t>
      </w:r>
      <w:r w:rsidR="007B4229">
        <w:t xml:space="preserve"> principles in the NGR </w:t>
      </w:r>
      <w:r w:rsidRPr="0057020B">
        <w:t xml:space="preserve">will be mandatory for service providers to offer but optional for shippers to request (although it is assumed that shippers will generally seek to trade using these terms, since the </w:t>
      </w:r>
      <w:r w:rsidR="00D4786D">
        <w:t xml:space="preserve">day-ahead </w:t>
      </w:r>
      <w:r w:rsidRPr="0057020B">
        <w:t xml:space="preserve">auction and the </w:t>
      </w:r>
      <w:r w:rsidR="00D4786D">
        <w:t xml:space="preserve">capacity </w:t>
      </w:r>
      <w:r w:rsidRPr="0057020B">
        <w:t>trading platform will assume these terms apply to all trades).</w:t>
      </w:r>
    </w:p>
    <w:p w14:paraId="1E602C90" w14:textId="3113E28A" w:rsidR="0057020B" w:rsidRPr="0057020B" w:rsidRDefault="0057020B" w:rsidP="0057020B">
      <w:pPr>
        <w:numPr>
          <w:ilvl w:val="0"/>
          <w:numId w:val="12"/>
        </w:numPr>
        <w:spacing w:before="120" w:after="120"/>
        <w:ind w:left="357" w:hanging="357"/>
      </w:pPr>
      <w:r w:rsidRPr="0057020B">
        <w:rPr>
          <w:b/>
        </w:rPr>
        <w:t>Interaction with other mechanisms</w:t>
      </w:r>
      <w:r w:rsidRPr="0057020B">
        <w:t xml:space="preserve">:  Changes to the </w:t>
      </w:r>
      <w:r w:rsidR="007B4229">
        <w:t>Operational GTA Code</w:t>
      </w:r>
      <w:r w:rsidRPr="0057020B">
        <w:t xml:space="preserve"> may impact on the capaci</w:t>
      </w:r>
      <w:r w:rsidR="008C27E8">
        <w:t>ty trading platform and the day-</w:t>
      </w:r>
      <w:r w:rsidRPr="0057020B">
        <w:t xml:space="preserve">ahead auction and conversely changes to those platforms may require changes to the standard terms instrument.  </w:t>
      </w:r>
    </w:p>
    <w:p w14:paraId="6A9A4835" w14:textId="12D6F7A8" w:rsidR="0057020B" w:rsidRPr="0057020B" w:rsidRDefault="0057020B" w:rsidP="0057020B">
      <w:pPr>
        <w:numPr>
          <w:ilvl w:val="0"/>
          <w:numId w:val="12"/>
        </w:numPr>
        <w:spacing w:before="120" w:after="120"/>
        <w:ind w:left="357" w:hanging="357"/>
      </w:pPr>
      <w:r w:rsidRPr="0057020B">
        <w:rPr>
          <w:b/>
        </w:rPr>
        <w:t xml:space="preserve">How the initial </w:t>
      </w:r>
      <w:r w:rsidR="007B4229">
        <w:rPr>
          <w:b/>
        </w:rPr>
        <w:t>Operational GTA Code</w:t>
      </w:r>
      <w:r w:rsidRPr="0057020B">
        <w:rPr>
          <w:b/>
        </w:rPr>
        <w:t xml:space="preserve"> will be made</w:t>
      </w:r>
      <w:r w:rsidRPr="0057020B">
        <w:t>:  The</w:t>
      </w:r>
      <w:r w:rsidR="00080774">
        <w:t xml:space="preserve">re are a number of options for how the initial </w:t>
      </w:r>
      <w:r w:rsidR="007B4229">
        <w:t>Oper</w:t>
      </w:r>
      <w:r w:rsidR="00826583">
        <w:t>a</w:t>
      </w:r>
      <w:r w:rsidR="007B4229">
        <w:t>tional GTA Code</w:t>
      </w:r>
      <w:r w:rsidR="00080774">
        <w:t xml:space="preserve"> could be made, including requiring the market body that is responsible for approving changes to do so, or having </w:t>
      </w:r>
      <w:r w:rsidRPr="0057020B">
        <w:t xml:space="preserve">the SA Minister </w:t>
      </w:r>
      <w:r w:rsidR="00080774">
        <w:t xml:space="preserve">make the initial </w:t>
      </w:r>
      <w:r w:rsidR="007B4229">
        <w:t xml:space="preserve">Code </w:t>
      </w:r>
      <w:r w:rsidR="00080774">
        <w:t xml:space="preserve">in a similar manner to the way in which </w:t>
      </w:r>
      <w:r w:rsidRPr="0057020B">
        <w:t xml:space="preserve">initial Rules under the NGL </w:t>
      </w:r>
      <w:r w:rsidR="00080774">
        <w:t xml:space="preserve">can be made </w:t>
      </w:r>
      <w:r w:rsidRPr="0057020B">
        <w:t>for specified purposes.</w:t>
      </w:r>
    </w:p>
    <w:p w14:paraId="3BD1066D" w14:textId="1E1F0E21" w:rsidR="0057020B" w:rsidRPr="0057020B" w:rsidRDefault="0057020B" w:rsidP="0057020B">
      <w:pPr>
        <w:keepNext/>
        <w:keepLines/>
        <w:spacing w:before="240" w:after="120"/>
        <w:rPr>
          <w:rFonts w:eastAsiaTheme="minorHAnsi" w:cstheme="minorBidi"/>
          <w:b/>
          <w:bCs/>
          <w:lang w:eastAsia="fr-CA"/>
        </w:rPr>
      </w:pPr>
      <w:bookmarkStart w:id="85" w:name="_Ref490988577"/>
      <w:r w:rsidRPr="0057020B">
        <w:rPr>
          <w:rFonts w:eastAsiaTheme="minorHAnsi" w:cstheme="minorBidi"/>
          <w:b/>
          <w:bCs/>
          <w:lang w:eastAsia="fr-CA"/>
        </w:rPr>
        <w:lastRenderedPageBreak/>
        <w:t xml:space="preserve">Table </w:t>
      </w:r>
      <w:r w:rsidR="001C4739">
        <w:rPr>
          <w:rFonts w:eastAsiaTheme="minorHAnsi" w:cstheme="minorBidi"/>
          <w:b/>
          <w:bCs/>
          <w:lang w:eastAsia="fr-CA"/>
        </w:rPr>
        <w:fldChar w:fldCharType="begin"/>
      </w:r>
      <w:r w:rsidR="001C4739">
        <w:rPr>
          <w:rFonts w:eastAsiaTheme="minorHAnsi" w:cstheme="minorBidi"/>
          <w:b/>
          <w:bCs/>
          <w:lang w:eastAsia="fr-CA"/>
        </w:rPr>
        <w:instrText xml:space="preserve"> STYLEREF 1 \s </w:instrText>
      </w:r>
      <w:r w:rsidR="001C4739">
        <w:rPr>
          <w:rFonts w:eastAsiaTheme="minorHAnsi" w:cstheme="minorBidi"/>
          <w:b/>
          <w:bCs/>
          <w:lang w:eastAsia="fr-CA"/>
        </w:rPr>
        <w:fldChar w:fldCharType="separate"/>
      </w:r>
      <w:r w:rsidR="00947034">
        <w:rPr>
          <w:rFonts w:eastAsiaTheme="minorHAnsi" w:cstheme="minorBidi"/>
          <w:b/>
          <w:bCs/>
          <w:noProof/>
          <w:lang w:eastAsia="fr-CA"/>
        </w:rPr>
        <w:t>3</w:t>
      </w:r>
      <w:r w:rsidR="001C4739">
        <w:rPr>
          <w:rFonts w:eastAsiaTheme="minorHAnsi" w:cstheme="minorBidi"/>
          <w:b/>
          <w:bCs/>
          <w:lang w:eastAsia="fr-CA"/>
        </w:rPr>
        <w:fldChar w:fldCharType="end"/>
      </w:r>
      <w:r w:rsidR="001C4739">
        <w:rPr>
          <w:rFonts w:eastAsiaTheme="minorHAnsi" w:cstheme="minorBidi"/>
          <w:b/>
          <w:bCs/>
          <w:lang w:eastAsia="fr-CA"/>
        </w:rPr>
        <w:t>.</w:t>
      </w:r>
      <w:r w:rsidR="001C4739">
        <w:rPr>
          <w:rFonts w:eastAsiaTheme="minorHAnsi" w:cstheme="minorBidi"/>
          <w:b/>
          <w:bCs/>
          <w:lang w:eastAsia="fr-CA"/>
        </w:rPr>
        <w:fldChar w:fldCharType="begin"/>
      </w:r>
      <w:r w:rsidR="001C4739">
        <w:rPr>
          <w:rFonts w:eastAsiaTheme="minorHAnsi" w:cstheme="minorBidi"/>
          <w:b/>
          <w:bCs/>
          <w:lang w:eastAsia="fr-CA"/>
        </w:rPr>
        <w:instrText xml:space="preserve"> SEQ Table \* ARABIC \s 1 </w:instrText>
      </w:r>
      <w:r w:rsidR="001C4739">
        <w:rPr>
          <w:rFonts w:eastAsiaTheme="minorHAnsi" w:cstheme="minorBidi"/>
          <w:b/>
          <w:bCs/>
          <w:lang w:eastAsia="fr-CA"/>
        </w:rPr>
        <w:fldChar w:fldCharType="separate"/>
      </w:r>
      <w:r w:rsidR="00947034">
        <w:rPr>
          <w:rFonts w:eastAsiaTheme="minorHAnsi" w:cstheme="minorBidi"/>
          <w:b/>
          <w:bCs/>
          <w:noProof/>
          <w:lang w:eastAsia="fr-CA"/>
        </w:rPr>
        <w:t>2</w:t>
      </w:r>
      <w:r w:rsidR="001C4739">
        <w:rPr>
          <w:rFonts w:eastAsiaTheme="minorHAnsi" w:cstheme="minorBidi"/>
          <w:b/>
          <w:bCs/>
          <w:lang w:eastAsia="fr-CA"/>
        </w:rPr>
        <w:fldChar w:fldCharType="end"/>
      </w:r>
      <w:bookmarkEnd w:id="85"/>
      <w:r w:rsidRPr="0057020B">
        <w:rPr>
          <w:rFonts w:eastAsiaTheme="minorHAnsi" w:cstheme="minorBidi"/>
          <w:b/>
          <w:bCs/>
          <w:lang w:eastAsia="fr-CA"/>
        </w:rPr>
        <w:t xml:space="preserve">: </w:t>
      </w:r>
      <w:r w:rsidR="00080774">
        <w:rPr>
          <w:rFonts w:eastAsiaTheme="minorHAnsi" w:cstheme="minorBidi"/>
          <w:b/>
          <w:bCs/>
          <w:lang w:eastAsia="fr-CA"/>
        </w:rPr>
        <w:t>G</w:t>
      </w:r>
      <w:r w:rsidRPr="0057020B">
        <w:rPr>
          <w:rFonts w:eastAsiaTheme="minorHAnsi" w:cstheme="minorBidi"/>
          <w:b/>
          <w:bCs/>
          <w:lang w:eastAsia="fr-CA"/>
        </w:rPr>
        <w:t xml:space="preserve">overnance options for the </w:t>
      </w:r>
      <w:r w:rsidR="007B4229">
        <w:rPr>
          <w:rFonts w:eastAsiaTheme="minorHAnsi" w:cstheme="minorBidi"/>
          <w:b/>
          <w:bCs/>
          <w:lang w:eastAsia="fr-CA"/>
        </w:rPr>
        <w:t>Operational GTA Code</w:t>
      </w:r>
    </w:p>
    <w:tbl>
      <w:tblPr>
        <w:tblStyle w:val="TableGrid"/>
        <w:tblW w:w="0" w:type="auto"/>
        <w:tblLook w:val="04A0" w:firstRow="1" w:lastRow="0" w:firstColumn="1" w:lastColumn="0" w:noHBand="0" w:noVBand="1"/>
        <w:tblCaption w:val="Table 3.2: Governance options for the Operational GTA Code"/>
        <w:tblDescription w:val="Governance options for the Operational GTA Code"/>
      </w:tblPr>
      <w:tblGrid>
        <w:gridCol w:w="1701"/>
        <w:gridCol w:w="7087"/>
      </w:tblGrid>
      <w:tr w:rsidR="0057020B" w:rsidRPr="0057020B" w14:paraId="0EDD8F63" w14:textId="77777777" w:rsidTr="004A29FC">
        <w:trPr>
          <w:cnfStyle w:val="100000000000" w:firstRow="1" w:lastRow="0" w:firstColumn="0" w:lastColumn="0" w:oddVBand="0" w:evenVBand="0" w:oddHBand="0" w:evenHBand="0" w:firstRowFirstColumn="0" w:firstRowLastColumn="0" w:lastRowFirstColumn="0" w:lastRowLastColumn="0"/>
          <w:tblHeader/>
        </w:trPr>
        <w:tc>
          <w:tcPr>
            <w:tcW w:w="1701" w:type="dxa"/>
            <w:tcBorders>
              <w:top w:val="single" w:sz="4" w:space="0" w:color="auto"/>
              <w:left w:val="nil"/>
              <w:bottom w:val="single" w:sz="4" w:space="0" w:color="auto"/>
              <w:right w:val="single" w:sz="4" w:space="0" w:color="auto"/>
            </w:tcBorders>
            <w:shd w:val="clear" w:color="auto" w:fill="0099CC"/>
            <w:hideMark/>
          </w:tcPr>
          <w:p w14:paraId="5CF05006" w14:textId="77777777" w:rsidR="0057020B" w:rsidRPr="0057020B" w:rsidRDefault="0057020B" w:rsidP="0057020B">
            <w:pPr>
              <w:keepNext/>
              <w:tabs>
                <w:tab w:val="left" w:pos="2268"/>
                <w:tab w:val="left" w:pos="4536"/>
                <w:tab w:val="left" w:pos="6804"/>
                <w:tab w:val="right" w:pos="9638"/>
              </w:tabs>
              <w:spacing w:before="40" w:after="40"/>
            </w:pPr>
            <w:r w:rsidRPr="0057020B">
              <w:t>Option</w:t>
            </w:r>
          </w:p>
        </w:tc>
        <w:tc>
          <w:tcPr>
            <w:tcW w:w="7087" w:type="dxa"/>
            <w:tcBorders>
              <w:top w:val="single" w:sz="4" w:space="0" w:color="auto"/>
              <w:left w:val="single" w:sz="4" w:space="0" w:color="auto"/>
              <w:bottom w:val="single" w:sz="4" w:space="0" w:color="auto"/>
              <w:right w:val="nil"/>
            </w:tcBorders>
            <w:shd w:val="clear" w:color="auto" w:fill="0099CC"/>
            <w:hideMark/>
          </w:tcPr>
          <w:p w14:paraId="0A3ADA83" w14:textId="77777777" w:rsidR="0057020B" w:rsidRPr="0057020B" w:rsidRDefault="0057020B" w:rsidP="0057020B">
            <w:pPr>
              <w:keepNext/>
              <w:tabs>
                <w:tab w:val="left" w:pos="2268"/>
                <w:tab w:val="left" w:pos="4536"/>
                <w:tab w:val="left" w:pos="6804"/>
                <w:tab w:val="right" w:pos="9638"/>
              </w:tabs>
              <w:spacing w:before="40" w:after="40"/>
            </w:pPr>
            <w:r w:rsidRPr="0057020B">
              <w:t>Overview</w:t>
            </w:r>
          </w:p>
        </w:tc>
      </w:tr>
      <w:tr w:rsidR="0057020B" w:rsidRPr="0057020B" w14:paraId="46E4CC9C" w14:textId="77777777" w:rsidTr="00F243A1">
        <w:tc>
          <w:tcPr>
            <w:tcW w:w="1701" w:type="dxa"/>
            <w:tcBorders>
              <w:top w:val="single" w:sz="4" w:space="0" w:color="auto"/>
              <w:left w:val="nil"/>
              <w:bottom w:val="single" w:sz="4" w:space="0" w:color="auto"/>
              <w:right w:val="single" w:sz="4" w:space="0" w:color="auto"/>
            </w:tcBorders>
            <w:hideMark/>
          </w:tcPr>
          <w:p w14:paraId="64D27A7E" w14:textId="77777777" w:rsidR="0057020B" w:rsidRPr="0057020B" w:rsidRDefault="0057020B" w:rsidP="0057020B">
            <w:pPr>
              <w:keepNext/>
              <w:tabs>
                <w:tab w:val="left" w:pos="2268"/>
                <w:tab w:val="left" w:pos="4536"/>
                <w:tab w:val="left" w:pos="6804"/>
                <w:tab w:val="right" w:pos="9638"/>
              </w:tabs>
              <w:spacing w:before="40" w:after="40"/>
            </w:pPr>
            <w:r w:rsidRPr="0057020B">
              <w:t>AEMC</w:t>
            </w:r>
          </w:p>
        </w:tc>
        <w:tc>
          <w:tcPr>
            <w:tcW w:w="7087" w:type="dxa"/>
            <w:tcBorders>
              <w:top w:val="single" w:sz="4" w:space="0" w:color="auto"/>
              <w:left w:val="single" w:sz="4" w:space="0" w:color="auto"/>
              <w:bottom w:val="single" w:sz="4" w:space="0" w:color="auto"/>
              <w:right w:val="nil"/>
            </w:tcBorders>
            <w:hideMark/>
          </w:tcPr>
          <w:p w14:paraId="79B21015" w14:textId="424E2E97" w:rsidR="0057020B" w:rsidRPr="0057020B" w:rsidRDefault="0057020B" w:rsidP="0057020B">
            <w:pPr>
              <w:keepNext/>
              <w:tabs>
                <w:tab w:val="left" w:pos="2268"/>
                <w:tab w:val="left" w:pos="4536"/>
                <w:tab w:val="left" w:pos="6804"/>
                <w:tab w:val="right" w:pos="9638"/>
              </w:tabs>
              <w:spacing w:before="40" w:after="40"/>
            </w:pPr>
            <w:r w:rsidRPr="0057020B">
              <w:t xml:space="preserve">The initial </w:t>
            </w:r>
            <w:r w:rsidR="007B4229">
              <w:t>Operational GTA Code</w:t>
            </w:r>
            <w:r w:rsidRPr="0057020B">
              <w:t xml:space="preserve"> would be made when the initial </w:t>
            </w:r>
            <w:r w:rsidR="00F7735F">
              <w:t>R</w:t>
            </w:r>
            <w:r w:rsidRPr="0057020B">
              <w:t xml:space="preserve">ules are made and would be published by the AEMC. </w:t>
            </w:r>
          </w:p>
          <w:p w14:paraId="3F1FED71" w14:textId="5D6E9D66" w:rsidR="0057020B" w:rsidRPr="0057020B" w:rsidRDefault="0057020B" w:rsidP="0057020B">
            <w:pPr>
              <w:keepNext/>
              <w:tabs>
                <w:tab w:val="left" w:pos="2268"/>
                <w:tab w:val="left" w:pos="4536"/>
                <w:tab w:val="left" w:pos="6804"/>
                <w:tab w:val="right" w:pos="9638"/>
              </w:tabs>
              <w:spacing w:before="40" w:after="40"/>
            </w:pPr>
            <w:r w:rsidRPr="0057020B">
              <w:t xml:space="preserve">The </w:t>
            </w:r>
            <w:r w:rsidR="007B4229">
              <w:t>Operational GTA Code</w:t>
            </w:r>
            <w:r w:rsidRPr="0057020B">
              <w:t xml:space="preserve"> would be amended by the AEMC following the usual rule change process, as if the instrument formed part of the rules.</w:t>
            </w:r>
          </w:p>
        </w:tc>
      </w:tr>
      <w:tr w:rsidR="0057020B" w:rsidRPr="0057020B" w14:paraId="30AA4BA8" w14:textId="77777777" w:rsidTr="00F243A1">
        <w:trPr>
          <w:cnfStyle w:val="000000010000" w:firstRow="0" w:lastRow="0" w:firstColumn="0" w:lastColumn="0" w:oddVBand="0" w:evenVBand="0" w:oddHBand="0" w:evenHBand="1" w:firstRowFirstColumn="0" w:firstRowLastColumn="0" w:lastRowFirstColumn="0" w:lastRowLastColumn="0"/>
        </w:trPr>
        <w:tc>
          <w:tcPr>
            <w:tcW w:w="1701" w:type="dxa"/>
            <w:tcBorders>
              <w:top w:val="single" w:sz="4" w:space="0" w:color="auto"/>
              <w:left w:val="nil"/>
              <w:bottom w:val="single" w:sz="4" w:space="0" w:color="auto"/>
              <w:right w:val="single" w:sz="4" w:space="0" w:color="auto"/>
            </w:tcBorders>
            <w:hideMark/>
          </w:tcPr>
          <w:p w14:paraId="528A5E3A" w14:textId="77777777" w:rsidR="0057020B" w:rsidRPr="0057020B" w:rsidRDefault="0057020B" w:rsidP="0057020B">
            <w:pPr>
              <w:keepNext/>
              <w:tabs>
                <w:tab w:val="left" w:pos="2268"/>
                <w:tab w:val="left" w:pos="4536"/>
                <w:tab w:val="left" w:pos="6804"/>
                <w:tab w:val="right" w:pos="9638"/>
              </w:tabs>
              <w:spacing w:before="40" w:after="40"/>
            </w:pPr>
            <w:r w:rsidRPr="0057020B">
              <w:t>AEMC panel</w:t>
            </w:r>
          </w:p>
        </w:tc>
        <w:tc>
          <w:tcPr>
            <w:tcW w:w="7087" w:type="dxa"/>
            <w:tcBorders>
              <w:top w:val="single" w:sz="4" w:space="0" w:color="auto"/>
              <w:left w:val="single" w:sz="4" w:space="0" w:color="auto"/>
              <w:bottom w:val="single" w:sz="4" w:space="0" w:color="auto"/>
              <w:right w:val="nil"/>
            </w:tcBorders>
            <w:hideMark/>
          </w:tcPr>
          <w:p w14:paraId="214DC3F1" w14:textId="6C4BA2BD" w:rsidR="0057020B" w:rsidRPr="0057020B" w:rsidRDefault="0057020B" w:rsidP="0057020B">
            <w:pPr>
              <w:keepNext/>
              <w:tabs>
                <w:tab w:val="left" w:pos="2268"/>
                <w:tab w:val="left" w:pos="4536"/>
                <w:tab w:val="left" w:pos="6804"/>
                <w:tab w:val="right" w:pos="9638"/>
              </w:tabs>
              <w:spacing w:before="40" w:after="40"/>
            </w:pPr>
            <w:r w:rsidRPr="0057020B">
              <w:t xml:space="preserve">The initial </w:t>
            </w:r>
            <w:r w:rsidR="007B4229">
              <w:t>Operational GTA Code</w:t>
            </w:r>
            <w:r w:rsidRPr="0057020B">
              <w:t xml:space="preserve"> would be made when the initial rules are made and would be published by the AEMC. </w:t>
            </w:r>
          </w:p>
          <w:p w14:paraId="3F62CB78" w14:textId="77777777" w:rsidR="0057020B" w:rsidRPr="0057020B" w:rsidRDefault="0057020B" w:rsidP="0057020B">
            <w:pPr>
              <w:keepNext/>
              <w:tabs>
                <w:tab w:val="left" w:pos="2268"/>
                <w:tab w:val="left" w:pos="4536"/>
                <w:tab w:val="left" w:pos="6804"/>
                <w:tab w:val="right" w:pos="9638"/>
              </w:tabs>
              <w:spacing w:before="40" w:after="40"/>
            </w:pPr>
            <w:r w:rsidRPr="0057020B">
              <w:t>The AEMC would be responsible for establishing a panel of experts to determine and recommend changes to the standard terms instrument.  Change requests would be submitted to the panel via the AEMC.  The panel would be required to consult on changes.</w:t>
            </w:r>
          </w:p>
          <w:p w14:paraId="4C24890B" w14:textId="438C3EDB" w:rsidR="0057020B" w:rsidRPr="0057020B" w:rsidRDefault="0057020B" w:rsidP="0057020B">
            <w:pPr>
              <w:keepNext/>
              <w:tabs>
                <w:tab w:val="left" w:pos="2268"/>
                <w:tab w:val="left" w:pos="4536"/>
                <w:tab w:val="left" w:pos="6804"/>
                <w:tab w:val="right" w:pos="9638"/>
              </w:tabs>
              <w:spacing w:before="40" w:after="40"/>
            </w:pPr>
            <w:r w:rsidRPr="0057020B">
              <w:t xml:space="preserve">The AEMC would amend the </w:t>
            </w:r>
            <w:r w:rsidR="007B4229">
              <w:t>Operational GTA Code</w:t>
            </w:r>
            <w:r w:rsidRPr="0057020B">
              <w:t xml:space="preserve"> on the recommendation of the panel, having regard to the NGO.</w:t>
            </w:r>
          </w:p>
        </w:tc>
      </w:tr>
      <w:tr w:rsidR="0057020B" w:rsidRPr="0057020B" w14:paraId="4DF52A10" w14:textId="77777777" w:rsidTr="00F243A1">
        <w:tc>
          <w:tcPr>
            <w:tcW w:w="1701" w:type="dxa"/>
            <w:tcBorders>
              <w:top w:val="single" w:sz="4" w:space="0" w:color="auto"/>
              <w:left w:val="nil"/>
              <w:bottom w:val="single" w:sz="4" w:space="0" w:color="auto"/>
              <w:right w:val="single" w:sz="4" w:space="0" w:color="auto"/>
            </w:tcBorders>
            <w:hideMark/>
          </w:tcPr>
          <w:p w14:paraId="10252BA6" w14:textId="77777777" w:rsidR="0057020B" w:rsidRPr="0057020B" w:rsidRDefault="0057020B" w:rsidP="0057020B">
            <w:pPr>
              <w:keepNext/>
              <w:tabs>
                <w:tab w:val="left" w:pos="2268"/>
                <w:tab w:val="left" w:pos="4536"/>
                <w:tab w:val="left" w:pos="6804"/>
                <w:tab w:val="right" w:pos="9638"/>
              </w:tabs>
              <w:spacing w:before="40" w:after="40"/>
            </w:pPr>
            <w:r w:rsidRPr="0057020B">
              <w:t>AEMO</w:t>
            </w:r>
          </w:p>
        </w:tc>
        <w:tc>
          <w:tcPr>
            <w:tcW w:w="7087" w:type="dxa"/>
            <w:tcBorders>
              <w:top w:val="single" w:sz="4" w:space="0" w:color="auto"/>
              <w:left w:val="single" w:sz="4" w:space="0" w:color="auto"/>
              <w:bottom w:val="single" w:sz="4" w:space="0" w:color="auto"/>
              <w:right w:val="nil"/>
            </w:tcBorders>
            <w:hideMark/>
          </w:tcPr>
          <w:p w14:paraId="7D083AF2" w14:textId="50A24813" w:rsidR="0057020B" w:rsidRPr="0057020B" w:rsidRDefault="0057020B" w:rsidP="0057020B">
            <w:pPr>
              <w:keepNext/>
              <w:tabs>
                <w:tab w:val="left" w:pos="2268"/>
                <w:tab w:val="left" w:pos="4536"/>
                <w:tab w:val="left" w:pos="6804"/>
                <w:tab w:val="right" w:pos="9638"/>
              </w:tabs>
              <w:spacing w:before="40" w:after="40"/>
            </w:pPr>
            <w:r w:rsidRPr="0057020B">
              <w:t xml:space="preserve">The initial </w:t>
            </w:r>
            <w:r w:rsidR="007B4229">
              <w:t>Operational GTA Code</w:t>
            </w:r>
            <w:r w:rsidRPr="0057020B">
              <w:t xml:space="preserve"> would be made when the initial rules are made and would be published by AEMO. </w:t>
            </w:r>
          </w:p>
          <w:p w14:paraId="3FCA463B" w14:textId="753D28FC" w:rsidR="0057020B" w:rsidRPr="0057020B" w:rsidRDefault="0057020B" w:rsidP="0057020B">
            <w:pPr>
              <w:keepNext/>
              <w:tabs>
                <w:tab w:val="left" w:pos="2268"/>
                <w:tab w:val="left" w:pos="4536"/>
                <w:tab w:val="left" w:pos="6804"/>
                <w:tab w:val="right" w:pos="9638"/>
              </w:tabs>
              <w:spacing w:before="40" w:after="40"/>
            </w:pPr>
            <w:r w:rsidRPr="0057020B">
              <w:t xml:space="preserve">The </w:t>
            </w:r>
            <w:r w:rsidR="007B4229">
              <w:t>Operational GTA Code</w:t>
            </w:r>
            <w:r w:rsidRPr="0057020B">
              <w:t xml:space="preserve"> would be subject to a change process aligned with the change process followed by AEMO for the </w:t>
            </w:r>
            <w:r w:rsidR="00D30EB7">
              <w:t>Short Term Trading Market (</w:t>
            </w:r>
            <w:r w:rsidRPr="0057020B">
              <w:t>STTM</w:t>
            </w:r>
            <w:r w:rsidR="00D30EB7">
              <w:t>)</w:t>
            </w:r>
            <w:r w:rsidRPr="0057020B">
              <w:t xml:space="preserve"> / D</w:t>
            </w:r>
            <w:r w:rsidR="00F7735F">
              <w:t>eclared Wholesale Gas Market (D</w:t>
            </w:r>
            <w:r w:rsidRPr="0057020B">
              <w:t>WGM</w:t>
            </w:r>
            <w:r w:rsidR="00F7735F">
              <w:t>)</w:t>
            </w:r>
            <w:r w:rsidRPr="0057020B">
              <w:t xml:space="preserve"> procedures, which requires consideration to be given to the NGO.</w:t>
            </w:r>
          </w:p>
        </w:tc>
      </w:tr>
      <w:tr w:rsidR="0057020B" w:rsidRPr="0057020B" w14:paraId="4D5AF356" w14:textId="77777777" w:rsidTr="00F243A1">
        <w:trPr>
          <w:cnfStyle w:val="000000010000" w:firstRow="0" w:lastRow="0" w:firstColumn="0" w:lastColumn="0" w:oddVBand="0" w:evenVBand="0" w:oddHBand="0" w:evenHBand="1" w:firstRowFirstColumn="0" w:firstRowLastColumn="0" w:lastRowFirstColumn="0" w:lastRowLastColumn="0"/>
        </w:trPr>
        <w:tc>
          <w:tcPr>
            <w:tcW w:w="1701" w:type="dxa"/>
            <w:tcBorders>
              <w:top w:val="single" w:sz="4" w:space="0" w:color="auto"/>
              <w:left w:val="nil"/>
              <w:bottom w:val="single" w:sz="4" w:space="0" w:color="auto"/>
              <w:right w:val="single" w:sz="4" w:space="0" w:color="auto"/>
            </w:tcBorders>
            <w:hideMark/>
          </w:tcPr>
          <w:p w14:paraId="515B7F7A" w14:textId="77777777" w:rsidR="0057020B" w:rsidRPr="0057020B" w:rsidRDefault="0057020B" w:rsidP="0057020B">
            <w:pPr>
              <w:keepNext/>
              <w:tabs>
                <w:tab w:val="left" w:pos="2268"/>
                <w:tab w:val="left" w:pos="4536"/>
                <w:tab w:val="left" w:pos="6804"/>
                <w:tab w:val="right" w:pos="9638"/>
              </w:tabs>
              <w:spacing w:before="40" w:after="40"/>
            </w:pPr>
            <w:r w:rsidRPr="0057020B">
              <w:t>AEMO panel</w:t>
            </w:r>
          </w:p>
        </w:tc>
        <w:tc>
          <w:tcPr>
            <w:tcW w:w="7087" w:type="dxa"/>
            <w:tcBorders>
              <w:top w:val="single" w:sz="4" w:space="0" w:color="auto"/>
              <w:left w:val="single" w:sz="4" w:space="0" w:color="auto"/>
              <w:bottom w:val="single" w:sz="4" w:space="0" w:color="auto"/>
              <w:right w:val="nil"/>
            </w:tcBorders>
            <w:hideMark/>
          </w:tcPr>
          <w:p w14:paraId="3E365917" w14:textId="0E77A2F7" w:rsidR="0057020B" w:rsidRPr="0057020B" w:rsidRDefault="0057020B" w:rsidP="0057020B">
            <w:pPr>
              <w:keepNext/>
              <w:tabs>
                <w:tab w:val="left" w:pos="2268"/>
                <w:tab w:val="left" w:pos="4536"/>
                <w:tab w:val="left" w:pos="6804"/>
                <w:tab w:val="right" w:pos="9638"/>
              </w:tabs>
              <w:spacing w:before="40" w:after="40"/>
            </w:pPr>
            <w:r w:rsidRPr="0057020B">
              <w:t xml:space="preserve">The initial </w:t>
            </w:r>
            <w:r w:rsidR="007B4229">
              <w:t>Operational GTA Code</w:t>
            </w:r>
            <w:r w:rsidRPr="0057020B">
              <w:t xml:space="preserve"> would be made when the initial rules are made and would be published by AEMO. </w:t>
            </w:r>
          </w:p>
          <w:p w14:paraId="4604A52A" w14:textId="10286B95" w:rsidR="0057020B" w:rsidRPr="0057020B" w:rsidRDefault="0057020B" w:rsidP="0057020B">
            <w:pPr>
              <w:keepNext/>
              <w:tabs>
                <w:tab w:val="left" w:pos="2268"/>
                <w:tab w:val="left" w:pos="4536"/>
                <w:tab w:val="left" w:pos="6804"/>
                <w:tab w:val="right" w:pos="9638"/>
              </w:tabs>
              <w:spacing w:before="40" w:after="40"/>
            </w:pPr>
            <w:r w:rsidRPr="0057020B">
              <w:t xml:space="preserve">AEMO would be responsible for establishing an industry representative panel to consider and recommend changes to the standard terms instrument.  The panel would be modelled on the </w:t>
            </w:r>
            <w:r w:rsidR="00012827">
              <w:t>Settlement Residue Auction (SRA)</w:t>
            </w:r>
            <w:r w:rsidRPr="0057020B">
              <w:t xml:space="preserve"> panel under the </w:t>
            </w:r>
            <w:r w:rsidR="00F77449">
              <w:t>National Electricity Rules (</w:t>
            </w:r>
            <w:r w:rsidRPr="0057020B">
              <w:t>NER</w:t>
            </w:r>
            <w:r w:rsidR="00F77449">
              <w:t>)</w:t>
            </w:r>
            <w:r w:rsidRPr="0057020B">
              <w:t>.  AEMO would provide secretariat services to the panel and change requests would be submitted to the panel via AEMO.</w:t>
            </w:r>
          </w:p>
          <w:p w14:paraId="3B4125FB" w14:textId="369B91CD" w:rsidR="0057020B" w:rsidRPr="0057020B" w:rsidRDefault="0057020B" w:rsidP="0057020B">
            <w:pPr>
              <w:keepNext/>
              <w:tabs>
                <w:tab w:val="left" w:pos="2268"/>
                <w:tab w:val="left" w:pos="4536"/>
                <w:tab w:val="left" w:pos="6804"/>
                <w:tab w:val="right" w:pos="9638"/>
              </w:tabs>
              <w:spacing w:before="40" w:after="40"/>
            </w:pPr>
            <w:r w:rsidRPr="0057020B">
              <w:t xml:space="preserve">AEMO could amend the </w:t>
            </w:r>
            <w:r w:rsidR="007B4229">
              <w:t>Operational GTA Code</w:t>
            </w:r>
            <w:r w:rsidRPr="0057020B">
              <w:t xml:space="preserve"> on the recommendation of the panel but would not be required to do so.  </w:t>
            </w:r>
          </w:p>
        </w:tc>
      </w:tr>
      <w:tr w:rsidR="0057020B" w:rsidRPr="0057020B" w14:paraId="57852E63" w14:textId="77777777" w:rsidTr="00F243A1">
        <w:tc>
          <w:tcPr>
            <w:tcW w:w="1701" w:type="dxa"/>
            <w:tcBorders>
              <w:top w:val="single" w:sz="4" w:space="0" w:color="auto"/>
              <w:left w:val="nil"/>
              <w:bottom w:val="single" w:sz="4" w:space="0" w:color="auto"/>
              <w:right w:val="single" w:sz="4" w:space="0" w:color="auto"/>
            </w:tcBorders>
            <w:hideMark/>
          </w:tcPr>
          <w:p w14:paraId="35360C53" w14:textId="77777777" w:rsidR="0057020B" w:rsidRPr="0057020B" w:rsidRDefault="0057020B" w:rsidP="0057020B">
            <w:pPr>
              <w:keepNext/>
              <w:tabs>
                <w:tab w:val="left" w:pos="2268"/>
                <w:tab w:val="left" w:pos="4536"/>
                <w:tab w:val="left" w:pos="6804"/>
                <w:tab w:val="right" w:pos="9638"/>
              </w:tabs>
              <w:spacing w:before="40" w:after="40"/>
            </w:pPr>
            <w:r w:rsidRPr="0057020B">
              <w:t>AER</w:t>
            </w:r>
          </w:p>
        </w:tc>
        <w:tc>
          <w:tcPr>
            <w:tcW w:w="7087" w:type="dxa"/>
            <w:tcBorders>
              <w:top w:val="single" w:sz="4" w:space="0" w:color="auto"/>
              <w:left w:val="single" w:sz="4" w:space="0" w:color="auto"/>
              <w:bottom w:val="single" w:sz="4" w:space="0" w:color="auto"/>
              <w:right w:val="nil"/>
            </w:tcBorders>
            <w:hideMark/>
          </w:tcPr>
          <w:p w14:paraId="75839D12" w14:textId="4FFD7B58" w:rsidR="0057020B" w:rsidRPr="0057020B" w:rsidRDefault="0057020B" w:rsidP="0057020B">
            <w:pPr>
              <w:keepNext/>
              <w:tabs>
                <w:tab w:val="left" w:pos="2268"/>
                <w:tab w:val="left" w:pos="4536"/>
                <w:tab w:val="left" w:pos="6804"/>
                <w:tab w:val="right" w:pos="9638"/>
              </w:tabs>
              <w:spacing w:before="40" w:after="40"/>
            </w:pPr>
            <w:r w:rsidRPr="0057020B">
              <w:t xml:space="preserve">The initial </w:t>
            </w:r>
            <w:r w:rsidR="007B4229">
              <w:t>Operational GTA Code</w:t>
            </w:r>
            <w:r w:rsidRPr="0057020B">
              <w:t xml:space="preserve"> would be made when the initial rules are made and would be published by the AER. </w:t>
            </w:r>
          </w:p>
          <w:p w14:paraId="552DC256" w14:textId="77777777" w:rsidR="0057020B" w:rsidRPr="0057020B" w:rsidRDefault="0057020B" w:rsidP="0057020B">
            <w:pPr>
              <w:keepNext/>
              <w:tabs>
                <w:tab w:val="left" w:pos="2268"/>
                <w:tab w:val="left" w:pos="4536"/>
                <w:tab w:val="left" w:pos="6804"/>
                <w:tab w:val="right" w:pos="9638"/>
              </w:tabs>
              <w:spacing w:before="40" w:after="40"/>
            </w:pPr>
            <w:r w:rsidRPr="0057020B">
              <w:t xml:space="preserve">The instrument would be subject to change by the AER following public consultation. </w:t>
            </w:r>
          </w:p>
        </w:tc>
      </w:tr>
      <w:tr w:rsidR="0057020B" w:rsidRPr="0057020B" w14:paraId="2F130E4D" w14:textId="77777777" w:rsidTr="00F243A1">
        <w:trPr>
          <w:cnfStyle w:val="000000010000" w:firstRow="0" w:lastRow="0" w:firstColumn="0" w:lastColumn="0" w:oddVBand="0" w:evenVBand="0" w:oddHBand="0" w:evenHBand="1" w:firstRowFirstColumn="0" w:firstRowLastColumn="0" w:lastRowFirstColumn="0" w:lastRowLastColumn="0"/>
        </w:trPr>
        <w:tc>
          <w:tcPr>
            <w:tcW w:w="1701" w:type="dxa"/>
            <w:tcBorders>
              <w:top w:val="single" w:sz="4" w:space="0" w:color="auto"/>
              <w:left w:val="nil"/>
              <w:bottom w:val="single" w:sz="4" w:space="0" w:color="auto"/>
              <w:right w:val="single" w:sz="4" w:space="0" w:color="auto"/>
            </w:tcBorders>
            <w:hideMark/>
          </w:tcPr>
          <w:p w14:paraId="2B51814E" w14:textId="77777777" w:rsidR="0057020B" w:rsidRPr="0057020B" w:rsidRDefault="0057020B" w:rsidP="0057020B">
            <w:pPr>
              <w:keepNext/>
              <w:tabs>
                <w:tab w:val="left" w:pos="2268"/>
                <w:tab w:val="left" w:pos="4536"/>
                <w:tab w:val="left" w:pos="6804"/>
                <w:tab w:val="right" w:pos="9638"/>
              </w:tabs>
              <w:spacing w:before="40" w:after="40"/>
            </w:pPr>
            <w:r w:rsidRPr="0057020B">
              <w:t>AER panel</w:t>
            </w:r>
          </w:p>
        </w:tc>
        <w:tc>
          <w:tcPr>
            <w:tcW w:w="7087" w:type="dxa"/>
            <w:tcBorders>
              <w:top w:val="single" w:sz="4" w:space="0" w:color="auto"/>
              <w:left w:val="single" w:sz="4" w:space="0" w:color="auto"/>
              <w:bottom w:val="single" w:sz="4" w:space="0" w:color="auto"/>
              <w:right w:val="nil"/>
            </w:tcBorders>
            <w:hideMark/>
          </w:tcPr>
          <w:p w14:paraId="70DA520B" w14:textId="76AA1D83" w:rsidR="0057020B" w:rsidRPr="0057020B" w:rsidRDefault="0057020B" w:rsidP="0057020B">
            <w:pPr>
              <w:keepNext/>
              <w:tabs>
                <w:tab w:val="left" w:pos="2268"/>
                <w:tab w:val="left" w:pos="4536"/>
                <w:tab w:val="left" w:pos="6804"/>
                <w:tab w:val="right" w:pos="9638"/>
              </w:tabs>
              <w:spacing w:before="40" w:after="40"/>
            </w:pPr>
            <w:r w:rsidRPr="0057020B">
              <w:t xml:space="preserve">The initial </w:t>
            </w:r>
            <w:r w:rsidR="007B4229">
              <w:t>Operational GTA Code</w:t>
            </w:r>
            <w:r w:rsidRPr="0057020B">
              <w:t xml:space="preserve"> would be made when the initial rules are made and would be published by the AER.</w:t>
            </w:r>
          </w:p>
          <w:p w14:paraId="028A5F7E" w14:textId="77777777" w:rsidR="0057020B" w:rsidRPr="0057020B" w:rsidRDefault="0057020B" w:rsidP="0057020B">
            <w:pPr>
              <w:keepNext/>
              <w:tabs>
                <w:tab w:val="left" w:pos="2268"/>
                <w:tab w:val="left" w:pos="4536"/>
                <w:tab w:val="left" w:pos="6804"/>
                <w:tab w:val="right" w:pos="9638"/>
              </w:tabs>
              <w:spacing w:before="40" w:after="40"/>
            </w:pPr>
            <w:r w:rsidRPr="0057020B">
              <w:t>The AER would be responsible for establishing an industry panel to determine and recommend changes to the standard terms instrument.  The panel would be modelled on the SRA panel under the NER.  The AER could also undertake public consultation on behalf of the panel.  The AER would provide secretariat services and change requests would be submitted to the panel via the AER.</w:t>
            </w:r>
          </w:p>
          <w:p w14:paraId="117E230B" w14:textId="011F5CD7" w:rsidR="0057020B" w:rsidRPr="0057020B" w:rsidRDefault="0057020B" w:rsidP="0057020B">
            <w:pPr>
              <w:keepNext/>
              <w:tabs>
                <w:tab w:val="left" w:pos="2268"/>
                <w:tab w:val="left" w:pos="4536"/>
                <w:tab w:val="left" w:pos="6804"/>
                <w:tab w:val="right" w:pos="9638"/>
              </w:tabs>
              <w:spacing w:before="40" w:after="40"/>
            </w:pPr>
            <w:r w:rsidRPr="0057020B">
              <w:t xml:space="preserve">The AER would amend the </w:t>
            </w:r>
            <w:r w:rsidR="007B4229">
              <w:t>Operational GTA Code</w:t>
            </w:r>
            <w:r w:rsidRPr="0057020B">
              <w:t xml:space="preserve"> taking into account any recommendation of the panel.</w:t>
            </w:r>
          </w:p>
        </w:tc>
      </w:tr>
      <w:tr w:rsidR="0057020B" w:rsidRPr="0057020B" w14:paraId="1CA5C306" w14:textId="77777777" w:rsidTr="00F243A1">
        <w:tc>
          <w:tcPr>
            <w:tcW w:w="1701" w:type="dxa"/>
            <w:tcBorders>
              <w:top w:val="single" w:sz="4" w:space="0" w:color="auto"/>
              <w:left w:val="nil"/>
              <w:bottom w:val="single" w:sz="4" w:space="0" w:color="auto"/>
              <w:right w:val="single" w:sz="4" w:space="0" w:color="auto"/>
            </w:tcBorders>
            <w:hideMark/>
          </w:tcPr>
          <w:p w14:paraId="09187E63" w14:textId="77777777" w:rsidR="0057020B" w:rsidRPr="0057020B" w:rsidRDefault="0057020B" w:rsidP="00080774">
            <w:pPr>
              <w:tabs>
                <w:tab w:val="left" w:pos="2268"/>
                <w:tab w:val="left" w:pos="4536"/>
                <w:tab w:val="left" w:pos="6804"/>
                <w:tab w:val="right" w:pos="9638"/>
              </w:tabs>
              <w:spacing w:before="40" w:after="40"/>
            </w:pPr>
            <w:r w:rsidRPr="0057020B">
              <w:t>AEMO panel/AER oversight hybrid model</w:t>
            </w:r>
          </w:p>
        </w:tc>
        <w:tc>
          <w:tcPr>
            <w:tcW w:w="7087" w:type="dxa"/>
            <w:tcBorders>
              <w:top w:val="single" w:sz="4" w:space="0" w:color="auto"/>
              <w:left w:val="single" w:sz="4" w:space="0" w:color="auto"/>
              <w:bottom w:val="single" w:sz="4" w:space="0" w:color="auto"/>
              <w:right w:val="nil"/>
            </w:tcBorders>
            <w:hideMark/>
          </w:tcPr>
          <w:p w14:paraId="0BB54A59" w14:textId="735FEB68" w:rsidR="0057020B" w:rsidRPr="0057020B" w:rsidRDefault="0057020B" w:rsidP="00080774">
            <w:pPr>
              <w:tabs>
                <w:tab w:val="left" w:pos="2268"/>
                <w:tab w:val="left" w:pos="4536"/>
                <w:tab w:val="left" w:pos="6804"/>
                <w:tab w:val="right" w:pos="9638"/>
              </w:tabs>
              <w:spacing w:before="40" w:after="40"/>
            </w:pPr>
            <w:r w:rsidRPr="0057020B">
              <w:t xml:space="preserve">The initial </w:t>
            </w:r>
            <w:r w:rsidR="007B4229">
              <w:t>Operational GTA Code</w:t>
            </w:r>
            <w:r w:rsidRPr="0057020B">
              <w:t xml:space="preserve"> would be made when the initial rules are made and published by the AER.</w:t>
            </w:r>
          </w:p>
          <w:p w14:paraId="44F1FC84" w14:textId="77777777" w:rsidR="0057020B" w:rsidRPr="0057020B" w:rsidRDefault="0057020B" w:rsidP="00080774">
            <w:pPr>
              <w:tabs>
                <w:tab w:val="left" w:pos="2268"/>
                <w:tab w:val="left" w:pos="4536"/>
                <w:tab w:val="left" w:pos="6804"/>
                <w:tab w:val="right" w:pos="9638"/>
              </w:tabs>
              <w:spacing w:before="40" w:after="40"/>
            </w:pPr>
            <w:r w:rsidRPr="0057020B">
              <w:t xml:space="preserve">AEMO would be responsible for establishing </w:t>
            </w:r>
            <w:r w:rsidR="00080774">
              <w:t xml:space="preserve">a formal </w:t>
            </w:r>
            <w:r w:rsidRPr="0057020B">
              <w:t xml:space="preserve">panel to consider and recommend changes to the standard terms instrument.  The panel would </w:t>
            </w:r>
            <w:r w:rsidR="00080774">
              <w:t xml:space="preserve">consist of industry representatives across the gas supply chain and </w:t>
            </w:r>
            <w:r w:rsidRPr="0057020B">
              <w:t xml:space="preserve">be modelled on the SRA panel under the NER.  AEMO would provide secretariat services to the panel and change requests would be submitted to the panel via AEMO. AEMO could undertake public consultation on behalf of the panel.  </w:t>
            </w:r>
          </w:p>
          <w:p w14:paraId="12713909" w14:textId="6096D2DB" w:rsidR="0057020B" w:rsidRPr="0057020B" w:rsidRDefault="0057020B" w:rsidP="007B4229">
            <w:pPr>
              <w:tabs>
                <w:tab w:val="left" w:pos="2268"/>
                <w:tab w:val="left" w:pos="4536"/>
                <w:tab w:val="left" w:pos="6804"/>
                <w:tab w:val="right" w:pos="9638"/>
              </w:tabs>
              <w:spacing w:before="40" w:after="40"/>
            </w:pPr>
            <w:r w:rsidRPr="0057020B">
              <w:t xml:space="preserve">Changes recommended by </w:t>
            </w:r>
            <w:r w:rsidR="007B4229">
              <w:t xml:space="preserve">the panel </w:t>
            </w:r>
            <w:r w:rsidRPr="0057020B">
              <w:t>after being considered through the panel process would only take effect if approved by the AER.  In deciding whether to approve</w:t>
            </w:r>
            <w:r w:rsidR="00826583">
              <w:t xml:space="preserve"> th</w:t>
            </w:r>
            <w:r w:rsidR="00080774">
              <w:t>e</w:t>
            </w:r>
            <w:r w:rsidR="00826583">
              <w:t xml:space="preserve"> </w:t>
            </w:r>
            <w:r w:rsidR="00080774">
              <w:t>change</w:t>
            </w:r>
            <w:r w:rsidRPr="0057020B">
              <w:t>, the AER would take into account any recommendation of the panel (but would not be bound by it).</w:t>
            </w:r>
          </w:p>
        </w:tc>
      </w:tr>
    </w:tbl>
    <w:p w14:paraId="1E376BDD" w14:textId="77777777" w:rsidR="0057020B" w:rsidRPr="0057020B" w:rsidRDefault="0057020B" w:rsidP="00080774">
      <w:pPr>
        <w:pStyle w:val="Heading4"/>
      </w:pPr>
      <w:r w:rsidRPr="0057020B">
        <w:lastRenderedPageBreak/>
        <w:t>Form of instrument</w:t>
      </w:r>
    </w:p>
    <w:p w14:paraId="25F48574" w14:textId="56D63DC3" w:rsidR="007B4229" w:rsidRDefault="0057020B" w:rsidP="0057020B">
      <w:pPr>
        <w:tabs>
          <w:tab w:val="left" w:pos="2268"/>
          <w:tab w:val="left" w:pos="4536"/>
          <w:tab w:val="left" w:pos="6804"/>
          <w:tab w:val="right" w:pos="9638"/>
        </w:tabs>
        <w:spacing w:before="240" w:after="120"/>
      </w:pPr>
      <w:r w:rsidRPr="0057020B">
        <w:t>Having considered the principles outlined in section 2.</w:t>
      </w:r>
      <w:r w:rsidR="00080774">
        <w:t>4</w:t>
      </w:r>
      <w:r w:rsidRPr="0057020B">
        <w:t xml:space="preserve"> and the feedback provided by the </w:t>
      </w:r>
      <w:r w:rsidR="00F7735F">
        <w:t xml:space="preserve">Standardisation </w:t>
      </w:r>
      <w:r w:rsidRPr="0057020B">
        <w:t xml:space="preserve">project team, the GMRG’s preliminary view is that the </w:t>
      </w:r>
      <w:r w:rsidR="007B4229">
        <w:t xml:space="preserve">Operational GTA Code </w:t>
      </w:r>
      <w:r w:rsidRPr="0057020B">
        <w:t xml:space="preserve">should be published as a separate instrument </w:t>
      </w:r>
      <w:r w:rsidR="00080774">
        <w:t>and</w:t>
      </w:r>
      <w:r w:rsidRPr="0057020B">
        <w:t xml:space="preserve"> </w:t>
      </w:r>
      <w:r w:rsidRPr="00080774">
        <w:rPr>
          <w:u w:val="single"/>
        </w:rPr>
        <w:t>not</w:t>
      </w:r>
      <w:r w:rsidRPr="0057020B">
        <w:t xml:space="preserve"> form part of the NGR. </w:t>
      </w:r>
      <w:r w:rsidR="007B4229">
        <w:t xml:space="preserve"> The </w:t>
      </w:r>
      <w:r w:rsidR="007B4229" w:rsidRPr="007B4229">
        <w:t>principles governing facility specif</w:t>
      </w:r>
      <w:r w:rsidR="007B4229">
        <w:t>ic terms as outlined in section </w:t>
      </w:r>
      <w:r w:rsidR="00FF2DE7">
        <w:fldChar w:fldCharType="begin"/>
      </w:r>
      <w:r w:rsidR="00FF2DE7">
        <w:instrText xml:space="preserve"> REF _Ref492198635 \r \h </w:instrText>
      </w:r>
      <w:r w:rsidR="00FF2DE7">
        <w:fldChar w:fldCharType="separate"/>
      </w:r>
      <w:r w:rsidR="00947034">
        <w:t>3.5.3</w:t>
      </w:r>
      <w:r w:rsidR="00FF2DE7">
        <w:fldChar w:fldCharType="end"/>
      </w:r>
      <w:r w:rsidR="007B4229">
        <w:t xml:space="preserve"> </w:t>
      </w:r>
      <w:r w:rsidR="007B4229" w:rsidRPr="007B4229">
        <w:t xml:space="preserve">of this consultation paper should be in the NGR.  </w:t>
      </w:r>
    </w:p>
    <w:p w14:paraId="4F31B6FB" w14:textId="65F19AE6" w:rsidR="0057020B" w:rsidRDefault="0057020B" w:rsidP="0057020B">
      <w:pPr>
        <w:tabs>
          <w:tab w:val="left" w:pos="2268"/>
          <w:tab w:val="left" w:pos="4536"/>
          <w:tab w:val="left" w:pos="6804"/>
          <w:tab w:val="right" w:pos="9638"/>
        </w:tabs>
        <w:spacing w:before="240" w:after="120"/>
      </w:pPr>
      <w:r w:rsidRPr="0057020B">
        <w:t xml:space="preserve">The </w:t>
      </w:r>
      <w:r w:rsidR="00080774">
        <w:t xml:space="preserve">way in which this </w:t>
      </w:r>
      <w:r w:rsidR="007B4229">
        <w:t xml:space="preserve">Operational GTA Code </w:t>
      </w:r>
      <w:r w:rsidR="00080774">
        <w:t>wo</w:t>
      </w:r>
      <w:r w:rsidR="00F7735F">
        <w:t>u</w:t>
      </w:r>
      <w:r w:rsidR="00080774">
        <w:t xml:space="preserve">ld interact with other instruments is set out in </w:t>
      </w:r>
      <w:r w:rsidR="00080774">
        <w:fldChar w:fldCharType="begin"/>
      </w:r>
      <w:r w:rsidR="00080774">
        <w:instrText xml:space="preserve"> REF _Ref491756190 \h </w:instrText>
      </w:r>
      <w:r w:rsidR="00080774">
        <w:fldChar w:fldCharType="separate"/>
      </w:r>
      <w:r w:rsidR="00947034">
        <w:t xml:space="preserve">Table </w:t>
      </w:r>
      <w:r w:rsidR="00947034">
        <w:rPr>
          <w:noProof/>
        </w:rPr>
        <w:t>3</w:t>
      </w:r>
      <w:r w:rsidR="00947034">
        <w:t>.</w:t>
      </w:r>
      <w:r w:rsidR="00947034">
        <w:rPr>
          <w:noProof/>
        </w:rPr>
        <w:t>3</w:t>
      </w:r>
      <w:r w:rsidR="00080774">
        <w:fldChar w:fldCharType="end"/>
      </w:r>
      <w:r w:rsidRPr="0057020B">
        <w:t>.</w:t>
      </w:r>
    </w:p>
    <w:p w14:paraId="41458FC7" w14:textId="7A7C8A11" w:rsidR="00080774" w:rsidRPr="0057020B" w:rsidRDefault="00080774" w:rsidP="00080774">
      <w:pPr>
        <w:pStyle w:val="Caption"/>
        <w:spacing w:after="0"/>
      </w:pPr>
      <w:bookmarkStart w:id="86" w:name="_Ref491756190"/>
      <w:r>
        <w:t xml:space="preserve">Table </w:t>
      </w:r>
      <w:r w:rsidR="00926D7E">
        <w:fldChar w:fldCharType="begin"/>
      </w:r>
      <w:r w:rsidR="00926D7E">
        <w:instrText xml:space="preserve"> STYLEREF 1 \s </w:instrText>
      </w:r>
      <w:r w:rsidR="00926D7E">
        <w:fldChar w:fldCharType="separate"/>
      </w:r>
      <w:r w:rsidR="00947034">
        <w:rPr>
          <w:noProof/>
        </w:rPr>
        <w:t>3</w:t>
      </w:r>
      <w:r w:rsidR="00926D7E">
        <w:rPr>
          <w:noProof/>
        </w:rPr>
        <w:fldChar w:fldCharType="end"/>
      </w:r>
      <w:r w:rsidR="001C4739">
        <w:t>.</w:t>
      </w:r>
      <w:r w:rsidR="00926D7E">
        <w:fldChar w:fldCharType="begin"/>
      </w:r>
      <w:r w:rsidR="00926D7E">
        <w:instrText xml:space="preserve"> SEQ Table \* ARABIC \s 1 </w:instrText>
      </w:r>
      <w:r w:rsidR="00926D7E">
        <w:fldChar w:fldCharType="separate"/>
      </w:r>
      <w:r w:rsidR="00947034">
        <w:rPr>
          <w:noProof/>
        </w:rPr>
        <w:t>3</w:t>
      </w:r>
      <w:r w:rsidR="00926D7E">
        <w:rPr>
          <w:noProof/>
        </w:rPr>
        <w:fldChar w:fldCharType="end"/>
      </w:r>
      <w:bookmarkEnd w:id="86"/>
      <w:r>
        <w:t>: Interaction of instruments</w:t>
      </w:r>
    </w:p>
    <w:tbl>
      <w:tblPr>
        <w:tblStyle w:val="TableGrid"/>
        <w:tblW w:w="0" w:type="auto"/>
        <w:tblLook w:val="04A0" w:firstRow="1" w:lastRow="0" w:firstColumn="1" w:lastColumn="0" w:noHBand="0" w:noVBand="1"/>
        <w:tblCaption w:val="Table 3.3: Interaction of instruments"/>
        <w:tblDescription w:val="Interaction of instruments"/>
      </w:tblPr>
      <w:tblGrid>
        <w:gridCol w:w="2552"/>
        <w:gridCol w:w="6236"/>
      </w:tblGrid>
      <w:tr w:rsidR="0057020B" w:rsidRPr="00080774" w14:paraId="2E09E686" w14:textId="77777777" w:rsidTr="004A29FC">
        <w:trPr>
          <w:cnfStyle w:val="100000000000" w:firstRow="1" w:lastRow="0" w:firstColumn="0" w:lastColumn="0" w:oddVBand="0" w:evenVBand="0" w:oddHBand="0" w:evenHBand="0" w:firstRowFirstColumn="0" w:firstRowLastColumn="0" w:lastRowFirstColumn="0" w:lastRowLastColumn="0"/>
          <w:trHeight w:val="252"/>
          <w:tblHeader/>
        </w:trPr>
        <w:tc>
          <w:tcPr>
            <w:tcW w:w="2552" w:type="dxa"/>
            <w:shd w:val="clear" w:color="auto" w:fill="0099CC"/>
          </w:tcPr>
          <w:p w14:paraId="24A9A1E8" w14:textId="77777777" w:rsidR="0057020B" w:rsidRPr="00080774" w:rsidRDefault="0057020B" w:rsidP="00080774">
            <w:pPr>
              <w:tabs>
                <w:tab w:val="left" w:pos="2268"/>
                <w:tab w:val="left" w:pos="4536"/>
                <w:tab w:val="left" w:pos="6804"/>
                <w:tab w:val="right" w:pos="9638"/>
              </w:tabs>
              <w:rPr>
                <w:sz w:val="20"/>
                <w:szCs w:val="20"/>
              </w:rPr>
            </w:pPr>
            <w:r w:rsidRPr="00080774">
              <w:rPr>
                <w:sz w:val="20"/>
                <w:szCs w:val="20"/>
              </w:rPr>
              <w:t>Instrument</w:t>
            </w:r>
          </w:p>
        </w:tc>
        <w:tc>
          <w:tcPr>
            <w:tcW w:w="6236" w:type="dxa"/>
            <w:shd w:val="clear" w:color="auto" w:fill="0099CC"/>
          </w:tcPr>
          <w:p w14:paraId="1AB5083E" w14:textId="77777777" w:rsidR="0057020B" w:rsidRPr="00080774" w:rsidRDefault="0057020B" w:rsidP="00080774">
            <w:pPr>
              <w:tabs>
                <w:tab w:val="left" w:pos="2268"/>
                <w:tab w:val="left" w:pos="4536"/>
                <w:tab w:val="left" w:pos="6804"/>
                <w:tab w:val="right" w:pos="9638"/>
              </w:tabs>
              <w:rPr>
                <w:sz w:val="20"/>
                <w:szCs w:val="20"/>
              </w:rPr>
            </w:pPr>
            <w:r w:rsidRPr="00080774">
              <w:rPr>
                <w:sz w:val="20"/>
                <w:szCs w:val="20"/>
              </w:rPr>
              <w:t>Role</w:t>
            </w:r>
          </w:p>
        </w:tc>
      </w:tr>
      <w:tr w:rsidR="0057020B" w:rsidRPr="00080774" w14:paraId="2124EB06" w14:textId="77777777" w:rsidTr="00F243A1">
        <w:tc>
          <w:tcPr>
            <w:tcW w:w="2552" w:type="dxa"/>
          </w:tcPr>
          <w:p w14:paraId="4CDD7EC4" w14:textId="77777777" w:rsidR="0057020B" w:rsidRPr="00080774" w:rsidRDefault="0057020B" w:rsidP="00080774">
            <w:pPr>
              <w:tabs>
                <w:tab w:val="left" w:pos="2268"/>
                <w:tab w:val="left" w:pos="4536"/>
                <w:tab w:val="left" w:pos="6804"/>
                <w:tab w:val="right" w:pos="9638"/>
              </w:tabs>
              <w:rPr>
                <w:sz w:val="20"/>
                <w:szCs w:val="20"/>
              </w:rPr>
            </w:pPr>
            <w:r w:rsidRPr="00080774">
              <w:rPr>
                <w:sz w:val="20"/>
                <w:szCs w:val="20"/>
              </w:rPr>
              <w:t>NGL</w:t>
            </w:r>
          </w:p>
        </w:tc>
        <w:tc>
          <w:tcPr>
            <w:tcW w:w="6236" w:type="dxa"/>
          </w:tcPr>
          <w:p w14:paraId="6855081B" w14:textId="43ACD326" w:rsidR="0057020B" w:rsidRPr="00080774" w:rsidRDefault="0057020B" w:rsidP="00080774">
            <w:pPr>
              <w:tabs>
                <w:tab w:val="left" w:pos="2268"/>
                <w:tab w:val="left" w:pos="4536"/>
                <w:tab w:val="left" w:pos="6804"/>
                <w:tab w:val="right" w:pos="9638"/>
              </w:tabs>
              <w:rPr>
                <w:sz w:val="20"/>
                <w:szCs w:val="20"/>
              </w:rPr>
            </w:pPr>
            <w:r w:rsidRPr="00080774">
              <w:rPr>
                <w:sz w:val="20"/>
                <w:szCs w:val="20"/>
              </w:rPr>
              <w:t>Would contain high level legal framework for standardised terms.</w:t>
            </w:r>
          </w:p>
        </w:tc>
      </w:tr>
      <w:tr w:rsidR="0057020B" w:rsidRPr="00080774" w14:paraId="3C27C5DE" w14:textId="77777777" w:rsidTr="00F243A1">
        <w:trPr>
          <w:cnfStyle w:val="000000010000" w:firstRow="0" w:lastRow="0" w:firstColumn="0" w:lastColumn="0" w:oddVBand="0" w:evenVBand="0" w:oddHBand="0" w:evenHBand="1" w:firstRowFirstColumn="0" w:firstRowLastColumn="0" w:lastRowFirstColumn="0" w:lastRowLastColumn="0"/>
        </w:trPr>
        <w:tc>
          <w:tcPr>
            <w:tcW w:w="2552" w:type="dxa"/>
          </w:tcPr>
          <w:p w14:paraId="2058F848" w14:textId="77777777" w:rsidR="0057020B" w:rsidRPr="00080774" w:rsidRDefault="0057020B" w:rsidP="00080774">
            <w:pPr>
              <w:tabs>
                <w:tab w:val="left" w:pos="2268"/>
                <w:tab w:val="left" w:pos="4536"/>
                <w:tab w:val="left" w:pos="6804"/>
                <w:tab w:val="right" w:pos="9638"/>
              </w:tabs>
              <w:rPr>
                <w:sz w:val="20"/>
                <w:szCs w:val="20"/>
              </w:rPr>
            </w:pPr>
            <w:r w:rsidRPr="00080774">
              <w:rPr>
                <w:sz w:val="20"/>
                <w:szCs w:val="20"/>
              </w:rPr>
              <w:t>NGR</w:t>
            </w:r>
          </w:p>
        </w:tc>
        <w:tc>
          <w:tcPr>
            <w:tcW w:w="6236" w:type="dxa"/>
          </w:tcPr>
          <w:p w14:paraId="1039B75A" w14:textId="4996D770" w:rsidR="0057020B" w:rsidRPr="00080774" w:rsidRDefault="0057020B" w:rsidP="00080774">
            <w:pPr>
              <w:tabs>
                <w:tab w:val="left" w:pos="2268"/>
                <w:tab w:val="left" w:pos="4536"/>
                <w:tab w:val="left" w:pos="6804"/>
                <w:tab w:val="right" w:pos="9638"/>
              </w:tabs>
              <w:rPr>
                <w:sz w:val="20"/>
                <w:szCs w:val="20"/>
              </w:rPr>
            </w:pPr>
            <w:r w:rsidRPr="00080774">
              <w:rPr>
                <w:sz w:val="20"/>
                <w:szCs w:val="20"/>
              </w:rPr>
              <w:t xml:space="preserve">Would contain the detailed obligations to develop and offer standard terms, the principles for developing </w:t>
            </w:r>
            <w:r w:rsidR="002363C2">
              <w:rPr>
                <w:sz w:val="20"/>
                <w:szCs w:val="20"/>
              </w:rPr>
              <w:t xml:space="preserve">the </w:t>
            </w:r>
            <w:r w:rsidR="00996004">
              <w:rPr>
                <w:sz w:val="20"/>
                <w:szCs w:val="20"/>
              </w:rPr>
              <w:t>facility specific terms</w:t>
            </w:r>
            <w:r w:rsidRPr="00080774">
              <w:rPr>
                <w:sz w:val="20"/>
                <w:szCs w:val="20"/>
              </w:rPr>
              <w:t xml:space="preserve"> and </w:t>
            </w:r>
            <w:r w:rsidR="00E86BB7">
              <w:rPr>
                <w:sz w:val="20"/>
                <w:szCs w:val="20"/>
              </w:rPr>
              <w:t xml:space="preserve">would </w:t>
            </w:r>
            <w:r w:rsidRPr="00080774">
              <w:rPr>
                <w:sz w:val="20"/>
                <w:szCs w:val="20"/>
              </w:rPr>
              <w:t xml:space="preserve">define the mechanism for publishing and amending the </w:t>
            </w:r>
            <w:r w:rsidR="00E86BB7">
              <w:rPr>
                <w:sz w:val="20"/>
                <w:szCs w:val="20"/>
              </w:rPr>
              <w:t>Operational GTA Code</w:t>
            </w:r>
            <w:r w:rsidRPr="00080774">
              <w:rPr>
                <w:sz w:val="20"/>
                <w:szCs w:val="20"/>
              </w:rPr>
              <w:t>.</w:t>
            </w:r>
          </w:p>
          <w:p w14:paraId="113BBF54" w14:textId="77777777" w:rsidR="0057020B" w:rsidRPr="00080774" w:rsidRDefault="0057020B" w:rsidP="00080774">
            <w:pPr>
              <w:tabs>
                <w:tab w:val="left" w:pos="2268"/>
                <w:tab w:val="left" w:pos="4536"/>
                <w:tab w:val="left" w:pos="6804"/>
                <w:tab w:val="right" w:pos="9638"/>
              </w:tabs>
              <w:rPr>
                <w:sz w:val="20"/>
                <w:szCs w:val="20"/>
              </w:rPr>
            </w:pPr>
            <w:r w:rsidRPr="00080774">
              <w:rPr>
                <w:sz w:val="20"/>
                <w:szCs w:val="20"/>
              </w:rPr>
              <w:t>The AER would have its usual enforcement role and would also be responsible for issuing any exemptions under the NGR.</w:t>
            </w:r>
          </w:p>
        </w:tc>
      </w:tr>
      <w:tr w:rsidR="0057020B" w:rsidRPr="00080774" w14:paraId="28646918" w14:textId="77777777" w:rsidTr="00F243A1">
        <w:tc>
          <w:tcPr>
            <w:tcW w:w="2552" w:type="dxa"/>
          </w:tcPr>
          <w:p w14:paraId="5CDEB302" w14:textId="77777777" w:rsidR="0057020B" w:rsidRPr="00080774" w:rsidRDefault="0057020B" w:rsidP="00080774">
            <w:pPr>
              <w:tabs>
                <w:tab w:val="left" w:pos="2268"/>
                <w:tab w:val="left" w:pos="4536"/>
                <w:tab w:val="left" w:pos="6804"/>
                <w:tab w:val="right" w:pos="9638"/>
              </w:tabs>
              <w:rPr>
                <w:sz w:val="20"/>
                <w:szCs w:val="20"/>
              </w:rPr>
            </w:pPr>
            <w:r w:rsidRPr="00080774">
              <w:rPr>
                <w:sz w:val="20"/>
                <w:szCs w:val="20"/>
              </w:rPr>
              <w:t>Operational GTA instrument</w:t>
            </w:r>
          </w:p>
          <w:p w14:paraId="66863A00" w14:textId="77777777" w:rsidR="0057020B" w:rsidRPr="00080774" w:rsidRDefault="0057020B" w:rsidP="00080774">
            <w:pPr>
              <w:tabs>
                <w:tab w:val="left" w:pos="2268"/>
                <w:tab w:val="left" w:pos="4536"/>
                <w:tab w:val="left" w:pos="6804"/>
                <w:tab w:val="right" w:pos="9638"/>
              </w:tabs>
              <w:rPr>
                <w:sz w:val="20"/>
                <w:szCs w:val="20"/>
              </w:rPr>
            </w:pPr>
            <w:r w:rsidRPr="00080774">
              <w:rPr>
                <w:sz w:val="20"/>
                <w:szCs w:val="20"/>
              </w:rPr>
              <w:t>(</w:t>
            </w:r>
            <w:r w:rsidRPr="00080774">
              <w:rPr>
                <w:b/>
                <w:sz w:val="20"/>
                <w:szCs w:val="20"/>
              </w:rPr>
              <w:t>Operational GTA Code</w:t>
            </w:r>
            <w:r w:rsidRPr="00080774">
              <w:rPr>
                <w:sz w:val="20"/>
                <w:szCs w:val="20"/>
              </w:rPr>
              <w:t>)</w:t>
            </w:r>
          </w:p>
        </w:tc>
        <w:tc>
          <w:tcPr>
            <w:tcW w:w="6236" w:type="dxa"/>
          </w:tcPr>
          <w:p w14:paraId="466C0FE1" w14:textId="71148FEF" w:rsidR="0057020B" w:rsidRPr="00080774" w:rsidRDefault="0057020B" w:rsidP="00080774">
            <w:pPr>
              <w:tabs>
                <w:tab w:val="left" w:pos="2268"/>
                <w:tab w:val="left" w:pos="4536"/>
                <w:tab w:val="left" w:pos="6804"/>
                <w:tab w:val="right" w:pos="9638"/>
              </w:tabs>
              <w:rPr>
                <w:sz w:val="20"/>
                <w:szCs w:val="20"/>
              </w:rPr>
            </w:pPr>
            <w:r w:rsidRPr="00080774">
              <w:rPr>
                <w:sz w:val="20"/>
                <w:szCs w:val="20"/>
              </w:rPr>
              <w:t xml:space="preserve">The instrument containing the standard terms and the requirements for </w:t>
            </w:r>
            <w:r w:rsidR="002363C2">
              <w:rPr>
                <w:sz w:val="20"/>
                <w:szCs w:val="20"/>
              </w:rPr>
              <w:t xml:space="preserve">the </w:t>
            </w:r>
            <w:r w:rsidR="00996004">
              <w:rPr>
                <w:sz w:val="20"/>
                <w:szCs w:val="20"/>
              </w:rPr>
              <w:t>facility specific terms</w:t>
            </w:r>
            <w:r w:rsidRPr="00080774">
              <w:rPr>
                <w:sz w:val="20"/>
                <w:szCs w:val="20"/>
              </w:rPr>
              <w:t xml:space="preserve"> and the form of agreement allowing these to be incorporated in a binding contract.  Provisionally called the "Operational GTA Code".</w:t>
            </w:r>
          </w:p>
          <w:p w14:paraId="3AAA0A92" w14:textId="77777777" w:rsidR="0057020B" w:rsidRPr="00080774" w:rsidRDefault="0057020B" w:rsidP="00080774">
            <w:pPr>
              <w:tabs>
                <w:tab w:val="left" w:pos="2268"/>
                <w:tab w:val="left" w:pos="4536"/>
                <w:tab w:val="left" w:pos="6804"/>
                <w:tab w:val="right" w:pos="9638"/>
              </w:tabs>
              <w:rPr>
                <w:sz w:val="20"/>
                <w:szCs w:val="20"/>
              </w:rPr>
            </w:pPr>
            <w:r w:rsidRPr="00080774">
              <w:rPr>
                <w:sz w:val="20"/>
                <w:szCs w:val="20"/>
              </w:rPr>
              <w:t>Does not form part of the NGR.</w:t>
            </w:r>
          </w:p>
        </w:tc>
      </w:tr>
      <w:tr w:rsidR="0057020B" w:rsidRPr="00080774" w14:paraId="3BBCE50C" w14:textId="77777777" w:rsidTr="00F243A1">
        <w:trPr>
          <w:cnfStyle w:val="000000010000" w:firstRow="0" w:lastRow="0" w:firstColumn="0" w:lastColumn="0" w:oddVBand="0" w:evenVBand="0" w:oddHBand="0" w:evenHBand="1" w:firstRowFirstColumn="0" w:firstRowLastColumn="0" w:lastRowFirstColumn="0" w:lastRowLastColumn="0"/>
        </w:trPr>
        <w:tc>
          <w:tcPr>
            <w:tcW w:w="2552" w:type="dxa"/>
          </w:tcPr>
          <w:p w14:paraId="2F208055" w14:textId="77777777" w:rsidR="0057020B" w:rsidRPr="00080774" w:rsidRDefault="0057020B" w:rsidP="00080774">
            <w:pPr>
              <w:tabs>
                <w:tab w:val="left" w:pos="2268"/>
                <w:tab w:val="left" w:pos="4536"/>
                <w:tab w:val="left" w:pos="6804"/>
                <w:tab w:val="right" w:pos="9638"/>
              </w:tabs>
              <w:rPr>
                <w:sz w:val="20"/>
                <w:szCs w:val="20"/>
              </w:rPr>
            </w:pPr>
            <w:r w:rsidRPr="00080774">
              <w:rPr>
                <w:sz w:val="20"/>
                <w:szCs w:val="20"/>
              </w:rPr>
              <w:t xml:space="preserve">Service provider's standard offer for an operational GTA for each of its facilities </w:t>
            </w:r>
          </w:p>
        </w:tc>
        <w:tc>
          <w:tcPr>
            <w:tcW w:w="6236" w:type="dxa"/>
          </w:tcPr>
          <w:p w14:paraId="0CE802B7" w14:textId="23D00CA6" w:rsidR="0057020B" w:rsidRPr="00080774" w:rsidRDefault="0057020B" w:rsidP="00080774">
            <w:pPr>
              <w:tabs>
                <w:tab w:val="left" w:pos="2268"/>
                <w:tab w:val="left" w:pos="4536"/>
                <w:tab w:val="left" w:pos="6804"/>
                <w:tab w:val="right" w:pos="9638"/>
              </w:tabs>
              <w:rPr>
                <w:sz w:val="20"/>
                <w:szCs w:val="20"/>
              </w:rPr>
            </w:pPr>
            <w:r w:rsidRPr="00080774">
              <w:rPr>
                <w:sz w:val="20"/>
                <w:szCs w:val="20"/>
              </w:rPr>
              <w:t xml:space="preserve">Published by the service provider on its website, incorporating the standard terms and </w:t>
            </w:r>
            <w:r w:rsidR="00996004">
              <w:rPr>
                <w:sz w:val="20"/>
                <w:szCs w:val="20"/>
              </w:rPr>
              <w:t>facility specific terms</w:t>
            </w:r>
            <w:r w:rsidRPr="00080774">
              <w:rPr>
                <w:sz w:val="20"/>
                <w:szCs w:val="20"/>
              </w:rPr>
              <w:t xml:space="preserve"> developed by the service provider applying the principles in the NGR and the requirements for </w:t>
            </w:r>
            <w:r w:rsidR="00996004">
              <w:rPr>
                <w:sz w:val="20"/>
                <w:szCs w:val="20"/>
              </w:rPr>
              <w:t>facility specific terms</w:t>
            </w:r>
            <w:r w:rsidRPr="00080774">
              <w:rPr>
                <w:sz w:val="20"/>
                <w:szCs w:val="20"/>
              </w:rPr>
              <w:t xml:space="preserve"> in the Operational GTA Code.</w:t>
            </w:r>
          </w:p>
        </w:tc>
      </w:tr>
      <w:tr w:rsidR="0057020B" w:rsidRPr="00080774" w14:paraId="14324366" w14:textId="77777777" w:rsidTr="00F243A1">
        <w:tc>
          <w:tcPr>
            <w:tcW w:w="2552" w:type="dxa"/>
          </w:tcPr>
          <w:p w14:paraId="58ABCA89" w14:textId="77777777" w:rsidR="0057020B" w:rsidRPr="00080774" w:rsidRDefault="0057020B" w:rsidP="00080774">
            <w:pPr>
              <w:tabs>
                <w:tab w:val="left" w:pos="2268"/>
                <w:tab w:val="left" w:pos="4536"/>
                <w:tab w:val="left" w:pos="6804"/>
                <w:tab w:val="right" w:pos="9638"/>
              </w:tabs>
              <w:rPr>
                <w:sz w:val="20"/>
                <w:szCs w:val="20"/>
              </w:rPr>
            </w:pPr>
            <w:r w:rsidRPr="00080774">
              <w:rPr>
                <w:sz w:val="20"/>
                <w:szCs w:val="20"/>
              </w:rPr>
              <w:t>Operational GTA</w:t>
            </w:r>
          </w:p>
        </w:tc>
        <w:tc>
          <w:tcPr>
            <w:tcW w:w="6236" w:type="dxa"/>
          </w:tcPr>
          <w:p w14:paraId="5185C70E" w14:textId="65BAF721" w:rsidR="0057020B" w:rsidRPr="00080774" w:rsidRDefault="0057020B" w:rsidP="00080774">
            <w:pPr>
              <w:tabs>
                <w:tab w:val="left" w:pos="2268"/>
                <w:tab w:val="left" w:pos="4536"/>
                <w:tab w:val="left" w:pos="6804"/>
                <w:tab w:val="right" w:pos="9638"/>
              </w:tabs>
              <w:rPr>
                <w:sz w:val="20"/>
                <w:szCs w:val="20"/>
              </w:rPr>
            </w:pPr>
            <w:r w:rsidRPr="00080774">
              <w:rPr>
                <w:sz w:val="20"/>
                <w:szCs w:val="20"/>
              </w:rPr>
              <w:t xml:space="preserve">Refers to the contractually binding agreement between a service provider and a secondary shipper formed when the shipper accepts the service provider's standard offer for an operational GTA.  </w:t>
            </w:r>
          </w:p>
        </w:tc>
      </w:tr>
      <w:tr w:rsidR="0057020B" w:rsidRPr="00080774" w14:paraId="12A37809" w14:textId="77777777" w:rsidTr="00F243A1">
        <w:trPr>
          <w:cnfStyle w:val="000000010000" w:firstRow="0" w:lastRow="0" w:firstColumn="0" w:lastColumn="0" w:oddVBand="0" w:evenVBand="0" w:oddHBand="0" w:evenHBand="1" w:firstRowFirstColumn="0" w:firstRowLastColumn="0" w:lastRowFirstColumn="0" w:lastRowLastColumn="0"/>
        </w:trPr>
        <w:tc>
          <w:tcPr>
            <w:tcW w:w="2552" w:type="dxa"/>
          </w:tcPr>
          <w:p w14:paraId="67505554" w14:textId="77777777" w:rsidR="0057020B" w:rsidRPr="00080774" w:rsidRDefault="0057020B" w:rsidP="00080774">
            <w:pPr>
              <w:tabs>
                <w:tab w:val="left" w:pos="2268"/>
                <w:tab w:val="left" w:pos="4536"/>
                <w:tab w:val="left" w:pos="6804"/>
                <w:tab w:val="right" w:pos="9638"/>
              </w:tabs>
              <w:rPr>
                <w:sz w:val="20"/>
                <w:szCs w:val="20"/>
              </w:rPr>
            </w:pPr>
            <w:r w:rsidRPr="00080774">
              <w:rPr>
                <w:rFonts w:eastAsiaTheme="majorEastAsia"/>
                <w:sz w:val="20"/>
                <w:szCs w:val="20"/>
              </w:rPr>
              <w:t>Capacity transfer procedures</w:t>
            </w:r>
          </w:p>
        </w:tc>
        <w:tc>
          <w:tcPr>
            <w:tcW w:w="6236" w:type="dxa"/>
          </w:tcPr>
          <w:p w14:paraId="0FE656FA" w14:textId="27C0310B" w:rsidR="0057020B" w:rsidRPr="00080774" w:rsidRDefault="0057020B" w:rsidP="00080774">
            <w:pPr>
              <w:tabs>
                <w:tab w:val="left" w:pos="2268"/>
                <w:tab w:val="left" w:pos="4536"/>
                <w:tab w:val="left" w:pos="6804"/>
                <w:tab w:val="right" w:pos="9638"/>
              </w:tabs>
              <w:rPr>
                <w:sz w:val="20"/>
                <w:szCs w:val="20"/>
              </w:rPr>
            </w:pPr>
            <w:r w:rsidRPr="00080774">
              <w:rPr>
                <w:sz w:val="20"/>
                <w:szCs w:val="20"/>
              </w:rPr>
              <w:t xml:space="preserve">Procedures to be made and amended by AEMO, with compliance mandated by the NGL.  Would deal with information exchange for trades on the exchange and day-ahead auctions. </w:t>
            </w:r>
          </w:p>
        </w:tc>
      </w:tr>
    </w:tbl>
    <w:p w14:paraId="2440A220" w14:textId="77777777" w:rsidR="0057020B" w:rsidRPr="0057020B" w:rsidRDefault="0057020B" w:rsidP="0057020B">
      <w:pPr>
        <w:keepNext/>
        <w:keepLines/>
        <w:numPr>
          <w:ilvl w:val="3"/>
          <w:numId w:val="9"/>
        </w:numPr>
        <w:spacing w:before="360" w:after="240"/>
        <w:outlineLvl w:val="3"/>
        <w:rPr>
          <w:rFonts w:asciiTheme="majorHAnsi" w:eastAsiaTheme="majorEastAsia" w:hAnsiTheme="majorHAnsi" w:cstheme="majorBidi"/>
          <w:b/>
          <w:bCs/>
          <w:i/>
          <w:iCs/>
          <w:color w:val="007BC1"/>
        </w:rPr>
      </w:pPr>
      <w:r w:rsidRPr="0057020B">
        <w:rPr>
          <w:rFonts w:asciiTheme="majorHAnsi" w:eastAsiaTheme="majorEastAsia" w:hAnsiTheme="majorHAnsi" w:cstheme="majorBidi"/>
          <w:b/>
          <w:bCs/>
          <w:i/>
          <w:iCs/>
          <w:color w:val="007BC1"/>
        </w:rPr>
        <w:t>Publication and amendment</w:t>
      </w:r>
    </w:p>
    <w:p w14:paraId="5E986995" w14:textId="574524BA" w:rsidR="0057020B" w:rsidRPr="0057020B" w:rsidRDefault="0057020B" w:rsidP="0057020B">
      <w:pPr>
        <w:tabs>
          <w:tab w:val="left" w:pos="2268"/>
          <w:tab w:val="left" w:pos="4536"/>
          <w:tab w:val="left" w:pos="6804"/>
          <w:tab w:val="right" w:pos="9638"/>
        </w:tabs>
        <w:spacing w:before="240" w:after="120"/>
      </w:pPr>
      <w:r w:rsidRPr="0057020B">
        <w:t xml:space="preserve">The GMRG's preliminary view is that the initial </w:t>
      </w:r>
      <w:r w:rsidR="007B4229">
        <w:t>O</w:t>
      </w:r>
      <w:r w:rsidRPr="0057020B">
        <w:t xml:space="preserve">perational GTA </w:t>
      </w:r>
      <w:r w:rsidR="007B4229">
        <w:t xml:space="preserve">Code </w:t>
      </w:r>
      <w:r w:rsidRPr="0057020B">
        <w:t xml:space="preserve">should be made at the same time the initial Rules are made by the SA Minister.  This can be dealt with in a transitional rule that specifies who makes the initial </w:t>
      </w:r>
      <w:r w:rsidR="007B4229">
        <w:t>Code</w:t>
      </w:r>
      <w:r w:rsidR="007B4229" w:rsidRPr="0057020B">
        <w:t xml:space="preserve"> </w:t>
      </w:r>
      <w:r w:rsidRPr="0057020B">
        <w:t xml:space="preserve">and when it must be made and requires the initial </w:t>
      </w:r>
      <w:r w:rsidR="007B4229">
        <w:t>Code</w:t>
      </w:r>
      <w:r w:rsidR="007B4229" w:rsidRPr="0057020B">
        <w:t xml:space="preserve"> </w:t>
      </w:r>
      <w:r w:rsidRPr="0057020B">
        <w:t>to be in the form determined by the SA Minister and agreed by the participating jurisdictions.</w:t>
      </w:r>
    </w:p>
    <w:p w14:paraId="18176FAB" w14:textId="77777777" w:rsidR="0057020B" w:rsidRPr="0057020B" w:rsidRDefault="0057020B" w:rsidP="0057020B">
      <w:pPr>
        <w:tabs>
          <w:tab w:val="left" w:pos="2268"/>
          <w:tab w:val="left" w:pos="4536"/>
          <w:tab w:val="left" w:pos="6804"/>
          <w:tab w:val="right" w:pos="9638"/>
        </w:tabs>
        <w:spacing w:before="240" w:after="120"/>
      </w:pPr>
      <w:r w:rsidRPr="0057020B">
        <w:t>The GMRG's preliminary view is that after the initial Operational GTA Code is made, a hybrid governance model should be adopted under which:</w:t>
      </w:r>
    </w:p>
    <w:p w14:paraId="5623B43C" w14:textId="7A4F66C2" w:rsidR="0057020B" w:rsidRPr="0057020B" w:rsidRDefault="00080774" w:rsidP="0057020B">
      <w:pPr>
        <w:numPr>
          <w:ilvl w:val="0"/>
          <w:numId w:val="12"/>
        </w:numPr>
        <w:spacing w:before="120" w:after="120"/>
        <w:ind w:left="357" w:hanging="357"/>
      </w:pPr>
      <w:r>
        <w:t>T</w:t>
      </w:r>
      <w:r w:rsidR="0057020B" w:rsidRPr="0057020B">
        <w:t xml:space="preserve">he AER </w:t>
      </w:r>
      <w:r>
        <w:t>would</w:t>
      </w:r>
      <w:r w:rsidR="0057020B" w:rsidRPr="0057020B">
        <w:t xml:space="preserve"> p</w:t>
      </w:r>
      <w:r w:rsidR="00012827">
        <w:t>ublish the Operational GTA Code.</w:t>
      </w:r>
    </w:p>
    <w:p w14:paraId="492A45F2" w14:textId="6FB28E38" w:rsidR="007B4229" w:rsidRDefault="0057020B" w:rsidP="009D1C1B">
      <w:pPr>
        <w:numPr>
          <w:ilvl w:val="0"/>
          <w:numId w:val="12"/>
        </w:numPr>
        <w:spacing w:before="120" w:after="120"/>
        <w:ind w:left="357" w:hanging="357"/>
      </w:pPr>
      <w:r w:rsidRPr="0057020B">
        <w:lastRenderedPageBreak/>
        <w:t xml:space="preserve">AEMO would establish an industry representative panel </w:t>
      </w:r>
      <w:r w:rsidR="00080774">
        <w:t xml:space="preserve">that would be responsible for </w:t>
      </w:r>
      <w:r w:rsidRPr="0057020B">
        <w:t>consider</w:t>
      </w:r>
      <w:r w:rsidR="00080774">
        <w:t>ing</w:t>
      </w:r>
      <w:r w:rsidRPr="0057020B">
        <w:t xml:space="preserve"> and recommend</w:t>
      </w:r>
      <w:r w:rsidR="00080774">
        <w:t>ing</w:t>
      </w:r>
      <w:r w:rsidRPr="0057020B">
        <w:t xml:space="preserve"> changes to the Operational GTA Code</w:t>
      </w:r>
      <w:r w:rsidR="007B4229">
        <w:t xml:space="preserve">.  </w:t>
      </w:r>
    </w:p>
    <w:p w14:paraId="37593B27" w14:textId="349922DD" w:rsidR="007B4229" w:rsidRDefault="00080774" w:rsidP="009D1C1B">
      <w:pPr>
        <w:numPr>
          <w:ilvl w:val="0"/>
          <w:numId w:val="12"/>
        </w:numPr>
        <w:spacing w:before="120" w:after="120"/>
        <w:ind w:left="357" w:hanging="357"/>
      </w:pPr>
      <w:r>
        <w:t>AEMO would provide secretariat services to this panel</w:t>
      </w:r>
      <w:r w:rsidR="007B4229">
        <w:t xml:space="preserve">, including running consultation processes and requesting any specific input or analysis </w:t>
      </w:r>
      <w:r w:rsidR="00396529">
        <w:t xml:space="preserve">required </w:t>
      </w:r>
      <w:r w:rsidR="007B4229">
        <w:t>from the AEMC</w:t>
      </w:r>
      <w:r>
        <w:t xml:space="preserve">. </w:t>
      </w:r>
    </w:p>
    <w:p w14:paraId="32C635B8" w14:textId="47DBD949" w:rsidR="0057020B" w:rsidRPr="0057020B" w:rsidRDefault="00396529" w:rsidP="009D1C1B">
      <w:pPr>
        <w:numPr>
          <w:ilvl w:val="0"/>
          <w:numId w:val="12"/>
        </w:numPr>
        <w:spacing w:before="120" w:after="120"/>
        <w:ind w:left="357" w:hanging="357"/>
      </w:pPr>
      <w:r>
        <w:t>After the consultation process, t</w:t>
      </w:r>
      <w:r w:rsidR="0057020B" w:rsidRPr="0057020B">
        <w:t>he panel would recommend to the AER that a change be accepted, rejected or accepted in modified form</w:t>
      </w:r>
      <w:r w:rsidR="00080774">
        <w:t>.</w:t>
      </w:r>
    </w:p>
    <w:p w14:paraId="7907981A" w14:textId="77777777" w:rsidR="0057020B" w:rsidRPr="0057020B" w:rsidRDefault="00080774" w:rsidP="0057020B">
      <w:pPr>
        <w:numPr>
          <w:ilvl w:val="0"/>
          <w:numId w:val="12"/>
        </w:numPr>
        <w:spacing w:before="120" w:after="120"/>
        <w:ind w:left="357" w:hanging="357"/>
      </w:pPr>
      <w:r>
        <w:t>C</w:t>
      </w:r>
      <w:r w:rsidR="0057020B" w:rsidRPr="0057020B">
        <w:t xml:space="preserve">hanges recommended by the panel would only take effect if approved by the AER.  In deciding whether to approve, the AER would take into account any recommendation of the panel (but would not be bound by it).  </w:t>
      </w:r>
      <w:r>
        <w:t xml:space="preserve">The AER </w:t>
      </w:r>
      <w:r w:rsidR="0057020B" w:rsidRPr="0057020B">
        <w:t xml:space="preserve">could </w:t>
      </w:r>
      <w:r>
        <w:t xml:space="preserve">also </w:t>
      </w:r>
      <w:r w:rsidR="0057020B" w:rsidRPr="0057020B">
        <w:t>remit a matter to the panel for further consideration.</w:t>
      </w:r>
    </w:p>
    <w:p w14:paraId="796FFDE9" w14:textId="609B5FBA" w:rsidR="009D1C1B" w:rsidRDefault="0057020B" w:rsidP="0057020B">
      <w:pPr>
        <w:tabs>
          <w:tab w:val="left" w:pos="2268"/>
          <w:tab w:val="left" w:pos="4536"/>
          <w:tab w:val="left" w:pos="6804"/>
          <w:tab w:val="right" w:pos="9638"/>
        </w:tabs>
        <w:spacing w:before="240" w:after="120"/>
      </w:pPr>
      <w:r w:rsidRPr="0057020B">
        <w:t xml:space="preserve">The </w:t>
      </w:r>
      <w:r w:rsidR="00080774">
        <w:t xml:space="preserve">main benefits of this hybrid </w:t>
      </w:r>
      <w:r w:rsidRPr="0057020B">
        <w:t xml:space="preserve">model </w:t>
      </w:r>
      <w:r w:rsidR="00080774">
        <w:t>are that it will</w:t>
      </w:r>
      <w:r w:rsidR="009D1C1B">
        <w:t xml:space="preserve"> d</w:t>
      </w:r>
      <w:r w:rsidR="00080774">
        <w:t>raw on industry expertise</w:t>
      </w:r>
      <w:r w:rsidR="009D1C1B">
        <w:t xml:space="preserve"> and </w:t>
      </w:r>
      <w:r w:rsidR="009D1C1B" w:rsidRPr="0057020B">
        <w:t xml:space="preserve">provide independent oversight of changes through the </w:t>
      </w:r>
      <w:r w:rsidR="009D1C1B">
        <w:t xml:space="preserve">involvement of the AER. </w:t>
      </w:r>
      <w:r w:rsidRPr="0057020B">
        <w:t xml:space="preserve">In the GMRG’s view, </w:t>
      </w:r>
      <w:r w:rsidR="009D1C1B">
        <w:t xml:space="preserve">independent </w:t>
      </w:r>
      <w:r w:rsidRPr="0057020B">
        <w:t xml:space="preserve">oversight is required given the mandatory nature of the </w:t>
      </w:r>
      <w:r w:rsidR="009D1C1B">
        <w:t>O</w:t>
      </w:r>
      <w:r w:rsidRPr="0057020B">
        <w:t xml:space="preserve">perational GTA </w:t>
      </w:r>
      <w:r w:rsidR="009D1C1B">
        <w:t>Code</w:t>
      </w:r>
      <w:r w:rsidRPr="0057020B">
        <w:t>.  The GMRG’s pr</w:t>
      </w:r>
      <w:r w:rsidR="009D1C1B">
        <w:t xml:space="preserve">eliminary view is that the AER </w:t>
      </w:r>
      <w:r w:rsidRPr="0057020B">
        <w:t>should provide that oversight because</w:t>
      </w:r>
      <w:r w:rsidR="009D1C1B">
        <w:t>:</w:t>
      </w:r>
      <w:r w:rsidRPr="0057020B">
        <w:t xml:space="preserve"> </w:t>
      </w:r>
    </w:p>
    <w:p w14:paraId="586CDD5D" w14:textId="77777777" w:rsidR="0057020B" w:rsidRDefault="0057020B" w:rsidP="009D1C1B">
      <w:pPr>
        <w:pStyle w:val="ListBullet"/>
      </w:pPr>
      <w:r w:rsidRPr="0057020B">
        <w:t>it is consistent with the AER’s current role in relation to approving the terms and conditions of access to covered pipelines</w:t>
      </w:r>
      <w:r w:rsidR="009D1C1B">
        <w:t>;</w:t>
      </w:r>
    </w:p>
    <w:p w14:paraId="63750D3A" w14:textId="43D578C3" w:rsidR="009D1C1B" w:rsidRDefault="009D1C1B" w:rsidP="009D1C1B">
      <w:pPr>
        <w:pStyle w:val="ListBullet"/>
      </w:pPr>
      <w:r w:rsidRPr="0057020B">
        <w:t xml:space="preserve">AEMO may not be regarded as sufficiently independent to provide that oversight since it is also the operator of the </w:t>
      </w:r>
      <w:r>
        <w:t xml:space="preserve">capacity </w:t>
      </w:r>
      <w:r w:rsidRPr="0057020B">
        <w:t xml:space="preserve">trading </w:t>
      </w:r>
      <w:r w:rsidR="00E86BB7">
        <w:t xml:space="preserve">platform </w:t>
      </w:r>
      <w:r w:rsidRPr="0057020B">
        <w:t xml:space="preserve">and </w:t>
      </w:r>
      <w:r>
        <w:t xml:space="preserve">day-ahead </w:t>
      </w:r>
      <w:r w:rsidRPr="0057020B">
        <w:t>auction</w:t>
      </w:r>
      <w:r>
        <w:t>; and</w:t>
      </w:r>
    </w:p>
    <w:p w14:paraId="1C895F1C" w14:textId="77777777" w:rsidR="009D1C1B" w:rsidRPr="0057020B" w:rsidRDefault="009D1C1B" w:rsidP="009D1C1B">
      <w:pPr>
        <w:pStyle w:val="ListBullet"/>
      </w:pPr>
      <w:r>
        <w:t>this role may be perceived as a conflict of interest for the AEMC if it can also amend the principles that will be specified in the NGR (i.e. it would be both rule maker and regulator).</w:t>
      </w:r>
    </w:p>
    <w:p w14:paraId="6FAF2EC8" w14:textId="751DBEE2" w:rsidR="00012827" w:rsidRDefault="00012827" w:rsidP="0057020B">
      <w:pPr>
        <w:tabs>
          <w:tab w:val="left" w:pos="2268"/>
          <w:tab w:val="left" w:pos="4536"/>
          <w:tab w:val="left" w:pos="6804"/>
          <w:tab w:val="right" w:pos="9638"/>
        </w:tabs>
        <w:spacing w:before="240" w:after="120"/>
      </w:pPr>
      <w:r>
        <w:t xml:space="preserve">The other benefit of this model is that AEMO will be involved in the process and be able to coordinate </w:t>
      </w:r>
      <w:r w:rsidRPr="0057020B">
        <w:t xml:space="preserve">the change process for the </w:t>
      </w:r>
      <w:r>
        <w:t>O</w:t>
      </w:r>
      <w:r w:rsidRPr="0057020B">
        <w:t xml:space="preserve">perational GTA </w:t>
      </w:r>
      <w:r>
        <w:t xml:space="preserve">Code in </w:t>
      </w:r>
      <w:r w:rsidRPr="0057020B">
        <w:t xml:space="preserve">parallel with any related changes to the </w:t>
      </w:r>
      <w:r>
        <w:t xml:space="preserve">capacity </w:t>
      </w:r>
      <w:r w:rsidRPr="0057020B">
        <w:t xml:space="preserve">trading platform, </w:t>
      </w:r>
      <w:r w:rsidR="00F7735F">
        <w:t xml:space="preserve">day-ahead </w:t>
      </w:r>
      <w:r w:rsidRPr="0057020B">
        <w:t>auction rules and related procedures</w:t>
      </w:r>
      <w:r>
        <w:t>.</w:t>
      </w:r>
    </w:p>
    <w:p w14:paraId="5D12845F" w14:textId="19A3F0E1" w:rsidR="0057020B" w:rsidRPr="0057020B" w:rsidRDefault="0057020B" w:rsidP="0057020B">
      <w:pPr>
        <w:tabs>
          <w:tab w:val="left" w:pos="2268"/>
          <w:tab w:val="left" w:pos="4536"/>
          <w:tab w:val="left" w:pos="6804"/>
          <w:tab w:val="right" w:pos="9638"/>
        </w:tabs>
        <w:spacing w:before="240" w:after="120"/>
      </w:pPr>
      <w:r w:rsidRPr="0057020B">
        <w:t>The hybrid model provides for a</w:t>
      </w:r>
      <w:r w:rsidR="009D1C1B">
        <w:t>n industry</w:t>
      </w:r>
      <w:r w:rsidRPr="0057020B">
        <w:t xml:space="preserve"> </w:t>
      </w:r>
      <w:r w:rsidR="009D1C1B">
        <w:t>panel</w:t>
      </w:r>
      <w:r w:rsidRPr="0057020B">
        <w:t xml:space="preserve"> to be formed to make recommendations.  The NGR and NER contain different models for </w:t>
      </w:r>
      <w:r w:rsidR="009D1C1B">
        <w:t xml:space="preserve">panels </w:t>
      </w:r>
      <w:r w:rsidRPr="0057020B">
        <w:t xml:space="preserve">including formally constituted </w:t>
      </w:r>
      <w:r w:rsidR="009D1C1B">
        <w:t xml:space="preserve">panels, </w:t>
      </w:r>
      <w:r w:rsidRPr="0057020B">
        <w:t xml:space="preserve">such as the </w:t>
      </w:r>
      <w:r w:rsidR="00012827">
        <w:t>SRA panel</w:t>
      </w:r>
      <w:r w:rsidR="009D1C1B">
        <w:t>,</w:t>
      </w:r>
      <w:r w:rsidRPr="0057020B">
        <w:t xml:space="preserve"> </w:t>
      </w:r>
      <w:r w:rsidR="007B4229">
        <w:t xml:space="preserve">and informal arrangements </w:t>
      </w:r>
      <w:r w:rsidRPr="0057020B">
        <w:t>such as those currently used for development of the Exchange.</w:t>
      </w:r>
      <w:r w:rsidR="007B4229">
        <w:t xml:space="preserve">  Other models suggested to the GMRG include the arrangements for amendments to the B2B Procedures under the </w:t>
      </w:r>
      <w:r w:rsidR="00012827">
        <w:t>NER</w:t>
      </w:r>
      <w:r w:rsidR="007B4229">
        <w:t>.</w:t>
      </w:r>
    </w:p>
    <w:p w14:paraId="2A6D0A21" w14:textId="6C431544" w:rsidR="0057020B" w:rsidRPr="0057020B" w:rsidRDefault="0057020B" w:rsidP="0057020B">
      <w:pPr>
        <w:tabs>
          <w:tab w:val="left" w:pos="2268"/>
          <w:tab w:val="left" w:pos="4536"/>
          <w:tab w:val="left" w:pos="6804"/>
          <w:tab w:val="right" w:pos="9638"/>
        </w:tabs>
        <w:spacing w:before="240" w:after="120"/>
      </w:pPr>
      <w:r w:rsidRPr="0057020B">
        <w:t xml:space="preserve">The GMRG's preliminary view is that </w:t>
      </w:r>
      <w:r w:rsidR="009D1C1B">
        <w:t xml:space="preserve">a formal industry panel should be established and </w:t>
      </w:r>
      <w:r w:rsidRPr="0057020B">
        <w:t xml:space="preserve">the requirement to establish the </w:t>
      </w:r>
      <w:r w:rsidR="009D1C1B">
        <w:t>panel</w:t>
      </w:r>
      <w:r w:rsidRPr="0057020B">
        <w:t xml:space="preserve"> and its membership should be specified in the NGR. </w:t>
      </w:r>
      <w:r w:rsidR="00012827">
        <w:t xml:space="preserve"> As with other panels, the AER and the AEMC could be observers, if they considered it appropriate to do so.</w:t>
      </w:r>
      <w:r w:rsidR="007A60D4">
        <w:t xml:space="preserve"> It would also be open to the panel or the AER to seek advice from the AEMC about any market development related issues if they considered it relevant to do so.</w:t>
      </w:r>
    </w:p>
    <w:p w14:paraId="342A50C2" w14:textId="77777777" w:rsidR="0057020B" w:rsidRPr="0057020B" w:rsidRDefault="0057020B" w:rsidP="0057020B">
      <w:pPr>
        <w:keepNext/>
        <w:keepLines/>
        <w:numPr>
          <w:ilvl w:val="3"/>
          <w:numId w:val="9"/>
        </w:numPr>
        <w:spacing w:before="360" w:after="240"/>
        <w:outlineLvl w:val="3"/>
        <w:rPr>
          <w:rFonts w:asciiTheme="majorHAnsi" w:eastAsiaTheme="majorEastAsia" w:hAnsiTheme="majorHAnsi" w:cstheme="majorBidi"/>
          <w:b/>
          <w:bCs/>
          <w:i/>
          <w:iCs/>
          <w:color w:val="007BC1"/>
        </w:rPr>
      </w:pPr>
      <w:r w:rsidRPr="0057020B">
        <w:rPr>
          <w:rFonts w:asciiTheme="majorHAnsi" w:eastAsiaTheme="majorEastAsia" w:hAnsiTheme="majorHAnsi" w:cstheme="majorBidi"/>
          <w:b/>
          <w:bCs/>
          <w:i/>
          <w:iCs/>
          <w:color w:val="007BC1"/>
        </w:rPr>
        <w:t>Principles governing amendments</w:t>
      </w:r>
    </w:p>
    <w:p w14:paraId="5668E1DD" w14:textId="6B8F28F2" w:rsidR="0057020B" w:rsidRPr="0057020B" w:rsidRDefault="0057020B" w:rsidP="0057020B">
      <w:pPr>
        <w:tabs>
          <w:tab w:val="left" w:pos="2268"/>
          <w:tab w:val="left" w:pos="4536"/>
          <w:tab w:val="left" w:pos="6804"/>
          <w:tab w:val="right" w:pos="9638"/>
        </w:tabs>
        <w:spacing w:before="240" w:after="120"/>
      </w:pPr>
      <w:r w:rsidRPr="0057020B">
        <w:t>Whichever change process is chosen, the NGR will need to specify the principles to be applied in making changes to the Operational GTA Code. The GMRG’s preliminary view is that these would be based on the principles in section </w:t>
      </w:r>
      <w:r w:rsidR="009D1C1B">
        <w:fldChar w:fldCharType="begin"/>
      </w:r>
      <w:r w:rsidR="009D1C1B">
        <w:instrText xml:space="preserve"> REF _Ref491756890 \r \h </w:instrText>
      </w:r>
      <w:r w:rsidR="009D1C1B">
        <w:fldChar w:fldCharType="separate"/>
      </w:r>
      <w:r w:rsidR="00947034">
        <w:t>2.3</w:t>
      </w:r>
      <w:r w:rsidR="009D1C1B">
        <w:fldChar w:fldCharType="end"/>
      </w:r>
      <w:r w:rsidRPr="0057020B">
        <w:t xml:space="preserve"> and so would encompass </w:t>
      </w:r>
      <w:r w:rsidRPr="0057020B">
        <w:lastRenderedPageBreak/>
        <w:t>consideration of the NGO</w:t>
      </w:r>
      <w:r w:rsidR="009D1C1B">
        <w:t>, the Vision, the objectives of the capacity trading reforms</w:t>
      </w:r>
      <w:r w:rsidRPr="0057020B">
        <w:t xml:space="preserve"> and the extent to which proposed amendments:</w:t>
      </w:r>
    </w:p>
    <w:p w14:paraId="10ADCEC1" w14:textId="77777777" w:rsidR="0057020B" w:rsidRPr="0057020B" w:rsidRDefault="0057020B" w:rsidP="0057020B">
      <w:pPr>
        <w:numPr>
          <w:ilvl w:val="0"/>
          <w:numId w:val="12"/>
        </w:numPr>
        <w:spacing w:before="120" w:after="120"/>
        <w:ind w:left="357" w:hanging="357"/>
      </w:pPr>
      <w:r w:rsidRPr="0057020B">
        <w:t>promote access to secondary capacity on reasonable terms;</w:t>
      </w:r>
    </w:p>
    <w:p w14:paraId="76E17210" w14:textId="1056220E" w:rsidR="0057020B" w:rsidRPr="0057020B" w:rsidRDefault="0057020B" w:rsidP="0057020B">
      <w:pPr>
        <w:numPr>
          <w:ilvl w:val="0"/>
          <w:numId w:val="12"/>
        </w:numPr>
        <w:spacing w:before="120" w:after="120"/>
        <w:ind w:left="357" w:hanging="357"/>
      </w:pPr>
      <w:r w:rsidRPr="0057020B">
        <w:t xml:space="preserve">reflect the legitimate business interests of </w:t>
      </w:r>
      <w:r w:rsidR="00852D52">
        <w:t xml:space="preserve">service providers </w:t>
      </w:r>
      <w:r w:rsidRPr="0057020B">
        <w:t>and other parties that have rights to use the transportation services;</w:t>
      </w:r>
    </w:p>
    <w:p w14:paraId="41E1D99B" w14:textId="77777777" w:rsidR="0057020B" w:rsidRPr="0057020B" w:rsidRDefault="0057020B" w:rsidP="0057020B">
      <w:pPr>
        <w:numPr>
          <w:ilvl w:val="0"/>
          <w:numId w:val="12"/>
        </w:numPr>
        <w:spacing w:before="120" w:after="120"/>
        <w:ind w:left="357" w:hanging="357"/>
      </w:pPr>
      <w:r w:rsidRPr="0057020B">
        <w:t>are operationally feasible and recognise the operational and technical requirements necessary for the safe and reliable operation of pipelines;</w:t>
      </w:r>
    </w:p>
    <w:p w14:paraId="1065EAA6" w14:textId="77777777" w:rsidR="0057020B" w:rsidRPr="0057020B" w:rsidRDefault="0057020B" w:rsidP="0057020B">
      <w:pPr>
        <w:numPr>
          <w:ilvl w:val="0"/>
          <w:numId w:val="12"/>
        </w:numPr>
        <w:spacing w:before="120" w:after="120"/>
        <w:ind w:left="357" w:hanging="357"/>
      </w:pPr>
      <w:r w:rsidRPr="0057020B">
        <w:t xml:space="preserve">facilitate the efficient operation and use of the capacity trading platform and day-ahead auction; and </w:t>
      </w:r>
    </w:p>
    <w:p w14:paraId="30E7A5E4" w14:textId="77777777" w:rsidR="0057020B" w:rsidRPr="0057020B" w:rsidRDefault="0057020B" w:rsidP="0057020B">
      <w:pPr>
        <w:numPr>
          <w:ilvl w:val="0"/>
          <w:numId w:val="12"/>
        </w:numPr>
        <w:spacing w:before="120" w:after="120"/>
        <w:ind w:left="357" w:hanging="357"/>
      </w:pPr>
      <w:r w:rsidRPr="0057020B">
        <w:t xml:space="preserve">more generally promote efficient investment in, and efficient operation and use of, natural gas services. </w:t>
      </w:r>
    </w:p>
    <w:p w14:paraId="41D3EF86" w14:textId="77777777" w:rsidR="0057020B" w:rsidRPr="0057020B" w:rsidRDefault="0057020B" w:rsidP="0057020B">
      <w:pPr>
        <w:keepNext/>
        <w:keepLines/>
        <w:numPr>
          <w:ilvl w:val="3"/>
          <w:numId w:val="9"/>
        </w:numPr>
        <w:spacing w:before="360" w:after="240"/>
        <w:outlineLvl w:val="3"/>
        <w:rPr>
          <w:rFonts w:asciiTheme="majorHAnsi" w:eastAsiaTheme="majorEastAsia" w:hAnsiTheme="majorHAnsi" w:cstheme="majorBidi"/>
          <w:b/>
          <w:bCs/>
          <w:i/>
          <w:iCs/>
          <w:color w:val="007BC1"/>
        </w:rPr>
      </w:pPr>
      <w:r w:rsidRPr="0057020B">
        <w:rPr>
          <w:rFonts w:asciiTheme="majorHAnsi" w:eastAsiaTheme="majorEastAsia" w:hAnsiTheme="majorHAnsi" w:cstheme="majorBidi"/>
          <w:b/>
          <w:bCs/>
          <w:i/>
          <w:iCs/>
          <w:color w:val="007BC1"/>
        </w:rPr>
        <w:t>How changes take effect</w:t>
      </w:r>
    </w:p>
    <w:p w14:paraId="7A98BD65" w14:textId="39F9A1DC" w:rsidR="0057020B" w:rsidRPr="0057020B" w:rsidRDefault="0057020B" w:rsidP="0057020B">
      <w:pPr>
        <w:tabs>
          <w:tab w:val="left" w:pos="2268"/>
          <w:tab w:val="left" w:pos="4536"/>
          <w:tab w:val="left" w:pos="6804"/>
          <w:tab w:val="right" w:pos="9638"/>
        </w:tabs>
        <w:spacing w:before="240" w:after="120"/>
      </w:pPr>
      <w:r w:rsidRPr="0057020B">
        <w:t>Three types of change need to be considered:</w:t>
      </w:r>
      <w:r w:rsidR="007B4229">
        <w:rPr>
          <w:rStyle w:val="FootnoteReference"/>
        </w:rPr>
        <w:footnoteReference w:id="36"/>
      </w:r>
    </w:p>
    <w:p w14:paraId="50A6C41A" w14:textId="77777777" w:rsidR="0057020B" w:rsidRPr="0057020B" w:rsidRDefault="0057020B" w:rsidP="0057020B">
      <w:pPr>
        <w:numPr>
          <w:ilvl w:val="0"/>
          <w:numId w:val="12"/>
        </w:numPr>
        <w:spacing w:before="120" w:after="120"/>
        <w:ind w:left="357" w:hanging="357"/>
      </w:pPr>
      <w:r w:rsidRPr="0057020B">
        <w:t>changes to the standard terms in the Operational GTA Code;</w:t>
      </w:r>
    </w:p>
    <w:p w14:paraId="28BDEF64" w14:textId="51A84076" w:rsidR="0057020B" w:rsidRPr="0057020B" w:rsidRDefault="0057020B" w:rsidP="0057020B">
      <w:pPr>
        <w:numPr>
          <w:ilvl w:val="0"/>
          <w:numId w:val="12"/>
        </w:numPr>
        <w:spacing w:before="120" w:after="120"/>
        <w:ind w:left="357" w:hanging="357"/>
      </w:pPr>
      <w:r w:rsidRPr="0057020B">
        <w:t xml:space="preserve">changes to the requirements for </w:t>
      </w:r>
      <w:r w:rsidR="00996004">
        <w:t>facility specific terms</w:t>
      </w:r>
      <w:r w:rsidRPr="0057020B">
        <w:t xml:space="preserve"> in the Operational GTA Code, which would in turn require service providers to amend their facility specific terms; and</w:t>
      </w:r>
    </w:p>
    <w:p w14:paraId="19958FEB" w14:textId="527998F1" w:rsidR="0057020B" w:rsidRPr="0057020B" w:rsidRDefault="0057020B" w:rsidP="0057020B">
      <w:pPr>
        <w:numPr>
          <w:ilvl w:val="0"/>
          <w:numId w:val="12"/>
        </w:numPr>
        <w:spacing w:before="120" w:after="120"/>
        <w:ind w:left="357" w:hanging="357"/>
      </w:pPr>
      <w:r w:rsidRPr="0057020B">
        <w:t>changes to the facility specific terms required by the relevant service provider, for example</w:t>
      </w:r>
      <w:r w:rsidR="00F7735F">
        <w:t>,</w:t>
      </w:r>
      <w:r w:rsidRPr="0057020B">
        <w:t xml:space="preserve"> to reflect new operational arrangements on a pipeline.</w:t>
      </w:r>
    </w:p>
    <w:p w14:paraId="19BEF3E1" w14:textId="77777777" w:rsidR="0057020B" w:rsidRPr="0057020B" w:rsidRDefault="0057020B" w:rsidP="0057020B">
      <w:pPr>
        <w:tabs>
          <w:tab w:val="left" w:pos="2268"/>
          <w:tab w:val="left" w:pos="4536"/>
          <w:tab w:val="left" w:pos="6804"/>
          <w:tab w:val="right" w:pos="9638"/>
        </w:tabs>
        <w:spacing w:before="240" w:after="120"/>
      </w:pPr>
      <w:r w:rsidRPr="0057020B">
        <w:t>In relation to the first of the</w:t>
      </w:r>
      <w:r w:rsidR="005663EA">
        <w:t>se, the GMRG's preliminary view</w:t>
      </w:r>
      <w:r w:rsidRPr="0057020B">
        <w:t xml:space="preserve"> is that once made, changes to the standard terms in the Operational GTA Code would automatically apply both to Operational GTAs already in place and new Operational GTAs, subject to any transitional arrangements put in place at the time the changes are made.</w:t>
      </w:r>
    </w:p>
    <w:p w14:paraId="4D9EB97B" w14:textId="77777777" w:rsidR="0057020B" w:rsidRPr="0057020B" w:rsidRDefault="0057020B" w:rsidP="0057020B">
      <w:pPr>
        <w:tabs>
          <w:tab w:val="left" w:pos="2268"/>
          <w:tab w:val="left" w:pos="4536"/>
          <w:tab w:val="left" w:pos="6804"/>
          <w:tab w:val="right" w:pos="9638"/>
        </w:tabs>
        <w:spacing w:before="240" w:after="120"/>
      </w:pPr>
      <w:r w:rsidRPr="0057020B">
        <w:t>Where changes are made to the requirements for facility specific terms in the Operational GTA Code, the NGR would require service providers to be given a reasonable period to amend their facility specific terms. Once amended, the changes would automatically apply both to Operational GTAs already in place and new Operational GTAs, subject to any transitional arrangements.</w:t>
      </w:r>
    </w:p>
    <w:p w14:paraId="5D3E8D1B" w14:textId="4756B425" w:rsidR="0057020B" w:rsidRDefault="0057020B" w:rsidP="0057020B">
      <w:pPr>
        <w:tabs>
          <w:tab w:val="left" w:pos="2268"/>
          <w:tab w:val="left" w:pos="4536"/>
          <w:tab w:val="left" w:pos="6804"/>
          <w:tab w:val="right" w:pos="9638"/>
        </w:tabs>
        <w:spacing w:before="240" w:after="120"/>
      </w:pPr>
      <w:r w:rsidRPr="0057020B">
        <w:t xml:space="preserve">The service provider would be permitted to amend its </w:t>
      </w:r>
      <w:r w:rsidR="009D1C1B">
        <w:t>f</w:t>
      </w:r>
      <w:r w:rsidRPr="0057020B">
        <w:t xml:space="preserve">acility </w:t>
      </w:r>
      <w:r w:rsidR="009D1C1B">
        <w:t>s</w:t>
      </w:r>
      <w:r w:rsidRPr="0057020B">
        <w:t xml:space="preserve">pecific </w:t>
      </w:r>
      <w:r w:rsidR="009D1C1B">
        <w:t>t</w:t>
      </w:r>
      <w:r w:rsidRPr="0057020B">
        <w:t xml:space="preserve">erms at any time (i.e. without a change to the Operational GTA Code) but </w:t>
      </w:r>
      <w:r w:rsidR="000463D7">
        <w:t xml:space="preserve">this </w:t>
      </w:r>
      <w:r w:rsidR="009D1C1B">
        <w:t>would</w:t>
      </w:r>
      <w:r w:rsidR="00F7735F">
        <w:t xml:space="preserve"> be</w:t>
      </w:r>
      <w:r w:rsidR="009D1C1B">
        <w:t xml:space="preserve"> </w:t>
      </w:r>
      <w:r w:rsidRPr="0057020B">
        <w:t xml:space="preserve">subject to the </w:t>
      </w:r>
      <w:r w:rsidR="000463D7">
        <w:t xml:space="preserve">requirements for facility specific terms, the </w:t>
      </w:r>
      <w:r w:rsidRPr="0057020B">
        <w:t xml:space="preserve">principles in the </w:t>
      </w:r>
      <w:r w:rsidR="009D1C1B">
        <w:t xml:space="preserve">NGR </w:t>
      </w:r>
      <w:r w:rsidRPr="0057020B">
        <w:t xml:space="preserve">governing the </w:t>
      </w:r>
      <w:r w:rsidR="00996004">
        <w:t>facility specific terms</w:t>
      </w:r>
      <w:r w:rsidRPr="0057020B">
        <w:t xml:space="preserve"> (see </w:t>
      </w:r>
      <w:r w:rsidR="009D1C1B">
        <w:t xml:space="preserve">section </w:t>
      </w:r>
      <w:r w:rsidR="00FF2DE7">
        <w:fldChar w:fldCharType="begin"/>
      </w:r>
      <w:r w:rsidR="00FF2DE7">
        <w:instrText xml:space="preserve"> REF _Ref492198635 \r \h </w:instrText>
      </w:r>
      <w:r w:rsidR="00FF2DE7">
        <w:fldChar w:fldCharType="separate"/>
      </w:r>
      <w:r w:rsidR="00947034">
        <w:t>3.5.3</w:t>
      </w:r>
      <w:r w:rsidR="00FF2DE7">
        <w:fldChar w:fldCharType="end"/>
      </w:r>
      <w:r w:rsidRPr="0057020B">
        <w:t xml:space="preserve">) and reasonable transitional arrangements. The service provider would be permitted to apply those changes both to </w:t>
      </w:r>
      <w:r w:rsidR="00F7735F">
        <w:t>o</w:t>
      </w:r>
      <w:r w:rsidRPr="0057020B">
        <w:t xml:space="preserve">perational GTAs already in place and new </w:t>
      </w:r>
      <w:r w:rsidR="00F7735F">
        <w:t>o</w:t>
      </w:r>
      <w:r w:rsidRPr="0057020B">
        <w:t xml:space="preserve">perational GTAs. </w:t>
      </w:r>
    </w:p>
    <w:p w14:paraId="43B83474" w14:textId="77777777" w:rsidR="009D1C1B" w:rsidRPr="0057020B" w:rsidRDefault="009D1C1B" w:rsidP="009D1C1B">
      <w:pPr>
        <w:keepNext/>
        <w:keepLines/>
        <w:numPr>
          <w:ilvl w:val="3"/>
          <w:numId w:val="9"/>
        </w:numPr>
        <w:spacing w:before="360" w:after="240"/>
        <w:outlineLvl w:val="3"/>
        <w:rPr>
          <w:rFonts w:asciiTheme="majorHAnsi" w:eastAsiaTheme="majorEastAsia" w:hAnsiTheme="majorHAnsi" w:cstheme="majorBidi"/>
          <w:b/>
          <w:bCs/>
          <w:i/>
          <w:iCs/>
          <w:color w:val="007BC1"/>
        </w:rPr>
      </w:pPr>
      <w:r>
        <w:rPr>
          <w:rFonts w:asciiTheme="majorHAnsi" w:eastAsiaTheme="majorEastAsia" w:hAnsiTheme="majorHAnsi" w:cstheme="majorBidi"/>
          <w:b/>
          <w:bCs/>
          <w:i/>
          <w:iCs/>
          <w:color w:val="007BC1"/>
        </w:rPr>
        <w:t xml:space="preserve">Questions for stakeholders </w:t>
      </w:r>
    </w:p>
    <w:p w14:paraId="0CC11259" w14:textId="77777777" w:rsidR="009D1C1B" w:rsidRPr="0057020B" w:rsidRDefault="009D1C1B" w:rsidP="0057020B">
      <w:pPr>
        <w:tabs>
          <w:tab w:val="left" w:pos="2268"/>
          <w:tab w:val="left" w:pos="4536"/>
          <w:tab w:val="left" w:pos="6804"/>
          <w:tab w:val="right" w:pos="9638"/>
        </w:tabs>
        <w:spacing w:before="240" w:after="120"/>
      </w:pPr>
      <w:r>
        <w:t xml:space="preserve">The </w:t>
      </w:r>
      <w:r w:rsidR="005663EA">
        <w:t xml:space="preserve">GMRG is interested in hearing stakeholders’ views on the proposed governance arrangements for the Operational GTA Code and the </w:t>
      </w:r>
      <w:r>
        <w:t xml:space="preserve">questions </w:t>
      </w:r>
      <w:r w:rsidR="005663EA">
        <w:t xml:space="preserve">set out in the box below. </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3.6: Questions on the governance of Operational GTA Code"/>
        <w:tblDescription w:val="Questions on the governance of Operational GTA Code"/>
      </w:tblPr>
      <w:tblGrid>
        <w:gridCol w:w="8788"/>
      </w:tblGrid>
      <w:tr w:rsidR="00DA5886" w:rsidRPr="0057020B" w14:paraId="2B04DE4E" w14:textId="77777777" w:rsidTr="00F32DDA">
        <w:trPr>
          <w:tblHeader/>
        </w:trPr>
        <w:tc>
          <w:tcPr>
            <w:tcW w:w="5000" w:type="pct"/>
            <w:shd w:val="clear" w:color="auto" w:fill="auto"/>
          </w:tcPr>
          <w:p w14:paraId="725E6991" w14:textId="2BF886E5" w:rsidR="00DA5886" w:rsidRPr="0057020B" w:rsidRDefault="00DA5886" w:rsidP="00F32DDA">
            <w:pPr>
              <w:rPr>
                <w:rFonts w:eastAsiaTheme="majorEastAsia"/>
                <w:sz w:val="21"/>
                <w:szCs w:val="21"/>
              </w:rPr>
            </w:pPr>
            <w:r w:rsidRPr="0057020B">
              <w:rPr>
                <w:rFonts w:eastAsiaTheme="minorHAnsi" w:cstheme="minorBidi"/>
                <w:b/>
                <w:bCs/>
                <w:lang w:eastAsia="fr-CA"/>
              </w:rPr>
              <w:lastRenderedPageBreak/>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3</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6</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the governance of </w:t>
            </w:r>
            <w:r>
              <w:rPr>
                <w:rFonts w:eastAsiaTheme="minorHAnsi" w:cstheme="minorBidi"/>
                <w:b/>
                <w:lang w:eastAsia="fr-CA"/>
              </w:rPr>
              <w:t>Operational GTA Code</w:t>
            </w:r>
          </w:p>
        </w:tc>
      </w:tr>
      <w:tr w:rsidR="00DA5886" w:rsidRPr="0057020B" w14:paraId="6692BC4F" w14:textId="77777777" w:rsidTr="00F32DDA">
        <w:trPr>
          <w:tblHeader/>
        </w:trPr>
        <w:tc>
          <w:tcPr>
            <w:tcW w:w="5000" w:type="pct"/>
            <w:shd w:val="clear" w:color="auto" w:fill="B7E7FF"/>
          </w:tcPr>
          <w:p w14:paraId="056B7553" w14:textId="77777777" w:rsidR="00DA5886" w:rsidRPr="0057020B" w:rsidRDefault="00DA5886" w:rsidP="00DA5886">
            <w:pPr>
              <w:numPr>
                <w:ilvl w:val="0"/>
                <w:numId w:val="23"/>
              </w:numPr>
              <w:spacing w:before="120" w:after="120"/>
              <w:rPr>
                <w:rFonts w:eastAsiaTheme="majorEastAsia"/>
                <w:sz w:val="21"/>
                <w:szCs w:val="21"/>
              </w:rPr>
            </w:pPr>
            <w:r w:rsidRPr="0057020B">
              <w:rPr>
                <w:rFonts w:eastAsiaTheme="majorEastAsia"/>
                <w:sz w:val="21"/>
                <w:szCs w:val="21"/>
              </w:rPr>
              <w:t>Do you agree with GMRG’s preliminary view on the governance model? If not, what model do you think should be used and why?</w:t>
            </w:r>
          </w:p>
          <w:p w14:paraId="06809C51" w14:textId="77777777" w:rsidR="00DA5886" w:rsidRPr="007A60D4" w:rsidRDefault="00DA5886" w:rsidP="00DA5886">
            <w:pPr>
              <w:numPr>
                <w:ilvl w:val="0"/>
                <w:numId w:val="23"/>
              </w:numPr>
              <w:spacing w:before="120" w:after="120"/>
              <w:ind w:hanging="357"/>
              <w:rPr>
                <w:rFonts w:eastAsiaTheme="majorEastAsia"/>
                <w:sz w:val="20"/>
                <w:szCs w:val="20"/>
              </w:rPr>
            </w:pPr>
            <w:r>
              <w:rPr>
                <w:rFonts w:eastAsiaTheme="majorEastAsia"/>
                <w:sz w:val="21"/>
                <w:szCs w:val="21"/>
              </w:rPr>
              <w:t>What principles do you think should be included in the NGR to guide any future amendments to the Operational GTA Code?</w:t>
            </w:r>
          </w:p>
          <w:p w14:paraId="6DE757E6" w14:textId="77777777" w:rsidR="00DA5886" w:rsidRDefault="00DA5886" w:rsidP="00DA5886">
            <w:pPr>
              <w:numPr>
                <w:ilvl w:val="0"/>
                <w:numId w:val="23"/>
              </w:numPr>
              <w:spacing w:before="120" w:after="120"/>
              <w:ind w:hanging="357"/>
              <w:rPr>
                <w:rFonts w:eastAsiaTheme="majorEastAsia"/>
                <w:sz w:val="20"/>
                <w:szCs w:val="20"/>
              </w:rPr>
            </w:pPr>
            <w:r>
              <w:rPr>
                <w:rFonts w:eastAsiaTheme="majorEastAsia"/>
                <w:sz w:val="21"/>
                <w:szCs w:val="21"/>
              </w:rPr>
              <w:t>Do you think the AEMC should have a formal role in the change process, for example, to provide advice to the panel and/or the AER on the effect the proposed change may have on the broader market or gas market development more generally?</w:t>
            </w:r>
          </w:p>
          <w:p w14:paraId="60242B01" w14:textId="5F240139" w:rsidR="00DA5886" w:rsidRPr="00DA5886" w:rsidRDefault="00DA5886" w:rsidP="00DA5886">
            <w:pPr>
              <w:numPr>
                <w:ilvl w:val="0"/>
                <w:numId w:val="23"/>
              </w:numPr>
              <w:spacing w:before="120" w:after="120"/>
              <w:ind w:hanging="357"/>
              <w:rPr>
                <w:rFonts w:eastAsiaTheme="majorEastAsia"/>
                <w:sz w:val="20"/>
                <w:szCs w:val="20"/>
              </w:rPr>
            </w:pPr>
            <w:r w:rsidRPr="00DA5886">
              <w:rPr>
                <w:rFonts w:eastAsiaTheme="majorEastAsia"/>
                <w:sz w:val="21"/>
                <w:szCs w:val="21"/>
              </w:rPr>
              <w:t>Do you agree with the way in which changes to the Operational GTA Code and the facility specific terms would take effect? If not, please explain why.</w:t>
            </w:r>
          </w:p>
        </w:tc>
      </w:tr>
    </w:tbl>
    <w:p w14:paraId="52015211" w14:textId="0BB3E935" w:rsidR="0057020B" w:rsidRPr="0057020B" w:rsidRDefault="0057020B" w:rsidP="005663EA">
      <w:pPr>
        <w:pStyle w:val="Heading3"/>
      </w:pPr>
      <w:r w:rsidRPr="0057020B">
        <w:t xml:space="preserve">Obligation to </w:t>
      </w:r>
      <w:r w:rsidR="006819FF">
        <w:t>publish</w:t>
      </w:r>
      <w:r w:rsidRPr="0057020B">
        <w:t xml:space="preserve"> and offer a standard operational GTA </w:t>
      </w:r>
    </w:p>
    <w:p w14:paraId="17B62A06" w14:textId="43F91360" w:rsidR="0057020B" w:rsidRPr="0057020B" w:rsidRDefault="0057020B" w:rsidP="0057020B">
      <w:pPr>
        <w:tabs>
          <w:tab w:val="left" w:pos="2268"/>
          <w:tab w:val="left" w:pos="4536"/>
          <w:tab w:val="left" w:pos="6804"/>
          <w:tab w:val="right" w:pos="9638"/>
        </w:tabs>
        <w:spacing w:before="240" w:after="120"/>
        <w:rPr>
          <w:rFonts w:cs="Arial"/>
          <w:color w:val="000000"/>
        </w:rPr>
      </w:pPr>
      <w:r w:rsidRPr="0057020B">
        <w:t xml:space="preserve">As outlined in section </w:t>
      </w:r>
      <w:r w:rsidRPr="0057020B">
        <w:fldChar w:fldCharType="begin"/>
      </w:r>
      <w:r w:rsidRPr="0057020B">
        <w:instrText xml:space="preserve"> REF _Ref490989573 \r \h </w:instrText>
      </w:r>
      <w:r w:rsidRPr="0057020B">
        <w:fldChar w:fldCharType="separate"/>
      </w:r>
      <w:r w:rsidR="00947034">
        <w:t>3.4</w:t>
      </w:r>
      <w:r w:rsidRPr="0057020B">
        <w:fldChar w:fldCharType="end"/>
      </w:r>
      <w:r w:rsidRPr="0057020B">
        <w:t>, the GMRG’s preliminary view is that</w:t>
      </w:r>
      <w:r w:rsidR="00F7735F">
        <w:rPr>
          <w:rFonts w:cs="Arial"/>
          <w:color w:val="000000"/>
        </w:rPr>
        <w:t>:</w:t>
      </w:r>
      <w:r w:rsidRPr="0057020B">
        <w:rPr>
          <w:rFonts w:cs="Arial"/>
          <w:color w:val="000000"/>
        </w:rPr>
        <w:t xml:space="preserve"> </w:t>
      </w:r>
    </w:p>
    <w:p w14:paraId="4276E579" w14:textId="66E0DEDD" w:rsidR="0057020B" w:rsidRPr="0057020B" w:rsidRDefault="0057020B" w:rsidP="0057020B">
      <w:pPr>
        <w:numPr>
          <w:ilvl w:val="0"/>
          <w:numId w:val="12"/>
        </w:numPr>
        <w:spacing w:before="120" w:after="120"/>
        <w:ind w:left="357" w:hanging="357"/>
      </w:pPr>
      <w:r w:rsidRPr="0057020B">
        <w:t>It should be mandatory to offer the standardised operational GTA</w:t>
      </w:r>
      <w:r w:rsidR="007B4229">
        <w:t xml:space="preserve"> (subject to the counterparty being a qualifying entity and any exemptions).</w:t>
      </w:r>
    </w:p>
    <w:p w14:paraId="664E1CC2" w14:textId="77777777" w:rsidR="0057020B" w:rsidRPr="0057020B" w:rsidRDefault="0057020B" w:rsidP="0057020B">
      <w:pPr>
        <w:numPr>
          <w:ilvl w:val="0"/>
          <w:numId w:val="12"/>
        </w:numPr>
        <w:spacing w:before="120" w:after="120"/>
        <w:ind w:left="357" w:hanging="357"/>
      </w:pPr>
      <w:r w:rsidRPr="0057020B">
        <w:t>The standard services under the standardised operational GTA should be excluded from the negotiation and arbitration framework in Part 23 of the NGR.</w:t>
      </w:r>
    </w:p>
    <w:p w14:paraId="5DB23B75" w14:textId="77777777" w:rsidR="0057020B" w:rsidRPr="0057020B" w:rsidRDefault="0057020B" w:rsidP="0057020B">
      <w:pPr>
        <w:numPr>
          <w:ilvl w:val="0"/>
          <w:numId w:val="12"/>
        </w:numPr>
        <w:spacing w:before="120" w:after="120"/>
        <w:ind w:left="357" w:hanging="357"/>
      </w:pPr>
      <w:r w:rsidRPr="0057020B">
        <w:t xml:space="preserve">It should not be mandatory to offer other services on the terms of the operational GTA.  </w:t>
      </w:r>
    </w:p>
    <w:p w14:paraId="199FD072" w14:textId="77777777" w:rsidR="0057020B" w:rsidRPr="0057020B" w:rsidRDefault="0057020B" w:rsidP="0057020B">
      <w:pPr>
        <w:numPr>
          <w:ilvl w:val="0"/>
          <w:numId w:val="12"/>
        </w:numPr>
        <w:spacing w:before="120" w:after="120"/>
        <w:ind w:left="357" w:hanging="357"/>
      </w:pPr>
      <w:r w:rsidRPr="0057020B">
        <w:t>The NGL/NGR should not prohibit service providers and shippers from agreeing arrangements for operational transfers or other services on terms negotiated between them.</w:t>
      </w:r>
    </w:p>
    <w:p w14:paraId="230C7032" w14:textId="746D0E08" w:rsidR="0057020B" w:rsidRPr="0057020B" w:rsidRDefault="0057020B" w:rsidP="0057020B">
      <w:pPr>
        <w:numPr>
          <w:ilvl w:val="0"/>
          <w:numId w:val="12"/>
        </w:numPr>
        <w:spacing w:before="120" w:after="120"/>
        <w:ind w:left="357" w:hanging="357"/>
      </w:pPr>
      <w:r w:rsidRPr="0057020B">
        <w:t>The</w:t>
      </w:r>
      <w:r w:rsidR="00F7735F">
        <w:t xml:space="preserve"> capacity</w:t>
      </w:r>
      <w:r w:rsidRPr="0057020B">
        <w:t xml:space="preserve"> trading platform and </w:t>
      </w:r>
      <w:r w:rsidR="00F7735F">
        <w:t xml:space="preserve">day-ahead </w:t>
      </w:r>
      <w:r w:rsidRPr="0057020B">
        <w:t>auction should be designed, operated and developed on the assumption that standard form operational GTAs are used to deliver all trades.</w:t>
      </w:r>
    </w:p>
    <w:p w14:paraId="2F38EC48" w14:textId="60C37526" w:rsidR="0057020B" w:rsidRPr="0057020B" w:rsidRDefault="0057020B" w:rsidP="0057020B">
      <w:pPr>
        <w:tabs>
          <w:tab w:val="left" w:pos="2268"/>
          <w:tab w:val="left" w:pos="4536"/>
          <w:tab w:val="left" w:pos="6804"/>
          <w:tab w:val="right" w:pos="9638"/>
        </w:tabs>
        <w:spacing w:before="240" w:after="120"/>
      </w:pPr>
      <w:r w:rsidRPr="0057020B">
        <w:t xml:space="preserve">To give effect to these </w:t>
      </w:r>
      <w:r w:rsidR="00E86BB7">
        <w:t>arrangements</w:t>
      </w:r>
      <w:r w:rsidRPr="0057020B">
        <w:t>, changes would need to be made to the NGL</w:t>
      </w:r>
      <w:r w:rsidRPr="0057020B">
        <w:rPr>
          <w:vertAlign w:val="superscript"/>
        </w:rPr>
        <w:footnoteReference w:id="37"/>
      </w:r>
      <w:r w:rsidRPr="0057020B">
        <w:t xml:space="preserve"> and the NGR, to: </w:t>
      </w:r>
    </w:p>
    <w:p w14:paraId="35CD4FE3" w14:textId="1E3409A8" w:rsidR="0057020B" w:rsidRPr="0057020B" w:rsidRDefault="0057020B" w:rsidP="0057020B">
      <w:pPr>
        <w:numPr>
          <w:ilvl w:val="0"/>
          <w:numId w:val="12"/>
        </w:numPr>
        <w:spacing w:before="120" w:after="120"/>
        <w:ind w:left="357" w:hanging="357"/>
      </w:pPr>
      <w:r w:rsidRPr="0057020B">
        <w:t>require service providers that provide third party access to publish a standard form operational GTA on their website incorporating the standard terms and facility specific terms for each facility</w:t>
      </w:r>
      <w:r w:rsidR="00E86BB7">
        <w:t xml:space="preserve"> that comply with the high level principles in the NGR</w:t>
      </w:r>
      <w:r w:rsidRPr="0057020B">
        <w:t>; and</w:t>
      </w:r>
    </w:p>
    <w:p w14:paraId="207E871E" w14:textId="3FC1C40B" w:rsidR="0057020B" w:rsidRPr="0057020B" w:rsidRDefault="0057020B" w:rsidP="0057020B">
      <w:pPr>
        <w:numPr>
          <w:ilvl w:val="0"/>
          <w:numId w:val="12"/>
        </w:numPr>
        <w:spacing w:before="120" w:after="120"/>
        <w:ind w:left="357" w:hanging="357"/>
      </w:pPr>
      <w:proofErr w:type="gramStart"/>
      <w:r w:rsidRPr="0057020B">
        <w:t>require</w:t>
      </w:r>
      <w:proofErr w:type="gramEnd"/>
      <w:r w:rsidRPr="0057020B">
        <w:t xml:space="preserve"> service providers to offer to enter into a standard operational GTA on request by a shipper, for one or more facilities as selected by the shipper.</w:t>
      </w:r>
      <w:r w:rsidRPr="0057020B">
        <w:rPr>
          <w:vertAlign w:val="superscript"/>
        </w:rPr>
        <w:footnoteReference w:id="38"/>
      </w:r>
      <w:r w:rsidRPr="0057020B">
        <w:t xml:space="preserve"> </w:t>
      </w:r>
    </w:p>
    <w:p w14:paraId="31124099" w14:textId="77777777" w:rsidR="0057020B" w:rsidRPr="0057020B" w:rsidRDefault="0057020B" w:rsidP="0057020B">
      <w:pPr>
        <w:tabs>
          <w:tab w:val="left" w:pos="2268"/>
          <w:tab w:val="left" w:pos="4536"/>
          <w:tab w:val="left" w:pos="6804"/>
          <w:tab w:val="right" w:pos="9638"/>
        </w:tabs>
        <w:spacing w:before="240" w:after="120"/>
      </w:pPr>
      <w:r w:rsidRPr="0057020B">
        <w:t>If an operational GTA is entered into, the rights and obligations between the parties would be governed by usual principles of contract law and the operational GTA would be enforceable as a contract.</w:t>
      </w:r>
    </w:p>
    <w:p w14:paraId="2444F7FD" w14:textId="025489BC" w:rsidR="0057020B" w:rsidRPr="0057020B" w:rsidRDefault="0057020B" w:rsidP="0057020B">
      <w:pPr>
        <w:tabs>
          <w:tab w:val="left" w:pos="2268"/>
          <w:tab w:val="left" w:pos="4536"/>
          <w:tab w:val="left" w:pos="6804"/>
          <w:tab w:val="right" w:pos="9638"/>
        </w:tabs>
        <w:spacing w:before="240" w:after="120"/>
      </w:pPr>
      <w:r w:rsidRPr="0057020B">
        <w:t>It is envisaged that under this proposed framework, the obligation to publish a standard form operational GTA on the service provider’s website</w:t>
      </w:r>
      <w:r w:rsidR="00E86BB7">
        <w:t xml:space="preserve">, to comply with the high level </w:t>
      </w:r>
      <w:r w:rsidR="00E86BB7">
        <w:lastRenderedPageBreak/>
        <w:t xml:space="preserve">principles in the NGR when making facility specific terms </w:t>
      </w:r>
      <w:r w:rsidRPr="0057020B">
        <w:t xml:space="preserve">and to offer to enter into a standard operational GTA would be classified as civil penalty provisions in the regulations made under the NGL. Consistent with the role it plays in other markets, it is also envisaged that the AER would: </w:t>
      </w:r>
    </w:p>
    <w:p w14:paraId="04EA668D" w14:textId="5D679589" w:rsidR="0057020B" w:rsidRPr="0057020B" w:rsidRDefault="0057020B" w:rsidP="0057020B">
      <w:pPr>
        <w:numPr>
          <w:ilvl w:val="0"/>
          <w:numId w:val="12"/>
        </w:numPr>
        <w:spacing w:before="120" w:after="120"/>
        <w:ind w:left="357" w:hanging="357"/>
      </w:pPr>
      <w:r w:rsidRPr="0057020B">
        <w:t xml:space="preserve">be responsible for monitoring the service provider’s compliance with the obligation to publish the standard operational GTA and that the </w:t>
      </w:r>
      <w:r w:rsidR="00E86BB7">
        <w:t xml:space="preserve">facility specific </w:t>
      </w:r>
      <w:r w:rsidRPr="0057020B">
        <w:t xml:space="preserve">terms are consistent with the </w:t>
      </w:r>
      <w:r w:rsidR="005663EA">
        <w:t>O</w:t>
      </w:r>
      <w:r w:rsidRPr="0057020B">
        <w:t xml:space="preserve">perational GTA </w:t>
      </w:r>
      <w:r w:rsidR="005663EA">
        <w:t>Code</w:t>
      </w:r>
      <w:r w:rsidR="007B4229">
        <w:t xml:space="preserve"> and the principles applicable to the </w:t>
      </w:r>
      <w:r w:rsidR="00996004">
        <w:t>facility specific terms</w:t>
      </w:r>
      <w:r w:rsidR="007B4229">
        <w:t xml:space="preserve"> in the NGR</w:t>
      </w:r>
      <w:r w:rsidRPr="0057020B">
        <w:t>; and</w:t>
      </w:r>
    </w:p>
    <w:p w14:paraId="2F6CE732" w14:textId="77777777" w:rsidR="0057020B" w:rsidRPr="0057020B" w:rsidRDefault="0057020B" w:rsidP="0057020B">
      <w:pPr>
        <w:numPr>
          <w:ilvl w:val="0"/>
          <w:numId w:val="12"/>
        </w:numPr>
        <w:spacing w:before="120" w:after="120"/>
        <w:ind w:left="357" w:hanging="357"/>
      </w:pPr>
      <w:r w:rsidRPr="0057020B">
        <w:t xml:space="preserve">have the power to exempt a pipeline (or other facility) from the regime because, for example, the pipeline (or other facility) does not offer third party access. </w:t>
      </w:r>
    </w:p>
    <w:p w14:paraId="7FEE36F0" w14:textId="77777777" w:rsidR="0057020B" w:rsidRPr="0057020B" w:rsidRDefault="0057020B" w:rsidP="0057020B">
      <w:pPr>
        <w:tabs>
          <w:tab w:val="left" w:pos="2268"/>
          <w:tab w:val="left" w:pos="4536"/>
          <w:tab w:val="left" w:pos="6804"/>
          <w:tab w:val="right" w:pos="9638"/>
        </w:tabs>
        <w:spacing w:before="240" w:after="120"/>
      </w:pPr>
      <w:r w:rsidRPr="0057020B">
        <w:t>These functions and powers would also need to be reflected in the NGL and NGR.</w:t>
      </w:r>
    </w:p>
    <w:p w14:paraId="70BE83DB" w14:textId="4A2CDF3B" w:rsidR="0057020B" w:rsidRDefault="0057020B" w:rsidP="0057020B">
      <w:pPr>
        <w:tabs>
          <w:tab w:val="left" w:pos="2268"/>
          <w:tab w:val="left" w:pos="4536"/>
          <w:tab w:val="left" w:pos="6804"/>
          <w:tab w:val="right" w:pos="9638"/>
        </w:tabs>
        <w:spacing w:before="240" w:after="120"/>
      </w:pPr>
      <w:r w:rsidRPr="0057020B">
        <w:t xml:space="preserve">The GMRG is interested in obtaining other stakeholders’ views on this issue and the questions in </w:t>
      </w:r>
      <w:r w:rsidR="00E86BB7">
        <w:t>the box below</w:t>
      </w:r>
      <w:r w:rsidRPr="0057020B">
        <w:t>.</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3.7: Questions on service provider obligations "/>
        <w:tblDescription w:val="Questions on service provider obligations "/>
      </w:tblPr>
      <w:tblGrid>
        <w:gridCol w:w="8788"/>
      </w:tblGrid>
      <w:tr w:rsidR="00A509F5" w:rsidRPr="0057020B" w14:paraId="618BE172" w14:textId="77777777" w:rsidTr="00A509F5">
        <w:trPr>
          <w:tblHeader/>
        </w:trPr>
        <w:tc>
          <w:tcPr>
            <w:tcW w:w="5000" w:type="pct"/>
            <w:shd w:val="clear" w:color="auto" w:fill="auto"/>
          </w:tcPr>
          <w:p w14:paraId="193A02D8" w14:textId="34662BA4" w:rsidR="00A509F5" w:rsidRPr="0057020B" w:rsidRDefault="00A509F5" w:rsidP="00A509F5">
            <w:pPr>
              <w:spacing w:before="120"/>
              <w:rPr>
                <w:rFonts w:eastAsiaTheme="majorEastAsia"/>
                <w:sz w:val="20"/>
                <w:szCs w:val="20"/>
              </w:rPr>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3</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7</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Questions on service provider obligations</w:t>
            </w:r>
          </w:p>
        </w:tc>
      </w:tr>
      <w:tr w:rsidR="00A509F5" w:rsidRPr="0057020B" w14:paraId="713B4247" w14:textId="77777777" w:rsidTr="00A509F5">
        <w:trPr>
          <w:tblHeader/>
        </w:trPr>
        <w:tc>
          <w:tcPr>
            <w:tcW w:w="5000" w:type="pct"/>
            <w:shd w:val="clear" w:color="auto" w:fill="B7E7FF"/>
          </w:tcPr>
          <w:p w14:paraId="7A4F815E" w14:textId="77777777" w:rsidR="00A509F5" w:rsidRPr="0057020B" w:rsidRDefault="00A509F5" w:rsidP="00A509F5">
            <w:pPr>
              <w:numPr>
                <w:ilvl w:val="0"/>
                <w:numId w:val="23"/>
              </w:numPr>
              <w:spacing w:before="120" w:after="120"/>
              <w:rPr>
                <w:rFonts w:eastAsiaTheme="majorEastAsia"/>
                <w:sz w:val="20"/>
                <w:szCs w:val="20"/>
              </w:rPr>
            </w:pPr>
            <w:r w:rsidRPr="0057020B">
              <w:rPr>
                <w:rFonts w:eastAsiaTheme="majorEastAsia"/>
                <w:sz w:val="20"/>
                <w:szCs w:val="20"/>
              </w:rPr>
              <w:t xml:space="preserve">Do you agree that the obligation of service providers to publish and offer to enter into the standardised operational GTA should be classified as civil penalty provisions? </w:t>
            </w:r>
          </w:p>
          <w:p w14:paraId="176DD761" w14:textId="77777777" w:rsidR="00A509F5" w:rsidRDefault="00A509F5" w:rsidP="00A509F5">
            <w:pPr>
              <w:numPr>
                <w:ilvl w:val="0"/>
                <w:numId w:val="23"/>
              </w:numPr>
              <w:spacing w:before="120" w:after="120"/>
              <w:ind w:hanging="357"/>
              <w:rPr>
                <w:rFonts w:eastAsiaTheme="majorEastAsia"/>
                <w:sz w:val="20"/>
                <w:szCs w:val="20"/>
              </w:rPr>
            </w:pPr>
            <w:r w:rsidRPr="0057020B">
              <w:rPr>
                <w:rFonts w:eastAsiaTheme="majorEastAsia"/>
                <w:sz w:val="20"/>
                <w:szCs w:val="20"/>
              </w:rPr>
              <w:t xml:space="preserve">Do you think exemptions from the obligation to publish and offer to enter into the standardised operational GTA should be available if the asset in question is not providing third party access? If not, please explain why.  Are there any other exemptions that you think should be available to service providers? </w:t>
            </w:r>
          </w:p>
          <w:p w14:paraId="75E870C6" w14:textId="6BEC71A3" w:rsidR="00A509F5" w:rsidRPr="00A509F5" w:rsidRDefault="00A509F5" w:rsidP="00A509F5">
            <w:pPr>
              <w:numPr>
                <w:ilvl w:val="0"/>
                <w:numId w:val="23"/>
              </w:numPr>
              <w:spacing w:before="120" w:after="120"/>
              <w:ind w:hanging="357"/>
              <w:rPr>
                <w:rFonts w:eastAsiaTheme="majorEastAsia"/>
                <w:sz w:val="20"/>
                <w:szCs w:val="20"/>
              </w:rPr>
            </w:pPr>
            <w:r w:rsidRPr="00A509F5">
              <w:rPr>
                <w:rFonts w:eastAsiaTheme="majorEastAsia"/>
                <w:sz w:val="20"/>
                <w:szCs w:val="20"/>
              </w:rPr>
              <w:t>Do you think the AER should be able to monitor the compliance of a service provider’s facility specific terms with the requirements in the Operational GTA Code and the principles in the NGR (for example, the imbalance provisions or the charges)? If not, please explain why.</w:t>
            </w:r>
          </w:p>
        </w:tc>
      </w:tr>
    </w:tbl>
    <w:p w14:paraId="282CBAEE" w14:textId="77777777" w:rsidR="00E86BB7" w:rsidRDefault="00E86BB7" w:rsidP="00E86BB7">
      <w:pPr>
        <w:pStyle w:val="Heading3"/>
      </w:pPr>
      <w:bookmarkStart w:id="87" w:name="_Ref492198635"/>
      <w:r>
        <w:t>Principles governing facility specific terms</w:t>
      </w:r>
      <w:bookmarkEnd w:id="87"/>
    </w:p>
    <w:p w14:paraId="570C0BCF" w14:textId="77777777" w:rsidR="00E86BB7" w:rsidRDefault="00E86BB7" w:rsidP="00E86BB7">
      <w:pPr>
        <w:pStyle w:val="BodyText"/>
      </w:pPr>
      <w:r>
        <w:t xml:space="preserve">The GMRG proposes that, while service providers will have some discretion in relation to the facility specific terms, they will need to comply with a number of principles that will be set out in the NGR and subject to AER oversight as regulator. Principles are required in the NGR because: </w:t>
      </w:r>
    </w:p>
    <w:p w14:paraId="042DEBC1" w14:textId="77777777" w:rsidR="00E86BB7" w:rsidRDefault="00E86BB7" w:rsidP="00E86BB7">
      <w:pPr>
        <w:pStyle w:val="ListBullet"/>
      </w:pPr>
      <w:r w:rsidRPr="0057020B">
        <w:t xml:space="preserve">service providers’ interests in facilitating secondary capacity trades may not be closely aligned with the interests of shippers </w:t>
      </w:r>
      <w:r>
        <w:t>that want to trade capacity; and</w:t>
      </w:r>
    </w:p>
    <w:p w14:paraId="70B9FFA3" w14:textId="77777777" w:rsidR="00E86BB7" w:rsidRDefault="00E86BB7" w:rsidP="00E86BB7">
      <w:pPr>
        <w:pStyle w:val="ListBullet"/>
      </w:pPr>
      <w:r w:rsidRPr="0057020B">
        <w:t>service providers will face no competition for the provision of operational transfer services</w:t>
      </w:r>
      <w:r>
        <w:t>.</w:t>
      </w:r>
    </w:p>
    <w:p w14:paraId="2A90F6B8" w14:textId="77777777" w:rsidR="00E86BB7" w:rsidRPr="0057020B" w:rsidRDefault="00E86BB7" w:rsidP="00E86BB7">
      <w:pPr>
        <w:pStyle w:val="BodyText"/>
      </w:pPr>
      <w:r w:rsidRPr="0057020B">
        <w:t>The GMRG's preliminary view is that the principles should encompass:</w:t>
      </w:r>
    </w:p>
    <w:p w14:paraId="1655B6E8" w14:textId="77777777" w:rsidR="00E86BB7" w:rsidRPr="0057020B" w:rsidRDefault="00E86BB7" w:rsidP="00FF2DE7">
      <w:pPr>
        <w:pStyle w:val="ListBullet"/>
      </w:pPr>
      <w:r w:rsidRPr="0057020B">
        <w:t xml:space="preserve">An overriding requirement </w:t>
      </w:r>
      <w:r>
        <w:t xml:space="preserve">that </w:t>
      </w:r>
      <w:r w:rsidRPr="0057020B">
        <w:t xml:space="preserve">the </w:t>
      </w:r>
      <w:r>
        <w:t xml:space="preserve">facility </w:t>
      </w:r>
      <w:r w:rsidRPr="0057020B">
        <w:t xml:space="preserve">specific terms </w:t>
      </w:r>
      <w:r>
        <w:t xml:space="preserve">adopted by the service provider </w:t>
      </w:r>
      <w:r w:rsidRPr="0057020B">
        <w:t>be reasonable. This is to be assessed having regard to the terms that would be negotiated in a workably competitive market.</w:t>
      </w:r>
    </w:p>
    <w:p w14:paraId="71568F63" w14:textId="77777777" w:rsidR="00E86BB7" w:rsidRPr="0057020B" w:rsidRDefault="00E86BB7" w:rsidP="00FF2DE7">
      <w:pPr>
        <w:pStyle w:val="ListBullet"/>
      </w:pPr>
      <w:r w:rsidRPr="0057020B">
        <w:t xml:space="preserve">A requirement that, where applicable, </w:t>
      </w:r>
      <w:r>
        <w:t xml:space="preserve">facility </w:t>
      </w:r>
      <w:r w:rsidRPr="0057020B">
        <w:t xml:space="preserve">specific terms, must be consistent with the terms of an Access Arrangement </w:t>
      </w:r>
      <w:r>
        <w:t xml:space="preserve">(AA) </w:t>
      </w:r>
      <w:r w:rsidRPr="0057020B">
        <w:t xml:space="preserve">for the pipeline or an </w:t>
      </w:r>
      <w:r>
        <w:t xml:space="preserve">AA </w:t>
      </w:r>
      <w:r w:rsidRPr="0057020B">
        <w:t xml:space="preserve">for another transmission pipeline equivalent in nature to the pipeline and not impose obligations, </w:t>
      </w:r>
      <w:r w:rsidRPr="0057020B">
        <w:lastRenderedPageBreak/>
        <w:t xml:space="preserve">requirements or other limitations on the secondary shipper’s rights that are more restrictive than those in the AA. The logic for this </w:t>
      </w:r>
      <w:r>
        <w:t xml:space="preserve">principle </w:t>
      </w:r>
      <w:r w:rsidRPr="0057020B">
        <w:t xml:space="preserve">is that </w:t>
      </w:r>
      <w:r>
        <w:t xml:space="preserve">AAs </w:t>
      </w:r>
      <w:r w:rsidRPr="0057020B">
        <w:t xml:space="preserve">have been reviewed by an independent regulator, the </w:t>
      </w:r>
      <w:r>
        <w:t xml:space="preserve">AER </w:t>
      </w:r>
      <w:r w:rsidRPr="0057020B">
        <w:t>or the Economic Regulation Authority</w:t>
      </w:r>
      <w:r>
        <w:t xml:space="preserve"> (ERA)</w:t>
      </w:r>
      <w:r w:rsidRPr="0057020B">
        <w:t xml:space="preserve"> </w:t>
      </w:r>
      <w:r>
        <w:t>in Western Australia</w:t>
      </w:r>
      <w:r w:rsidRPr="0057020B">
        <w:t xml:space="preserve">. </w:t>
      </w:r>
    </w:p>
    <w:p w14:paraId="20C7B025" w14:textId="77777777" w:rsidR="00E86BB7" w:rsidRPr="0057020B" w:rsidRDefault="00E86BB7" w:rsidP="00FF2DE7">
      <w:pPr>
        <w:pStyle w:val="ListBullet"/>
      </w:pPr>
      <w:r w:rsidRPr="0057020B">
        <w:t>Provision for the reasonableness of a facility specific term to be assessed by reference to the terms on which the services are available to other primary and secondary s</w:t>
      </w:r>
      <w:r>
        <w:t xml:space="preserve">hippers and industry practice. </w:t>
      </w:r>
      <w:r w:rsidRPr="0057020B">
        <w:t xml:space="preserve">This would be qualified where pipelines have </w:t>
      </w:r>
      <w:r>
        <w:t>f</w:t>
      </w:r>
      <w:r w:rsidRPr="0057020B">
        <w:t xml:space="preserve">oundation </w:t>
      </w:r>
      <w:r>
        <w:t>s</w:t>
      </w:r>
      <w:r w:rsidRPr="0057020B">
        <w:t>hipper</w:t>
      </w:r>
      <w:r>
        <w:rPr>
          <w:rStyle w:val="FootnoteReference"/>
        </w:rPr>
        <w:footnoteReference w:id="39"/>
      </w:r>
      <w:r w:rsidRPr="0057020B">
        <w:t xml:space="preserve"> contracts containing provisions </w:t>
      </w:r>
      <w:r>
        <w:t xml:space="preserve">that </w:t>
      </w:r>
      <w:r w:rsidRPr="0057020B">
        <w:t>no longer represent current contrac</w:t>
      </w:r>
      <w:r>
        <w:t>ting practice on the pipeline.</w:t>
      </w:r>
    </w:p>
    <w:p w14:paraId="27BD3391" w14:textId="77777777" w:rsidR="00E86BB7" w:rsidRPr="0057020B" w:rsidRDefault="00E86BB7" w:rsidP="00FF2DE7">
      <w:pPr>
        <w:pStyle w:val="ListBullet"/>
      </w:pPr>
      <w:r w:rsidRPr="0057020B">
        <w:t xml:space="preserve">A requirement that, except where expressly permitted by the </w:t>
      </w:r>
      <w:r>
        <w:t>standard terms</w:t>
      </w:r>
      <w:r w:rsidRPr="0057020B">
        <w:t xml:space="preserve"> or where required to comply with a law or undertaking given to the Crown or a regulator, </w:t>
      </w:r>
      <w:r>
        <w:t>f</w:t>
      </w:r>
      <w:r w:rsidRPr="0057020B">
        <w:t xml:space="preserve">acility </w:t>
      </w:r>
      <w:r>
        <w:t>s</w:t>
      </w:r>
      <w:r w:rsidRPr="0057020B">
        <w:t xml:space="preserve">pecific </w:t>
      </w:r>
      <w:r>
        <w:t>t</w:t>
      </w:r>
      <w:r w:rsidRPr="0057020B">
        <w:t xml:space="preserve">erms may </w:t>
      </w:r>
      <w:r>
        <w:t>not vary the s</w:t>
      </w:r>
      <w:r w:rsidRPr="0057020B">
        <w:t xml:space="preserve">tandard </w:t>
      </w:r>
      <w:r>
        <w:t>t</w:t>
      </w:r>
      <w:r w:rsidRPr="0057020B">
        <w:t>erms.</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3.8: Questions on principles governing facility specific principles"/>
        <w:tblDescription w:val="Questions on principles governing facility specific principles"/>
      </w:tblPr>
      <w:tblGrid>
        <w:gridCol w:w="8788"/>
      </w:tblGrid>
      <w:tr w:rsidR="00A509F5" w:rsidRPr="0057020B" w14:paraId="02FFC13B" w14:textId="77777777" w:rsidTr="00A509F5">
        <w:trPr>
          <w:tblHeader/>
        </w:trPr>
        <w:tc>
          <w:tcPr>
            <w:tcW w:w="5000" w:type="pct"/>
            <w:shd w:val="clear" w:color="auto" w:fill="auto"/>
          </w:tcPr>
          <w:p w14:paraId="598FF6E6" w14:textId="4037B22C" w:rsidR="00A509F5" w:rsidRPr="00054D50" w:rsidRDefault="00A509F5" w:rsidP="00A509F5">
            <w:pPr>
              <w:spacing w:before="120" w:after="120"/>
              <w:rPr>
                <w:rFonts w:eastAsiaTheme="majorEastAsia"/>
                <w:sz w:val="20"/>
                <w:szCs w:val="20"/>
              </w:rPr>
            </w:pPr>
            <w:bookmarkStart w:id="88" w:name="_Ref492228598"/>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3</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8</w:t>
            </w:r>
            <w:r>
              <w:rPr>
                <w:rFonts w:eastAsiaTheme="minorHAnsi" w:cstheme="minorBidi"/>
                <w:b/>
                <w:bCs/>
                <w:lang w:eastAsia="fr-CA"/>
              </w:rPr>
              <w:fldChar w:fldCharType="end"/>
            </w:r>
            <w:bookmarkEnd w:id="88"/>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principles governing facility specific principles</w:t>
            </w:r>
          </w:p>
        </w:tc>
      </w:tr>
      <w:tr w:rsidR="00A509F5" w:rsidRPr="0057020B" w14:paraId="35285008" w14:textId="77777777" w:rsidTr="00A509F5">
        <w:trPr>
          <w:tblHeader/>
        </w:trPr>
        <w:tc>
          <w:tcPr>
            <w:tcW w:w="5000" w:type="pct"/>
            <w:shd w:val="clear" w:color="auto" w:fill="B7E7FF"/>
          </w:tcPr>
          <w:p w14:paraId="7ED1CA52" w14:textId="77777777" w:rsidR="00A509F5" w:rsidRPr="00054D50" w:rsidRDefault="00A509F5" w:rsidP="00A509F5">
            <w:pPr>
              <w:numPr>
                <w:ilvl w:val="0"/>
                <w:numId w:val="23"/>
              </w:numPr>
              <w:spacing w:before="120" w:after="120"/>
              <w:rPr>
                <w:rFonts w:eastAsiaTheme="majorEastAsia"/>
                <w:sz w:val="20"/>
                <w:szCs w:val="20"/>
              </w:rPr>
            </w:pPr>
            <w:r w:rsidRPr="00054D50">
              <w:rPr>
                <w:rFonts w:eastAsiaTheme="majorEastAsia"/>
                <w:sz w:val="20"/>
                <w:szCs w:val="20"/>
              </w:rPr>
              <w:t>Do you agree with the proposed principles for the facility specific terms, or do you think some modifications to these principles are required?</w:t>
            </w:r>
          </w:p>
          <w:p w14:paraId="514B9D01" w14:textId="77777777" w:rsidR="00A509F5" w:rsidRPr="00054D50" w:rsidRDefault="00A509F5" w:rsidP="00A509F5">
            <w:pPr>
              <w:pStyle w:val="ListBullet2"/>
              <w:rPr>
                <w:rFonts w:eastAsiaTheme="majorEastAsia"/>
                <w:sz w:val="20"/>
                <w:szCs w:val="20"/>
              </w:rPr>
            </w:pPr>
            <w:r w:rsidRPr="00054D50">
              <w:rPr>
                <w:rFonts w:eastAsiaTheme="majorEastAsia"/>
                <w:sz w:val="20"/>
                <w:szCs w:val="20"/>
              </w:rPr>
              <w:t>Do you think AAs are an appropriate reference point for determining whether facility specific terms are reasonable, or do you think previous AA decisions may have resulted in terms that are not reasonable?  In answering this question please provide examples of terms that have been approved by a regulator that you do not consider reasonable.</w:t>
            </w:r>
          </w:p>
          <w:p w14:paraId="354BB688" w14:textId="77777777" w:rsidR="00A509F5" w:rsidRDefault="00A509F5" w:rsidP="00A509F5">
            <w:pPr>
              <w:pStyle w:val="ListBullet2"/>
              <w:rPr>
                <w:rFonts w:eastAsiaTheme="majorEastAsia"/>
                <w:sz w:val="20"/>
                <w:szCs w:val="20"/>
              </w:rPr>
            </w:pPr>
            <w:r w:rsidRPr="00054D50">
              <w:rPr>
                <w:rFonts w:eastAsiaTheme="majorEastAsia"/>
                <w:sz w:val="20"/>
                <w:szCs w:val="20"/>
              </w:rPr>
              <w:t xml:space="preserve">To what extent do you think the terms in primary GTAs are an appropriate reference point for determining whether the facility specific terms are reasonable? </w:t>
            </w:r>
          </w:p>
          <w:p w14:paraId="1B876B33" w14:textId="34A63FB2" w:rsidR="00A509F5" w:rsidRPr="00A509F5" w:rsidRDefault="00A509F5" w:rsidP="00A509F5">
            <w:pPr>
              <w:pStyle w:val="ListBullet2"/>
              <w:rPr>
                <w:rFonts w:eastAsiaTheme="majorEastAsia"/>
                <w:sz w:val="20"/>
                <w:szCs w:val="20"/>
              </w:rPr>
            </w:pPr>
            <w:r w:rsidRPr="00A509F5">
              <w:rPr>
                <w:rFonts w:eastAsiaTheme="majorEastAsia"/>
                <w:sz w:val="20"/>
                <w:szCs w:val="20"/>
              </w:rPr>
              <w:t>To what extent do you think the terms in existing secondary shipper gas transportation agreements (whether in an operational GTA or incorporated in a primary GTA) are an appropriate reference point for determining whether the facility specific terms are reasonable?</w:t>
            </w:r>
          </w:p>
        </w:tc>
      </w:tr>
    </w:tbl>
    <w:p w14:paraId="22D4554C" w14:textId="77777777" w:rsidR="0057020B" w:rsidRPr="0057020B" w:rsidRDefault="0057020B" w:rsidP="005663EA">
      <w:pPr>
        <w:pStyle w:val="Heading3"/>
      </w:pPr>
      <w:bookmarkStart w:id="89" w:name="_Ref492004158"/>
      <w:r w:rsidRPr="0057020B">
        <w:t>Capacity transfer procedures</w:t>
      </w:r>
      <w:bookmarkEnd w:id="89"/>
      <w:r w:rsidRPr="0057020B">
        <w:t xml:space="preserve"> </w:t>
      </w:r>
    </w:p>
    <w:p w14:paraId="46D8FD7B" w14:textId="77777777" w:rsidR="0057020B" w:rsidRPr="0057020B" w:rsidRDefault="0057020B" w:rsidP="0057020B">
      <w:pPr>
        <w:tabs>
          <w:tab w:val="left" w:pos="2268"/>
          <w:tab w:val="left" w:pos="4536"/>
          <w:tab w:val="left" w:pos="6804"/>
          <w:tab w:val="right" w:pos="9638"/>
        </w:tabs>
        <w:spacing w:before="240" w:after="120"/>
      </w:pPr>
      <w:r w:rsidRPr="0057020B">
        <w:t xml:space="preserve">A key purpose of the standardisation process is to support the operation of the capacity trading platform and the day-ahead auction. For this to be effective, AEMO, as operator of those markets, will need to exchange information with service providers. </w:t>
      </w:r>
    </w:p>
    <w:p w14:paraId="0D812C5B" w14:textId="77777777" w:rsidR="0057020B" w:rsidRPr="0057020B" w:rsidRDefault="0057020B" w:rsidP="0057020B">
      <w:pPr>
        <w:tabs>
          <w:tab w:val="left" w:pos="2268"/>
          <w:tab w:val="left" w:pos="4536"/>
          <w:tab w:val="left" w:pos="6804"/>
          <w:tab w:val="right" w:pos="9638"/>
        </w:tabs>
        <w:spacing w:before="240" w:after="120"/>
      </w:pPr>
      <w:r w:rsidRPr="0057020B">
        <w:t>The GMRG’s preliminary view on this issue is that AEMO should have the power to make and amend procedures that specify the form and timing of information to be exchanged for these two mechanisms (</w:t>
      </w:r>
      <w:r w:rsidRPr="0057020B">
        <w:rPr>
          <w:b/>
        </w:rPr>
        <w:t>capacity transfer procedures</w:t>
      </w:r>
      <w:r w:rsidRPr="0057020B">
        <w:t xml:space="preserve">) if it is satisfied the procedures are: </w:t>
      </w:r>
    </w:p>
    <w:p w14:paraId="2F8F5C47" w14:textId="77777777" w:rsidR="0057020B" w:rsidRPr="0057020B" w:rsidRDefault="0057020B" w:rsidP="0057020B">
      <w:pPr>
        <w:numPr>
          <w:ilvl w:val="0"/>
          <w:numId w:val="12"/>
        </w:numPr>
        <w:spacing w:before="120" w:after="120"/>
        <w:ind w:left="357" w:hanging="357"/>
      </w:pPr>
      <w:r w:rsidRPr="0057020B">
        <w:t xml:space="preserve">consistent with the NGL and the NGR; and </w:t>
      </w:r>
    </w:p>
    <w:p w14:paraId="29D3D2A1" w14:textId="77777777" w:rsidR="0057020B" w:rsidRPr="0057020B" w:rsidRDefault="0057020B" w:rsidP="0057020B">
      <w:pPr>
        <w:numPr>
          <w:ilvl w:val="0"/>
          <w:numId w:val="12"/>
        </w:numPr>
        <w:spacing w:before="120" w:after="120"/>
        <w:ind w:left="357" w:hanging="357"/>
      </w:pPr>
      <w:r w:rsidRPr="0057020B">
        <w:t>appropriate having regard to the NGO and any compliance costs that are likely to be incurred by market participants.</w:t>
      </w:r>
    </w:p>
    <w:p w14:paraId="3E44453A" w14:textId="77777777" w:rsidR="0057020B" w:rsidRPr="0057020B" w:rsidRDefault="0057020B" w:rsidP="0057020B">
      <w:pPr>
        <w:tabs>
          <w:tab w:val="left" w:pos="2268"/>
          <w:tab w:val="left" w:pos="4536"/>
          <w:tab w:val="left" w:pos="6804"/>
          <w:tab w:val="right" w:pos="9638"/>
        </w:tabs>
        <w:spacing w:before="240" w:after="120"/>
      </w:pPr>
      <w:r w:rsidRPr="0057020B">
        <w:lastRenderedPageBreak/>
        <w:t xml:space="preserve">Like other AEMO-made procedures, the NGL would require compliance with the capacity transfer procedures and allow the AER to take enforcement action in the event of non-compliance. </w:t>
      </w:r>
    </w:p>
    <w:p w14:paraId="5C209AA2" w14:textId="0A5753C3" w:rsidR="0057020B" w:rsidRPr="0057020B" w:rsidRDefault="0057020B" w:rsidP="0057020B">
      <w:pPr>
        <w:tabs>
          <w:tab w:val="left" w:pos="2268"/>
          <w:tab w:val="left" w:pos="4536"/>
          <w:tab w:val="left" w:pos="6804"/>
          <w:tab w:val="right" w:pos="9638"/>
        </w:tabs>
        <w:spacing w:before="240" w:after="120"/>
      </w:pPr>
      <w:r w:rsidRPr="0057020B">
        <w:t>The GMRG consider</w:t>
      </w:r>
      <w:r w:rsidR="007B4229">
        <w:t>ed</w:t>
      </w:r>
      <w:r w:rsidRPr="0057020B">
        <w:t xml:space="preserve"> whether the obligation to exchange information with AEMO and the obligation to comply with AEMO’s timetable could be treated as contractual matters rather than dealt with as procedures. However, in the GMRG’s view this is unlikely to be workable in practice and will provide an insufficient incentive for service providers to comply.</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3.9: Questions on capacity transfer procedures"/>
        <w:tblDescription w:val="Questions on capacity transfer procedures"/>
      </w:tblPr>
      <w:tblGrid>
        <w:gridCol w:w="8788"/>
      </w:tblGrid>
      <w:tr w:rsidR="006B652B" w:rsidRPr="0057020B" w14:paraId="59B67C2E" w14:textId="77777777" w:rsidTr="006B652B">
        <w:trPr>
          <w:tblHeader/>
        </w:trPr>
        <w:tc>
          <w:tcPr>
            <w:tcW w:w="5000" w:type="pct"/>
            <w:shd w:val="clear" w:color="auto" w:fill="auto"/>
          </w:tcPr>
          <w:p w14:paraId="483FFC15" w14:textId="6210CDF8" w:rsidR="006B652B" w:rsidRPr="0057020B" w:rsidRDefault="006B652B" w:rsidP="006B652B">
            <w:pPr>
              <w:spacing w:before="120" w:after="120"/>
              <w:rPr>
                <w:rFonts w:eastAsiaTheme="majorEastAsia"/>
                <w:sz w:val="20"/>
                <w:szCs w:val="20"/>
              </w:rPr>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3</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9</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Questions on capacity transfer procedures</w:t>
            </w:r>
          </w:p>
        </w:tc>
      </w:tr>
      <w:tr w:rsidR="006B652B" w:rsidRPr="0057020B" w14:paraId="4D1B3032" w14:textId="77777777" w:rsidTr="006B652B">
        <w:trPr>
          <w:tblHeader/>
        </w:trPr>
        <w:tc>
          <w:tcPr>
            <w:tcW w:w="5000" w:type="pct"/>
            <w:shd w:val="clear" w:color="auto" w:fill="B7E7FF"/>
          </w:tcPr>
          <w:p w14:paraId="13C73793" w14:textId="77777777" w:rsidR="006B652B" w:rsidRDefault="006B652B" w:rsidP="006B652B">
            <w:pPr>
              <w:numPr>
                <w:ilvl w:val="0"/>
                <w:numId w:val="23"/>
              </w:numPr>
              <w:spacing w:before="120" w:after="120"/>
              <w:rPr>
                <w:rFonts w:eastAsiaTheme="majorEastAsia"/>
                <w:sz w:val="20"/>
                <w:szCs w:val="20"/>
              </w:rPr>
            </w:pPr>
            <w:r w:rsidRPr="0057020B">
              <w:rPr>
                <w:rFonts w:eastAsiaTheme="majorEastAsia"/>
                <w:sz w:val="20"/>
                <w:szCs w:val="20"/>
              </w:rPr>
              <w:t>Do you think AEMO should have the power to make capacity transfer procedures? If not, please explain why.</w:t>
            </w:r>
          </w:p>
          <w:p w14:paraId="2EFA22F0" w14:textId="5CABC310" w:rsidR="006B652B" w:rsidRPr="006B652B" w:rsidRDefault="006B652B" w:rsidP="006B652B">
            <w:pPr>
              <w:numPr>
                <w:ilvl w:val="0"/>
                <w:numId w:val="23"/>
              </w:numPr>
              <w:spacing w:before="120" w:after="120"/>
              <w:rPr>
                <w:rFonts w:eastAsiaTheme="majorEastAsia"/>
                <w:sz w:val="20"/>
                <w:szCs w:val="20"/>
              </w:rPr>
            </w:pPr>
            <w:r w:rsidRPr="006B652B">
              <w:rPr>
                <w:rFonts w:eastAsiaTheme="majorEastAsia"/>
                <w:sz w:val="20"/>
                <w:szCs w:val="20"/>
              </w:rPr>
              <w:t>Is any guidance required in the NGR on the matters AEMO should consider when developing these procedures?</w:t>
            </w:r>
          </w:p>
        </w:tc>
      </w:tr>
    </w:tbl>
    <w:p w14:paraId="4EA009A6" w14:textId="77777777" w:rsidR="00857698" w:rsidRDefault="00857698" w:rsidP="00857698">
      <w:pPr>
        <w:pStyle w:val="Heading2"/>
      </w:pPr>
      <w:bookmarkStart w:id="90" w:name="_Ref491430422"/>
      <w:bookmarkStart w:id="91" w:name="_Toc492524742"/>
      <w:r>
        <w:t>Cost recovery for provision of operational transfer services</w:t>
      </w:r>
      <w:bookmarkEnd w:id="90"/>
      <w:bookmarkEnd w:id="91"/>
    </w:p>
    <w:p w14:paraId="6C9EF64D" w14:textId="77777777" w:rsidR="00857698" w:rsidRPr="00D1703E" w:rsidRDefault="00857698" w:rsidP="00857698">
      <w:pPr>
        <w:pStyle w:val="Heading6"/>
        <w:rPr>
          <w:color w:val="0099CC"/>
        </w:rPr>
      </w:pPr>
      <w:bookmarkStart w:id="92" w:name="_Hlk490393548"/>
      <w:r>
        <w:rPr>
          <w:color w:val="0099CC"/>
        </w:rPr>
        <w:t xml:space="preserve">Background </w:t>
      </w:r>
    </w:p>
    <w:p w14:paraId="295BCF60" w14:textId="77777777" w:rsidR="00857698" w:rsidRPr="00565CA0" w:rsidRDefault="00857698" w:rsidP="00857698">
      <w:pPr>
        <w:pStyle w:val="BodyText"/>
      </w:pPr>
      <w:r w:rsidRPr="00565CA0">
        <w:t xml:space="preserve">The use of operational transfers and the broader capacity trading reform package will </w:t>
      </w:r>
      <w:r w:rsidR="006C3467">
        <w:t xml:space="preserve">impose </w:t>
      </w:r>
      <w:r w:rsidRPr="00565CA0">
        <w:t xml:space="preserve">a number of </w:t>
      </w:r>
      <w:r>
        <w:t xml:space="preserve">incremental </w:t>
      </w:r>
      <w:r w:rsidRPr="00565CA0">
        <w:t xml:space="preserve">costs </w:t>
      </w:r>
      <w:r w:rsidR="006C3467">
        <w:t xml:space="preserve">on </w:t>
      </w:r>
      <w:r w:rsidRPr="00565CA0">
        <w:t>service providers. Service providers will, for example, incur</w:t>
      </w:r>
      <w:r>
        <w:t xml:space="preserve"> the following types of costs</w:t>
      </w:r>
      <w:r w:rsidRPr="00565CA0">
        <w:t>:</w:t>
      </w:r>
    </w:p>
    <w:p w14:paraId="422F62D4" w14:textId="77777777" w:rsidR="00857698" w:rsidRPr="00565CA0" w:rsidRDefault="00857698" w:rsidP="00E00CFC">
      <w:pPr>
        <w:pStyle w:val="BodyText"/>
        <w:numPr>
          <w:ilvl w:val="0"/>
          <w:numId w:val="27"/>
        </w:numPr>
        <w:spacing w:before="60"/>
        <w:ind w:left="357" w:hanging="357"/>
      </w:pPr>
      <w:r w:rsidRPr="00F06F26">
        <w:rPr>
          <w:b/>
        </w:rPr>
        <w:t xml:space="preserve">establishment costs – </w:t>
      </w:r>
      <w:r>
        <w:t xml:space="preserve">this category of costs </w:t>
      </w:r>
      <w:r w:rsidRPr="00565CA0">
        <w:t xml:space="preserve">include the </w:t>
      </w:r>
      <w:r>
        <w:t xml:space="preserve">incremental </w:t>
      </w:r>
      <w:r w:rsidRPr="00565CA0">
        <w:t xml:space="preserve">costs </w:t>
      </w:r>
      <w:r>
        <w:t xml:space="preserve">that service providers will incur </w:t>
      </w:r>
      <w:r w:rsidRPr="00565CA0">
        <w:t xml:space="preserve">entering into operational GTAs with secondary shippers </w:t>
      </w:r>
      <w:r>
        <w:t xml:space="preserve">that want to use the capacity trading platform and/or day-ahead auction </w:t>
      </w:r>
      <w:r w:rsidRPr="00565CA0">
        <w:t xml:space="preserve">and setting </w:t>
      </w:r>
      <w:r>
        <w:t xml:space="preserve">the </w:t>
      </w:r>
      <w:r w:rsidRPr="00565CA0">
        <w:t xml:space="preserve">secondary shippers up in </w:t>
      </w:r>
      <w:r>
        <w:t xml:space="preserve">their </w:t>
      </w:r>
      <w:r w:rsidRPr="00565CA0">
        <w:t>systems;</w:t>
      </w:r>
    </w:p>
    <w:p w14:paraId="2EEF2766" w14:textId="77777777" w:rsidR="00857698" w:rsidRDefault="00857698" w:rsidP="00E00CFC">
      <w:pPr>
        <w:pStyle w:val="BodyText"/>
        <w:numPr>
          <w:ilvl w:val="0"/>
          <w:numId w:val="27"/>
        </w:numPr>
        <w:spacing w:before="60"/>
        <w:ind w:left="357" w:hanging="357"/>
      </w:pPr>
      <w:r w:rsidRPr="00F06F26">
        <w:rPr>
          <w:b/>
        </w:rPr>
        <w:t xml:space="preserve">capacity trading costs </w:t>
      </w:r>
      <w:r>
        <w:t xml:space="preserve">– this category of costs </w:t>
      </w:r>
      <w:r w:rsidRPr="00565CA0">
        <w:t>include</w:t>
      </w:r>
      <w:r>
        <w:t>s the incremental</w:t>
      </w:r>
      <w:r w:rsidRPr="00565CA0">
        <w:t xml:space="preserve">: </w:t>
      </w:r>
    </w:p>
    <w:p w14:paraId="27C7395D" w14:textId="77777777" w:rsidR="00857698" w:rsidRPr="00565CA0" w:rsidRDefault="00857698" w:rsidP="00363448">
      <w:pPr>
        <w:pStyle w:val="ListNumber2"/>
        <w:spacing w:before="60"/>
      </w:pPr>
      <w:r w:rsidRPr="00F06F26">
        <w:t>system and communication</w:t>
      </w:r>
      <w:r>
        <w:t xml:space="preserve"> costs that service providers incur:</w:t>
      </w:r>
    </w:p>
    <w:p w14:paraId="20F07F4D" w14:textId="77777777" w:rsidR="00857698" w:rsidRPr="00565CA0" w:rsidRDefault="00857698" w:rsidP="00363448">
      <w:pPr>
        <w:pStyle w:val="ListBullet2"/>
        <w:spacing w:before="60"/>
        <w:ind w:left="1071"/>
      </w:pPr>
      <w:r w:rsidRPr="00565CA0">
        <w:t>receiving information from AEMO about any trades conducted through the platform and providing AEMO with any confirmations it may require; and</w:t>
      </w:r>
    </w:p>
    <w:p w14:paraId="455070A2" w14:textId="77777777" w:rsidR="00857698" w:rsidRDefault="00857698" w:rsidP="00363448">
      <w:pPr>
        <w:pStyle w:val="ListBullet2"/>
        <w:spacing w:before="60"/>
        <w:ind w:left="1071"/>
      </w:pPr>
      <w:r w:rsidRPr="00565CA0">
        <w:t xml:space="preserve">automating their systems to deal with the information </w:t>
      </w:r>
      <w:r>
        <w:t xml:space="preserve">that needs to be </w:t>
      </w:r>
      <w:r w:rsidRPr="00565CA0">
        <w:t xml:space="preserve">provided </w:t>
      </w:r>
      <w:r>
        <w:t xml:space="preserve">to and received from </w:t>
      </w:r>
      <w:r w:rsidRPr="00565CA0">
        <w:t>AEMO</w:t>
      </w:r>
      <w:r>
        <w:t>; and</w:t>
      </w:r>
      <w:r w:rsidRPr="00565CA0">
        <w:t xml:space="preserve"> </w:t>
      </w:r>
    </w:p>
    <w:p w14:paraId="39FDD184" w14:textId="77777777" w:rsidR="00857698" w:rsidRDefault="00857698" w:rsidP="00363448">
      <w:pPr>
        <w:pStyle w:val="ListNumber2"/>
        <w:spacing w:before="60"/>
      </w:pPr>
      <w:r>
        <w:t xml:space="preserve">trading related costs that service providers incur: </w:t>
      </w:r>
    </w:p>
    <w:p w14:paraId="595B868C" w14:textId="77777777" w:rsidR="00857698" w:rsidRDefault="00857698" w:rsidP="00363448">
      <w:pPr>
        <w:pStyle w:val="ListBullet2"/>
        <w:spacing w:before="60"/>
        <w:ind w:left="1071"/>
      </w:pPr>
      <w:r w:rsidRPr="00565CA0">
        <w:t>adjusting primary and secondary shippers</w:t>
      </w:r>
      <w:r>
        <w:t>’</w:t>
      </w:r>
      <w:r w:rsidRPr="00565CA0">
        <w:t xml:space="preserve"> operational MDQ when trades occur</w:t>
      </w:r>
      <w:r>
        <w:t>;</w:t>
      </w:r>
      <w:r w:rsidRPr="00565CA0">
        <w:t xml:space="preserve"> and </w:t>
      </w:r>
    </w:p>
    <w:p w14:paraId="2745A1A5" w14:textId="77777777" w:rsidR="00857698" w:rsidRDefault="00857698" w:rsidP="00363448">
      <w:pPr>
        <w:pStyle w:val="ListBullet2"/>
        <w:spacing w:before="60"/>
        <w:ind w:left="1071"/>
      </w:pPr>
      <w:r w:rsidRPr="00565CA0">
        <w:t>managing the secondary shipper’s nominations, allocations and billing for overrun and imbalance charges;</w:t>
      </w:r>
    </w:p>
    <w:p w14:paraId="3557094A" w14:textId="77777777" w:rsidR="00857698" w:rsidRPr="004713FB" w:rsidRDefault="00857698" w:rsidP="00E00CFC">
      <w:pPr>
        <w:pStyle w:val="BodyText"/>
        <w:numPr>
          <w:ilvl w:val="0"/>
          <w:numId w:val="27"/>
        </w:numPr>
        <w:spacing w:before="60"/>
        <w:ind w:left="357" w:hanging="357"/>
        <w:rPr>
          <w:b/>
        </w:rPr>
      </w:pPr>
      <w:r>
        <w:rPr>
          <w:b/>
        </w:rPr>
        <w:t xml:space="preserve">day-ahead </w:t>
      </w:r>
      <w:r w:rsidRPr="00F06F26">
        <w:rPr>
          <w:b/>
        </w:rPr>
        <w:t xml:space="preserve">auction costs </w:t>
      </w:r>
      <w:r w:rsidRPr="004713FB">
        <w:t>– this category of costs includes the incremental:</w:t>
      </w:r>
    </w:p>
    <w:p w14:paraId="670C2742" w14:textId="77777777" w:rsidR="00857698" w:rsidRPr="00565CA0" w:rsidRDefault="00857698" w:rsidP="0057020B">
      <w:pPr>
        <w:pStyle w:val="ListNumber2"/>
        <w:numPr>
          <w:ilvl w:val="0"/>
          <w:numId w:val="31"/>
        </w:numPr>
        <w:spacing w:before="60"/>
        <w:ind w:left="714" w:hanging="357"/>
      </w:pPr>
      <w:r>
        <w:t xml:space="preserve">operational, </w:t>
      </w:r>
      <w:r w:rsidRPr="00F06F26">
        <w:t>system and communication</w:t>
      </w:r>
      <w:r>
        <w:t xml:space="preserve"> costs that service providers incur:</w:t>
      </w:r>
    </w:p>
    <w:p w14:paraId="584B04D6" w14:textId="77777777" w:rsidR="00857698" w:rsidRDefault="00857698" w:rsidP="00363448">
      <w:pPr>
        <w:pStyle w:val="ListBullet2"/>
        <w:spacing w:before="60"/>
        <w:ind w:left="1071"/>
      </w:pPr>
      <w:r>
        <w:t>calculating the auction quantity and running additional schedules to deal with the later nominations from auction winners;</w:t>
      </w:r>
    </w:p>
    <w:p w14:paraId="51057B3B" w14:textId="77777777" w:rsidR="00857698" w:rsidRDefault="00857698" w:rsidP="00363448">
      <w:pPr>
        <w:pStyle w:val="ListBullet2"/>
        <w:spacing w:before="60"/>
        <w:ind w:left="1071"/>
      </w:pPr>
      <w:r>
        <w:lastRenderedPageBreak/>
        <w:t>providing information to AEMO on the auction quantity and receiving information on the auction winners; and</w:t>
      </w:r>
    </w:p>
    <w:p w14:paraId="5A555914" w14:textId="77777777" w:rsidR="00857698" w:rsidRDefault="00857698" w:rsidP="00363448">
      <w:pPr>
        <w:pStyle w:val="ListBullet2"/>
        <w:spacing w:before="60"/>
        <w:ind w:left="1071"/>
      </w:pPr>
      <w:r w:rsidRPr="00565CA0">
        <w:t xml:space="preserve">automating their systems to deal with the information </w:t>
      </w:r>
      <w:r>
        <w:t xml:space="preserve">that needs to be provided to and received from </w:t>
      </w:r>
      <w:r w:rsidRPr="00565CA0">
        <w:t>AEMO</w:t>
      </w:r>
      <w:r>
        <w:t>; and</w:t>
      </w:r>
    </w:p>
    <w:p w14:paraId="17473B85" w14:textId="77777777" w:rsidR="00857698" w:rsidRDefault="00857698" w:rsidP="0057020B">
      <w:pPr>
        <w:pStyle w:val="ListNumber2"/>
        <w:numPr>
          <w:ilvl w:val="0"/>
          <w:numId w:val="31"/>
        </w:numPr>
        <w:spacing w:before="60"/>
        <w:ind w:left="714" w:hanging="357"/>
      </w:pPr>
      <w:r>
        <w:t xml:space="preserve">auction related costs that service providers incur: </w:t>
      </w:r>
    </w:p>
    <w:p w14:paraId="22C31C55" w14:textId="77777777" w:rsidR="00857698" w:rsidRDefault="00857698" w:rsidP="00363448">
      <w:pPr>
        <w:pStyle w:val="ListBullet2"/>
        <w:spacing w:before="60"/>
        <w:ind w:left="1071"/>
      </w:pPr>
      <w:r w:rsidRPr="00565CA0">
        <w:t>adjusting secondary shippers</w:t>
      </w:r>
      <w:r>
        <w:t>’</w:t>
      </w:r>
      <w:r w:rsidRPr="00565CA0">
        <w:t xml:space="preserve"> operational MDQ when </w:t>
      </w:r>
      <w:r>
        <w:t>they purchase capacity through the auction;</w:t>
      </w:r>
      <w:r w:rsidRPr="00565CA0">
        <w:t xml:space="preserve"> and </w:t>
      </w:r>
    </w:p>
    <w:p w14:paraId="3222B981" w14:textId="77777777" w:rsidR="00857698" w:rsidRDefault="00857698" w:rsidP="00363448">
      <w:pPr>
        <w:pStyle w:val="ListBullet2"/>
        <w:spacing w:before="60"/>
        <w:ind w:left="1071"/>
      </w:pPr>
      <w:r w:rsidRPr="00565CA0">
        <w:t xml:space="preserve">managing </w:t>
      </w:r>
      <w:r>
        <w:t>secondary shippers’</w:t>
      </w:r>
      <w:r w:rsidRPr="00565CA0">
        <w:t xml:space="preserve"> nominations, allocations and billing fo</w:t>
      </w:r>
      <w:r w:rsidR="00363448">
        <w:t>r overrun and imbalance charges.</w:t>
      </w:r>
    </w:p>
    <w:p w14:paraId="79334E6B" w14:textId="27748899" w:rsidR="005F3471" w:rsidRDefault="005F3471" w:rsidP="00857698">
      <w:pPr>
        <w:pStyle w:val="BodyText"/>
      </w:pPr>
      <w:r>
        <w:t xml:space="preserve">The GMRG understands that AEMO intends to use either the </w:t>
      </w:r>
      <w:r w:rsidR="00D30EB7">
        <w:t xml:space="preserve">Natural Gas Services </w:t>
      </w:r>
      <w:r>
        <w:t xml:space="preserve">Bulletin Board </w:t>
      </w:r>
      <w:r w:rsidR="00D30EB7">
        <w:t xml:space="preserve">(BB) </w:t>
      </w:r>
      <w:r>
        <w:t xml:space="preserve">or </w:t>
      </w:r>
      <w:r w:rsidR="00D30EB7">
        <w:t>Short Term Trading Market (</w:t>
      </w:r>
      <w:r>
        <w:t>STTM</w:t>
      </w:r>
      <w:r w:rsidR="00D30EB7">
        <w:t>)</w:t>
      </w:r>
      <w:r>
        <w:t xml:space="preserve"> communications systems to relay information to service providers. These costs are not therefore expected to be significant.</w:t>
      </w:r>
      <w:r w:rsidR="006C3467">
        <w:t xml:space="preserve"> The establishment costs are also expected to be relatively low given there will be a standard operational GTA in place.</w:t>
      </w:r>
    </w:p>
    <w:p w14:paraId="405466CB" w14:textId="77777777" w:rsidR="00857698" w:rsidRDefault="00857698" w:rsidP="00857698">
      <w:pPr>
        <w:pStyle w:val="BodyText"/>
      </w:pPr>
      <w:r>
        <w:t xml:space="preserve">With the exception of the day-ahead auction costs listed in (3), which the AEMC thought service providers should recover from the auction proceeds, the AEMC did not specify: </w:t>
      </w:r>
    </w:p>
    <w:p w14:paraId="00F84068" w14:textId="77777777" w:rsidR="00857698" w:rsidRDefault="00857698" w:rsidP="00857698">
      <w:pPr>
        <w:pStyle w:val="ListBullet"/>
      </w:pPr>
      <w:r>
        <w:t xml:space="preserve">who should bear the establishment and capacity trading costs listed in (1) and (2); </w:t>
      </w:r>
    </w:p>
    <w:p w14:paraId="4ECB9445" w14:textId="77777777" w:rsidR="00857698" w:rsidRDefault="00857698" w:rsidP="00857698">
      <w:pPr>
        <w:pStyle w:val="ListBullet"/>
      </w:pPr>
      <w:r>
        <w:t>the cost recovery mechanism that should be used by service providers; or</w:t>
      </w:r>
    </w:p>
    <w:p w14:paraId="730407A3" w14:textId="77777777" w:rsidR="00857698" w:rsidRDefault="00857698" w:rsidP="00857698">
      <w:pPr>
        <w:pStyle w:val="ListBullet"/>
      </w:pPr>
      <w:r>
        <w:t>whether there should be any oversight of the costs recovered by service providers</w:t>
      </w:r>
      <w:r w:rsidR="00363448">
        <w:t>.</w:t>
      </w:r>
    </w:p>
    <w:p w14:paraId="7CA5E515" w14:textId="195747BB" w:rsidR="00363448" w:rsidRDefault="00472602" w:rsidP="0093326F">
      <w:pPr>
        <w:pStyle w:val="BodyText"/>
      </w:pPr>
      <w:r>
        <w:t xml:space="preserve">The options that the Standardisation project team considered and the views that they expressed on each option are summarised in </w:t>
      </w:r>
      <w:r>
        <w:fldChar w:fldCharType="begin"/>
      </w:r>
      <w:r>
        <w:instrText xml:space="preserve"> REF _Ref491439567 \h </w:instrText>
      </w:r>
      <w:r>
        <w:fldChar w:fldCharType="separate"/>
      </w:r>
      <w:r w:rsidR="00947034">
        <w:t xml:space="preserve">Table </w:t>
      </w:r>
      <w:r w:rsidR="00947034">
        <w:rPr>
          <w:noProof/>
        </w:rPr>
        <w:t>3</w:t>
      </w:r>
      <w:r w:rsidR="00947034">
        <w:t>.</w:t>
      </w:r>
      <w:r w:rsidR="00947034">
        <w:rPr>
          <w:noProof/>
        </w:rPr>
        <w:t>4</w:t>
      </w:r>
      <w:r>
        <w:fldChar w:fldCharType="end"/>
      </w:r>
      <w:r>
        <w:t>.</w:t>
      </w:r>
    </w:p>
    <w:p w14:paraId="035253FD" w14:textId="7C792BD7" w:rsidR="00363448" w:rsidRDefault="00363448" w:rsidP="00363448">
      <w:pPr>
        <w:pStyle w:val="Caption"/>
      </w:pPr>
      <w:bookmarkStart w:id="93" w:name="_Ref491439567"/>
      <w:r>
        <w:t xml:space="preserve">Table </w:t>
      </w:r>
      <w:r w:rsidR="00926D7E">
        <w:fldChar w:fldCharType="begin"/>
      </w:r>
      <w:r w:rsidR="00926D7E">
        <w:instrText xml:space="preserve"> STYLEREF 1 \s </w:instrText>
      </w:r>
      <w:r w:rsidR="00926D7E">
        <w:fldChar w:fldCharType="separate"/>
      </w:r>
      <w:r w:rsidR="00947034">
        <w:rPr>
          <w:noProof/>
        </w:rPr>
        <w:t>3</w:t>
      </w:r>
      <w:r w:rsidR="00926D7E">
        <w:rPr>
          <w:noProof/>
        </w:rPr>
        <w:fldChar w:fldCharType="end"/>
      </w:r>
      <w:r w:rsidR="001C4739">
        <w:t>.</w:t>
      </w:r>
      <w:r w:rsidR="00926D7E">
        <w:fldChar w:fldCharType="begin"/>
      </w:r>
      <w:r w:rsidR="00926D7E">
        <w:instrText xml:space="preserve"> SEQ Table \* ARABIC \s 1 </w:instrText>
      </w:r>
      <w:r w:rsidR="00926D7E">
        <w:fldChar w:fldCharType="separate"/>
      </w:r>
      <w:r w:rsidR="00947034">
        <w:rPr>
          <w:noProof/>
        </w:rPr>
        <w:t>4</w:t>
      </w:r>
      <w:r w:rsidR="00926D7E">
        <w:rPr>
          <w:noProof/>
        </w:rPr>
        <w:fldChar w:fldCharType="end"/>
      </w:r>
      <w:bookmarkEnd w:id="93"/>
      <w:r>
        <w:t xml:space="preserve">: </w:t>
      </w:r>
      <w:r w:rsidR="00472602">
        <w:t>Cost recovery options</w:t>
      </w:r>
    </w:p>
    <w:tbl>
      <w:tblPr>
        <w:tblStyle w:val="TableGrid"/>
        <w:tblW w:w="5244" w:type="pct"/>
        <w:tblLayout w:type="fixed"/>
        <w:tblLook w:val="0420" w:firstRow="1" w:lastRow="0" w:firstColumn="0" w:lastColumn="0" w:noHBand="0" w:noVBand="1"/>
        <w:tblCaption w:val="Table 3.4: Cost recovery options"/>
        <w:tblDescription w:val="Cost recovery options"/>
      </w:tblPr>
      <w:tblGrid>
        <w:gridCol w:w="4820"/>
        <w:gridCol w:w="4397"/>
      </w:tblGrid>
      <w:tr w:rsidR="00363448" w14:paraId="3920EEF1" w14:textId="77777777" w:rsidTr="00472602">
        <w:trPr>
          <w:cnfStyle w:val="100000000000" w:firstRow="1" w:lastRow="0" w:firstColumn="0" w:lastColumn="0" w:oddVBand="0" w:evenVBand="0" w:oddHBand="0" w:evenHBand="0" w:firstRowFirstColumn="0" w:firstRowLastColumn="0" w:lastRowFirstColumn="0" w:lastRowLastColumn="0"/>
          <w:cantSplit/>
          <w:tblHeader/>
        </w:trPr>
        <w:tc>
          <w:tcPr>
            <w:tcW w:w="2615" w:type="pct"/>
            <w:shd w:val="clear" w:color="auto" w:fill="0099CC"/>
          </w:tcPr>
          <w:p w14:paraId="086CC00B" w14:textId="77777777" w:rsidR="00363448" w:rsidRDefault="00363448" w:rsidP="00363448">
            <w:pPr>
              <w:pStyle w:val="TableHeading"/>
              <w:spacing w:before="40" w:after="40"/>
              <w:rPr>
                <w:lang w:eastAsia="fr-CA"/>
              </w:rPr>
            </w:pPr>
            <w:r>
              <w:rPr>
                <w:lang w:eastAsia="fr-CA"/>
              </w:rPr>
              <w:t>Options considered</w:t>
            </w:r>
          </w:p>
        </w:tc>
        <w:tc>
          <w:tcPr>
            <w:tcW w:w="2385" w:type="pct"/>
            <w:shd w:val="clear" w:color="auto" w:fill="0099CC"/>
          </w:tcPr>
          <w:p w14:paraId="4F102324" w14:textId="77777777" w:rsidR="00363448" w:rsidRDefault="00472602" w:rsidP="00363448">
            <w:pPr>
              <w:pStyle w:val="TableHeading"/>
              <w:spacing w:before="40" w:after="40"/>
              <w:rPr>
                <w:lang w:eastAsia="fr-CA"/>
              </w:rPr>
            </w:pPr>
            <w:r>
              <w:rPr>
                <w:lang w:eastAsia="fr-CA"/>
              </w:rPr>
              <w:t>Summary of p</w:t>
            </w:r>
            <w:r w:rsidR="00363448">
              <w:rPr>
                <w:lang w:eastAsia="fr-CA"/>
              </w:rPr>
              <w:t>roject team’s view</w:t>
            </w:r>
          </w:p>
        </w:tc>
      </w:tr>
      <w:tr w:rsidR="00363448" w:rsidRPr="00363448" w14:paraId="7A3AC85D" w14:textId="77777777" w:rsidTr="00472602">
        <w:trPr>
          <w:cantSplit/>
          <w:trHeight w:val="94"/>
        </w:trPr>
        <w:tc>
          <w:tcPr>
            <w:tcW w:w="5000" w:type="pct"/>
            <w:gridSpan w:val="2"/>
          </w:tcPr>
          <w:p w14:paraId="3F7B5A0F" w14:textId="77777777" w:rsidR="00363448" w:rsidRPr="00363448" w:rsidRDefault="00363448" w:rsidP="00472602">
            <w:pPr>
              <w:pStyle w:val="Heading6"/>
              <w:spacing w:before="40" w:after="40"/>
              <w:jc w:val="center"/>
              <w:outlineLvl w:val="5"/>
              <w:rPr>
                <w:color w:val="auto"/>
              </w:rPr>
            </w:pPr>
            <w:r w:rsidRPr="00363448">
              <w:rPr>
                <w:color w:val="auto"/>
              </w:rPr>
              <w:t>Who should bear the establishment and capacity trading platform costs?</w:t>
            </w:r>
          </w:p>
        </w:tc>
      </w:tr>
      <w:tr w:rsidR="00363448" w14:paraId="5D819B61" w14:textId="77777777" w:rsidTr="00472602">
        <w:trPr>
          <w:cnfStyle w:val="000000010000" w:firstRow="0" w:lastRow="0" w:firstColumn="0" w:lastColumn="0" w:oddVBand="0" w:evenVBand="0" w:oddHBand="0" w:evenHBand="1" w:firstRowFirstColumn="0" w:firstRowLastColumn="0" w:lastRowFirstColumn="0" w:lastRowLastColumn="0"/>
          <w:cantSplit/>
        </w:trPr>
        <w:tc>
          <w:tcPr>
            <w:tcW w:w="2615" w:type="pct"/>
          </w:tcPr>
          <w:p w14:paraId="3C258C99" w14:textId="77777777" w:rsidR="00363448" w:rsidRDefault="00363448" w:rsidP="00363448">
            <w:pPr>
              <w:pStyle w:val="BodyText"/>
              <w:spacing w:before="40" w:after="40"/>
            </w:pPr>
            <w:r>
              <w:t xml:space="preserve">The list of potential candidates that could be required to fund the establishment and capacity trading costs listed in (1) and (2) includes: </w:t>
            </w:r>
          </w:p>
          <w:p w14:paraId="078FAA51" w14:textId="77777777" w:rsidR="00363448" w:rsidRDefault="00363448" w:rsidP="0057020B">
            <w:pPr>
              <w:pStyle w:val="ListBullet"/>
              <w:numPr>
                <w:ilvl w:val="0"/>
                <w:numId w:val="32"/>
              </w:numPr>
              <w:spacing w:before="40" w:after="40"/>
              <w:ind w:left="442" w:hanging="357"/>
            </w:pPr>
            <w:r>
              <w:t>secondary shippers only;</w:t>
            </w:r>
          </w:p>
          <w:p w14:paraId="2D85AC02" w14:textId="77777777" w:rsidR="00363448" w:rsidRDefault="00363448" w:rsidP="0057020B">
            <w:pPr>
              <w:pStyle w:val="ListBullet"/>
              <w:numPr>
                <w:ilvl w:val="0"/>
                <w:numId w:val="32"/>
              </w:numPr>
              <w:spacing w:before="40" w:after="40"/>
              <w:ind w:left="442" w:hanging="357"/>
            </w:pPr>
            <w:r>
              <w:t xml:space="preserve">secondary shippers and primary shippers that sell their capacity; </w:t>
            </w:r>
          </w:p>
          <w:p w14:paraId="7C24A69C" w14:textId="77777777" w:rsidR="00363448" w:rsidRDefault="00363448" w:rsidP="0057020B">
            <w:pPr>
              <w:pStyle w:val="ListBullet"/>
              <w:numPr>
                <w:ilvl w:val="0"/>
                <w:numId w:val="32"/>
              </w:numPr>
              <w:spacing w:before="40" w:after="40"/>
              <w:ind w:left="442" w:hanging="357"/>
            </w:pPr>
            <w:r>
              <w:t>secondary shippers and all primary shippers; or</w:t>
            </w:r>
          </w:p>
          <w:p w14:paraId="25189F5E" w14:textId="77777777" w:rsidR="00363448" w:rsidRDefault="00363448" w:rsidP="0057020B">
            <w:pPr>
              <w:pStyle w:val="ListBullet"/>
              <w:numPr>
                <w:ilvl w:val="0"/>
                <w:numId w:val="32"/>
              </w:numPr>
              <w:spacing w:before="40" w:after="40"/>
              <w:ind w:left="442" w:hanging="357"/>
            </w:pPr>
            <w:r>
              <w:t>secondary shippers, all primary shippers and the service provider.</w:t>
            </w:r>
          </w:p>
        </w:tc>
        <w:tc>
          <w:tcPr>
            <w:tcW w:w="2385" w:type="pct"/>
          </w:tcPr>
          <w:p w14:paraId="3CA693D1" w14:textId="77777777" w:rsidR="00363448" w:rsidRDefault="00363448" w:rsidP="00363448">
            <w:pPr>
              <w:pStyle w:val="BodyText"/>
              <w:spacing w:before="40" w:after="40"/>
            </w:pPr>
            <w:r>
              <w:t xml:space="preserve">Of the four options, the Standardisation project team were indifferent between options (a) and (b), although it was noted by some team members that option (a) may be easier to implement (i.e. because changes to primary GTAs would not be required) and it may reduce the perceived impediments to primary shippers selling capacity. It was also noted in this context that even if the costs were recovered from primary shippers, they were likely to be reflected in the price charged by the primary shipper for secondary capacity, so the secondary shipper would still be liable for the costs. </w:t>
            </w:r>
          </w:p>
        </w:tc>
      </w:tr>
      <w:tr w:rsidR="00363448" w:rsidRPr="00363448" w14:paraId="47C90E31" w14:textId="77777777" w:rsidTr="00472602">
        <w:trPr>
          <w:cantSplit/>
        </w:trPr>
        <w:tc>
          <w:tcPr>
            <w:tcW w:w="5000" w:type="pct"/>
            <w:gridSpan w:val="2"/>
          </w:tcPr>
          <w:p w14:paraId="5032CC00" w14:textId="77777777" w:rsidR="00363448" w:rsidRPr="00363448" w:rsidRDefault="00363448" w:rsidP="00472602">
            <w:pPr>
              <w:pStyle w:val="Heading6"/>
              <w:spacing w:before="40" w:after="40"/>
              <w:jc w:val="center"/>
              <w:outlineLvl w:val="5"/>
              <w:rPr>
                <w:color w:val="auto"/>
              </w:rPr>
            </w:pPr>
            <w:r w:rsidRPr="00363448">
              <w:rPr>
                <w:color w:val="auto"/>
              </w:rPr>
              <w:lastRenderedPageBreak/>
              <w:t>How should costs be recovered?</w:t>
            </w:r>
          </w:p>
        </w:tc>
      </w:tr>
      <w:tr w:rsidR="00363448" w14:paraId="443CAC71" w14:textId="77777777" w:rsidTr="00472602">
        <w:trPr>
          <w:cnfStyle w:val="000000010000" w:firstRow="0" w:lastRow="0" w:firstColumn="0" w:lastColumn="0" w:oddVBand="0" w:evenVBand="0" w:oddHBand="0" w:evenHBand="1" w:firstRowFirstColumn="0" w:firstRowLastColumn="0" w:lastRowFirstColumn="0" w:lastRowLastColumn="0"/>
          <w:cantSplit/>
        </w:trPr>
        <w:tc>
          <w:tcPr>
            <w:tcW w:w="2615" w:type="pct"/>
          </w:tcPr>
          <w:p w14:paraId="073240C0" w14:textId="77777777" w:rsidR="00363448" w:rsidRDefault="00363448" w:rsidP="00363448">
            <w:pPr>
              <w:pStyle w:val="BodyText"/>
              <w:spacing w:before="40" w:after="40"/>
            </w:pPr>
            <w:r>
              <w:t>If a decision is made that shippers should fund the establishment and capacity trading costs listed in (1) and (2), then there are a number of different ways these costs could be recovered, including:</w:t>
            </w:r>
          </w:p>
          <w:p w14:paraId="2DEABC26" w14:textId="77777777" w:rsidR="00363448" w:rsidRDefault="00363448" w:rsidP="0057020B">
            <w:pPr>
              <w:pStyle w:val="ListBullet"/>
              <w:numPr>
                <w:ilvl w:val="0"/>
                <w:numId w:val="33"/>
              </w:numPr>
              <w:spacing w:before="40" w:after="40"/>
              <w:ind w:left="442" w:hanging="357"/>
            </w:pPr>
            <w:r>
              <w:t xml:space="preserve">recovering the costs through a fixed monthly administrative charge; </w:t>
            </w:r>
          </w:p>
          <w:p w14:paraId="2140D2B3" w14:textId="77777777" w:rsidR="00363448" w:rsidRDefault="00363448" w:rsidP="0057020B">
            <w:pPr>
              <w:pStyle w:val="ListBullet"/>
              <w:numPr>
                <w:ilvl w:val="0"/>
                <w:numId w:val="33"/>
              </w:numPr>
              <w:spacing w:before="40" w:after="40"/>
              <w:ind w:left="442" w:hanging="357"/>
            </w:pPr>
            <w:r>
              <w:t>recovering the costs through a per transaction or per GJ of capacity basis; or</w:t>
            </w:r>
          </w:p>
          <w:p w14:paraId="4EDFEF26" w14:textId="77777777" w:rsidR="00363448" w:rsidRDefault="00363448" w:rsidP="0057020B">
            <w:pPr>
              <w:pStyle w:val="ListBullet"/>
              <w:numPr>
                <w:ilvl w:val="0"/>
                <w:numId w:val="33"/>
              </w:numPr>
              <w:spacing w:before="40" w:after="40"/>
              <w:ind w:left="442" w:hanging="357"/>
            </w:pPr>
            <w:r>
              <w:t xml:space="preserve">a combination of (i) and (ii) (e.g. establishment costs recovered through an administrative fee and trading costs through a </w:t>
            </w:r>
            <w:r w:rsidR="00472602">
              <w:t xml:space="preserve">$ </w:t>
            </w:r>
            <w:r>
              <w:t xml:space="preserve">per GJ charge). </w:t>
            </w:r>
          </w:p>
        </w:tc>
        <w:tc>
          <w:tcPr>
            <w:tcW w:w="2385" w:type="pct"/>
          </w:tcPr>
          <w:p w14:paraId="7FE661A3" w14:textId="77777777" w:rsidR="00363448" w:rsidRDefault="00363448" w:rsidP="00363448">
            <w:pPr>
              <w:pStyle w:val="BodyText"/>
              <w:spacing w:before="40" w:after="40"/>
            </w:pPr>
            <w:r>
              <w:t xml:space="preserve">Project team members were of the view that option (i) or option (iii) could be used, although it was noted that option (iii) may be more appropriate given the nature of the costs. </w:t>
            </w:r>
          </w:p>
        </w:tc>
      </w:tr>
      <w:tr w:rsidR="00363448" w:rsidRPr="00363448" w14:paraId="118F44AE" w14:textId="77777777" w:rsidTr="00472602">
        <w:trPr>
          <w:cantSplit/>
        </w:trPr>
        <w:tc>
          <w:tcPr>
            <w:tcW w:w="5000" w:type="pct"/>
            <w:gridSpan w:val="2"/>
          </w:tcPr>
          <w:p w14:paraId="66B03933" w14:textId="77777777" w:rsidR="00363448" w:rsidRPr="00363448" w:rsidRDefault="00363448" w:rsidP="00472602">
            <w:pPr>
              <w:pStyle w:val="Heading6"/>
              <w:spacing w:before="40" w:after="40"/>
              <w:jc w:val="center"/>
              <w:outlineLvl w:val="5"/>
              <w:rPr>
                <w:color w:val="auto"/>
              </w:rPr>
            </w:pPr>
            <w:r>
              <w:rPr>
                <w:color w:val="auto"/>
              </w:rPr>
              <w:t>S</w:t>
            </w:r>
            <w:r w:rsidRPr="00363448">
              <w:rPr>
                <w:color w:val="auto"/>
              </w:rPr>
              <w:t xml:space="preserve">hould </w:t>
            </w:r>
            <w:r>
              <w:rPr>
                <w:color w:val="auto"/>
              </w:rPr>
              <w:t xml:space="preserve">there be any oversight of the </w:t>
            </w:r>
            <w:r w:rsidRPr="00363448">
              <w:rPr>
                <w:color w:val="auto"/>
              </w:rPr>
              <w:t>costs recovered</w:t>
            </w:r>
            <w:r>
              <w:rPr>
                <w:color w:val="auto"/>
              </w:rPr>
              <w:t xml:space="preserve"> by service providers</w:t>
            </w:r>
            <w:r w:rsidRPr="00363448">
              <w:rPr>
                <w:color w:val="auto"/>
              </w:rPr>
              <w:t>?</w:t>
            </w:r>
          </w:p>
        </w:tc>
      </w:tr>
      <w:tr w:rsidR="00363448" w14:paraId="678D4866" w14:textId="77777777" w:rsidTr="00472602">
        <w:trPr>
          <w:cnfStyle w:val="000000010000" w:firstRow="0" w:lastRow="0" w:firstColumn="0" w:lastColumn="0" w:oddVBand="0" w:evenVBand="0" w:oddHBand="0" w:evenHBand="1" w:firstRowFirstColumn="0" w:firstRowLastColumn="0" w:lastRowFirstColumn="0" w:lastRowLastColumn="0"/>
          <w:cantSplit/>
        </w:trPr>
        <w:tc>
          <w:tcPr>
            <w:tcW w:w="2615" w:type="pct"/>
          </w:tcPr>
          <w:p w14:paraId="404A70F2" w14:textId="77777777" w:rsidR="00363448" w:rsidRDefault="00363448" w:rsidP="00363448">
            <w:pPr>
              <w:pStyle w:val="TableBodyText"/>
              <w:spacing w:before="40" w:after="40"/>
              <w:rPr>
                <w:lang w:eastAsia="fr-CA"/>
              </w:rPr>
            </w:pPr>
            <w:r>
              <w:rPr>
                <w:lang w:eastAsia="fr-CA"/>
              </w:rPr>
              <w:t>The options in this case include:</w:t>
            </w:r>
          </w:p>
          <w:p w14:paraId="02DBD46D" w14:textId="77777777" w:rsidR="00363448" w:rsidRDefault="00472602" w:rsidP="00472602">
            <w:pPr>
              <w:pStyle w:val="TableListNumber"/>
              <w:numPr>
                <w:ilvl w:val="0"/>
                <w:numId w:val="8"/>
              </w:numPr>
              <w:rPr>
                <w:lang w:eastAsia="fr-CA"/>
              </w:rPr>
            </w:pPr>
            <w:r>
              <w:rPr>
                <w:lang w:eastAsia="fr-CA"/>
              </w:rPr>
              <w:t>providing service providers complete discretion;</w:t>
            </w:r>
          </w:p>
          <w:p w14:paraId="46710B46" w14:textId="77777777" w:rsidR="00472602" w:rsidRDefault="00472602" w:rsidP="00472602">
            <w:pPr>
              <w:pStyle w:val="TableListNumber"/>
              <w:numPr>
                <w:ilvl w:val="0"/>
                <w:numId w:val="8"/>
              </w:numPr>
              <w:rPr>
                <w:lang w:eastAsia="fr-CA"/>
              </w:rPr>
            </w:pPr>
            <w:r>
              <w:rPr>
                <w:lang w:eastAsia="fr-CA"/>
              </w:rPr>
              <w:t xml:space="preserve">including a principle in the facility specific principles that requires these types of charges to reflect the cost of providing the service </w:t>
            </w:r>
            <w:r w:rsidR="00AC2E12">
              <w:rPr>
                <w:lang w:eastAsia="fr-CA"/>
              </w:rPr>
              <w:t xml:space="preserve">(including a commercial rate of return) </w:t>
            </w:r>
            <w:r>
              <w:rPr>
                <w:lang w:eastAsia="fr-CA"/>
              </w:rPr>
              <w:t>and a</w:t>
            </w:r>
            <w:r w:rsidR="00363448">
              <w:rPr>
                <w:lang w:eastAsia="fr-CA"/>
              </w:rPr>
              <w:t xml:space="preserve">llowing the AER to review </w:t>
            </w:r>
            <w:r>
              <w:rPr>
                <w:lang w:eastAsia="fr-CA"/>
              </w:rPr>
              <w:t>the charges in the same way it can review a service provider’s compliance with other facility specific principles; or</w:t>
            </w:r>
          </w:p>
          <w:p w14:paraId="79CA66AD" w14:textId="0360EA11" w:rsidR="00363448" w:rsidRDefault="00472602" w:rsidP="00472602">
            <w:pPr>
              <w:pStyle w:val="TableListNumber"/>
              <w:numPr>
                <w:ilvl w:val="0"/>
                <w:numId w:val="8"/>
              </w:numPr>
              <w:rPr>
                <w:lang w:eastAsia="fr-CA"/>
              </w:rPr>
            </w:pPr>
            <w:r>
              <w:rPr>
                <w:lang w:eastAsia="fr-CA"/>
              </w:rPr>
              <w:t xml:space="preserve">requiring </w:t>
            </w:r>
            <w:r w:rsidR="00363448">
              <w:rPr>
                <w:lang w:eastAsia="fr-CA"/>
              </w:rPr>
              <w:t xml:space="preserve">the AER to conduct an </w:t>
            </w:r>
            <w:r w:rsidR="002D5C8A">
              <w:rPr>
                <w:lang w:eastAsia="fr-CA"/>
              </w:rPr>
              <w:t>ex-ante</w:t>
            </w:r>
            <w:r w:rsidR="00363448">
              <w:rPr>
                <w:lang w:eastAsia="fr-CA"/>
              </w:rPr>
              <w:t xml:space="preserve"> review of </w:t>
            </w:r>
            <w:r>
              <w:rPr>
                <w:lang w:eastAsia="fr-CA"/>
              </w:rPr>
              <w:t>the charges to ensure they are prudent and efficient.</w:t>
            </w:r>
            <w:r w:rsidR="00363448">
              <w:rPr>
                <w:lang w:eastAsia="fr-CA"/>
              </w:rPr>
              <w:t xml:space="preserve"> </w:t>
            </w:r>
          </w:p>
        </w:tc>
        <w:tc>
          <w:tcPr>
            <w:tcW w:w="2385" w:type="pct"/>
          </w:tcPr>
          <w:p w14:paraId="64D2016B" w14:textId="77777777" w:rsidR="00363448" w:rsidRDefault="00472602" w:rsidP="00363448">
            <w:pPr>
              <w:pStyle w:val="TableBodyText"/>
              <w:spacing w:before="40" w:after="40"/>
              <w:rPr>
                <w:lang w:eastAsia="fr-CA"/>
              </w:rPr>
            </w:pPr>
            <w:r>
              <w:rPr>
                <w:lang w:eastAsia="fr-CA"/>
              </w:rPr>
              <w:t>Project team members were of the view that if there was to be some level of oversight, then option (2) would be preferable to the other options</w:t>
            </w:r>
            <w:r w:rsidR="00744A3C">
              <w:rPr>
                <w:lang w:eastAsia="fr-CA"/>
              </w:rPr>
              <w:t xml:space="preserve"> and cost less to implement than option (3)</w:t>
            </w:r>
            <w:r>
              <w:rPr>
                <w:lang w:eastAsia="fr-CA"/>
              </w:rPr>
              <w:t xml:space="preserve">. </w:t>
            </w:r>
          </w:p>
        </w:tc>
      </w:tr>
    </w:tbl>
    <w:p w14:paraId="321F6BCA" w14:textId="77777777" w:rsidR="00857698" w:rsidRPr="00D1703E" w:rsidRDefault="00857698" w:rsidP="00857698">
      <w:pPr>
        <w:pStyle w:val="Heading6"/>
        <w:rPr>
          <w:color w:val="0099CC"/>
        </w:rPr>
      </w:pPr>
      <w:r>
        <w:rPr>
          <w:color w:val="0099CC"/>
        </w:rPr>
        <w:t xml:space="preserve">GMRG’s preliminary view and questions for stakeholders </w:t>
      </w:r>
    </w:p>
    <w:p w14:paraId="7A76EC16" w14:textId="77777777" w:rsidR="00057571" w:rsidRDefault="00857698" w:rsidP="00857698">
      <w:pPr>
        <w:pStyle w:val="BodyText"/>
      </w:pPr>
      <w:r>
        <w:t>The GMRG’s preliminary</w:t>
      </w:r>
      <w:r w:rsidR="00AC2E12">
        <w:t xml:space="preserve"> view on cost recovery is that </w:t>
      </w:r>
      <w:r>
        <w:t xml:space="preserve">service providers should have the opportunity to recover the </w:t>
      </w:r>
      <w:r w:rsidR="00AC2E12">
        <w:t xml:space="preserve">incremental </w:t>
      </w:r>
      <w:r>
        <w:t xml:space="preserve">costs listed in (1) and (2) from </w:t>
      </w:r>
      <w:r w:rsidRPr="00A41752">
        <w:t>secondary shippers</w:t>
      </w:r>
      <w:r w:rsidR="00AC2E12">
        <w:t xml:space="preserve"> through </w:t>
      </w:r>
      <w:r w:rsidR="000A2528">
        <w:t>a</w:t>
      </w:r>
      <w:r w:rsidR="00AC2E12">
        <w:t xml:space="preserve"> combination of a monthly administrative and per GJ </w:t>
      </w:r>
      <w:r w:rsidR="00933737">
        <w:t>charge</w:t>
      </w:r>
      <w:r>
        <w:t xml:space="preserve">, subject to the caveat that the </w:t>
      </w:r>
      <w:r w:rsidR="00AC2E12">
        <w:t xml:space="preserve">charges </w:t>
      </w:r>
      <w:r w:rsidR="00671371">
        <w:t>are cost reflective and</w:t>
      </w:r>
      <w:r w:rsidR="00AC2E12">
        <w:t xml:space="preserve">, so far as practical, </w:t>
      </w:r>
      <w:r w:rsidR="00671371">
        <w:t xml:space="preserve">reflect </w:t>
      </w:r>
      <w:r w:rsidR="00AC2E12">
        <w:t xml:space="preserve">the outcomes of a workably competitive market. </w:t>
      </w:r>
    </w:p>
    <w:p w14:paraId="3F4C01AD" w14:textId="7A84F0A0" w:rsidR="005F3471" w:rsidRDefault="00AC2E12" w:rsidP="00857698">
      <w:pPr>
        <w:pStyle w:val="BodyText"/>
      </w:pPr>
      <w:r>
        <w:t xml:space="preserve">The </w:t>
      </w:r>
      <w:r w:rsidR="00933737">
        <w:t xml:space="preserve">pricing principle that would be employed in this context </w:t>
      </w:r>
      <w:r>
        <w:t>is similar to what has been adopted in Part 23 of the NGR, which in the GMRG’s view</w:t>
      </w:r>
      <w:r w:rsidR="00933737">
        <w:t xml:space="preserve"> is </w:t>
      </w:r>
      <w:r>
        <w:t xml:space="preserve">appropriate given </w:t>
      </w:r>
      <w:r w:rsidR="00933737">
        <w:t xml:space="preserve">that </w:t>
      </w:r>
      <w:r w:rsidR="00857698">
        <w:t xml:space="preserve">service providers will not </w:t>
      </w:r>
      <w:r w:rsidR="00933737">
        <w:t xml:space="preserve">face </w:t>
      </w:r>
      <w:r w:rsidR="00857698">
        <w:t xml:space="preserve">any competition for the provision of operational transfer services and may not have an incentive to minimise costs or encourage secondary trade. </w:t>
      </w:r>
      <w:r w:rsidR="00057571">
        <w:t xml:space="preserve"> The GMRG does not, however, think it is necessary to require the AER to conduct an </w:t>
      </w:r>
      <w:r w:rsidR="002D5C8A">
        <w:rPr>
          <w:i/>
        </w:rPr>
        <w:t>ex-ante</w:t>
      </w:r>
      <w:r w:rsidR="00857698">
        <w:t xml:space="preserve"> review </w:t>
      </w:r>
      <w:r w:rsidR="00057571">
        <w:t xml:space="preserve">of </w:t>
      </w:r>
      <w:r w:rsidR="00933737">
        <w:t xml:space="preserve">the charges levied by service providers </w:t>
      </w:r>
      <w:r w:rsidR="00857698">
        <w:t xml:space="preserve">because the </w:t>
      </w:r>
      <w:r w:rsidR="0093326F">
        <w:t xml:space="preserve">benefits </w:t>
      </w:r>
      <w:r w:rsidR="00857698">
        <w:t xml:space="preserve">of doing so are </w:t>
      </w:r>
      <w:r w:rsidR="0093326F">
        <w:t>un</w:t>
      </w:r>
      <w:r w:rsidR="00857698">
        <w:t xml:space="preserve">likely to outweigh the </w:t>
      </w:r>
      <w:r w:rsidR="0093326F">
        <w:t>cost</w:t>
      </w:r>
      <w:r w:rsidR="00857698">
        <w:t xml:space="preserve">. </w:t>
      </w:r>
      <w:r w:rsidR="00057571">
        <w:t xml:space="preserve">Having said that, the GMRG does think there would be value </w:t>
      </w:r>
      <w:r w:rsidR="00857698">
        <w:t xml:space="preserve">in allowing the AER to </w:t>
      </w:r>
      <w:r w:rsidR="00057571">
        <w:t xml:space="preserve">conduct a </w:t>
      </w:r>
      <w:r w:rsidR="00BC090A">
        <w:t xml:space="preserve">compliance </w:t>
      </w:r>
      <w:r w:rsidR="00057571">
        <w:t xml:space="preserve">review of a service provider’s charges </w:t>
      </w:r>
      <w:r w:rsidR="00857698">
        <w:t xml:space="preserve">if it has concerns </w:t>
      </w:r>
      <w:r w:rsidR="00057571">
        <w:t xml:space="preserve">about the level of these </w:t>
      </w:r>
      <w:r w:rsidR="00857698">
        <w:t>charges</w:t>
      </w:r>
      <w:r w:rsidR="00057571">
        <w:t xml:space="preserve"> (or if </w:t>
      </w:r>
      <w:r w:rsidR="00BC090A">
        <w:t xml:space="preserve">genuine </w:t>
      </w:r>
      <w:r w:rsidR="00857698">
        <w:t>concerns are raised by an interested party)</w:t>
      </w:r>
      <w:r w:rsidR="00057571">
        <w:t>,</w:t>
      </w:r>
      <w:r w:rsidR="00857698">
        <w:t xml:space="preserve"> because the threat of such </w:t>
      </w:r>
      <w:r w:rsidR="00057571">
        <w:t xml:space="preserve">a review </w:t>
      </w:r>
      <w:r w:rsidR="00857698">
        <w:t>may impose additional discipline on service providers.</w:t>
      </w:r>
      <w:r w:rsidR="00057571">
        <w:t xml:space="preserve"> This </w:t>
      </w:r>
      <w:r w:rsidR="005F3471">
        <w:t xml:space="preserve">approach is, as outlined above, </w:t>
      </w:r>
      <w:r w:rsidR="00057571">
        <w:t>akin to the compliance monitoring approach the GMRG is proposing to use for other facility specific terms</w:t>
      </w:r>
      <w:r w:rsidR="00BC090A">
        <w:t xml:space="preserve"> and is not </w:t>
      </w:r>
      <w:r w:rsidR="00AD52DE">
        <w:t>intended</w:t>
      </w:r>
      <w:r w:rsidR="00BC090A">
        <w:t xml:space="preserve"> to </w:t>
      </w:r>
      <w:r w:rsidR="00D31293">
        <w:t xml:space="preserve">require the AER to </w:t>
      </w:r>
      <w:r w:rsidR="00BC090A">
        <w:t>approv</w:t>
      </w:r>
      <w:r w:rsidR="00D31293">
        <w:t>e the charges</w:t>
      </w:r>
      <w:r w:rsidR="00057571">
        <w:t xml:space="preserve">. </w:t>
      </w:r>
    </w:p>
    <w:p w14:paraId="61E92316" w14:textId="77777777" w:rsidR="00857698" w:rsidRPr="00A41752" w:rsidRDefault="005F3471" w:rsidP="00857698">
      <w:pPr>
        <w:pStyle w:val="BodyText"/>
      </w:pPr>
      <w:r>
        <w:t>While t</w:t>
      </w:r>
      <w:r w:rsidR="00857698">
        <w:t xml:space="preserve">he GMRG </w:t>
      </w:r>
      <w:r>
        <w:t xml:space="preserve">has </w:t>
      </w:r>
      <w:r w:rsidR="0093326F">
        <w:t>formed a preliminary view</w:t>
      </w:r>
      <w:r>
        <w:t xml:space="preserve"> </w:t>
      </w:r>
      <w:r w:rsidR="0093326F">
        <w:t xml:space="preserve">on </w:t>
      </w:r>
      <w:r>
        <w:t>this issue, it i</w:t>
      </w:r>
      <w:r w:rsidR="00857698">
        <w:t xml:space="preserve">s interested in hearing from </w:t>
      </w:r>
      <w:r>
        <w:t xml:space="preserve">other </w:t>
      </w:r>
      <w:r w:rsidR="00857698">
        <w:t xml:space="preserve">stakeholders </w:t>
      </w:r>
      <w:r>
        <w:t xml:space="preserve">on </w:t>
      </w:r>
      <w:r w:rsidR="00857698">
        <w:t>the cost recovery issues outlined above</w:t>
      </w:r>
      <w:r>
        <w:t xml:space="preserve"> and has set out a number of </w:t>
      </w:r>
      <w:r w:rsidR="00857698">
        <w:t xml:space="preserve">specific questions that </w:t>
      </w:r>
      <w:r>
        <w:t xml:space="preserve">it </w:t>
      </w:r>
      <w:r w:rsidR="00857698">
        <w:t xml:space="preserve">would like </w:t>
      </w:r>
      <w:r>
        <w:t xml:space="preserve">to obtain </w:t>
      </w:r>
      <w:r w:rsidR="00857698">
        <w:t xml:space="preserve">further feedback on. </w:t>
      </w:r>
    </w:p>
    <w:p w14:paraId="47F3E9A5" w14:textId="37E2B79D" w:rsidR="00857698" w:rsidRPr="00EC75C1" w:rsidRDefault="00857698" w:rsidP="006676B1">
      <w:pPr>
        <w:pStyle w:val="Caption"/>
        <w:spacing w:after="0"/>
        <w:rPr>
          <w:bCs w:val="0"/>
        </w:rPr>
      </w:pP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3.10: Questions on cost recovery"/>
        <w:tblDescription w:val="Questions on cost recovery"/>
      </w:tblPr>
      <w:tblGrid>
        <w:gridCol w:w="8788"/>
      </w:tblGrid>
      <w:tr w:rsidR="00836FC7" w:rsidRPr="004D73D8" w14:paraId="08C0E6D6" w14:textId="77777777" w:rsidTr="00836FC7">
        <w:trPr>
          <w:tblHeader/>
        </w:trPr>
        <w:tc>
          <w:tcPr>
            <w:tcW w:w="5000" w:type="pct"/>
            <w:shd w:val="clear" w:color="auto" w:fill="auto"/>
          </w:tcPr>
          <w:p w14:paraId="7FD425F3" w14:textId="1266953C" w:rsidR="00836FC7" w:rsidRPr="00836FC7" w:rsidRDefault="00836FC7" w:rsidP="00836FC7">
            <w:pPr>
              <w:pStyle w:val="ListBullet2"/>
              <w:numPr>
                <w:ilvl w:val="0"/>
                <w:numId w:val="0"/>
              </w:numPr>
              <w:spacing w:after="0"/>
              <w:rPr>
                <w:rFonts w:eastAsiaTheme="majorEastAsia"/>
                <w:sz w:val="21"/>
                <w:szCs w:val="21"/>
              </w:rPr>
            </w:pPr>
            <w:r w:rsidRPr="00836FC7">
              <w:rPr>
                <w:b/>
              </w:rPr>
              <w:t xml:space="preserve">Box </w:t>
            </w:r>
            <w:r w:rsidRPr="00836FC7">
              <w:rPr>
                <w:b/>
              </w:rPr>
              <w:fldChar w:fldCharType="begin"/>
            </w:r>
            <w:r w:rsidRPr="00836FC7">
              <w:rPr>
                <w:b/>
              </w:rPr>
              <w:instrText xml:space="preserve"> STYLEREF 1 \s </w:instrText>
            </w:r>
            <w:r w:rsidRPr="00836FC7">
              <w:rPr>
                <w:b/>
              </w:rPr>
              <w:fldChar w:fldCharType="separate"/>
            </w:r>
            <w:r w:rsidRPr="00836FC7">
              <w:rPr>
                <w:b/>
                <w:noProof/>
              </w:rPr>
              <w:t>3</w:t>
            </w:r>
            <w:r w:rsidRPr="00836FC7">
              <w:rPr>
                <w:b/>
                <w:noProof/>
              </w:rPr>
              <w:fldChar w:fldCharType="end"/>
            </w:r>
            <w:r w:rsidRPr="00836FC7">
              <w:rPr>
                <w:b/>
              </w:rPr>
              <w:t>.</w:t>
            </w:r>
            <w:r w:rsidRPr="00836FC7">
              <w:rPr>
                <w:b/>
              </w:rPr>
              <w:fldChar w:fldCharType="begin"/>
            </w:r>
            <w:r w:rsidRPr="00836FC7">
              <w:rPr>
                <w:b/>
              </w:rPr>
              <w:instrText xml:space="preserve"> SEQ Box \* ARABIC \s 1 </w:instrText>
            </w:r>
            <w:r w:rsidRPr="00836FC7">
              <w:rPr>
                <w:b/>
              </w:rPr>
              <w:fldChar w:fldCharType="separate"/>
            </w:r>
            <w:r w:rsidRPr="00836FC7">
              <w:rPr>
                <w:b/>
                <w:noProof/>
              </w:rPr>
              <w:t>10</w:t>
            </w:r>
            <w:r w:rsidRPr="00836FC7">
              <w:rPr>
                <w:b/>
                <w:noProof/>
              </w:rPr>
              <w:fldChar w:fldCharType="end"/>
            </w:r>
            <w:r w:rsidRPr="00836FC7">
              <w:rPr>
                <w:b/>
              </w:rPr>
              <w:t>: Questions on cost recovery</w:t>
            </w:r>
          </w:p>
        </w:tc>
      </w:tr>
      <w:tr w:rsidR="00836FC7" w:rsidRPr="004D73D8" w14:paraId="657CF00D" w14:textId="77777777" w:rsidTr="00836FC7">
        <w:trPr>
          <w:tblHeader/>
        </w:trPr>
        <w:tc>
          <w:tcPr>
            <w:tcW w:w="5000" w:type="pct"/>
            <w:shd w:val="clear" w:color="auto" w:fill="B7E7FF"/>
          </w:tcPr>
          <w:p w14:paraId="71B6713E" w14:textId="77777777" w:rsidR="00836FC7" w:rsidRPr="004D73D8" w:rsidRDefault="00836FC7" w:rsidP="00836FC7">
            <w:pPr>
              <w:pStyle w:val="ListNumber"/>
              <w:keepNext/>
              <w:numPr>
                <w:ilvl w:val="0"/>
                <w:numId w:val="23"/>
              </w:numPr>
              <w:ind w:hanging="357"/>
              <w:rPr>
                <w:rFonts w:eastAsiaTheme="majorEastAsia"/>
                <w:sz w:val="21"/>
                <w:szCs w:val="21"/>
              </w:rPr>
            </w:pPr>
            <w:r w:rsidRPr="004D73D8">
              <w:rPr>
                <w:rFonts w:eastAsiaTheme="majorEastAsia"/>
                <w:sz w:val="21"/>
                <w:szCs w:val="21"/>
              </w:rPr>
              <w:t xml:space="preserve">Do you agree that service providers should be able to recover the incremental establishment and capacity trading costs from shippers? </w:t>
            </w:r>
          </w:p>
          <w:p w14:paraId="7F234C55" w14:textId="77777777" w:rsidR="00836FC7" w:rsidRPr="004D73D8" w:rsidRDefault="00836FC7" w:rsidP="00836FC7">
            <w:pPr>
              <w:pStyle w:val="ListBullet2"/>
              <w:rPr>
                <w:rFonts w:eastAsiaTheme="majorEastAsia"/>
                <w:sz w:val="21"/>
                <w:szCs w:val="21"/>
              </w:rPr>
            </w:pPr>
            <w:r w:rsidRPr="004D73D8">
              <w:rPr>
                <w:rFonts w:eastAsiaTheme="majorEastAsia"/>
                <w:sz w:val="21"/>
                <w:szCs w:val="21"/>
              </w:rPr>
              <w:t>If not, please explain why.</w:t>
            </w:r>
          </w:p>
          <w:p w14:paraId="08345FFA" w14:textId="77777777" w:rsidR="00836FC7" w:rsidRPr="004D73D8" w:rsidRDefault="00836FC7" w:rsidP="00836FC7">
            <w:pPr>
              <w:pStyle w:val="ListBullet2"/>
              <w:rPr>
                <w:rFonts w:eastAsiaTheme="majorEastAsia"/>
                <w:sz w:val="21"/>
                <w:szCs w:val="21"/>
              </w:rPr>
            </w:pPr>
            <w:r w:rsidRPr="004D73D8">
              <w:rPr>
                <w:rFonts w:eastAsiaTheme="majorEastAsia"/>
                <w:sz w:val="21"/>
                <w:szCs w:val="21"/>
              </w:rPr>
              <w:t xml:space="preserve">If so, do you think: </w:t>
            </w:r>
          </w:p>
          <w:p w14:paraId="5C52C07A" w14:textId="77777777" w:rsidR="00836FC7" w:rsidRPr="004D73D8" w:rsidRDefault="00836FC7" w:rsidP="00836FC7">
            <w:pPr>
              <w:pStyle w:val="ListBullet2"/>
              <w:keepNext/>
              <w:numPr>
                <w:ilvl w:val="0"/>
                <w:numId w:val="28"/>
              </w:numPr>
              <w:ind w:left="1071" w:hanging="357"/>
              <w:rPr>
                <w:rFonts w:eastAsiaTheme="majorEastAsia"/>
                <w:sz w:val="21"/>
                <w:szCs w:val="21"/>
              </w:rPr>
            </w:pPr>
            <w:r w:rsidRPr="004D73D8">
              <w:rPr>
                <w:rFonts w:eastAsiaTheme="majorEastAsia"/>
                <w:sz w:val="21"/>
                <w:szCs w:val="21"/>
              </w:rPr>
              <w:t>the costs should be recovered from secondary shippers and primary shippers that sell their capacity, or do you think they should only be recovered from:</w:t>
            </w:r>
          </w:p>
          <w:p w14:paraId="6DAEED2C" w14:textId="77777777" w:rsidR="00836FC7" w:rsidRPr="004D73D8" w:rsidRDefault="00836FC7" w:rsidP="00836FC7">
            <w:pPr>
              <w:pStyle w:val="ListBullet2"/>
              <w:keepNext/>
              <w:numPr>
                <w:ilvl w:val="0"/>
                <w:numId w:val="29"/>
              </w:numPr>
              <w:ind w:left="1429" w:hanging="357"/>
              <w:rPr>
                <w:rFonts w:eastAsiaTheme="majorEastAsia"/>
                <w:sz w:val="21"/>
                <w:szCs w:val="21"/>
              </w:rPr>
            </w:pPr>
            <w:r w:rsidRPr="004D73D8">
              <w:rPr>
                <w:rFonts w:eastAsiaTheme="majorEastAsia"/>
                <w:sz w:val="21"/>
                <w:szCs w:val="21"/>
              </w:rPr>
              <w:t>secondary shippers?</w:t>
            </w:r>
          </w:p>
          <w:p w14:paraId="6ACD9D8E" w14:textId="77777777" w:rsidR="00836FC7" w:rsidRPr="004D73D8" w:rsidRDefault="00836FC7" w:rsidP="00836FC7">
            <w:pPr>
              <w:pStyle w:val="ListBullet2"/>
              <w:keepNext/>
              <w:numPr>
                <w:ilvl w:val="0"/>
                <w:numId w:val="29"/>
              </w:numPr>
              <w:ind w:left="1429" w:hanging="357"/>
              <w:rPr>
                <w:rFonts w:eastAsiaTheme="majorEastAsia"/>
                <w:sz w:val="21"/>
                <w:szCs w:val="21"/>
              </w:rPr>
            </w:pPr>
            <w:r w:rsidRPr="004D73D8">
              <w:rPr>
                <w:rFonts w:eastAsiaTheme="majorEastAsia"/>
                <w:sz w:val="21"/>
                <w:szCs w:val="21"/>
              </w:rPr>
              <w:t>primary shippers?</w:t>
            </w:r>
          </w:p>
          <w:p w14:paraId="6D223211" w14:textId="77777777" w:rsidR="00836FC7" w:rsidRPr="004D73D8" w:rsidRDefault="00836FC7" w:rsidP="00836FC7">
            <w:pPr>
              <w:pStyle w:val="ListBullet2"/>
              <w:keepNext/>
              <w:numPr>
                <w:ilvl w:val="0"/>
                <w:numId w:val="29"/>
              </w:numPr>
              <w:ind w:left="1429" w:hanging="357"/>
              <w:rPr>
                <w:rFonts w:eastAsiaTheme="majorEastAsia"/>
                <w:sz w:val="21"/>
                <w:szCs w:val="21"/>
              </w:rPr>
            </w:pPr>
            <w:r w:rsidRPr="004D73D8">
              <w:rPr>
                <w:rFonts w:eastAsiaTheme="majorEastAsia"/>
                <w:sz w:val="21"/>
                <w:szCs w:val="21"/>
              </w:rPr>
              <w:t>secondary shippers and all primary shippers?</w:t>
            </w:r>
          </w:p>
          <w:p w14:paraId="53E79C27" w14:textId="77777777" w:rsidR="00836FC7" w:rsidRPr="004D73D8" w:rsidRDefault="00836FC7" w:rsidP="00836FC7">
            <w:pPr>
              <w:pStyle w:val="ListBullet2"/>
              <w:keepNext/>
              <w:numPr>
                <w:ilvl w:val="0"/>
                <w:numId w:val="28"/>
              </w:numPr>
              <w:ind w:left="1071" w:hanging="357"/>
              <w:rPr>
                <w:rFonts w:eastAsiaTheme="majorEastAsia"/>
                <w:sz w:val="21"/>
                <w:szCs w:val="21"/>
              </w:rPr>
            </w:pPr>
            <w:r w:rsidRPr="004D73D8">
              <w:rPr>
                <w:rFonts w:eastAsiaTheme="majorEastAsia"/>
                <w:sz w:val="21"/>
                <w:szCs w:val="21"/>
              </w:rPr>
              <w:t xml:space="preserve">the costs should be recovered using a combination of a monthly administrative fee and a per trade (or per GJ) fee, or </w:t>
            </w:r>
            <w:r>
              <w:rPr>
                <w:rFonts w:eastAsiaTheme="majorEastAsia"/>
                <w:sz w:val="21"/>
                <w:szCs w:val="21"/>
              </w:rPr>
              <w:t xml:space="preserve">another </w:t>
            </w:r>
            <w:r w:rsidRPr="004D73D8">
              <w:rPr>
                <w:rFonts w:eastAsiaTheme="majorEastAsia"/>
                <w:sz w:val="21"/>
                <w:szCs w:val="21"/>
              </w:rPr>
              <w:t>mechanism?</w:t>
            </w:r>
          </w:p>
          <w:p w14:paraId="775E663F" w14:textId="77777777" w:rsidR="00836FC7" w:rsidRDefault="00836FC7" w:rsidP="00836FC7">
            <w:pPr>
              <w:pStyle w:val="ListNumber"/>
              <w:keepNext/>
              <w:numPr>
                <w:ilvl w:val="0"/>
                <w:numId w:val="23"/>
              </w:numPr>
              <w:ind w:hanging="357"/>
              <w:rPr>
                <w:rFonts w:eastAsiaTheme="majorEastAsia"/>
                <w:sz w:val="21"/>
                <w:szCs w:val="21"/>
              </w:rPr>
            </w:pPr>
            <w:r w:rsidRPr="004D73D8">
              <w:rPr>
                <w:rFonts w:eastAsiaTheme="majorEastAsia"/>
                <w:sz w:val="21"/>
                <w:szCs w:val="21"/>
              </w:rPr>
              <w:t xml:space="preserve">Do you think the costs </w:t>
            </w:r>
            <w:r>
              <w:rPr>
                <w:rFonts w:eastAsiaTheme="majorEastAsia"/>
                <w:sz w:val="21"/>
                <w:szCs w:val="21"/>
              </w:rPr>
              <w:t xml:space="preserve">that </w:t>
            </w:r>
            <w:r w:rsidRPr="004D73D8">
              <w:rPr>
                <w:rFonts w:eastAsiaTheme="majorEastAsia"/>
                <w:sz w:val="21"/>
                <w:szCs w:val="21"/>
              </w:rPr>
              <w:t xml:space="preserve">service providers seek to recover from shippers should be subject to </w:t>
            </w:r>
            <w:r>
              <w:rPr>
                <w:rFonts w:eastAsiaTheme="majorEastAsia"/>
                <w:sz w:val="21"/>
                <w:szCs w:val="21"/>
              </w:rPr>
              <w:t xml:space="preserve">the same pricing principle that applies under Part 23 of the NGR, or do you think a more stringent pricing principle should be applied (e.g. the </w:t>
            </w:r>
            <w:r w:rsidRPr="004D73D8">
              <w:rPr>
                <w:rFonts w:eastAsiaTheme="majorEastAsia"/>
                <w:sz w:val="21"/>
                <w:szCs w:val="21"/>
              </w:rPr>
              <w:t xml:space="preserve">prudent service provider acting efficiently test </w:t>
            </w:r>
            <w:r>
              <w:rPr>
                <w:rFonts w:eastAsiaTheme="majorEastAsia"/>
                <w:sz w:val="21"/>
                <w:szCs w:val="21"/>
              </w:rPr>
              <w:t>in Part 9 of the NGR)</w:t>
            </w:r>
            <w:r w:rsidRPr="004D73D8">
              <w:rPr>
                <w:rFonts w:eastAsiaTheme="majorEastAsia"/>
                <w:sz w:val="21"/>
                <w:szCs w:val="21"/>
              </w:rPr>
              <w:t xml:space="preserve">? </w:t>
            </w:r>
          </w:p>
          <w:p w14:paraId="7B85762B" w14:textId="77777777" w:rsidR="00836FC7" w:rsidRPr="004D73D8" w:rsidRDefault="00836FC7" w:rsidP="00836FC7">
            <w:pPr>
              <w:pStyle w:val="ListNumber"/>
              <w:keepNext/>
              <w:numPr>
                <w:ilvl w:val="0"/>
                <w:numId w:val="23"/>
              </w:numPr>
              <w:ind w:hanging="357"/>
              <w:rPr>
                <w:rFonts w:eastAsiaTheme="majorEastAsia"/>
                <w:sz w:val="21"/>
                <w:szCs w:val="21"/>
              </w:rPr>
            </w:pPr>
            <w:r>
              <w:rPr>
                <w:rFonts w:eastAsiaTheme="majorEastAsia"/>
                <w:sz w:val="21"/>
                <w:szCs w:val="21"/>
              </w:rPr>
              <w:t>Do you think the AER should be able to review the costs that service providers seek to recover?</w:t>
            </w:r>
          </w:p>
          <w:p w14:paraId="5DA730F4" w14:textId="77777777" w:rsidR="00836FC7" w:rsidRDefault="00836FC7" w:rsidP="00836FC7">
            <w:pPr>
              <w:pStyle w:val="ListBullet2"/>
              <w:rPr>
                <w:rFonts w:eastAsiaTheme="majorEastAsia"/>
                <w:sz w:val="21"/>
                <w:szCs w:val="21"/>
              </w:rPr>
            </w:pPr>
            <w:r w:rsidRPr="004D73D8">
              <w:rPr>
                <w:rFonts w:eastAsiaTheme="majorEastAsia"/>
                <w:sz w:val="21"/>
                <w:szCs w:val="21"/>
              </w:rPr>
              <w:t>If not, please explain why.</w:t>
            </w:r>
          </w:p>
          <w:p w14:paraId="65EA3841" w14:textId="720DEF15" w:rsidR="00836FC7" w:rsidRPr="00836FC7" w:rsidRDefault="00836FC7" w:rsidP="00836FC7">
            <w:pPr>
              <w:pStyle w:val="ListBullet2"/>
              <w:rPr>
                <w:rFonts w:eastAsiaTheme="majorEastAsia"/>
                <w:sz w:val="21"/>
                <w:szCs w:val="21"/>
              </w:rPr>
            </w:pPr>
            <w:r w:rsidRPr="00836FC7">
              <w:rPr>
                <w:rFonts w:eastAsiaTheme="majorEastAsia"/>
                <w:sz w:val="21"/>
                <w:szCs w:val="21"/>
              </w:rPr>
              <w:t>If so, do you think the proposal that the AER could initiate its own review if it was concerned about the level of charges (or if another interested party raised concerns) would work, or do you think another approach would be more effective?</w:t>
            </w:r>
          </w:p>
        </w:tc>
      </w:tr>
      <w:bookmarkEnd w:id="92"/>
    </w:tbl>
    <w:p w14:paraId="288FC072" w14:textId="1288B3AD" w:rsidR="00990B69" w:rsidRDefault="00990B69" w:rsidP="00836FC7">
      <w:pPr>
        <w:pStyle w:val="BodyText"/>
      </w:pPr>
      <w:r>
        <w:br w:type="page"/>
      </w:r>
    </w:p>
    <w:p w14:paraId="2DD68EF6" w14:textId="77777777" w:rsidR="00990B69" w:rsidRDefault="0088219D" w:rsidP="000438A1">
      <w:pPr>
        <w:pStyle w:val="Heading1"/>
        <w:ind w:right="-143"/>
      </w:pPr>
      <w:bookmarkStart w:id="94" w:name="_Toc492524743"/>
      <w:r>
        <w:lastRenderedPageBreak/>
        <w:t>Receipt and Delivery Point Flexibility</w:t>
      </w:r>
      <w:bookmarkEnd w:id="94"/>
      <w:r>
        <w:t xml:space="preserve"> </w:t>
      </w:r>
    </w:p>
    <w:p w14:paraId="1B373A07" w14:textId="77777777" w:rsidR="000C6237" w:rsidRDefault="0093099A" w:rsidP="00586559">
      <w:pPr>
        <w:pStyle w:val="BodyText"/>
        <w:spacing w:before="0"/>
        <w:rPr>
          <w:rFonts w:asciiTheme="majorHAnsi" w:eastAsiaTheme="majorEastAsia" w:hAnsiTheme="majorHAnsi" w:cstheme="majorBidi"/>
        </w:rPr>
      </w:pPr>
      <w:r>
        <w:t>To maximise the pool of prospective buyers and sellers of secondary capacity</w:t>
      </w:r>
      <w:r w:rsidR="004A3AF6">
        <w:t xml:space="preserve"> and facilitate a greater level of trade</w:t>
      </w:r>
      <w:r>
        <w:t xml:space="preserve">, the AEMC </w:t>
      </w:r>
      <w:r w:rsidR="00586559">
        <w:t xml:space="preserve">recommended </w:t>
      </w:r>
      <w:r w:rsidR="004A3AF6">
        <w:t xml:space="preserve">that </w:t>
      </w:r>
      <w:r w:rsidR="00586559">
        <w:t xml:space="preserve">shippers </w:t>
      </w:r>
      <w:r w:rsidR="004A3AF6">
        <w:t xml:space="preserve">be accorded </w:t>
      </w:r>
      <w:r w:rsidR="00586559">
        <w:t>greater receipt and delivery point flexibility.</w:t>
      </w:r>
      <w:r w:rsidR="000C6237" w:rsidRPr="72697DF9">
        <w:rPr>
          <w:rStyle w:val="FootnoteReference"/>
          <w:rFonts w:asciiTheme="majorHAnsi" w:eastAsiaTheme="majorEastAsia" w:hAnsiTheme="majorHAnsi" w:cstheme="majorBidi"/>
          <w:color w:val="000000"/>
        </w:rPr>
        <w:footnoteReference w:id="40"/>
      </w:r>
      <w:r w:rsidR="000C6237" w:rsidRPr="72697DF9">
        <w:rPr>
          <w:rFonts w:asciiTheme="majorHAnsi" w:eastAsiaTheme="majorEastAsia" w:hAnsiTheme="majorHAnsi" w:cstheme="majorBidi"/>
        </w:rPr>
        <w:t xml:space="preserve"> </w:t>
      </w:r>
    </w:p>
    <w:p w14:paraId="30B9DD09" w14:textId="77777777" w:rsidR="000C6237" w:rsidRPr="00262EDE" w:rsidRDefault="004A3AF6" w:rsidP="000C6237">
      <w:pPr>
        <w:pStyle w:val="BodyText"/>
        <w:rPr>
          <w:rFonts w:asciiTheme="majorHAnsi" w:eastAsiaTheme="majorEastAsia" w:hAnsiTheme="majorHAnsi" w:cstheme="majorBidi"/>
        </w:rPr>
      </w:pPr>
      <w:r>
        <w:rPr>
          <w:rFonts w:asciiTheme="majorHAnsi" w:eastAsiaTheme="majorEastAsia" w:hAnsiTheme="majorHAnsi" w:cstheme="majorBidi"/>
        </w:rPr>
        <w:t>This recommendation, which was classified by the AEMC as a preferred outcome,</w:t>
      </w:r>
      <w:r w:rsidR="000C6237">
        <w:rPr>
          <w:rFonts w:asciiTheme="majorHAnsi" w:eastAsiaTheme="majorEastAsia" w:hAnsiTheme="majorHAnsi" w:cstheme="majorBidi"/>
        </w:rPr>
        <w:t xml:space="preserve"> </w:t>
      </w:r>
      <w:r>
        <w:rPr>
          <w:rFonts w:asciiTheme="majorHAnsi" w:eastAsiaTheme="majorEastAsia" w:hAnsiTheme="majorHAnsi" w:cstheme="majorBidi"/>
        </w:rPr>
        <w:t xml:space="preserve">has </w:t>
      </w:r>
      <w:r w:rsidR="000C6237">
        <w:rPr>
          <w:rFonts w:asciiTheme="majorHAnsi" w:eastAsiaTheme="majorEastAsia" w:hAnsiTheme="majorHAnsi" w:cstheme="majorBidi"/>
        </w:rPr>
        <w:t xml:space="preserve">been considered in some detail by the Standardisation </w:t>
      </w:r>
      <w:r w:rsidR="000C6237" w:rsidRPr="00262EDE">
        <w:rPr>
          <w:rFonts w:asciiTheme="majorHAnsi" w:eastAsiaTheme="majorEastAsia" w:hAnsiTheme="majorHAnsi" w:cstheme="majorBidi"/>
        </w:rPr>
        <w:t>project team. In doing so, the project team considered:</w:t>
      </w:r>
    </w:p>
    <w:p w14:paraId="6561687A" w14:textId="2417E9C1" w:rsidR="000C6237" w:rsidRPr="00262EDE" w:rsidRDefault="00262EDE" w:rsidP="000C6237">
      <w:pPr>
        <w:pStyle w:val="ListBullet"/>
        <w:rPr>
          <w:rFonts w:eastAsiaTheme="majorEastAsia"/>
        </w:rPr>
      </w:pPr>
      <w:r w:rsidRPr="00262EDE">
        <w:rPr>
          <w:rFonts w:eastAsiaTheme="majorEastAsia"/>
        </w:rPr>
        <w:t xml:space="preserve">the merits of introducing a zonal model for </w:t>
      </w:r>
      <w:r w:rsidR="00607C05">
        <w:rPr>
          <w:rFonts w:eastAsiaTheme="majorEastAsia"/>
        </w:rPr>
        <w:t xml:space="preserve">trades conducted through the exchange </w:t>
      </w:r>
      <w:r w:rsidR="00F7735F">
        <w:rPr>
          <w:rFonts w:eastAsiaTheme="majorEastAsia"/>
        </w:rPr>
        <w:t>component of the capacity trading platform</w:t>
      </w:r>
      <w:r w:rsidR="00586559" w:rsidRPr="00262EDE">
        <w:rPr>
          <w:rFonts w:eastAsiaTheme="majorEastAsia"/>
        </w:rPr>
        <w:t>;</w:t>
      </w:r>
      <w:r w:rsidRPr="00262EDE">
        <w:rPr>
          <w:rFonts w:eastAsiaTheme="majorEastAsia"/>
        </w:rPr>
        <w:t xml:space="preserve"> and</w:t>
      </w:r>
    </w:p>
    <w:p w14:paraId="64F1F1BA" w14:textId="77777777" w:rsidR="000C6237" w:rsidRPr="00262EDE" w:rsidRDefault="00262EDE" w:rsidP="00586559">
      <w:pPr>
        <w:pStyle w:val="ListBullet"/>
        <w:rPr>
          <w:rFonts w:eastAsiaTheme="majorEastAsia"/>
        </w:rPr>
      </w:pPr>
      <w:r w:rsidRPr="00262EDE">
        <w:rPr>
          <w:rFonts w:eastAsiaTheme="majorEastAsia"/>
        </w:rPr>
        <w:t xml:space="preserve">whether improvements could be made to the process service providers </w:t>
      </w:r>
      <w:r w:rsidR="00E163DE">
        <w:rPr>
          <w:rFonts w:eastAsiaTheme="majorEastAsia"/>
        </w:rPr>
        <w:t xml:space="preserve">employ </w:t>
      </w:r>
      <w:r w:rsidRPr="00262EDE">
        <w:rPr>
          <w:rFonts w:eastAsiaTheme="majorEastAsia"/>
        </w:rPr>
        <w:t xml:space="preserve">when considering whether to approve </w:t>
      </w:r>
      <w:r w:rsidR="00E163DE">
        <w:rPr>
          <w:rFonts w:eastAsiaTheme="majorEastAsia"/>
        </w:rPr>
        <w:t>a shipper’s request</w:t>
      </w:r>
      <w:r w:rsidR="004A3AF6">
        <w:rPr>
          <w:rFonts w:eastAsiaTheme="majorEastAsia"/>
        </w:rPr>
        <w:t xml:space="preserve"> </w:t>
      </w:r>
      <w:r w:rsidR="00E163DE">
        <w:rPr>
          <w:rFonts w:eastAsiaTheme="majorEastAsia"/>
        </w:rPr>
        <w:t xml:space="preserve">to change a </w:t>
      </w:r>
      <w:r w:rsidRPr="00262EDE">
        <w:rPr>
          <w:rFonts w:eastAsiaTheme="majorEastAsia"/>
        </w:rPr>
        <w:t xml:space="preserve">receipt </w:t>
      </w:r>
      <w:r w:rsidR="00E163DE">
        <w:rPr>
          <w:rFonts w:eastAsiaTheme="majorEastAsia"/>
        </w:rPr>
        <w:t xml:space="preserve">or </w:t>
      </w:r>
      <w:r w:rsidRPr="00262EDE">
        <w:rPr>
          <w:rFonts w:eastAsiaTheme="majorEastAsia"/>
        </w:rPr>
        <w:t xml:space="preserve">delivery point. </w:t>
      </w:r>
    </w:p>
    <w:p w14:paraId="30D34B81" w14:textId="22B6BDE4" w:rsidR="000C6237" w:rsidRDefault="000C6237" w:rsidP="000C6237">
      <w:pPr>
        <w:pStyle w:val="BodyText"/>
      </w:pPr>
      <w:r>
        <w:t xml:space="preserve">Further detail on the position the Standardisation project team reached on these </w:t>
      </w:r>
      <w:r w:rsidR="00262EDE">
        <w:t xml:space="preserve">two </w:t>
      </w:r>
      <w:r>
        <w:t xml:space="preserve">issues and the GMRG’s preliminary views is provided in the remainder of this chapter, which commences with an overview of the AEMC’s recommendations. </w:t>
      </w:r>
    </w:p>
    <w:p w14:paraId="35047306" w14:textId="77777777" w:rsidR="000C6237" w:rsidRDefault="000C6237" w:rsidP="00544662">
      <w:pPr>
        <w:pStyle w:val="Heading2"/>
      </w:pPr>
      <w:bookmarkStart w:id="95" w:name="_Toc492524744"/>
      <w:r>
        <w:t>AEMC recommendations</w:t>
      </w:r>
      <w:bookmarkEnd w:id="95"/>
      <w:r>
        <w:t xml:space="preserve"> </w:t>
      </w:r>
    </w:p>
    <w:p w14:paraId="06BD7AE2" w14:textId="77777777" w:rsidR="0067785A" w:rsidRPr="00847243" w:rsidRDefault="0067785A" w:rsidP="0067785A">
      <w:pPr>
        <w:rPr>
          <w:rFonts w:asciiTheme="majorHAnsi" w:hAnsiTheme="majorHAnsi" w:cstheme="majorHAnsi"/>
        </w:rPr>
      </w:pPr>
      <w:r w:rsidRPr="00847243">
        <w:rPr>
          <w:rFonts w:asciiTheme="majorHAnsi" w:hAnsiTheme="majorHAnsi" w:cstheme="majorHAnsi"/>
        </w:rPr>
        <w:t xml:space="preserve">During the AEMC’s </w:t>
      </w:r>
      <w:r w:rsidR="005E3347" w:rsidRPr="005E3347">
        <w:rPr>
          <w:rFonts w:asciiTheme="majorHAnsi" w:hAnsiTheme="majorHAnsi" w:cstheme="majorHAnsi"/>
          <w:i/>
        </w:rPr>
        <w:t>East Coast Review</w:t>
      </w:r>
      <w:r w:rsidRPr="00847243">
        <w:rPr>
          <w:rFonts w:asciiTheme="majorHAnsi" w:hAnsiTheme="majorHAnsi" w:cstheme="majorHAnsi"/>
        </w:rPr>
        <w:t>, a number of stakeholders noted that the ability of primary capacity holders to trade capacity may be limited by restrictions on changes to receipt and delivery points. Elaborating on this further, the AEMC noted that:</w:t>
      </w:r>
      <w:r w:rsidRPr="00847243">
        <w:rPr>
          <w:rStyle w:val="FootnoteReference"/>
          <w:rFonts w:asciiTheme="majorHAnsi" w:hAnsiTheme="majorHAnsi" w:cstheme="majorHAnsi"/>
        </w:rPr>
        <w:footnoteReference w:id="41"/>
      </w:r>
      <w:r w:rsidRPr="00847243">
        <w:rPr>
          <w:rFonts w:asciiTheme="majorHAnsi" w:hAnsiTheme="majorHAnsi" w:cstheme="majorHAnsi"/>
        </w:rPr>
        <w:t xml:space="preserve"> </w:t>
      </w:r>
    </w:p>
    <w:p w14:paraId="2E1FF171" w14:textId="77777777" w:rsidR="0067785A" w:rsidRPr="00847243" w:rsidRDefault="0067785A" w:rsidP="0067785A">
      <w:pPr>
        <w:pStyle w:val="Quote"/>
        <w:rPr>
          <w:rFonts w:asciiTheme="majorHAnsi" w:hAnsiTheme="majorHAnsi" w:cstheme="majorHAnsi"/>
        </w:rPr>
      </w:pPr>
      <w:r w:rsidRPr="00847243">
        <w:rPr>
          <w:rFonts w:asciiTheme="majorHAnsi" w:hAnsiTheme="majorHAnsi" w:cstheme="majorHAnsi"/>
        </w:rPr>
        <w:t>“Capacity rights on contract carriage pipelines tend to be defined on a point-to-point basis by reference to specific receipt and delivery points that primary capacity holders have firm access rights to. While most GTAs allow primary capacity holders to change their receipt and delivery points, they are usually required to obtain the pipeline operator’s consent before doing so. This consent can usually be withheld for commercial or technical reasons.</w:t>
      </w:r>
      <w:r w:rsidRPr="00847243">
        <w:rPr>
          <w:rFonts w:asciiTheme="majorHAnsi" w:hAnsiTheme="majorHAnsi" w:cstheme="majorHAnsi"/>
          <w:sz w:val="18"/>
          <w:szCs w:val="18"/>
        </w:rPr>
        <w:t xml:space="preserve"> </w:t>
      </w:r>
      <w:r w:rsidRPr="00847243">
        <w:rPr>
          <w:rFonts w:asciiTheme="majorHAnsi" w:hAnsiTheme="majorHAnsi" w:cstheme="majorHAnsi"/>
        </w:rPr>
        <w:t xml:space="preserve">Some GTAs may also limit the number of changes that can be requested in a year, or otherwise limit the changes that can be made. </w:t>
      </w:r>
    </w:p>
    <w:p w14:paraId="1A7E3E84" w14:textId="77777777" w:rsidR="0067785A" w:rsidRPr="00847243" w:rsidRDefault="0067785A" w:rsidP="0067785A">
      <w:pPr>
        <w:pStyle w:val="Quote"/>
        <w:rPr>
          <w:rFonts w:asciiTheme="majorHAnsi" w:hAnsiTheme="majorHAnsi" w:cstheme="majorHAnsi"/>
        </w:rPr>
      </w:pPr>
      <w:r w:rsidRPr="00847243">
        <w:rPr>
          <w:rFonts w:asciiTheme="majorHAnsi" w:hAnsiTheme="majorHAnsi" w:cstheme="majorHAnsi"/>
        </w:rPr>
        <w:t xml:space="preserve">Non-technical restrictions on changes to receipt and delivery points can impede secondary capacity trade because they limit the pool of potential sellers of secondary capacity.” </w:t>
      </w:r>
    </w:p>
    <w:p w14:paraId="783105D9" w14:textId="77777777" w:rsidR="0067785A" w:rsidRDefault="0067785A" w:rsidP="0067785A">
      <w:pPr>
        <w:pStyle w:val="BodyText"/>
        <w:rPr>
          <w:rFonts w:ascii="Book Antiqua" w:eastAsia="Book Antiqua" w:hAnsi="Book Antiqua" w:cs="Book Antiqua"/>
        </w:rPr>
      </w:pPr>
      <w:r>
        <w:rPr>
          <w:rFonts w:asciiTheme="majorHAnsi" w:hAnsiTheme="majorHAnsi" w:cstheme="majorHAnsi"/>
        </w:rPr>
        <w:t xml:space="preserve">To overcome these impediments, the </w:t>
      </w:r>
      <w:r w:rsidRPr="00847243">
        <w:rPr>
          <w:rFonts w:asciiTheme="majorHAnsi" w:hAnsiTheme="majorHAnsi" w:cstheme="majorHAnsi"/>
        </w:rPr>
        <w:t xml:space="preserve">AEMC </w:t>
      </w:r>
      <w:r w:rsidR="00544662">
        <w:rPr>
          <w:rFonts w:asciiTheme="majorHAnsi" w:hAnsiTheme="majorHAnsi" w:cstheme="majorHAnsi"/>
        </w:rPr>
        <w:t>suggested</w:t>
      </w:r>
      <w:r>
        <w:rPr>
          <w:rFonts w:asciiTheme="majorHAnsi" w:hAnsiTheme="majorHAnsi" w:cstheme="majorHAnsi"/>
        </w:rPr>
        <w:t xml:space="preserve"> that </w:t>
      </w:r>
      <w:r w:rsidRPr="00847243">
        <w:rPr>
          <w:rFonts w:asciiTheme="majorHAnsi" w:hAnsiTheme="majorHAnsi" w:cstheme="majorHAnsi"/>
        </w:rPr>
        <w:t xml:space="preserve">shippers be </w:t>
      </w:r>
      <w:r>
        <w:rPr>
          <w:rFonts w:asciiTheme="majorHAnsi" w:hAnsiTheme="majorHAnsi" w:cstheme="majorHAnsi"/>
        </w:rPr>
        <w:t xml:space="preserve">accorded </w:t>
      </w:r>
      <w:r w:rsidRPr="00847243">
        <w:rPr>
          <w:rFonts w:asciiTheme="majorHAnsi" w:hAnsiTheme="majorHAnsi" w:cstheme="majorHAnsi"/>
        </w:rPr>
        <w:t>greater flexibility to change their receipt and delivery points</w:t>
      </w:r>
      <w:r>
        <w:rPr>
          <w:rFonts w:asciiTheme="majorHAnsi" w:hAnsiTheme="majorHAnsi" w:cstheme="majorHAnsi"/>
        </w:rPr>
        <w:t>.</w:t>
      </w:r>
      <w:r w:rsidRPr="00847243">
        <w:rPr>
          <w:rFonts w:asciiTheme="majorHAnsi" w:hAnsiTheme="majorHAnsi" w:cstheme="majorHAnsi"/>
        </w:rPr>
        <w:t xml:space="preserve"> </w:t>
      </w:r>
      <w:r>
        <w:rPr>
          <w:rFonts w:asciiTheme="majorHAnsi" w:hAnsiTheme="majorHAnsi" w:cstheme="majorHAnsi"/>
        </w:rPr>
        <w:t xml:space="preserve">In doing so, the AEMC noted </w:t>
      </w:r>
      <w:r>
        <w:t xml:space="preserve">that </w:t>
      </w:r>
      <w:r w:rsidR="00262EDE">
        <w:t xml:space="preserve">the following measures were likely to </w:t>
      </w:r>
      <w:r w:rsidR="00586559">
        <w:t>best achieve this objective</w:t>
      </w:r>
      <w:r w:rsidRPr="72697DF9">
        <w:rPr>
          <w:rFonts w:ascii="Book Antiqua" w:eastAsia="Book Antiqua" w:hAnsi="Book Antiqua" w:cs="Book Antiqua"/>
        </w:rPr>
        <w:t>:</w:t>
      </w:r>
      <w:r>
        <w:rPr>
          <w:rStyle w:val="FootnoteReference"/>
        </w:rPr>
        <w:footnoteReference w:id="42"/>
      </w:r>
    </w:p>
    <w:p w14:paraId="0BBA4302" w14:textId="77777777" w:rsidR="0067785A" w:rsidRPr="00847243" w:rsidRDefault="0067785A" w:rsidP="0067785A">
      <w:pPr>
        <w:pStyle w:val="ListBullet"/>
        <w:tabs>
          <w:tab w:val="num" w:pos="357"/>
        </w:tabs>
        <w:rPr>
          <w:rFonts w:asciiTheme="majorHAnsi" w:hAnsiTheme="majorHAnsi" w:cstheme="majorHAnsi"/>
        </w:rPr>
      </w:pPr>
      <w:r w:rsidRPr="00847243">
        <w:rPr>
          <w:rFonts w:asciiTheme="majorHAnsi" w:hAnsiTheme="majorHAnsi" w:cstheme="majorHAnsi"/>
        </w:rPr>
        <w:t xml:space="preserve">developing zones that cover multiple receipt and delivery points and allowing changes to occur relatively easily within these zones and putting in place rules that clearly define how changes across zones will be dealt with; </w:t>
      </w:r>
    </w:p>
    <w:p w14:paraId="03A949DE" w14:textId="77777777" w:rsidR="0067785A" w:rsidRPr="00847243" w:rsidRDefault="0067785A" w:rsidP="0067785A">
      <w:pPr>
        <w:pStyle w:val="ListBullet"/>
        <w:tabs>
          <w:tab w:val="num" w:pos="357"/>
        </w:tabs>
        <w:rPr>
          <w:rFonts w:asciiTheme="majorHAnsi" w:hAnsiTheme="majorHAnsi" w:cstheme="majorHAnsi"/>
        </w:rPr>
      </w:pPr>
      <w:r w:rsidRPr="00847243">
        <w:rPr>
          <w:rFonts w:asciiTheme="majorHAnsi" w:hAnsiTheme="majorHAnsi" w:cstheme="majorHAnsi"/>
        </w:rPr>
        <w:t xml:space="preserve">only allowing pipeline operators to reject changes to receipt and delivery points on technical and operational (e.g. if the transfer would affect delivery to another shipper with firm rights) grounds, as opposed to commercial grounds; and </w:t>
      </w:r>
    </w:p>
    <w:p w14:paraId="10838E96" w14:textId="77777777" w:rsidR="0067785A" w:rsidRPr="00847243" w:rsidRDefault="0067785A" w:rsidP="0067785A">
      <w:pPr>
        <w:pStyle w:val="ListBullet"/>
        <w:tabs>
          <w:tab w:val="num" w:pos="357"/>
        </w:tabs>
        <w:rPr>
          <w:rFonts w:asciiTheme="majorHAnsi" w:hAnsiTheme="majorHAnsi" w:cstheme="majorHAnsi"/>
        </w:rPr>
      </w:pPr>
      <w:r w:rsidRPr="00847243">
        <w:rPr>
          <w:rFonts w:asciiTheme="majorHAnsi" w:hAnsiTheme="majorHAnsi" w:cstheme="majorHAnsi"/>
        </w:rPr>
        <w:lastRenderedPageBreak/>
        <w:t xml:space="preserve">requiring pipeline operators to respond to a request to change a receipt or delivery point within a specified time. </w:t>
      </w:r>
    </w:p>
    <w:p w14:paraId="2201C82B" w14:textId="77777777" w:rsidR="0067785A" w:rsidRDefault="0067785A" w:rsidP="0067785A">
      <w:pPr>
        <w:pStyle w:val="BodyText"/>
      </w:pPr>
      <w:r>
        <w:t xml:space="preserve">The AEMC acknowledged, however, that there may be other measures that could achieve a similar outcome more efficiently and noted that the GMRG should not limit its consideration to </w:t>
      </w:r>
      <w:r w:rsidR="00F243A1">
        <w:t xml:space="preserve">the above </w:t>
      </w:r>
      <w:r>
        <w:t>measures.</w:t>
      </w:r>
    </w:p>
    <w:p w14:paraId="3968CB86" w14:textId="77777777" w:rsidR="00262EDE" w:rsidRDefault="00262EDE" w:rsidP="00544662">
      <w:pPr>
        <w:pStyle w:val="Heading2"/>
      </w:pPr>
      <w:bookmarkStart w:id="96" w:name="_Ref491760149"/>
      <w:bookmarkStart w:id="97" w:name="_Toc492524745"/>
      <w:bookmarkStart w:id="98" w:name="_Toc487694844"/>
      <w:bookmarkStart w:id="99" w:name="_Toc490711310"/>
      <w:r>
        <w:t>Zonal model</w:t>
      </w:r>
      <w:bookmarkEnd w:id="96"/>
      <w:bookmarkEnd w:id="97"/>
    </w:p>
    <w:p w14:paraId="0454AC79" w14:textId="77777777" w:rsidR="00E96E54" w:rsidRDefault="00F243A1" w:rsidP="00262EDE">
      <w:pPr>
        <w:pStyle w:val="BodyText"/>
      </w:pPr>
      <w:r>
        <w:t>T</w:t>
      </w:r>
      <w:r w:rsidR="00AD4503">
        <w:t>ransportation services on contract carriage transmission pipelines ha</w:t>
      </w:r>
      <w:r w:rsidR="00E163DE">
        <w:t>ve</w:t>
      </w:r>
      <w:r w:rsidR="00AD4503">
        <w:t xml:space="preserve"> traditionally been sold on a point-to-point basis between the receipt and delivery points specified in the shipper’s GTA. </w:t>
      </w:r>
      <w:r w:rsidR="00E96E54">
        <w:t>While the point-to-point model works relatively well for primary sales of capacity, it may act as an impediment to secondary trade</w:t>
      </w:r>
      <w:r>
        <w:t xml:space="preserve"> by limiting </w:t>
      </w:r>
      <w:r w:rsidR="00E96E54">
        <w:t xml:space="preserve">the number of buyers and sellers that can trade with each other (i.e. because few shippers are likely to have exactly the same </w:t>
      </w:r>
      <w:r w:rsidR="00E163DE">
        <w:t xml:space="preserve">receipt and delivery point </w:t>
      </w:r>
      <w:r w:rsidR="00E96E54">
        <w:t>requirements).</w:t>
      </w:r>
      <w:r w:rsidR="00E96E54">
        <w:rPr>
          <w:rStyle w:val="FootnoteReference"/>
        </w:rPr>
        <w:footnoteReference w:id="43"/>
      </w:r>
      <w:r w:rsidR="00E96E54">
        <w:t xml:space="preserve"> </w:t>
      </w:r>
    </w:p>
    <w:p w14:paraId="3F695ACD" w14:textId="4F2D05E1" w:rsidR="00040531" w:rsidRDefault="00E96E54" w:rsidP="00E53FFB">
      <w:pPr>
        <w:pStyle w:val="BodyText"/>
      </w:pPr>
      <w:r>
        <w:t xml:space="preserve">To address this limitation with the point-to-point model, the Standardisation project team recommended </w:t>
      </w:r>
      <w:r w:rsidR="00040531">
        <w:t xml:space="preserve">that </w:t>
      </w:r>
      <w:r w:rsidR="005E544F">
        <w:t>the zonal model</w:t>
      </w:r>
      <w:r w:rsidR="00040531">
        <w:t xml:space="preserve"> be used for secondary capacity trades carried out through the exchange. In simple terms, the zonal model </w:t>
      </w:r>
      <w:r w:rsidR="00F243A1">
        <w:t xml:space="preserve">would </w:t>
      </w:r>
      <w:r w:rsidR="00040531">
        <w:t>involve</w:t>
      </w:r>
      <w:r w:rsidR="00E53FFB">
        <w:t xml:space="preserve"> </w:t>
      </w:r>
      <w:r w:rsidR="00040531">
        <w:t xml:space="preserve">the development of </w:t>
      </w:r>
      <w:r w:rsidR="004425B3">
        <w:t xml:space="preserve">receipt and delivery point </w:t>
      </w:r>
      <w:r w:rsidR="00040531">
        <w:t xml:space="preserve">zones </w:t>
      </w:r>
      <w:r w:rsidR="004116D9">
        <w:t xml:space="preserve">on each pipeline </w:t>
      </w:r>
      <w:r w:rsidR="00E53FFB">
        <w:t>and the introduction of secondary firm rights</w:t>
      </w:r>
      <w:r w:rsidR="00E163DE">
        <w:t xml:space="preserve"> at receipt and delivery points</w:t>
      </w:r>
      <w:r w:rsidR="00F243A1">
        <w:t xml:space="preserve">. This would </w:t>
      </w:r>
      <w:r w:rsidR="00040531">
        <w:t xml:space="preserve">entitle: </w:t>
      </w:r>
    </w:p>
    <w:p w14:paraId="47CD30D5" w14:textId="77777777" w:rsidR="00040531" w:rsidRDefault="00040531" w:rsidP="00E53FFB">
      <w:pPr>
        <w:pStyle w:val="ListBullet"/>
      </w:pPr>
      <w:r>
        <w:t xml:space="preserve">primary shippers </w:t>
      </w:r>
      <w:r w:rsidR="004425B3">
        <w:t>to sell their point-to-point capacity on a zone-to-zone basis</w:t>
      </w:r>
      <w:r>
        <w:t>; and</w:t>
      </w:r>
    </w:p>
    <w:p w14:paraId="25D7245C" w14:textId="77777777" w:rsidR="00A5458F" w:rsidRDefault="00A5458F" w:rsidP="00A5458F">
      <w:pPr>
        <w:pStyle w:val="ListBullet"/>
      </w:pPr>
      <w:r>
        <w:t>secondary shippers to acquire capacity on a zone-to-zone basis and to have secondary firm rights at all the receipt and delivery points within each zone.</w:t>
      </w:r>
      <w:r>
        <w:rPr>
          <w:rStyle w:val="FootnoteReference"/>
        </w:rPr>
        <w:footnoteReference w:id="44"/>
      </w:r>
      <w:r>
        <w:t xml:space="preserve"> </w:t>
      </w:r>
    </w:p>
    <w:p w14:paraId="499AB41D" w14:textId="74717FCA" w:rsidR="00E163DE" w:rsidRDefault="00C00F8F" w:rsidP="00E163DE">
      <w:pPr>
        <w:pStyle w:val="BodyText"/>
      </w:pPr>
      <w:r>
        <w:t xml:space="preserve">Like the project team, the GMRG thinks there would be merit in </w:t>
      </w:r>
      <w:r w:rsidR="009B2608">
        <w:t>using</w:t>
      </w:r>
      <w:r>
        <w:t xml:space="preserve"> the zonal model </w:t>
      </w:r>
      <w:r w:rsidR="009B2608">
        <w:t xml:space="preserve">for trades carried out through the exchange </w:t>
      </w:r>
      <w:r w:rsidR="00E163DE">
        <w:t xml:space="preserve">because it will enable more shippers to trade capacity and foster the development of a more liquid secondary capacity market, </w:t>
      </w:r>
      <w:r w:rsidR="00DD1227">
        <w:t>which will promote the NGO and the Council’s Vision</w:t>
      </w:r>
      <w:r w:rsidR="00E163DE">
        <w:t xml:space="preserve">. </w:t>
      </w:r>
    </w:p>
    <w:p w14:paraId="4EFC9C71" w14:textId="77777777" w:rsidR="00A5458F" w:rsidRDefault="00A5458F" w:rsidP="00E163DE">
      <w:pPr>
        <w:pStyle w:val="BodyText"/>
      </w:pPr>
      <w:r>
        <w:t>Further detail on the zonal model</w:t>
      </w:r>
      <w:r w:rsidR="00C00F8F">
        <w:t>,</w:t>
      </w:r>
      <w:r>
        <w:t xml:space="preserve"> the secondary firm rights </w:t>
      </w:r>
      <w:r w:rsidR="00B87A21">
        <w:t xml:space="preserve">concept </w:t>
      </w:r>
      <w:r w:rsidR="00C00F8F">
        <w:t xml:space="preserve">and the governance arrangements that would be required to give effect to the zonal model </w:t>
      </w:r>
      <w:r>
        <w:t>is provided below.</w:t>
      </w:r>
    </w:p>
    <w:p w14:paraId="4C0A8812" w14:textId="77777777" w:rsidR="00074CCC" w:rsidRDefault="00DB228D" w:rsidP="00E00CFC">
      <w:pPr>
        <w:pStyle w:val="Heading3"/>
        <w:numPr>
          <w:ilvl w:val="2"/>
          <w:numId w:val="26"/>
        </w:numPr>
      </w:pPr>
      <w:bookmarkStart w:id="100" w:name="_Ref491626585"/>
      <w:bookmarkStart w:id="101" w:name="_Ref490832436"/>
      <w:r>
        <w:t>Receipt and delivery point zones</w:t>
      </w:r>
      <w:bookmarkEnd w:id="100"/>
      <w:r>
        <w:t xml:space="preserve"> </w:t>
      </w:r>
      <w:bookmarkEnd w:id="101"/>
    </w:p>
    <w:p w14:paraId="4B12FF64" w14:textId="4A22342A" w:rsidR="004116D9" w:rsidRDefault="004116D9" w:rsidP="00074CCC">
      <w:pPr>
        <w:pStyle w:val="BodyText"/>
      </w:pPr>
      <w:r>
        <w:t xml:space="preserve">To implement the zonal model, receipt and delivery point zones will need to be established on each of the pipelines that will be listed on the exchange. Some preliminary work carried out by APA, Epic, Jemena and </w:t>
      </w:r>
      <w:proofErr w:type="spellStart"/>
      <w:r>
        <w:t>SEAGas</w:t>
      </w:r>
      <w:proofErr w:type="spellEnd"/>
      <w:r>
        <w:t xml:space="preserve"> </w:t>
      </w:r>
      <w:r w:rsidR="00A45310">
        <w:t xml:space="preserve">on receipt and delivery point zones </w:t>
      </w:r>
      <w:r>
        <w:t>suggests that the establishment of these zones is technically feasible</w:t>
      </w:r>
      <w:r w:rsidR="00A45310">
        <w:t>,</w:t>
      </w:r>
      <w:r>
        <w:t xml:space="preserve"> but the way in which zones are defined on each pipeline may differ as a result of</w:t>
      </w:r>
      <w:r w:rsidR="00FB2F80">
        <w:t xml:space="preserve"> differences in:</w:t>
      </w:r>
    </w:p>
    <w:p w14:paraId="32DC8BE6" w14:textId="77777777" w:rsidR="004116D9" w:rsidRDefault="00FB2F80" w:rsidP="006A5405">
      <w:pPr>
        <w:pStyle w:val="ListBullet"/>
        <w:spacing w:line="252" w:lineRule="auto"/>
      </w:pPr>
      <w:r>
        <w:lastRenderedPageBreak/>
        <w:t xml:space="preserve">the capacity, pressure requirements, bi-directional capability, number and location of receipt and delivery points and other </w:t>
      </w:r>
      <w:r w:rsidR="004116D9">
        <w:t xml:space="preserve">operating conditions </w:t>
      </w:r>
      <w:r>
        <w:t>across pipelines; and</w:t>
      </w:r>
    </w:p>
    <w:p w14:paraId="51EFD7F6" w14:textId="77777777" w:rsidR="00FB2F80" w:rsidRDefault="00FB2F80" w:rsidP="006A5405">
      <w:pPr>
        <w:pStyle w:val="ListBullet"/>
        <w:spacing w:line="252" w:lineRule="auto"/>
      </w:pPr>
      <w:proofErr w:type="gramStart"/>
      <w:r>
        <w:t>legacy</w:t>
      </w:r>
      <w:proofErr w:type="gramEnd"/>
      <w:r>
        <w:t xml:space="preserve"> commercial arrangements and customer requirements at particular points (for example, hourly flexibility or gas specification requirements).</w:t>
      </w:r>
    </w:p>
    <w:bookmarkStart w:id="102" w:name="_Hlk491602623"/>
    <w:p w14:paraId="74371AC7" w14:textId="520C015A" w:rsidR="006A5405" w:rsidRPr="00215754" w:rsidRDefault="00E31DDF" w:rsidP="006A5405">
      <w:pPr>
        <w:pStyle w:val="BodyText"/>
        <w:spacing w:line="252" w:lineRule="auto"/>
        <w:rPr>
          <w:sz w:val="21"/>
          <w:szCs w:val="21"/>
        </w:rPr>
      </w:pPr>
      <w:r>
        <w:fldChar w:fldCharType="begin"/>
      </w:r>
      <w:r>
        <w:instrText xml:space="preserve"> REF _Ref491609874 \h </w:instrText>
      </w:r>
      <w:r>
        <w:fldChar w:fldCharType="separate"/>
      </w:r>
      <w:r w:rsidR="00947034">
        <w:t xml:space="preserve">Table </w:t>
      </w:r>
      <w:r w:rsidR="00947034">
        <w:rPr>
          <w:noProof/>
        </w:rPr>
        <w:t>4</w:t>
      </w:r>
      <w:r w:rsidR="00947034">
        <w:t>.</w:t>
      </w:r>
      <w:r w:rsidR="00947034">
        <w:rPr>
          <w:noProof/>
        </w:rPr>
        <w:t>1</w:t>
      </w:r>
      <w:r>
        <w:fldChar w:fldCharType="end"/>
      </w:r>
      <w:r w:rsidR="00F243A1">
        <w:t xml:space="preserve"> </w:t>
      </w:r>
      <w:r w:rsidR="00A45310">
        <w:t xml:space="preserve">sets out the </w:t>
      </w:r>
      <w:r w:rsidR="00C46BBC">
        <w:t xml:space="preserve">zonal definitions </w:t>
      </w:r>
      <w:r w:rsidR="00F243A1">
        <w:t xml:space="preserve">for the major transmission pipelines in the east coast that emerged </w:t>
      </w:r>
      <w:r w:rsidR="00C46BBC">
        <w:t xml:space="preserve">from </w:t>
      </w:r>
      <w:r>
        <w:t xml:space="preserve">some </w:t>
      </w:r>
      <w:r w:rsidR="00A45310">
        <w:t xml:space="preserve">preliminary analysis </w:t>
      </w:r>
      <w:r w:rsidR="00C46BBC">
        <w:t xml:space="preserve">carried out by </w:t>
      </w:r>
      <w:r w:rsidR="00A45310">
        <w:t xml:space="preserve">APA, Epic, Jemena and </w:t>
      </w:r>
      <w:proofErr w:type="spellStart"/>
      <w:r w:rsidR="00A45310">
        <w:t>SEAGas</w:t>
      </w:r>
      <w:proofErr w:type="spellEnd"/>
      <w:r w:rsidR="00F243A1">
        <w:t xml:space="preserve">, which was </w:t>
      </w:r>
      <w:r w:rsidR="00C46BBC">
        <w:t>provided on a without prejudice basis. It is important to note that the zones appearing in this table are indicative only at this stage and that refinements may be required prior to the implementation of the zonal model.</w:t>
      </w:r>
      <w:r w:rsidR="002C546E">
        <w:t xml:space="preserve"> The GMRG is nevertheless interested in hearing stakeholders’ views on the zones set out in this table and</w:t>
      </w:r>
      <w:r w:rsidR="006A5405">
        <w:t xml:space="preserve">, in particular, whether stakeholders think the zones </w:t>
      </w:r>
      <w:r w:rsidR="006A5405">
        <w:rPr>
          <w:sz w:val="21"/>
          <w:szCs w:val="21"/>
        </w:rPr>
        <w:t xml:space="preserve">will </w:t>
      </w:r>
      <w:r w:rsidR="006A5405" w:rsidRPr="00215754">
        <w:rPr>
          <w:sz w:val="21"/>
          <w:szCs w:val="21"/>
        </w:rPr>
        <w:t>maximise the pool of prospective buyers and sellers, while also:</w:t>
      </w:r>
    </w:p>
    <w:p w14:paraId="010B288D" w14:textId="77777777" w:rsidR="006A5405" w:rsidRPr="00215754" w:rsidRDefault="006A5405" w:rsidP="006A5405">
      <w:pPr>
        <w:pStyle w:val="ListBullet"/>
        <w:spacing w:line="252" w:lineRule="auto"/>
      </w:pPr>
      <w:r w:rsidRPr="00215754">
        <w:t>ensuring that capacity can be transferred between points within the zone on a one-for-one basis if there is physical capacity at the relevant point; and</w:t>
      </w:r>
    </w:p>
    <w:p w14:paraId="241F5E33" w14:textId="3BC7B59B" w:rsidR="006A5405" w:rsidRPr="00215754" w:rsidRDefault="006A5405" w:rsidP="006A5405">
      <w:pPr>
        <w:pStyle w:val="ListBullet"/>
        <w:spacing w:line="252" w:lineRule="auto"/>
      </w:pPr>
      <w:r w:rsidRPr="00215754">
        <w:t>minimising the risk that secondary shippers will not be able to access capacity at a receipt or delivery point within the zone</w:t>
      </w:r>
      <w:r>
        <w:t>.</w:t>
      </w:r>
    </w:p>
    <w:p w14:paraId="626D8E1D" w14:textId="3B993F1D" w:rsidR="006A5405" w:rsidRDefault="006A5405" w:rsidP="006A5405">
      <w:pPr>
        <w:pStyle w:val="ListBullet"/>
        <w:numPr>
          <w:ilvl w:val="0"/>
          <w:numId w:val="0"/>
        </w:numPr>
        <w:spacing w:line="252" w:lineRule="auto"/>
        <w:ind w:left="357" w:hanging="357"/>
        <w:rPr>
          <w:sz w:val="21"/>
          <w:szCs w:val="21"/>
        </w:rPr>
      </w:pPr>
      <w:r>
        <w:rPr>
          <w:sz w:val="21"/>
          <w:szCs w:val="21"/>
        </w:rPr>
        <w:t>The GMRG is also interested in whether stakeholders think that:</w:t>
      </w:r>
      <w:r w:rsidRPr="00215754">
        <w:rPr>
          <w:sz w:val="21"/>
          <w:szCs w:val="21"/>
        </w:rPr>
        <w:t xml:space="preserve"> </w:t>
      </w:r>
    </w:p>
    <w:p w14:paraId="1FF1CDBC" w14:textId="6E382AEC" w:rsidR="006A5405" w:rsidRPr="006720CC" w:rsidRDefault="006A5405" w:rsidP="006A5405">
      <w:pPr>
        <w:pStyle w:val="ListBullet"/>
        <w:spacing w:line="252" w:lineRule="auto"/>
      </w:pPr>
      <w:r w:rsidRPr="00215754">
        <w:t>pipelines that are</w:t>
      </w:r>
      <w:r w:rsidRPr="006720CC">
        <w:t xml:space="preserve"> connected to another pipeline should be required to define a transit point delivery zone (i.e. a zone that just consists of the delivery points that enable gas to be transported into the next pipeline)</w:t>
      </w:r>
      <w:r>
        <w:t xml:space="preserve"> to minimise the risk that gas cannot be transported between the two pipelines</w:t>
      </w:r>
      <w:r w:rsidRPr="006720CC">
        <w:t>?</w:t>
      </w:r>
      <w:r w:rsidRPr="006720CC">
        <w:rPr>
          <w:rStyle w:val="FootnoteReference"/>
          <w:sz w:val="21"/>
          <w:szCs w:val="21"/>
        </w:rPr>
        <w:footnoteReference w:id="45"/>
      </w:r>
      <w:r>
        <w:t xml:space="preserve"> or</w:t>
      </w:r>
    </w:p>
    <w:p w14:paraId="1A6E6357" w14:textId="77777777" w:rsidR="006A5405" w:rsidRPr="006720CC" w:rsidRDefault="006A5405" w:rsidP="006A5405">
      <w:pPr>
        <w:pStyle w:val="ListBullet"/>
        <w:spacing w:line="252" w:lineRule="auto"/>
      </w:pPr>
      <w:r>
        <w:t xml:space="preserve">pipelines </w:t>
      </w:r>
      <w:r w:rsidRPr="006720CC">
        <w:t>connected to an STTM should be required to define an STTM delivery zone (i.e. a zone that just consists of the delivery points within the STTM)</w:t>
      </w:r>
      <w:r>
        <w:t xml:space="preserve"> to minimise the risk that gas cannot be supplied into the STTM</w:t>
      </w:r>
      <w:r w:rsidRPr="006720CC">
        <w:t>?</w:t>
      </w:r>
      <w:r w:rsidRPr="006720CC">
        <w:rPr>
          <w:rStyle w:val="FootnoteReference"/>
          <w:sz w:val="21"/>
          <w:szCs w:val="21"/>
        </w:rPr>
        <w:footnoteReference w:id="46"/>
      </w:r>
    </w:p>
    <w:p w14:paraId="2E1C8422" w14:textId="7F68B610" w:rsidR="00F02349" w:rsidRDefault="006A5405" w:rsidP="006A5405">
      <w:pPr>
        <w:pStyle w:val="BodyText"/>
        <w:spacing w:line="252" w:lineRule="auto"/>
      </w:pPr>
      <w:r>
        <w:t>In addition to these issues, t</w:t>
      </w:r>
      <w:r w:rsidR="00FA5F77">
        <w:t xml:space="preserve">he GMRG is also interested in hearing stakeholders’ views on the principles that should guide the development of zones. </w:t>
      </w:r>
      <w:r w:rsidR="00DD1227">
        <w:t>Some of t</w:t>
      </w:r>
      <w:r w:rsidR="00F02349">
        <w:t xml:space="preserve">he principles that </w:t>
      </w:r>
      <w:r w:rsidR="00DD1227">
        <w:t xml:space="preserve">were discussed </w:t>
      </w:r>
      <w:r w:rsidR="00F243A1">
        <w:t xml:space="preserve">by </w:t>
      </w:r>
      <w:r w:rsidR="00F02349">
        <w:t xml:space="preserve">the Standardisation project team </w:t>
      </w:r>
      <w:r w:rsidR="00DD1227">
        <w:t>are set out below</w:t>
      </w:r>
      <w:r w:rsidR="00F02349">
        <w:t>:</w:t>
      </w:r>
    </w:p>
    <w:p w14:paraId="1705DA34" w14:textId="77777777" w:rsidR="00DC63E2" w:rsidRDefault="00DC63E2" w:rsidP="006A5405">
      <w:pPr>
        <w:pStyle w:val="ListBullet"/>
        <w:spacing w:line="252" w:lineRule="auto"/>
      </w:pPr>
      <w:r>
        <w:t xml:space="preserve">the bounds of the zones should maximise the pool of prospective buyers and sellers of capacity while also: </w:t>
      </w:r>
    </w:p>
    <w:p w14:paraId="5690CC2A" w14:textId="77777777" w:rsidR="00DC63E2" w:rsidRPr="00215754" w:rsidRDefault="00DC63E2" w:rsidP="006A5405">
      <w:pPr>
        <w:pStyle w:val="ListBullet2"/>
        <w:spacing w:line="252" w:lineRule="auto"/>
      </w:pPr>
      <w:r w:rsidRPr="00215754">
        <w:t>ensuring that capacity can be transferred between points within the zone on a one-for-one basis if there is physical capacity at the relevant point; and</w:t>
      </w:r>
    </w:p>
    <w:p w14:paraId="0BF547D8" w14:textId="77777777" w:rsidR="00DC63E2" w:rsidRPr="00215754" w:rsidRDefault="00DC63E2" w:rsidP="006A5405">
      <w:pPr>
        <w:pStyle w:val="ListBullet2"/>
        <w:spacing w:line="252" w:lineRule="auto"/>
      </w:pPr>
      <w:r w:rsidRPr="00215754">
        <w:t>minimising the risk that secondary shippers will not be able to access capacity at a receipt or delivery point within the zone</w:t>
      </w:r>
      <w:r>
        <w:t>;</w:t>
      </w:r>
    </w:p>
    <w:p w14:paraId="5BD1E21D" w14:textId="77777777" w:rsidR="00DD1227" w:rsidRDefault="00DD1227" w:rsidP="006A5405">
      <w:pPr>
        <w:pStyle w:val="ListBullet"/>
        <w:spacing w:line="252" w:lineRule="auto"/>
      </w:pPr>
      <w:r>
        <w:t xml:space="preserve">the </w:t>
      </w:r>
      <w:r w:rsidR="00DC63E2">
        <w:t xml:space="preserve">bounds of the </w:t>
      </w:r>
      <w:r>
        <w:t xml:space="preserve">zones should be capable of coping with future operational changes </w:t>
      </w:r>
      <w:r w:rsidR="00DC63E2">
        <w:t xml:space="preserve">to </w:t>
      </w:r>
      <w:r>
        <w:t xml:space="preserve">the pipeline </w:t>
      </w:r>
      <w:r w:rsidR="00DC63E2">
        <w:t>to minimise changes to the zonal definition over time; and</w:t>
      </w:r>
    </w:p>
    <w:p w14:paraId="1DDC58AA" w14:textId="77777777" w:rsidR="00DD1227" w:rsidRDefault="00DD1227" w:rsidP="006A5405">
      <w:pPr>
        <w:pStyle w:val="ListBullet"/>
        <w:spacing w:line="252" w:lineRule="auto"/>
      </w:pPr>
      <w:r>
        <w:t xml:space="preserve">the specification of the receipt and delivery point zones should promote the NGO and the Energy Council’s Vision and be consistent with the broader objectives of the capacity trading reform package (i.e. to improve the efficiency with which capacity is allocated and foster the development of a more liquid market for secondary capacity). </w:t>
      </w:r>
    </w:p>
    <w:p w14:paraId="29423B57" w14:textId="4DC84C56" w:rsidR="00F02349" w:rsidRDefault="00F02349" w:rsidP="006A5405">
      <w:pPr>
        <w:pStyle w:val="BodyText"/>
        <w:spacing w:before="0"/>
      </w:pPr>
      <w:bookmarkStart w:id="103" w:name="_MailEndCompose"/>
      <w:bookmarkEnd w:id="103"/>
      <w:r>
        <w:t xml:space="preserve">There </w:t>
      </w:r>
      <w:r w:rsidR="00DC63E2">
        <w:t>may</w:t>
      </w:r>
      <w:r w:rsidR="00D31293">
        <w:t xml:space="preserve"> </w:t>
      </w:r>
      <w:r w:rsidR="00DC63E2">
        <w:t xml:space="preserve">be </w:t>
      </w:r>
      <w:r>
        <w:t xml:space="preserve">an inherent tension </w:t>
      </w:r>
      <w:r w:rsidR="00DC63E2">
        <w:t xml:space="preserve">between some of </w:t>
      </w:r>
      <w:r>
        <w:t>these principles, so some trade-offs may need to be made when defining the bounds of the zones.</w:t>
      </w:r>
      <w:r w:rsidR="00DC63E2">
        <w:t xml:space="preserve"> </w:t>
      </w:r>
    </w:p>
    <w:p w14:paraId="6CEB3A51" w14:textId="7DC38F24" w:rsidR="00E31DDF" w:rsidRDefault="00E31DDF" w:rsidP="00E31DDF">
      <w:pPr>
        <w:pStyle w:val="Caption"/>
        <w:spacing w:after="0"/>
      </w:pPr>
      <w:bookmarkStart w:id="104" w:name="_Ref491609874"/>
      <w:r>
        <w:lastRenderedPageBreak/>
        <w:t xml:space="preserve">Table </w:t>
      </w:r>
      <w:r w:rsidR="00926D7E">
        <w:fldChar w:fldCharType="begin"/>
      </w:r>
      <w:r w:rsidR="00926D7E">
        <w:instrText xml:space="preserve"> STYLEREF 1 \s </w:instrText>
      </w:r>
      <w:r w:rsidR="00926D7E">
        <w:fldChar w:fldCharType="separate"/>
      </w:r>
      <w:r w:rsidR="00947034">
        <w:rPr>
          <w:noProof/>
        </w:rPr>
        <w:t>4</w:t>
      </w:r>
      <w:r w:rsidR="00926D7E">
        <w:rPr>
          <w:noProof/>
        </w:rPr>
        <w:fldChar w:fldCharType="end"/>
      </w:r>
      <w:r w:rsidR="001C4739">
        <w:t>.</w:t>
      </w:r>
      <w:r w:rsidR="00926D7E">
        <w:fldChar w:fldCharType="begin"/>
      </w:r>
      <w:r w:rsidR="00926D7E">
        <w:instrText xml:space="preserve"> SEQ Table \* ARABIC \s 1 </w:instrText>
      </w:r>
      <w:r w:rsidR="00926D7E">
        <w:fldChar w:fldCharType="separate"/>
      </w:r>
      <w:r w:rsidR="00947034">
        <w:rPr>
          <w:noProof/>
        </w:rPr>
        <w:t>1</w:t>
      </w:r>
      <w:r w:rsidR="00926D7E">
        <w:rPr>
          <w:noProof/>
        </w:rPr>
        <w:fldChar w:fldCharType="end"/>
      </w:r>
      <w:bookmarkEnd w:id="104"/>
      <w:r>
        <w:t>: Indicative receipt and delivery point zones</w:t>
      </w:r>
    </w:p>
    <w:tbl>
      <w:tblPr>
        <w:tblStyle w:val="TableGrid"/>
        <w:tblW w:w="8506" w:type="dxa"/>
        <w:shd w:val="clear" w:color="000000" w:fill="000000"/>
        <w:tblLook w:val="04A0" w:firstRow="1" w:lastRow="0" w:firstColumn="1" w:lastColumn="0" w:noHBand="0" w:noVBand="1"/>
        <w:tblCaption w:val="Table 4.1: Indicative receipt and delivery point zones"/>
        <w:tblDescription w:val="Indicative receipt and delivery point zones"/>
      </w:tblPr>
      <w:tblGrid>
        <w:gridCol w:w="1276"/>
        <w:gridCol w:w="3402"/>
        <w:gridCol w:w="3828"/>
      </w:tblGrid>
      <w:tr w:rsidR="00C46BBC" w:rsidRPr="00C46BBC" w14:paraId="1B8F96F4" w14:textId="77777777" w:rsidTr="004A29FC">
        <w:trPr>
          <w:cnfStyle w:val="100000000000" w:firstRow="1" w:lastRow="0" w:firstColumn="0" w:lastColumn="0" w:oddVBand="0" w:evenVBand="0" w:oddHBand="0" w:evenHBand="0" w:firstRowFirstColumn="0" w:firstRowLastColumn="0" w:lastRowFirstColumn="0" w:lastRowLastColumn="0"/>
          <w:tblHeader/>
        </w:trPr>
        <w:tc>
          <w:tcPr>
            <w:tcW w:w="1276" w:type="dxa"/>
            <w:shd w:val="clear" w:color="000000" w:fill="0099CC"/>
          </w:tcPr>
          <w:p w14:paraId="17291ABB" w14:textId="77777777" w:rsidR="00C46BBC" w:rsidRPr="00C46BBC" w:rsidRDefault="00C46BBC" w:rsidP="00E31DDF">
            <w:pPr>
              <w:keepNext/>
              <w:spacing w:before="20" w:after="40" w:line="240" w:lineRule="auto"/>
              <w:rPr>
                <w:rFonts w:asciiTheme="majorHAnsi" w:hAnsiTheme="majorHAnsi" w:cstheme="majorHAnsi"/>
                <w:sz w:val="17"/>
                <w:szCs w:val="17"/>
              </w:rPr>
            </w:pPr>
          </w:p>
        </w:tc>
        <w:tc>
          <w:tcPr>
            <w:tcW w:w="3402" w:type="dxa"/>
            <w:shd w:val="clear" w:color="000000" w:fill="0099CC"/>
          </w:tcPr>
          <w:p w14:paraId="1EF34197" w14:textId="77777777" w:rsidR="00C46BBC" w:rsidRPr="00C46BBC" w:rsidRDefault="00C46BBC" w:rsidP="00E31DDF">
            <w:pPr>
              <w:keepNext/>
              <w:spacing w:before="20" w:after="40" w:line="240" w:lineRule="auto"/>
              <w:rPr>
                <w:rFonts w:asciiTheme="majorHAnsi" w:hAnsiTheme="majorHAnsi" w:cstheme="majorHAnsi"/>
                <w:sz w:val="17"/>
                <w:szCs w:val="17"/>
              </w:rPr>
            </w:pPr>
            <w:r w:rsidRPr="00C46BBC">
              <w:rPr>
                <w:rFonts w:asciiTheme="majorHAnsi" w:hAnsiTheme="majorHAnsi" w:cstheme="majorHAnsi"/>
                <w:sz w:val="17"/>
                <w:szCs w:val="17"/>
              </w:rPr>
              <w:t>Receipt point zones</w:t>
            </w:r>
          </w:p>
        </w:tc>
        <w:tc>
          <w:tcPr>
            <w:tcW w:w="3828" w:type="dxa"/>
            <w:shd w:val="clear" w:color="000000" w:fill="0099CC"/>
          </w:tcPr>
          <w:p w14:paraId="75280688" w14:textId="77777777" w:rsidR="00C46BBC" w:rsidRPr="00C46BBC" w:rsidRDefault="00C46BBC" w:rsidP="00E31DDF">
            <w:pPr>
              <w:keepNext/>
              <w:spacing w:before="20" w:after="40" w:line="240" w:lineRule="auto"/>
              <w:rPr>
                <w:rFonts w:asciiTheme="majorHAnsi" w:hAnsiTheme="majorHAnsi" w:cstheme="majorHAnsi"/>
                <w:sz w:val="17"/>
                <w:szCs w:val="17"/>
              </w:rPr>
            </w:pPr>
            <w:r w:rsidRPr="00C46BBC">
              <w:rPr>
                <w:rFonts w:asciiTheme="majorHAnsi" w:hAnsiTheme="majorHAnsi" w:cstheme="majorHAnsi"/>
                <w:sz w:val="17"/>
                <w:szCs w:val="17"/>
              </w:rPr>
              <w:t>Delivery point zones</w:t>
            </w:r>
          </w:p>
        </w:tc>
      </w:tr>
      <w:tr w:rsidR="00C46BBC" w:rsidRPr="00F365CD" w14:paraId="51AF136C" w14:textId="77777777" w:rsidTr="00DD00A1">
        <w:tc>
          <w:tcPr>
            <w:tcW w:w="1276" w:type="dxa"/>
            <w:vMerge w:val="restart"/>
            <w:shd w:val="clear" w:color="000000" w:fill="auto"/>
          </w:tcPr>
          <w:p w14:paraId="6E9ED8BE" w14:textId="77777777" w:rsidR="00C46BBC" w:rsidRPr="00F365CD" w:rsidRDefault="00C46BBC" w:rsidP="00E31DDF">
            <w:pPr>
              <w:keepNext/>
              <w:spacing w:before="20" w:after="40" w:line="240" w:lineRule="auto"/>
              <w:rPr>
                <w:rFonts w:asciiTheme="majorHAnsi" w:hAnsiTheme="majorHAnsi" w:cstheme="majorHAnsi"/>
                <w:sz w:val="17"/>
                <w:szCs w:val="17"/>
              </w:rPr>
            </w:pPr>
            <w:r w:rsidRPr="00F365CD">
              <w:rPr>
                <w:rFonts w:asciiTheme="majorHAnsi" w:hAnsiTheme="majorHAnsi" w:cstheme="majorHAnsi"/>
                <w:sz w:val="17"/>
                <w:szCs w:val="17"/>
              </w:rPr>
              <w:t>R</w:t>
            </w:r>
            <w:r>
              <w:rPr>
                <w:rFonts w:asciiTheme="majorHAnsi" w:hAnsiTheme="majorHAnsi" w:cstheme="majorHAnsi"/>
                <w:sz w:val="17"/>
                <w:szCs w:val="17"/>
              </w:rPr>
              <w:t>oma to Brisbane Pipeline (R</w:t>
            </w:r>
            <w:r w:rsidRPr="00F365CD">
              <w:rPr>
                <w:rFonts w:asciiTheme="majorHAnsi" w:hAnsiTheme="majorHAnsi" w:cstheme="majorHAnsi"/>
                <w:sz w:val="17"/>
                <w:szCs w:val="17"/>
              </w:rPr>
              <w:t>BP</w:t>
            </w:r>
            <w:r>
              <w:rPr>
                <w:rFonts w:asciiTheme="majorHAnsi" w:hAnsiTheme="majorHAnsi" w:cstheme="majorHAnsi"/>
                <w:sz w:val="17"/>
                <w:szCs w:val="17"/>
              </w:rPr>
              <w:t>)</w:t>
            </w:r>
          </w:p>
        </w:tc>
        <w:tc>
          <w:tcPr>
            <w:tcW w:w="3402" w:type="dxa"/>
            <w:shd w:val="clear" w:color="000000" w:fill="auto"/>
          </w:tcPr>
          <w:p w14:paraId="5EEDE383" w14:textId="77777777" w:rsidR="00C46BBC" w:rsidRPr="00F365CD" w:rsidRDefault="00C46BBC" w:rsidP="00E31DDF">
            <w:pPr>
              <w:keepNext/>
              <w:spacing w:before="20" w:after="40" w:line="240" w:lineRule="auto"/>
              <w:rPr>
                <w:rFonts w:asciiTheme="majorHAnsi" w:hAnsiTheme="majorHAnsi" w:cstheme="majorHAnsi"/>
                <w:sz w:val="17"/>
                <w:szCs w:val="17"/>
              </w:rPr>
            </w:pPr>
            <w:r w:rsidRPr="00F365CD">
              <w:rPr>
                <w:rFonts w:asciiTheme="majorHAnsi" w:hAnsiTheme="majorHAnsi" w:cstheme="majorHAnsi"/>
                <w:sz w:val="17"/>
                <w:szCs w:val="17"/>
              </w:rPr>
              <w:t>Wallumbilla</w:t>
            </w:r>
            <w:r>
              <w:rPr>
                <w:rFonts w:asciiTheme="majorHAnsi" w:hAnsiTheme="majorHAnsi" w:cstheme="majorHAnsi"/>
                <w:sz w:val="17"/>
                <w:szCs w:val="17"/>
              </w:rPr>
              <w:t xml:space="preserve"> (Wallumbilla runs 1, 2, 3, 4 and 7)</w:t>
            </w:r>
          </w:p>
        </w:tc>
        <w:tc>
          <w:tcPr>
            <w:tcW w:w="3828" w:type="dxa"/>
            <w:shd w:val="clear" w:color="000000" w:fill="auto"/>
          </w:tcPr>
          <w:p w14:paraId="673E0768" w14:textId="77777777" w:rsidR="00C46BBC" w:rsidRPr="00F365CD" w:rsidRDefault="00C46BBC"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 xml:space="preserve">Wallumbilla </w:t>
            </w:r>
          </w:p>
        </w:tc>
      </w:tr>
      <w:tr w:rsidR="00C46BBC" w:rsidRPr="00F365CD" w14:paraId="545B5AA5" w14:textId="77777777" w:rsidTr="00DD00A1">
        <w:trPr>
          <w:cnfStyle w:val="000000010000" w:firstRow="0" w:lastRow="0" w:firstColumn="0" w:lastColumn="0" w:oddVBand="0" w:evenVBand="0" w:oddHBand="0" w:evenHBand="1" w:firstRowFirstColumn="0" w:firstRowLastColumn="0" w:lastRowFirstColumn="0" w:lastRowLastColumn="0"/>
          <w:trHeight w:val="320"/>
        </w:trPr>
        <w:tc>
          <w:tcPr>
            <w:tcW w:w="1276" w:type="dxa"/>
            <w:vMerge/>
            <w:shd w:val="clear" w:color="000000" w:fill="auto"/>
          </w:tcPr>
          <w:p w14:paraId="4488ECA0" w14:textId="77777777" w:rsidR="00C46BBC" w:rsidRPr="00F365CD" w:rsidRDefault="00C46BBC" w:rsidP="00E31DDF">
            <w:pPr>
              <w:keepNext/>
              <w:spacing w:before="20" w:after="40" w:line="240" w:lineRule="auto"/>
              <w:rPr>
                <w:rFonts w:asciiTheme="majorHAnsi" w:hAnsiTheme="majorHAnsi" w:cstheme="majorHAnsi"/>
                <w:sz w:val="17"/>
                <w:szCs w:val="17"/>
              </w:rPr>
            </w:pPr>
          </w:p>
        </w:tc>
        <w:tc>
          <w:tcPr>
            <w:tcW w:w="3402" w:type="dxa"/>
            <w:vMerge w:val="restart"/>
            <w:shd w:val="clear" w:color="000000" w:fill="auto"/>
          </w:tcPr>
          <w:p w14:paraId="53EAA086" w14:textId="77777777" w:rsidR="00C46BBC" w:rsidRPr="00F365CD" w:rsidRDefault="00C46BBC"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 xml:space="preserve">Darling Downs (Scotia, </w:t>
            </w:r>
            <w:proofErr w:type="spellStart"/>
            <w:r>
              <w:rPr>
                <w:rFonts w:asciiTheme="majorHAnsi" w:hAnsiTheme="majorHAnsi" w:cstheme="majorHAnsi"/>
                <w:sz w:val="17"/>
                <w:szCs w:val="17"/>
              </w:rPr>
              <w:t>Woodroyd</w:t>
            </w:r>
            <w:proofErr w:type="spellEnd"/>
            <w:r>
              <w:rPr>
                <w:rFonts w:asciiTheme="majorHAnsi" w:hAnsiTheme="majorHAnsi" w:cstheme="majorHAnsi"/>
                <w:sz w:val="17"/>
                <w:szCs w:val="17"/>
              </w:rPr>
              <w:t xml:space="preserve">, Condamine, </w:t>
            </w:r>
            <w:proofErr w:type="spellStart"/>
            <w:r>
              <w:rPr>
                <w:rFonts w:asciiTheme="majorHAnsi" w:hAnsiTheme="majorHAnsi" w:cstheme="majorHAnsi"/>
                <w:sz w:val="17"/>
                <w:szCs w:val="17"/>
              </w:rPr>
              <w:t>Windibri</w:t>
            </w:r>
            <w:proofErr w:type="spellEnd"/>
            <w:r>
              <w:rPr>
                <w:rFonts w:asciiTheme="majorHAnsi" w:hAnsiTheme="majorHAnsi" w:cstheme="majorHAnsi"/>
                <w:sz w:val="17"/>
                <w:szCs w:val="17"/>
              </w:rPr>
              <w:t xml:space="preserve">, Argyle and Kogan North) </w:t>
            </w:r>
          </w:p>
        </w:tc>
        <w:tc>
          <w:tcPr>
            <w:tcW w:w="3828" w:type="dxa"/>
            <w:shd w:val="clear" w:color="000000" w:fill="auto"/>
          </w:tcPr>
          <w:p w14:paraId="6B1D0BD2" w14:textId="77777777" w:rsidR="00C46BBC" w:rsidRPr="00F365CD" w:rsidRDefault="00C46BBC"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Upstream of Brisbane STTM (Braemar, Dalby, Oakey, Toowoomba, Sandy Creek, Riverview, Redbank and Swanbank)</w:t>
            </w:r>
          </w:p>
        </w:tc>
      </w:tr>
      <w:tr w:rsidR="00C46BBC" w:rsidRPr="00F365CD" w14:paraId="598949E8" w14:textId="77777777" w:rsidTr="00DD00A1">
        <w:trPr>
          <w:trHeight w:val="319"/>
        </w:trPr>
        <w:tc>
          <w:tcPr>
            <w:tcW w:w="1276" w:type="dxa"/>
            <w:vMerge/>
            <w:tcBorders>
              <w:bottom w:val="single" w:sz="4" w:space="0" w:color="auto"/>
            </w:tcBorders>
            <w:shd w:val="clear" w:color="000000" w:fill="auto"/>
          </w:tcPr>
          <w:p w14:paraId="4FB14063" w14:textId="77777777" w:rsidR="00C46BBC" w:rsidRPr="00F365CD" w:rsidRDefault="00C46BBC" w:rsidP="00E31DDF">
            <w:pPr>
              <w:keepNext/>
              <w:spacing w:before="20" w:after="40" w:line="240" w:lineRule="auto"/>
              <w:rPr>
                <w:rFonts w:asciiTheme="majorHAnsi" w:hAnsiTheme="majorHAnsi" w:cstheme="majorHAnsi"/>
                <w:sz w:val="17"/>
                <w:szCs w:val="17"/>
              </w:rPr>
            </w:pPr>
          </w:p>
        </w:tc>
        <w:tc>
          <w:tcPr>
            <w:tcW w:w="3402" w:type="dxa"/>
            <w:vMerge/>
            <w:tcBorders>
              <w:bottom w:val="single" w:sz="4" w:space="0" w:color="auto"/>
            </w:tcBorders>
            <w:shd w:val="clear" w:color="000000" w:fill="auto"/>
          </w:tcPr>
          <w:p w14:paraId="5DFFE4A3" w14:textId="77777777" w:rsidR="00C46BBC" w:rsidRDefault="00C46BBC" w:rsidP="00E31DDF">
            <w:pPr>
              <w:keepNext/>
              <w:spacing w:before="20" w:after="40" w:line="240" w:lineRule="auto"/>
              <w:rPr>
                <w:rFonts w:asciiTheme="majorHAnsi" w:hAnsiTheme="majorHAnsi" w:cstheme="majorHAnsi"/>
                <w:sz w:val="17"/>
                <w:szCs w:val="17"/>
              </w:rPr>
            </w:pPr>
          </w:p>
        </w:tc>
        <w:tc>
          <w:tcPr>
            <w:tcW w:w="3828" w:type="dxa"/>
            <w:tcBorders>
              <w:bottom w:val="single" w:sz="4" w:space="0" w:color="auto"/>
            </w:tcBorders>
            <w:shd w:val="clear" w:color="000000" w:fill="auto"/>
          </w:tcPr>
          <w:p w14:paraId="3CF336C7" w14:textId="77777777" w:rsidR="00C46BBC" w:rsidRDefault="00C46BBC" w:rsidP="00E31DDF">
            <w:pPr>
              <w:keepNext/>
              <w:spacing w:before="20" w:after="40" w:line="240" w:lineRule="auto"/>
              <w:rPr>
                <w:rFonts w:asciiTheme="majorHAnsi" w:hAnsiTheme="majorHAnsi" w:cstheme="majorHAnsi"/>
                <w:sz w:val="17"/>
                <w:szCs w:val="17"/>
              </w:rPr>
            </w:pPr>
            <w:r w:rsidRPr="00F365CD">
              <w:rPr>
                <w:rFonts w:asciiTheme="majorHAnsi" w:hAnsiTheme="majorHAnsi" w:cstheme="majorHAnsi"/>
                <w:sz w:val="17"/>
                <w:szCs w:val="17"/>
              </w:rPr>
              <w:t>Brisbane</w:t>
            </w:r>
            <w:r>
              <w:rPr>
                <w:rFonts w:asciiTheme="majorHAnsi" w:hAnsiTheme="majorHAnsi" w:cstheme="majorHAnsi"/>
                <w:sz w:val="17"/>
                <w:szCs w:val="17"/>
              </w:rPr>
              <w:t xml:space="preserve"> STTM (excluding Redbank, Swanbank and Riverview)</w:t>
            </w:r>
          </w:p>
        </w:tc>
      </w:tr>
      <w:tr w:rsidR="00C46BBC" w:rsidRPr="00F365CD" w14:paraId="679B1359" w14:textId="77777777" w:rsidTr="00DD00A1">
        <w:trPr>
          <w:cnfStyle w:val="000000010000" w:firstRow="0" w:lastRow="0" w:firstColumn="0" w:lastColumn="0" w:oddVBand="0" w:evenVBand="0" w:oddHBand="0" w:evenHBand="1" w:firstRowFirstColumn="0" w:firstRowLastColumn="0" w:lastRowFirstColumn="0" w:lastRowLastColumn="0"/>
          <w:trHeight w:val="245"/>
        </w:trPr>
        <w:tc>
          <w:tcPr>
            <w:tcW w:w="1276" w:type="dxa"/>
            <w:vMerge w:val="restart"/>
            <w:shd w:val="clear" w:color="000000" w:fill="E1E2E7" w:themeFill="background2"/>
          </w:tcPr>
          <w:p w14:paraId="02E52C6A" w14:textId="77777777" w:rsidR="00C46BBC" w:rsidRPr="00F365CD"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South West Queensland Pipeline (SWQP)</w:t>
            </w:r>
          </w:p>
        </w:tc>
        <w:tc>
          <w:tcPr>
            <w:tcW w:w="3402" w:type="dxa"/>
            <w:shd w:val="clear" w:color="000000" w:fill="E1E2E7" w:themeFill="background2"/>
          </w:tcPr>
          <w:p w14:paraId="2CE59DE6" w14:textId="77777777" w:rsidR="00C46BBC" w:rsidRPr="00F365CD" w:rsidRDefault="00C46BBC"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 xml:space="preserve">Wallumbilla </w:t>
            </w:r>
            <w:r w:rsidR="00DD00A1">
              <w:rPr>
                <w:rFonts w:asciiTheme="majorHAnsi" w:hAnsiTheme="majorHAnsi" w:cstheme="majorHAnsi"/>
                <w:sz w:val="17"/>
                <w:szCs w:val="17"/>
              </w:rPr>
              <w:t xml:space="preserve">High Pressure (HP) </w:t>
            </w:r>
            <w:r>
              <w:rPr>
                <w:rFonts w:asciiTheme="majorHAnsi" w:hAnsiTheme="majorHAnsi" w:cstheme="majorHAnsi"/>
                <w:sz w:val="17"/>
                <w:szCs w:val="17"/>
              </w:rPr>
              <w:t xml:space="preserve">zone (Wallumbilla Notional Pt </w:t>
            </w:r>
            <w:r w:rsidR="00DD00A1">
              <w:rPr>
                <w:rFonts w:asciiTheme="majorHAnsi" w:hAnsiTheme="majorHAnsi" w:cstheme="majorHAnsi"/>
                <w:sz w:val="17"/>
                <w:szCs w:val="17"/>
              </w:rPr>
              <w:t xml:space="preserve">HP </w:t>
            </w:r>
            <w:r>
              <w:rPr>
                <w:rFonts w:asciiTheme="majorHAnsi" w:hAnsiTheme="majorHAnsi" w:cstheme="majorHAnsi"/>
                <w:sz w:val="17"/>
                <w:szCs w:val="17"/>
              </w:rPr>
              <w:t>and Fairview)</w:t>
            </w:r>
          </w:p>
        </w:tc>
        <w:tc>
          <w:tcPr>
            <w:tcW w:w="3828" w:type="dxa"/>
            <w:shd w:val="clear" w:color="000000" w:fill="E1E2E7" w:themeFill="background2"/>
          </w:tcPr>
          <w:p w14:paraId="7FE74DA8" w14:textId="77777777" w:rsidR="00C46BBC" w:rsidRPr="00F365CD" w:rsidRDefault="00C46BBC"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Moomba (Moomba Compression Facility exit)</w:t>
            </w:r>
          </w:p>
        </w:tc>
      </w:tr>
      <w:tr w:rsidR="00C46BBC" w:rsidRPr="00F365CD" w14:paraId="24D8F8E6" w14:textId="77777777" w:rsidTr="00DD00A1">
        <w:trPr>
          <w:trHeight w:val="245"/>
        </w:trPr>
        <w:tc>
          <w:tcPr>
            <w:tcW w:w="1276" w:type="dxa"/>
            <w:vMerge/>
            <w:shd w:val="clear" w:color="000000" w:fill="E1E2E7" w:themeFill="background2"/>
          </w:tcPr>
          <w:p w14:paraId="43423E22" w14:textId="77777777" w:rsidR="00C46BBC" w:rsidRPr="00F365CD" w:rsidRDefault="00C46BBC" w:rsidP="00E31DDF">
            <w:pPr>
              <w:keepNext/>
              <w:spacing w:before="20" w:after="40" w:line="240" w:lineRule="auto"/>
              <w:rPr>
                <w:rFonts w:asciiTheme="majorHAnsi" w:hAnsiTheme="majorHAnsi" w:cstheme="majorHAnsi"/>
                <w:sz w:val="17"/>
                <w:szCs w:val="17"/>
              </w:rPr>
            </w:pPr>
          </w:p>
        </w:tc>
        <w:tc>
          <w:tcPr>
            <w:tcW w:w="3402" w:type="dxa"/>
            <w:shd w:val="clear" w:color="000000" w:fill="E1E2E7" w:themeFill="background2"/>
          </w:tcPr>
          <w:p w14:paraId="5F568168" w14:textId="77777777" w:rsidR="00C46BBC" w:rsidRDefault="00C46BBC"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 xml:space="preserve">Wallumbilla </w:t>
            </w:r>
            <w:r w:rsidR="00DD00A1">
              <w:rPr>
                <w:rFonts w:asciiTheme="majorHAnsi" w:hAnsiTheme="majorHAnsi" w:cstheme="majorHAnsi"/>
                <w:sz w:val="17"/>
                <w:szCs w:val="17"/>
              </w:rPr>
              <w:t>Low Pressure (</w:t>
            </w:r>
            <w:r>
              <w:rPr>
                <w:rFonts w:asciiTheme="majorHAnsi" w:hAnsiTheme="majorHAnsi" w:cstheme="majorHAnsi"/>
                <w:sz w:val="17"/>
                <w:szCs w:val="17"/>
              </w:rPr>
              <w:t>LP</w:t>
            </w:r>
            <w:r w:rsidR="00DD00A1">
              <w:rPr>
                <w:rFonts w:asciiTheme="majorHAnsi" w:hAnsiTheme="majorHAnsi" w:cstheme="majorHAnsi"/>
                <w:sz w:val="17"/>
                <w:szCs w:val="17"/>
              </w:rPr>
              <w:t>)</w:t>
            </w:r>
            <w:r>
              <w:rPr>
                <w:rFonts w:asciiTheme="majorHAnsi" w:hAnsiTheme="majorHAnsi" w:cstheme="majorHAnsi"/>
                <w:sz w:val="17"/>
                <w:szCs w:val="17"/>
              </w:rPr>
              <w:t xml:space="preserve"> zone (Wallumbilla Notional Point </w:t>
            </w:r>
            <w:r w:rsidR="00DD00A1">
              <w:rPr>
                <w:rFonts w:asciiTheme="majorHAnsi" w:hAnsiTheme="majorHAnsi" w:cstheme="majorHAnsi"/>
                <w:sz w:val="17"/>
                <w:szCs w:val="17"/>
              </w:rPr>
              <w:t xml:space="preserve">LP </w:t>
            </w:r>
            <w:r>
              <w:rPr>
                <w:rFonts w:asciiTheme="majorHAnsi" w:hAnsiTheme="majorHAnsi" w:cstheme="majorHAnsi"/>
                <w:sz w:val="17"/>
                <w:szCs w:val="17"/>
              </w:rPr>
              <w:t xml:space="preserve">and entry points to the </w:t>
            </w:r>
            <w:r w:rsidR="00DD00A1">
              <w:rPr>
                <w:rFonts w:asciiTheme="majorHAnsi" w:hAnsiTheme="majorHAnsi" w:cstheme="majorHAnsi"/>
                <w:sz w:val="17"/>
                <w:szCs w:val="17"/>
              </w:rPr>
              <w:t xml:space="preserve">RBP, </w:t>
            </w:r>
            <w:r>
              <w:rPr>
                <w:rFonts w:asciiTheme="majorHAnsi" w:hAnsiTheme="majorHAnsi" w:cstheme="majorHAnsi"/>
                <w:sz w:val="17"/>
                <w:szCs w:val="17"/>
              </w:rPr>
              <w:t>Spring Gully</w:t>
            </w:r>
            <w:r w:rsidR="00DD00A1">
              <w:rPr>
                <w:rFonts w:asciiTheme="majorHAnsi" w:hAnsiTheme="majorHAnsi" w:cstheme="majorHAnsi"/>
                <w:sz w:val="17"/>
                <w:szCs w:val="17"/>
              </w:rPr>
              <w:t xml:space="preserve"> Pipeline (SGP)</w:t>
            </w:r>
            <w:r>
              <w:rPr>
                <w:rFonts w:asciiTheme="majorHAnsi" w:hAnsiTheme="majorHAnsi" w:cstheme="majorHAnsi"/>
                <w:sz w:val="17"/>
                <w:szCs w:val="17"/>
              </w:rPr>
              <w:t>, Darling Downs</w:t>
            </w:r>
            <w:r w:rsidR="00DD00A1">
              <w:rPr>
                <w:rFonts w:asciiTheme="majorHAnsi" w:hAnsiTheme="majorHAnsi" w:cstheme="majorHAnsi"/>
                <w:sz w:val="17"/>
                <w:szCs w:val="17"/>
              </w:rPr>
              <w:t xml:space="preserve"> Pipeline (DDP)</w:t>
            </w:r>
            <w:r>
              <w:rPr>
                <w:rFonts w:asciiTheme="majorHAnsi" w:hAnsiTheme="majorHAnsi" w:cstheme="majorHAnsi"/>
                <w:sz w:val="17"/>
                <w:szCs w:val="17"/>
              </w:rPr>
              <w:t xml:space="preserve">, </w:t>
            </w:r>
            <w:proofErr w:type="spellStart"/>
            <w:r>
              <w:rPr>
                <w:rFonts w:asciiTheme="majorHAnsi" w:hAnsiTheme="majorHAnsi" w:cstheme="majorHAnsi"/>
                <w:sz w:val="17"/>
                <w:szCs w:val="17"/>
              </w:rPr>
              <w:t>Berwyndale</w:t>
            </w:r>
            <w:proofErr w:type="spellEnd"/>
            <w:r>
              <w:rPr>
                <w:rFonts w:asciiTheme="majorHAnsi" w:hAnsiTheme="majorHAnsi" w:cstheme="majorHAnsi"/>
                <w:sz w:val="17"/>
                <w:szCs w:val="17"/>
              </w:rPr>
              <w:t xml:space="preserve"> to Wallumbilla</w:t>
            </w:r>
            <w:r w:rsidR="00DD00A1">
              <w:rPr>
                <w:rFonts w:asciiTheme="majorHAnsi" w:hAnsiTheme="majorHAnsi" w:cstheme="majorHAnsi"/>
                <w:sz w:val="17"/>
                <w:szCs w:val="17"/>
              </w:rPr>
              <w:t xml:space="preserve"> Pipeline (BWP) and</w:t>
            </w:r>
            <w:r>
              <w:rPr>
                <w:rFonts w:asciiTheme="majorHAnsi" w:hAnsiTheme="majorHAnsi" w:cstheme="majorHAnsi"/>
                <w:sz w:val="17"/>
                <w:szCs w:val="17"/>
              </w:rPr>
              <w:t xml:space="preserve"> Queensland Gas </w:t>
            </w:r>
            <w:r w:rsidR="00DD00A1">
              <w:rPr>
                <w:rFonts w:asciiTheme="majorHAnsi" w:hAnsiTheme="majorHAnsi" w:cstheme="majorHAnsi"/>
                <w:sz w:val="17"/>
                <w:szCs w:val="17"/>
              </w:rPr>
              <w:t>Pipeline (QGP)</w:t>
            </w:r>
          </w:p>
        </w:tc>
        <w:tc>
          <w:tcPr>
            <w:tcW w:w="3828" w:type="dxa"/>
            <w:shd w:val="clear" w:color="000000" w:fill="E1E2E7" w:themeFill="background2"/>
          </w:tcPr>
          <w:p w14:paraId="14AF5192" w14:textId="77777777" w:rsidR="00C46BBC" w:rsidRDefault="00C46BBC" w:rsidP="00E31DDF">
            <w:pPr>
              <w:keepNext/>
              <w:spacing w:before="20" w:after="40" w:line="240" w:lineRule="auto"/>
              <w:rPr>
                <w:rFonts w:asciiTheme="majorHAnsi" w:hAnsiTheme="majorHAnsi" w:cstheme="majorHAnsi"/>
                <w:sz w:val="17"/>
                <w:szCs w:val="17"/>
              </w:rPr>
            </w:pPr>
            <w:proofErr w:type="spellStart"/>
            <w:r>
              <w:rPr>
                <w:rFonts w:asciiTheme="majorHAnsi" w:hAnsiTheme="majorHAnsi" w:cstheme="majorHAnsi"/>
                <w:sz w:val="17"/>
                <w:szCs w:val="17"/>
              </w:rPr>
              <w:t>Ballera</w:t>
            </w:r>
            <w:proofErr w:type="spellEnd"/>
            <w:r>
              <w:rPr>
                <w:rFonts w:asciiTheme="majorHAnsi" w:hAnsiTheme="majorHAnsi" w:cstheme="majorHAnsi"/>
                <w:sz w:val="17"/>
                <w:szCs w:val="17"/>
              </w:rPr>
              <w:t xml:space="preserve"> and mid-line (</w:t>
            </w:r>
            <w:proofErr w:type="spellStart"/>
            <w:r>
              <w:rPr>
                <w:rFonts w:asciiTheme="majorHAnsi" w:hAnsiTheme="majorHAnsi" w:cstheme="majorHAnsi"/>
                <w:sz w:val="17"/>
                <w:szCs w:val="17"/>
              </w:rPr>
              <w:t>Ballera</w:t>
            </w:r>
            <w:proofErr w:type="spellEnd"/>
            <w:r>
              <w:rPr>
                <w:rFonts w:asciiTheme="majorHAnsi" w:hAnsiTheme="majorHAnsi" w:cstheme="majorHAnsi"/>
                <w:sz w:val="17"/>
                <w:szCs w:val="17"/>
              </w:rPr>
              <w:t xml:space="preserve">, </w:t>
            </w:r>
            <w:proofErr w:type="spellStart"/>
            <w:r>
              <w:rPr>
                <w:rFonts w:asciiTheme="majorHAnsi" w:hAnsiTheme="majorHAnsi" w:cstheme="majorHAnsi"/>
                <w:sz w:val="17"/>
                <w:szCs w:val="17"/>
              </w:rPr>
              <w:t>Tarbat</w:t>
            </w:r>
            <w:proofErr w:type="spellEnd"/>
            <w:r>
              <w:rPr>
                <w:rFonts w:asciiTheme="majorHAnsi" w:hAnsiTheme="majorHAnsi" w:cstheme="majorHAnsi"/>
                <w:sz w:val="17"/>
                <w:szCs w:val="17"/>
              </w:rPr>
              <w:t>, Roma and Cheepie)</w:t>
            </w:r>
          </w:p>
        </w:tc>
      </w:tr>
      <w:tr w:rsidR="00C46BBC" w:rsidRPr="00F365CD" w14:paraId="5D59E807" w14:textId="77777777" w:rsidTr="00DD00A1">
        <w:trPr>
          <w:cnfStyle w:val="000000010000" w:firstRow="0" w:lastRow="0" w:firstColumn="0" w:lastColumn="0" w:oddVBand="0" w:evenVBand="0" w:oddHBand="0" w:evenHBand="1" w:firstRowFirstColumn="0" w:firstRowLastColumn="0" w:lastRowFirstColumn="0" w:lastRowLastColumn="0"/>
          <w:trHeight w:val="245"/>
        </w:trPr>
        <w:tc>
          <w:tcPr>
            <w:tcW w:w="1276" w:type="dxa"/>
            <w:vMerge/>
            <w:shd w:val="clear" w:color="000000" w:fill="E1E2E7" w:themeFill="background2"/>
          </w:tcPr>
          <w:p w14:paraId="32D16580" w14:textId="77777777" w:rsidR="00C46BBC" w:rsidRPr="00F365CD" w:rsidRDefault="00C46BBC" w:rsidP="00E31DDF">
            <w:pPr>
              <w:keepNext/>
              <w:spacing w:before="20" w:after="40" w:line="240" w:lineRule="auto"/>
              <w:rPr>
                <w:rFonts w:asciiTheme="majorHAnsi" w:hAnsiTheme="majorHAnsi" w:cstheme="majorHAnsi"/>
                <w:sz w:val="17"/>
                <w:szCs w:val="17"/>
              </w:rPr>
            </w:pPr>
          </w:p>
        </w:tc>
        <w:tc>
          <w:tcPr>
            <w:tcW w:w="3402" w:type="dxa"/>
            <w:shd w:val="clear" w:color="000000" w:fill="E1E2E7" w:themeFill="background2"/>
          </w:tcPr>
          <w:p w14:paraId="262FA017" w14:textId="77777777" w:rsidR="00C46BBC" w:rsidRDefault="00C46BBC"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Wallumbilla HP zone (Wallumbilla Notional Pt High Pressure and Fairview)</w:t>
            </w:r>
          </w:p>
        </w:tc>
        <w:tc>
          <w:tcPr>
            <w:tcW w:w="3828" w:type="dxa"/>
            <w:shd w:val="clear" w:color="000000" w:fill="E1E2E7" w:themeFill="background2"/>
          </w:tcPr>
          <w:p w14:paraId="0C1D5BDD" w14:textId="77777777" w:rsidR="00C46BBC" w:rsidRDefault="00C46BBC" w:rsidP="00E31DDF">
            <w:pPr>
              <w:keepNext/>
              <w:spacing w:before="20" w:after="40" w:line="240" w:lineRule="auto"/>
              <w:rPr>
                <w:rFonts w:asciiTheme="majorHAnsi" w:hAnsiTheme="majorHAnsi" w:cstheme="majorHAnsi"/>
                <w:sz w:val="17"/>
                <w:szCs w:val="17"/>
              </w:rPr>
            </w:pPr>
            <w:r w:rsidRPr="00F365CD">
              <w:rPr>
                <w:rFonts w:asciiTheme="majorHAnsi" w:hAnsiTheme="majorHAnsi" w:cstheme="majorHAnsi"/>
                <w:sz w:val="17"/>
                <w:szCs w:val="17"/>
              </w:rPr>
              <w:t xml:space="preserve">Wallumbilla </w:t>
            </w:r>
            <w:r>
              <w:rPr>
                <w:rFonts w:asciiTheme="majorHAnsi" w:hAnsiTheme="majorHAnsi" w:cstheme="majorHAnsi"/>
                <w:sz w:val="17"/>
                <w:szCs w:val="17"/>
              </w:rPr>
              <w:t>HP zone (Wallumbilla Notional Pt High Pressure and entry point to the RBP, QGP, BWP and Comet Ridge to Wallumbilla Pipeline)</w:t>
            </w:r>
          </w:p>
        </w:tc>
      </w:tr>
      <w:tr w:rsidR="00C46BBC" w:rsidRPr="00F365CD" w14:paraId="44F4DDB1" w14:textId="77777777" w:rsidTr="00DD00A1">
        <w:trPr>
          <w:trHeight w:val="245"/>
        </w:trPr>
        <w:tc>
          <w:tcPr>
            <w:tcW w:w="1276" w:type="dxa"/>
            <w:vMerge/>
            <w:shd w:val="clear" w:color="000000" w:fill="E1E2E7" w:themeFill="background2"/>
          </w:tcPr>
          <w:p w14:paraId="5D273DF7" w14:textId="77777777" w:rsidR="00C46BBC" w:rsidRPr="00F365CD" w:rsidRDefault="00C46BBC" w:rsidP="00E31DDF">
            <w:pPr>
              <w:keepNext/>
              <w:spacing w:before="20" w:after="40" w:line="240" w:lineRule="auto"/>
              <w:rPr>
                <w:rFonts w:asciiTheme="majorHAnsi" w:hAnsiTheme="majorHAnsi" w:cstheme="majorHAnsi"/>
                <w:sz w:val="17"/>
                <w:szCs w:val="17"/>
              </w:rPr>
            </w:pPr>
          </w:p>
        </w:tc>
        <w:tc>
          <w:tcPr>
            <w:tcW w:w="3402" w:type="dxa"/>
            <w:shd w:val="clear" w:color="000000" w:fill="E1E2E7" w:themeFill="background2"/>
          </w:tcPr>
          <w:p w14:paraId="45811C60" w14:textId="77777777" w:rsidR="00C46BBC" w:rsidRDefault="00C46BBC"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 xml:space="preserve">Moomba (Moomba Compression Facility and the entry point to the </w:t>
            </w:r>
            <w:r w:rsidR="00E31DDF">
              <w:rPr>
                <w:rFonts w:asciiTheme="majorHAnsi" w:hAnsiTheme="majorHAnsi" w:cstheme="majorHAnsi"/>
                <w:sz w:val="17"/>
                <w:szCs w:val="17"/>
              </w:rPr>
              <w:t>MSP</w:t>
            </w:r>
            <w:r>
              <w:rPr>
                <w:rFonts w:asciiTheme="majorHAnsi" w:hAnsiTheme="majorHAnsi" w:cstheme="majorHAnsi"/>
                <w:sz w:val="17"/>
                <w:szCs w:val="17"/>
              </w:rPr>
              <w:t xml:space="preserve">) </w:t>
            </w:r>
          </w:p>
        </w:tc>
        <w:tc>
          <w:tcPr>
            <w:tcW w:w="3828" w:type="dxa"/>
            <w:shd w:val="clear" w:color="000000" w:fill="E1E2E7" w:themeFill="background2"/>
          </w:tcPr>
          <w:p w14:paraId="052A5B15" w14:textId="77777777" w:rsidR="00C46BBC" w:rsidRDefault="00C46BBC"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Wallumbilla LP</w:t>
            </w:r>
          </w:p>
        </w:tc>
      </w:tr>
      <w:tr w:rsidR="00C46BBC" w:rsidRPr="00F365CD" w14:paraId="7533C4F3" w14:textId="77777777" w:rsidTr="00DD00A1">
        <w:trPr>
          <w:cnfStyle w:val="000000010000" w:firstRow="0" w:lastRow="0" w:firstColumn="0" w:lastColumn="0" w:oddVBand="0" w:evenVBand="0" w:oddHBand="0" w:evenHBand="1" w:firstRowFirstColumn="0" w:firstRowLastColumn="0" w:lastRowFirstColumn="0" w:lastRowLastColumn="0"/>
        </w:trPr>
        <w:tc>
          <w:tcPr>
            <w:tcW w:w="1276" w:type="dxa"/>
            <w:tcBorders>
              <w:bottom w:val="single" w:sz="4" w:space="0" w:color="auto"/>
            </w:tcBorders>
            <w:shd w:val="clear" w:color="000000" w:fill="auto"/>
          </w:tcPr>
          <w:p w14:paraId="00E99776" w14:textId="77777777" w:rsidR="00C46BBC" w:rsidRPr="00F365CD"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Carpentaria Gas Pipeline (CGP)</w:t>
            </w:r>
          </w:p>
        </w:tc>
        <w:tc>
          <w:tcPr>
            <w:tcW w:w="3402" w:type="dxa"/>
            <w:tcBorders>
              <w:bottom w:val="single" w:sz="4" w:space="0" w:color="auto"/>
            </w:tcBorders>
            <w:shd w:val="clear" w:color="000000" w:fill="auto"/>
          </w:tcPr>
          <w:p w14:paraId="1C643A46" w14:textId="77777777" w:rsidR="00C46BBC" w:rsidRPr="00F365CD" w:rsidRDefault="00C46BBC" w:rsidP="00E31DDF">
            <w:pPr>
              <w:keepNext/>
              <w:spacing w:before="20" w:after="40" w:line="240" w:lineRule="auto"/>
              <w:rPr>
                <w:rFonts w:asciiTheme="majorHAnsi" w:hAnsiTheme="majorHAnsi" w:cstheme="majorHAnsi"/>
                <w:sz w:val="17"/>
                <w:szCs w:val="17"/>
              </w:rPr>
            </w:pPr>
            <w:proofErr w:type="spellStart"/>
            <w:r w:rsidRPr="00F365CD">
              <w:rPr>
                <w:rFonts w:asciiTheme="majorHAnsi" w:hAnsiTheme="majorHAnsi" w:cstheme="majorHAnsi"/>
                <w:sz w:val="17"/>
                <w:szCs w:val="17"/>
              </w:rPr>
              <w:t>Ballera</w:t>
            </w:r>
            <w:proofErr w:type="spellEnd"/>
          </w:p>
        </w:tc>
        <w:tc>
          <w:tcPr>
            <w:tcW w:w="3828" w:type="dxa"/>
            <w:tcBorders>
              <w:bottom w:val="single" w:sz="4" w:space="0" w:color="auto"/>
            </w:tcBorders>
            <w:shd w:val="clear" w:color="000000" w:fill="auto"/>
          </w:tcPr>
          <w:p w14:paraId="4C1C4FF2" w14:textId="77777777" w:rsidR="00C46BBC" w:rsidRPr="00F365CD" w:rsidRDefault="00C46BBC"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Mt Isa zone (Mt Isa Mine, Diamantina, Mica Creek, Phosphate Hill, Osborne, Cannington)</w:t>
            </w:r>
          </w:p>
        </w:tc>
      </w:tr>
      <w:tr w:rsidR="00E31DDF" w:rsidRPr="00F365CD" w14:paraId="482DFEA3" w14:textId="77777777" w:rsidTr="00DD00A1">
        <w:trPr>
          <w:trHeight w:val="320"/>
        </w:trPr>
        <w:tc>
          <w:tcPr>
            <w:tcW w:w="1276" w:type="dxa"/>
            <w:vMerge w:val="restart"/>
            <w:shd w:val="clear" w:color="000000" w:fill="E1E2E7" w:themeFill="background2"/>
          </w:tcPr>
          <w:p w14:paraId="5E17921D" w14:textId="77777777" w:rsidR="00E31DDF" w:rsidRPr="00F365CD"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Moomba to Sydney Pipeline (MSP)</w:t>
            </w:r>
          </w:p>
          <w:p w14:paraId="494D5BD8"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402" w:type="dxa"/>
            <w:shd w:val="clear" w:color="000000" w:fill="E1E2E7" w:themeFill="background2"/>
          </w:tcPr>
          <w:p w14:paraId="37C94A3B" w14:textId="77777777" w:rsidR="00E31DDF" w:rsidRPr="00F365CD" w:rsidRDefault="00E31DDF" w:rsidP="00E31DDF">
            <w:pPr>
              <w:keepNext/>
              <w:spacing w:before="20" w:after="40" w:line="240" w:lineRule="auto"/>
              <w:rPr>
                <w:rFonts w:asciiTheme="majorHAnsi" w:hAnsiTheme="majorHAnsi" w:cstheme="majorHAnsi"/>
                <w:sz w:val="17"/>
                <w:szCs w:val="17"/>
              </w:rPr>
            </w:pPr>
            <w:r w:rsidRPr="00F365CD">
              <w:rPr>
                <w:rFonts w:asciiTheme="majorHAnsi" w:hAnsiTheme="majorHAnsi" w:cstheme="majorHAnsi"/>
                <w:sz w:val="17"/>
                <w:szCs w:val="17"/>
              </w:rPr>
              <w:t xml:space="preserve">Moomba </w:t>
            </w:r>
            <w:r>
              <w:rPr>
                <w:rFonts w:asciiTheme="majorHAnsi" w:hAnsiTheme="majorHAnsi" w:cstheme="majorHAnsi"/>
                <w:sz w:val="17"/>
                <w:szCs w:val="17"/>
              </w:rPr>
              <w:t>(MSP Inlet)</w:t>
            </w:r>
          </w:p>
        </w:tc>
        <w:tc>
          <w:tcPr>
            <w:tcW w:w="3828" w:type="dxa"/>
            <w:shd w:val="clear" w:color="000000" w:fill="E1E2E7" w:themeFill="background2"/>
          </w:tcPr>
          <w:p w14:paraId="40318E54" w14:textId="77777777" w:rsidR="00E31DDF" w:rsidRPr="00F365CD"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Sydney STTM,</w:t>
            </w:r>
            <w:bookmarkStart w:id="105" w:name="_Hlk491619734"/>
            <w:r>
              <w:rPr>
                <w:rFonts w:asciiTheme="majorHAnsi" w:hAnsiTheme="majorHAnsi" w:cstheme="majorHAnsi"/>
                <w:sz w:val="17"/>
                <w:szCs w:val="17"/>
              </w:rPr>
              <w:t xml:space="preserve"> Boorowa, Yass, Goulburn, Marulan, Sally’s corner, Moss Vale, Bowral, Bargo </w:t>
            </w:r>
            <w:bookmarkEnd w:id="105"/>
          </w:p>
        </w:tc>
      </w:tr>
      <w:tr w:rsidR="00E31DDF" w:rsidRPr="00F365CD" w14:paraId="689F74FB" w14:textId="77777777" w:rsidTr="00DD00A1">
        <w:trPr>
          <w:cnfStyle w:val="000000010000" w:firstRow="0" w:lastRow="0" w:firstColumn="0" w:lastColumn="0" w:oddVBand="0" w:evenVBand="0" w:oddHBand="0" w:evenHBand="1" w:firstRowFirstColumn="0" w:firstRowLastColumn="0" w:lastRowFirstColumn="0" w:lastRowLastColumn="0"/>
          <w:trHeight w:val="319"/>
        </w:trPr>
        <w:tc>
          <w:tcPr>
            <w:tcW w:w="1276" w:type="dxa"/>
            <w:vMerge/>
            <w:shd w:val="clear" w:color="000000" w:fill="E1E2E7" w:themeFill="background2"/>
          </w:tcPr>
          <w:p w14:paraId="278E900E" w14:textId="77777777" w:rsidR="00E31DDF" w:rsidRDefault="00E31DDF" w:rsidP="00E31DDF">
            <w:pPr>
              <w:keepNext/>
              <w:spacing w:before="20" w:after="40" w:line="240" w:lineRule="auto"/>
              <w:rPr>
                <w:rFonts w:asciiTheme="majorHAnsi" w:hAnsiTheme="majorHAnsi" w:cstheme="majorHAnsi"/>
                <w:sz w:val="17"/>
                <w:szCs w:val="17"/>
              </w:rPr>
            </w:pPr>
          </w:p>
        </w:tc>
        <w:tc>
          <w:tcPr>
            <w:tcW w:w="3402" w:type="dxa"/>
            <w:shd w:val="clear" w:color="000000" w:fill="E1E2E7" w:themeFill="background2"/>
          </w:tcPr>
          <w:p w14:paraId="23391E96" w14:textId="77777777" w:rsidR="00E31DDF" w:rsidRPr="00F365CD"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Culcairn (Culcairn North)</w:t>
            </w:r>
          </w:p>
        </w:tc>
        <w:tc>
          <w:tcPr>
            <w:tcW w:w="3828" w:type="dxa"/>
            <w:shd w:val="clear" w:color="000000" w:fill="E1E2E7" w:themeFill="background2"/>
          </w:tcPr>
          <w:p w14:paraId="61572E7E" w14:textId="77777777" w:rsidR="00E31DDF"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EGP to Wilton connection</w:t>
            </w:r>
          </w:p>
        </w:tc>
      </w:tr>
      <w:tr w:rsidR="00E31DDF" w:rsidRPr="00F365CD" w14:paraId="159C167B" w14:textId="77777777" w:rsidTr="00DD00A1">
        <w:tc>
          <w:tcPr>
            <w:tcW w:w="1276" w:type="dxa"/>
            <w:vMerge/>
            <w:shd w:val="clear" w:color="000000" w:fill="E1E2E7" w:themeFill="background2"/>
          </w:tcPr>
          <w:p w14:paraId="4857BFE3"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402" w:type="dxa"/>
            <w:vMerge w:val="restart"/>
            <w:shd w:val="clear" w:color="000000" w:fill="E1E2E7" w:themeFill="background2"/>
          </w:tcPr>
          <w:p w14:paraId="69694739" w14:textId="77777777" w:rsidR="00E31DDF" w:rsidRPr="00F365CD"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Wilton (EGP entry point)</w:t>
            </w:r>
          </w:p>
        </w:tc>
        <w:tc>
          <w:tcPr>
            <w:tcW w:w="3828" w:type="dxa"/>
            <w:shd w:val="clear" w:color="000000" w:fill="E1E2E7" w:themeFill="background2"/>
          </w:tcPr>
          <w:p w14:paraId="06DE34CB" w14:textId="77777777" w:rsidR="00E31DDF" w:rsidRPr="00F365CD"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Canberra</w:t>
            </w:r>
          </w:p>
        </w:tc>
      </w:tr>
      <w:tr w:rsidR="00E31DDF" w:rsidRPr="00F365CD" w14:paraId="0D171511" w14:textId="77777777" w:rsidTr="00DD00A1">
        <w:trPr>
          <w:cnfStyle w:val="000000010000" w:firstRow="0" w:lastRow="0" w:firstColumn="0" w:lastColumn="0" w:oddVBand="0" w:evenVBand="0" w:oddHBand="0" w:evenHBand="1" w:firstRowFirstColumn="0" w:firstRowLastColumn="0" w:lastRowFirstColumn="0" w:lastRowLastColumn="0"/>
        </w:trPr>
        <w:tc>
          <w:tcPr>
            <w:tcW w:w="1276" w:type="dxa"/>
            <w:vMerge/>
            <w:shd w:val="clear" w:color="000000" w:fill="E1E2E7" w:themeFill="background2"/>
          </w:tcPr>
          <w:p w14:paraId="20173225"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402" w:type="dxa"/>
            <w:vMerge/>
            <w:shd w:val="clear" w:color="000000" w:fill="E1E2E7" w:themeFill="background2"/>
          </w:tcPr>
          <w:p w14:paraId="34EB7787"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828" w:type="dxa"/>
            <w:shd w:val="clear" w:color="000000" w:fill="E1E2E7" w:themeFill="background2"/>
          </w:tcPr>
          <w:p w14:paraId="485557D3" w14:textId="77777777" w:rsidR="00E31DDF"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 xml:space="preserve">Culcairn (Culcairn </w:t>
            </w:r>
            <w:r w:rsidR="00215754">
              <w:rPr>
                <w:rFonts w:asciiTheme="majorHAnsi" w:hAnsiTheme="majorHAnsi" w:cstheme="majorHAnsi"/>
                <w:sz w:val="17"/>
                <w:szCs w:val="17"/>
              </w:rPr>
              <w:t>South</w:t>
            </w:r>
            <w:r>
              <w:rPr>
                <w:rFonts w:asciiTheme="majorHAnsi" w:hAnsiTheme="majorHAnsi" w:cstheme="majorHAnsi"/>
                <w:sz w:val="17"/>
                <w:szCs w:val="17"/>
              </w:rPr>
              <w:t>)</w:t>
            </w:r>
          </w:p>
        </w:tc>
      </w:tr>
      <w:tr w:rsidR="00E31DDF" w:rsidRPr="00F365CD" w14:paraId="22F49551" w14:textId="77777777" w:rsidTr="00DD00A1">
        <w:trPr>
          <w:trHeight w:val="232"/>
        </w:trPr>
        <w:tc>
          <w:tcPr>
            <w:tcW w:w="1276" w:type="dxa"/>
            <w:vMerge/>
            <w:shd w:val="clear" w:color="000000" w:fill="E1E2E7" w:themeFill="background2"/>
          </w:tcPr>
          <w:p w14:paraId="498FF7BB"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402" w:type="dxa"/>
            <w:vMerge/>
            <w:shd w:val="clear" w:color="000000" w:fill="E1E2E7" w:themeFill="background2"/>
          </w:tcPr>
          <w:p w14:paraId="331F9082"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828" w:type="dxa"/>
            <w:shd w:val="clear" w:color="000000" w:fill="E1E2E7" w:themeFill="background2"/>
          </w:tcPr>
          <w:p w14:paraId="5CF7A151" w14:textId="77777777" w:rsidR="00E31DDF" w:rsidRPr="00F365CD"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Moomba (Moomba gas plant, MAPS and SWQP)</w:t>
            </w:r>
          </w:p>
        </w:tc>
      </w:tr>
      <w:tr w:rsidR="00E31DDF" w:rsidRPr="00F365CD" w14:paraId="2A6D306C" w14:textId="77777777" w:rsidTr="00DD00A1">
        <w:trPr>
          <w:cnfStyle w:val="000000010000" w:firstRow="0" w:lastRow="0" w:firstColumn="0" w:lastColumn="0" w:oddVBand="0" w:evenVBand="0" w:oddHBand="0" w:evenHBand="1" w:firstRowFirstColumn="0" w:firstRowLastColumn="0" w:lastRowFirstColumn="0" w:lastRowLastColumn="0"/>
          <w:trHeight w:val="231"/>
        </w:trPr>
        <w:tc>
          <w:tcPr>
            <w:tcW w:w="1276" w:type="dxa"/>
            <w:vMerge/>
            <w:shd w:val="clear" w:color="000000" w:fill="E1E2E7" w:themeFill="background2"/>
          </w:tcPr>
          <w:p w14:paraId="1C1105B1"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402" w:type="dxa"/>
            <w:vMerge/>
            <w:shd w:val="clear" w:color="000000" w:fill="E1E2E7" w:themeFill="background2"/>
          </w:tcPr>
          <w:p w14:paraId="541412CB"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828" w:type="dxa"/>
            <w:shd w:val="clear" w:color="000000" w:fill="E1E2E7" w:themeFill="background2"/>
          </w:tcPr>
          <w:p w14:paraId="2121D821" w14:textId="77777777" w:rsidR="00E31DDF"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Young, Cootamundra, Illabo, Wallendbeen, Wagga Wagga, Uranquinty, Holbrook, Henty</w:t>
            </w:r>
          </w:p>
        </w:tc>
      </w:tr>
      <w:tr w:rsidR="00E31DDF" w:rsidRPr="00F365CD" w14:paraId="49991648" w14:textId="77777777" w:rsidTr="00DD00A1">
        <w:trPr>
          <w:trHeight w:val="91"/>
        </w:trPr>
        <w:tc>
          <w:tcPr>
            <w:tcW w:w="1276" w:type="dxa"/>
            <w:vMerge/>
            <w:shd w:val="clear" w:color="000000" w:fill="E1E2E7" w:themeFill="background2"/>
          </w:tcPr>
          <w:p w14:paraId="39E76F2F"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402" w:type="dxa"/>
            <w:vMerge/>
            <w:shd w:val="clear" w:color="000000" w:fill="E1E2E7" w:themeFill="background2"/>
          </w:tcPr>
          <w:p w14:paraId="7EA130A4"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828" w:type="dxa"/>
            <w:shd w:val="clear" w:color="000000" w:fill="E1E2E7" w:themeFill="background2"/>
          </w:tcPr>
          <w:p w14:paraId="08D40A3A" w14:textId="77777777" w:rsidR="00E31DDF" w:rsidRDefault="00215754"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Griffith</w:t>
            </w:r>
            <w:r w:rsidR="00E31DDF">
              <w:rPr>
                <w:rFonts w:asciiTheme="majorHAnsi" w:hAnsiTheme="majorHAnsi" w:cstheme="majorHAnsi"/>
                <w:sz w:val="17"/>
                <w:szCs w:val="17"/>
              </w:rPr>
              <w:t xml:space="preserve">, Leeton, Murrami, Rockdale, </w:t>
            </w:r>
            <w:proofErr w:type="spellStart"/>
            <w:r w:rsidR="00E31DDF">
              <w:rPr>
                <w:rFonts w:asciiTheme="majorHAnsi" w:hAnsiTheme="majorHAnsi" w:cstheme="majorHAnsi"/>
                <w:sz w:val="17"/>
                <w:szCs w:val="17"/>
              </w:rPr>
              <w:t>Narrendera</w:t>
            </w:r>
            <w:proofErr w:type="spellEnd"/>
            <w:r w:rsidR="00E31DDF">
              <w:rPr>
                <w:rFonts w:asciiTheme="majorHAnsi" w:hAnsiTheme="majorHAnsi" w:cstheme="majorHAnsi"/>
                <w:sz w:val="17"/>
                <w:szCs w:val="17"/>
              </w:rPr>
              <w:t xml:space="preserve">, </w:t>
            </w:r>
            <w:proofErr w:type="spellStart"/>
            <w:r w:rsidR="00E31DDF">
              <w:rPr>
                <w:rFonts w:asciiTheme="majorHAnsi" w:hAnsiTheme="majorHAnsi" w:cstheme="majorHAnsi"/>
                <w:sz w:val="17"/>
                <w:szCs w:val="17"/>
              </w:rPr>
              <w:t>Ganmain</w:t>
            </w:r>
            <w:proofErr w:type="spellEnd"/>
            <w:r w:rsidR="00E31DDF">
              <w:rPr>
                <w:rFonts w:asciiTheme="majorHAnsi" w:hAnsiTheme="majorHAnsi" w:cstheme="majorHAnsi"/>
                <w:sz w:val="17"/>
                <w:szCs w:val="17"/>
              </w:rPr>
              <w:t xml:space="preserve">, Coolamon, Junee, Wallerawang, Bathurst, </w:t>
            </w:r>
            <w:proofErr w:type="spellStart"/>
            <w:r w:rsidR="00E31DDF">
              <w:rPr>
                <w:rFonts w:asciiTheme="majorHAnsi" w:hAnsiTheme="majorHAnsi" w:cstheme="majorHAnsi"/>
                <w:sz w:val="17"/>
                <w:szCs w:val="17"/>
              </w:rPr>
              <w:t>Milthorpe</w:t>
            </w:r>
            <w:proofErr w:type="spellEnd"/>
            <w:r w:rsidR="00E31DDF">
              <w:rPr>
                <w:rFonts w:asciiTheme="majorHAnsi" w:hAnsiTheme="majorHAnsi" w:cstheme="majorHAnsi"/>
                <w:sz w:val="17"/>
                <w:szCs w:val="17"/>
              </w:rPr>
              <w:t>, Cowra, Orange, Blayney, Oberon, Lithgow</w:t>
            </w:r>
          </w:p>
        </w:tc>
      </w:tr>
      <w:tr w:rsidR="00E31DDF" w:rsidRPr="00F365CD" w14:paraId="6F55A67B" w14:textId="77777777" w:rsidTr="00DD00A1">
        <w:trPr>
          <w:cnfStyle w:val="000000010000" w:firstRow="0" w:lastRow="0" w:firstColumn="0" w:lastColumn="0" w:oddVBand="0" w:evenVBand="0" w:oddHBand="0" w:evenHBand="1" w:firstRowFirstColumn="0" w:firstRowLastColumn="0" w:lastRowFirstColumn="0" w:lastRowLastColumn="0"/>
          <w:trHeight w:val="138"/>
        </w:trPr>
        <w:tc>
          <w:tcPr>
            <w:tcW w:w="1276" w:type="dxa"/>
            <w:vMerge/>
            <w:shd w:val="clear" w:color="000000" w:fill="E1E2E7" w:themeFill="background2"/>
          </w:tcPr>
          <w:p w14:paraId="10F89F60"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402" w:type="dxa"/>
            <w:vMerge/>
            <w:shd w:val="clear" w:color="000000" w:fill="E1E2E7" w:themeFill="background2"/>
          </w:tcPr>
          <w:p w14:paraId="2D06E9D6"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828" w:type="dxa"/>
            <w:shd w:val="clear" w:color="000000" w:fill="E1E2E7" w:themeFill="background2"/>
          </w:tcPr>
          <w:p w14:paraId="7D4586E9" w14:textId="77777777" w:rsidR="00E31DDF"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Tamworth</w:t>
            </w:r>
          </w:p>
        </w:tc>
      </w:tr>
      <w:tr w:rsidR="00E31DDF" w:rsidRPr="00F365CD" w14:paraId="7D413E1B" w14:textId="77777777" w:rsidTr="00DD00A1">
        <w:trPr>
          <w:trHeight w:val="137"/>
        </w:trPr>
        <w:tc>
          <w:tcPr>
            <w:tcW w:w="1276" w:type="dxa"/>
            <w:vMerge/>
            <w:shd w:val="clear" w:color="000000" w:fill="E1E2E7" w:themeFill="background2"/>
          </w:tcPr>
          <w:p w14:paraId="43E0B70B"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402" w:type="dxa"/>
            <w:vMerge/>
            <w:shd w:val="clear" w:color="000000" w:fill="E1E2E7" w:themeFill="background2"/>
          </w:tcPr>
          <w:p w14:paraId="1EDAEC4D"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828" w:type="dxa"/>
            <w:shd w:val="clear" w:color="000000" w:fill="E1E2E7" w:themeFill="background2"/>
          </w:tcPr>
          <w:p w14:paraId="4FA80E81" w14:textId="77777777" w:rsidR="00E31DDF"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Dubbo, Parkes, Forbes, West Wyalong, Narromine</w:t>
            </w:r>
          </w:p>
        </w:tc>
      </w:tr>
      <w:tr w:rsidR="00E31DDF" w:rsidRPr="00F365CD" w14:paraId="0B049CF7" w14:textId="77777777" w:rsidTr="00DD00A1">
        <w:trPr>
          <w:cnfStyle w:val="000000010000" w:firstRow="0" w:lastRow="0" w:firstColumn="0" w:lastColumn="0" w:oddVBand="0" w:evenVBand="0" w:oddHBand="0" w:evenHBand="1" w:firstRowFirstColumn="0" w:firstRowLastColumn="0" w:lastRowFirstColumn="0" w:lastRowLastColumn="0"/>
          <w:trHeight w:val="95"/>
        </w:trPr>
        <w:tc>
          <w:tcPr>
            <w:tcW w:w="1276" w:type="dxa"/>
            <w:vMerge w:val="restart"/>
            <w:shd w:val="clear" w:color="000000" w:fill="auto"/>
          </w:tcPr>
          <w:p w14:paraId="4AF88A71" w14:textId="77777777" w:rsidR="00E31DDF" w:rsidRPr="00F365CD"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Eastern Gas Pipeline (EGP)</w:t>
            </w:r>
          </w:p>
        </w:tc>
        <w:tc>
          <w:tcPr>
            <w:tcW w:w="3402" w:type="dxa"/>
            <w:vMerge w:val="restart"/>
            <w:shd w:val="clear" w:color="000000" w:fill="auto"/>
          </w:tcPr>
          <w:p w14:paraId="3BE3FBF9" w14:textId="77777777" w:rsidR="00E31DDF" w:rsidRPr="00F365CD" w:rsidRDefault="00E31DDF" w:rsidP="00E31DDF">
            <w:pPr>
              <w:keepNext/>
              <w:spacing w:before="20" w:after="40" w:line="240" w:lineRule="auto"/>
              <w:rPr>
                <w:rFonts w:asciiTheme="majorHAnsi" w:hAnsiTheme="majorHAnsi" w:cstheme="majorHAnsi"/>
                <w:sz w:val="17"/>
                <w:szCs w:val="17"/>
              </w:rPr>
            </w:pPr>
            <w:r w:rsidRPr="00F365CD">
              <w:rPr>
                <w:rFonts w:asciiTheme="majorHAnsi" w:hAnsiTheme="majorHAnsi" w:cstheme="majorHAnsi"/>
                <w:sz w:val="17"/>
                <w:szCs w:val="17"/>
              </w:rPr>
              <w:t>Longford</w:t>
            </w:r>
            <w:r>
              <w:rPr>
                <w:rFonts w:asciiTheme="majorHAnsi" w:hAnsiTheme="majorHAnsi" w:cstheme="majorHAnsi"/>
                <w:sz w:val="17"/>
                <w:szCs w:val="17"/>
              </w:rPr>
              <w:t xml:space="preserve"> (Longford and Orbost)</w:t>
            </w:r>
            <w:r w:rsidRPr="00F365CD">
              <w:rPr>
                <w:rFonts w:asciiTheme="majorHAnsi" w:hAnsiTheme="majorHAnsi" w:cstheme="majorHAnsi"/>
                <w:sz w:val="17"/>
                <w:szCs w:val="17"/>
              </w:rPr>
              <w:t xml:space="preserve"> </w:t>
            </w:r>
          </w:p>
        </w:tc>
        <w:tc>
          <w:tcPr>
            <w:tcW w:w="3828" w:type="dxa"/>
            <w:shd w:val="clear" w:color="000000" w:fill="auto"/>
          </w:tcPr>
          <w:p w14:paraId="34466104" w14:textId="77777777" w:rsidR="00E31DDF" w:rsidRPr="00F365CD"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Sydney STTM (Horsley Park, Port Kembla, Albion Park and Wilton JGN)</w:t>
            </w:r>
          </w:p>
        </w:tc>
      </w:tr>
      <w:tr w:rsidR="00E31DDF" w:rsidRPr="00F365CD" w14:paraId="0ADD5BBB" w14:textId="77777777" w:rsidTr="00DD00A1">
        <w:trPr>
          <w:trHeight w:val="92"/>
        </w:trPr>
        <w:tc>
          <w:tcPr>
            <w:tcW w:w="1276" w:type="dxa"/>
            <w:vMerge/>
            <w:shd w:val="clear" w:color="000000" w:fill="auto"/>
          </w:tcPr>
          <w:p w14:paraId="4B066049"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402" w:type="dxa"/>
            <w:vMerge/>
            <w:shd w:val="clear" w:color="000000" w:fill="auto"/>
          </w:tcPr>
          <w:p w14:paraId="4EA89EF8"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828" w:type="dxa"/>
            <w:shd w:val="clear" w:color="000000" w:fill="auto"/>
          </w:tcPr>
          <w:p w14:paraId="35E770C1" w14:textId="77777777" w:rsidR="00E31DDF"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 xml:space="preserve">Bomaderry and </w:t>
            </w:r>
            <w:proofErr w:type="spellStart"/>
            <w:r>
              <w:rPr>
                <w:rFonts w:asciiTheme="majorHAnsi" w:hAnsiTheme="majorHAnsi" w:cstheme="majorHAnsi"/>
                <w:sz w:val="17"/>
                <w:szCs w:val="17"/>
              </w:rPr>
              <w:t>Tallawarra</w:t>
            </w:r>
            <w:proofErr w:type="spellEnd"/>
          </w:p>
        </w:tc>
      </w:tr>
      <w:tr w:rsidR="00E31DDF" w:rsidRPr="00F365CD" w14:paraId="223053C1" w14:textId="77777777" w:rsidTr="00DD00A1">
        <w:trPr>
          <w:cnfStyle w:val="000000010000" w:firstRow="0" w:lastRow="0" w:firstColumn="0" w:lastColumn="0" w:oddVBand="0" w:evenVBand="0" w:oddHBand="0" w:evenHBand="1" w:firstRowFirstColumn="0" w:firstRowLastColumn="0" w:lastRowFirstColumn="0" w:lastRowLastColumn="0"/>
          <w:trHeight w:val="92"/>
        </w:trPr>
        <w:tc>
          <w:tcPr>
            <w:tcW w:w="1276" w:type="dxa"/>
            <w:vMerge/>
            <w:shd w:val="clear" w:color="000000" w:fill="auto"/>
          </w:tcPr>
          <w:p w14:paraId="6914D093"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402" w:type="dxa"/>
            <w:vMerge/>
            <w:shd w:val="clear" w:color="000000" w:fill="auto"/>
          </w:tcPr>
          <w:p w14:paraId="5E9287B8"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828" w:type="dxa"/>
            <w:shd w:val="clear" w:color="000000" w:fill="auto"/>
          </w:tcPr>
          <w:p w14:paraId="366D8266" w14:textId="77777777" w:rsidR="00E31DDF"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Smithfield</w:t>
            </w:r>
          </w:p>
        </w:tc>
      </w:tr>
      <w:tr w:rsidR="00E31DDF" w:rsidRPr="00F365CD" w14:paraId="5DA9A5A3" w14:textId="77777777" w:rsidTr="00DD00A1">
        <w:trPr>
          <w:trHeight w:val="92"/>
        </w:trPr>
        <w:tc>
          <w:tcPr>
            <w:tcW w:w="1276" w:type="dxa"/>
            <w:vMerge/>
            <w:shd w:val="clear" w:color="000000" w:fill="auto"/>
          </w:tcPr>
          <w:p w14:paraId="3309DEA4"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402" w:type="dxa"/>
            <w:vMerge/>
            <w:shd w:val="clear" w:color="000000" w:fill="auto"/>
          </w:tcPr>
          <w:p w14:paraId="1CAF1704"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828" w:type="dxa"/>
            <w:shd w:val="clear" w:color="000000" w:fill="auto"/>
          </w:tcPr>
          <w:p w14:paraId="0412BB57" w14:textId="77777777" w:rsidR="00E31DDF"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EGP to Wilton connection</w:t>
            </w:r>
          </w:p>
        </w:tc>
      </w:tr>
      <w:tr w:rsidR="00E31DDF" w:rsidRPr="00F365CD" w14:paraId="272DE51C" w14:textId="77777777" w:rsidTr="00DD00A1">
        <w:trPr>
          <w:cnfStyle w:val="000000010000" w:firstRow="0" w:lastRow="0" w:firstColumn="0" w:lastColumn="0" w:oddVBand="0" w:evenVBand="0" w:oddHBand="0" w:evenHBand="1" w:firstRowFirstColumn="0" w:firstRowLastColumn="0" w:lastRowFirstColumn="0" w:lastRowLastColumn="0"/>
          <w:trHeight w:val="232"/>
        </w:trPr>
        <w:tc>
          <w:tcPr>
            <w:tcW w:w="1276" w:type="dxa"/>
            <w:vMerge/>
            <w:shd w:val="clear" w:color="000000" w:fill="auto"/>
          </w:tcPr>
          <w:p w14:paraId="50443E6C"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402" w:type="dxa"/>
            <w:vMerge/>
            <w:shd w:val="clear" w:color="000000" w:fill="auto"/>
          </w:tcPr>
          <w:p w14:paraId="651B97C3"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828" w:type="dxa"/>
            <w:shd w:val="clear" w:color="000000" w:fill="auto"/>
          </w:tcPr>
          <w:p w14:paraId="6E9A0E92" w14:textId="77777777" w:rsidR="00E31DDF"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 xml:space="preserve">Bombala, Cooma, </w:t>
            </w:r>
            <w:proofErr w:type="spellStart"/>
            <w:r>
              <w:rPr>
                <w:rFonts w:asciiTheme="majorHAnsi" w:hAnsiTheme="majorHAnsi" w:cstheme="majorHAnsi"/>
                <w:sz w:val="17"/>
                <w:szCs w:val="17"/>
              </w:rPr>
              <w:t>Hoskinstown</w:t>
            </w:r>
            <w:proofErr w:type="spellEnd"/>
            <w:r>
              <w:rPr>
                <w:rFonts w:asciiTheme="majorHAnsi" w:hAnsiTheme="majorHAnsi" w:cstheme="majorHAnsi"/>
                <w:sz w:val="17"/>
                <w:szCs w:val="17"/>
              </w:rPr>
              <w:t>, Nowra, Canberra</w:t>
            </w:r>
          </w:p>
        </w:tc>
      </w:tr>
      <w:tr w:rsidR="00E31DDF" w:rsidRPr="00F365CD" w14:paraId="3155D34C" w14:textId="77777777" w:rsidTr="00DD00A1">
        <w:trPr>
          <w:trHeight w:val="231"/>
        </w:trPr>
        <w:tc>
          <w:tcPr>
            <w:tcW w:w="1276" w:type="dxa"/>
            <w:vMerge/>
            <w:tcBorders>
              <w:bottom w:val="single" w:sz="4" w:space="0" w:color="auto"/>
            </w:tcBorders>
            <w:shd w:val="clear" w:color="000000" w:fill="auto"/>
          </w:tcPr>
          <w:p w14:paraId="26BB3692"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402" w:type="dxa"/>
            <w:vMerge/>
            <w:tcBorders>
              <w:bottom w:val="single" w:sz="4" w:space="0" w:color="auto"/>
            </w:tcBorders>
            <w:shd w:val="clear" w:color="000000" w:fill="auto"/>
          </w:tcPr>
          <w:p w14:paraId="772938E1"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828" w:type="dxa"/>
            <w:tcBorders>
              <w:bottom w:val="single" w:sz="4" w:space="0" w:color="auto"/>
            </w:tcBorders>
            <w:shd w:val="clear" w:color="000000" w:fill="auto"/>
          </w:tcPr>
          <w:p w14:paraId="037818A3" w14:textId="77777777" w:rsidR="00E31DDF"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Bairnsdale</w:t>
            </w:r>
          </w:p>
        </w:tc>
      </w:tr>
      <w:tr w:rsidR="00E31DDF" w:rsidRPr="00F365CD" w14:paraId="1AFCDBA3" w14:textId="77777777" w:rsidTr="00DD00A1">
        <w:trPr>
          <w:cnfStyle w:val="000000010000" w:firstRow="0" w:lastRow="0" w:firstColumn="0" w:lastColumn="0" w:oddVBand="0" w:evenVBand="0" w:oddHBand="0" w:evenHBand="1" w:firstRowFirstColumn="0" w:firstRowLastColumn="0" w:lastRowFirstColumn="0" w:lastRowLastColumn="0"/>
          <w:trHeight w:val="140"/>
        </w:trPr>
        <w:tc>
          <w:tcPr>
            <w:tcW w:w="1276" w:type="dxa"/>
            <w:vMerge w:val="restart"/>
            <w:shd w:val="clear" w:color="000000" w:fill="E1E2E7" w:themeFill="background2"/>
          </w:tcPr>
          <w:p w14:paraId="4497D949" w14:textId="77777777" w:rsidR="00E31DDF" w:rsidRPr="00F365CD"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Moomba to Adelaide Pipeline System (MAPS)</w:t>
            </w:r>
          </w:p>
        </w:tc>
        <w:tc>
          <w:tcPr>
            <w:tcW w:w="3402" w:type="dxa"/>
            <w:shd w:val="clear" w:color="000000" w:fill="E1E2E7" w:themeFill="background2"/>
          </w:tcPr>
          <w:p w14:paraId="107794B9" w14:textId="77777777" w:rsidR="00E31DDF" w:rsidRPr="00F365CD"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 xml:space="preserve">Moomba </w:t>
            </w:r>
            <w:r w:rsidR="00304BD4">
              <w:rPr>
                <w:rFonts w:asciiTheme="majorHAnsi" w:hAnsiTheme="majorHAnsi" w:cstheme="majorHAnsi"/>
                <w:sz w:val="17"/>
                <w:szCs w:val="17"/>
              </w:rPr>
              <w:t xml:space="preserve">(MAPS inlet) </w:t>
            </w:r>
          </w:p>
        </w:tc>
        <w:tc>
          <w:tcPr>
            <w:tcW w:w="3828" w:type="dxa"/>
            <w:shd w:val="clear" w:color="000000" w:fill="E1E2E7" w:themeFill="background2"/>
          </w:tcPr>
          <w:p w14:paraId="56913075" w14:textId="77777777" w:rsidR="00E31DDF" w:rsidRPr="00F365CD"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Adelaide STTM (Metro Mainline)</w:t>
            </w:r>
          </w:p>
        </w:tc>
      </w:tr>
      <w:tr w:rsidR="00E31DDF" w:rsidRPr="00F365CD" w14:paraId="4E48A22B" w14:textId="77777777" w:rsidTr="00DD00A1">
        <w:trPr>
          <w:trHeight w:val="180"/>
        </w:trPr>
        <w:tc>
          <w:tcPr>
            <w:tcW w:w="1276" w:type="dxa"/>
            <w:vMerge/>
            <w:shd w:val="clear" w:color="000000" w:fill="E1E2E7" w:themeFill="background2"/>
          </w:tcPr>
          <w:p w14:paraId="7182BB9A"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402" w:type="dxa"/>
            <w:vMerge w:val="restart"/>
            <w:shd w:val="clear" w:color="000000" w:fill="E1E2E7" w:themeFill="background2"/>
          </w:tcPr>
          <w:p w14:paraId="3F63F669" w14:textId="52323FB1" w:rsidR="00E31DDF" w:rsidRPr="00F365CD" w:rsidRDefault="00817F19"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Looplike</w:t>
            </w:r>
            <w:r w:rsidR="00E31DDF">
              <w:rPr>
                <w:rFonts w:asciiTheme="majorHAnsi" w:hAnsiTheme="majorHAnsi" w:cstheme="majorHAnsi"/>
                <w:sz w:val="17"/>
                <w:szCs w:val="17"/>
              </w:rPr>
              <w:t xml:space="preserve"> receipt </w:t>
            </w:r>
          </w:p>
        </w:tc>
        <w:tc>
          <w:tcPr>
            <w:tcW w:w="3828" w:type="dxa"/>
            <w:shd w:val="clear" w:color="000000" w:fill="E1E2E7" w:themeFill="background2"/>
          </w:tcPr>
          <w:p w14:paraId="78F0F089" w14:textId="77777777" w:rsidR="00E31DDF"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 xml:space="preserve">Moomba (notional and physical point) </w:t>
            </w:r>
          </w:p>
        </w:tc>
      </w:tr>
      <w:tr w:rsidR="00E31DDF" w:rsidRPr="00F365CD" w14:paraId="1682DF9C" w14:textId="77777777" w:rsidTr="00DD00A1">
        <w:trPr>
          <w:cnfStyle w:val="000000010000" w:firstRow="0" w:lastRow="0" w:firstColumn="0" w:lastColumn="0" w:oddVBand="0" w:evenVBand="0" w:oddHBand="0" w:evenHBand="1" w:firstRowFirstColumn="0" w:firstRowLastColumn="0" w:lastRowFirstColumn="0" w:lastRowLastColumn="0"/>
          <w:trHeight w:val="178"/>
        </w:trPr>
        <w:tc>
          <w:tcPr>
            <w:tcW w:w="1276" w:type="dxa"/>
            <w:vMerge/>
            <w:shd w:val="clear" w:color="000000" w:fill="E1E2E7" w:themeFill="background2"/>
          </w:tcPr>
          <w:p w14:paraId="538222C3"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402" w:type="dxa"/>
            <w:vMerge/>
            <w:shd w:val="clear" w:color="000000" w:fill="E1E2E7" w:themeFill="background2"/>
          </w:tcPr>
          <w:p w14:paraId="427C7632" w14:textId="77777777" w:rsidR="00E31DDF" w:rsidRDefault="00E31DDF" w:rsidP="00E31DDF">
            <w:pPr>
              <w:keepNext/>
              <w:spacing w:before="20" w:after="40" w:line="240" w:lineRule="auto"/>
              <w:rPr>
                <w:rFonts w:asciiTheme="majorHAnsi" w:hAnsiTheme="majorHAnsi" w:cstheme="majorHAnsi"/>
                <w:sz w:val="17"/>
                <w:szCs w:val="17"/>
              </w:rPr>
            </w:pPr>
          </w:p>
        </w:tc>
        <w:tc>
          <w:tcPr>
            <w:tcW w:w="3828" w:type="dxa"/>
            <w:shd w:val="clear" w:color="000000" w:fill="E1E2E7" w:themeFill="background2"/>
          </w:tcPr>
          <w:p w14:paraId="3BCF3075" w14:textId="77777777" w:rsidR="00E31DDF"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Mainline rural (delivery points upstream of Wasleys compressor)</w:t>
            </w:r>
          </w:p>
        </w:tc>
      </w:tr>
      <w:tr w:rsidR="00E31DDF" w:rsidRPr="00F365CD" w14:paraId="6FF858ED" w14:textId="77777777" w:rsidTr="00DD00A1">
        <w:trPr>
          <w:trHeight w:val="178"/>
        </w:trPr>
        <w:tc>
          <w:tcPr>
            <w:tcW w:w="1276" w:type="dxa"/>
            <w:vMerge/>
            <w:shd w:val="clear" w:color="000000" w:fill="E1E2E7" w:themeFill="background2"/>
          </w:tcPr>
          <w:p w14:paraId="35C914C0"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402" w:type="dxa"/>
            <w:vMerge/>
            <w:shd w:val="clear" w:color="000000" w:fill="E1E2E7" w:themeFill="background2"/>
          </w:tcPr>
          <w:p w14:paraId="7E2DE29D" w14:textId="77777777" w:rsidR="00E31DDF" w:rsidRDefault="00E31DDF" w:rsidP="00E31DDF">
            <w:pPr>
              <w:keepNext/>
              <w:spacing w:before="20" w:after="40" w:line="240" w:lineRule="auto"/>
              <w:rPr>
                <w:rFonts w:asciiTheme="majorHAnsi" w:hAnsiTheme="majorHAnsi" w:cstheme="majorHAnsi"/>
                <w:sz w:val="17"/>
                <w:szCs w:val="17"/>
              </w:rPr>
            </w:pPr>
          </w:p>
        </w:tc>
        <w:tc>
          <w:tcPr>
            <w:tcW w:w="3828" w:type="dxa"/>
            <w:shd w:val="clear" w:color="000000" w:fill="E1E2E7" w:themeFill="background2"/>
          </w:tcPr>
          <w:p w14:paraId="415B8B35" w14:textId="77777777" w:rsidR="00E31DDF"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 xml:space="preserve">Whyalla lateral </w:t>
            </w:r>
          </w:p>
        </w:tc>
      </w:tr>
      <w:tr w:rsidR="00E31DDF" w:rsidRPr="00F365CD" w14:paraId="1F3F075B" w14:textId="77777777" w:rsidTr="00DD00A1">
        <w:trPr>
          <w:cnfStyle w:val="000000010000" w:firstRow="0" w:lastRow="0" w:firstColumn="0" w:lastColumn="0" w:oddVBand="0" w:evenVBand="0" w:oddHBand="0" w:evenHBand="1" w:firstRowFirstColumn="0" w:firstRowLastColumn="0" w:lastRowFirstColumn="0" w:lastRowLastColumn="0"/>
          <w:trHeight w:val="138"/>
        </w:trPr>
        <w:tc>
          <w:tcPr>
            <w:tcW w:w="1276" w:type="dxa"/>
            <w:vMerge/>
            <w:shd w:val="clear" w:color="000000" w:fill="E1E2E7" w:themeFill="background2"/>
          </w:tcPr>
          <w:p w14:paraId="257872C9"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402" w:type="dxa"/>
            <w:vMerge/>
            <w:shd w:val="clear" w:color="000000" w:fill="E1E2E7" w:themeFill="background2"/>
          </w:tcPr>
          <w:p w14:paraId="18D85812" w14:textId="77777777" w:rsidR="00E31DDF" w:rsidRDefault="00E31DDF" w:rsidP="00E31DDF">
            <w:pPr>
              <w:keepNext/>
              <w:spacing w:before="20" w:after="40" w:line="240" w:lineRule="auto"/>
              <w:rPr>
                <w:rFonts w:asciiTheme="majorHAnsi" w:hAnsiTheme="majorHAnsi" w:cstheme="majorHAnsi"/>
                <w:sz w:val="17"/>
                <w:szCs w:val="17"/>
              </w:rPr>
            </w:pPr>
          </w:p>
        </w:tc>
        <w:tc>
          <w:tcPr>
            <w:tcW w:w="3828" w:type="dxa"/>
            <w:shd w:val="clear" w:color="000000" w:fill="E1E2E7" w:themeFill="background2"/>
          </w:tcPr>
          <w:p w14:paraId="3EB77638" w14:textId="77777777" w:rsidR="00E31DDF"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Angaston lateral</w:t>
            </w:r>
          </w:p>
        </w:tc>
      </w:tr>
      <w:tr w:rsidR="00E31DDF" w:rsidRPr="00F365CD" w14:paraId="59E7597D" w14:textId="77777777" w:rsidTr="00DD00A1">
        <w:trPr>
          <w:trHeight w:val="137"/>
        </w:trPr>
        <w:tc>
          <w:tcPr>
            <w:tcW w:w="1276" w:type="dxa"/>
            <w:vMerge/>
            <w:shd w:val="clear" w:color="000000" w:fill="E1E2E7" w:themeFill="background2"/>
          </w:tcPr>
          <w:p w14:paraId="5009ECB3" w14:textId="77777777" w:rsidR="00E31DDF" w:rsidRPr="00F365CD" w:rsidRDefault="00E31DDF" w:rsidP="00E31DDF">
            <w:pPr>
              <w:keepNext/>
              <w:spacing w:before="20" w:after="40" w:line="240" w:lineRule="auto"/>
              <w:rPr>
                <w:rFonts w:asciiTheme="majorHAnsi" w:hAnsiTheme="majorHAnsi" w:cstheme="majorHAnsi"/>
                <w:sz w:val="17"/>
                <w:szCs w:val="17"/>
              </w:rPr>
            </w:pPr>
          </w:p>
        </w:tc>
        <w:tc>
          <w:tcPr>
            <w:tcW w:w="3402" w:type="dxa"/>
            <w:vMerge/>
            <w:shd w:val="clear" w:color="000000" w:fill="E1E2E7" w:themeFill="background2"/>
          </w:tcPr>
          <w:p w14:paraId="27CA632C" w14:textId="77777777" w:rsidR="00E31DDF" w:rsidRDefault="00E31DDF" w:rsidP="00E31DDF">
            <w:pPr>
              <w:keepNext/>
              <w:spacing w:before="20" w:after="40" w:line="240" w:lineRule="auto"/>
              <w:rPr>
                <w:rFonts w:asciiTheme="majorHAnsi" w:hAnsiTheme="majorHAnsi" w:cstheme="majorHAnsi"/>
                <w:sz w:val="17"/>
                <w:szCs w:val="17"/>
              </w:rPr>
            </w:pPr>
          </w:p>
        </w:tc>
        <w:tc>
          <w:tcPr>
            <w:tcW w:w="3828" w:type="dxa"/>
            <w:shd w:val="clear" w:color="000000" w:fill="E1E2E7" w:themeFill="background2"/>
          </w:tcPr>
          <w:p w14:paraId="1A4B6827" w14:textId="77777777" w:rsidR="00E31DDF" w:rsidRDefault="00E31DDF" w:rsidP="00E31DDF">
            <w:pPr>
              <w:keepNext/>
              <w:spacing w:before="20" w:after="40" w:line="240" w:lineRule="auto"/>
              <w:rPr>
                <w:rFonts w:asciiTheme="majorHAnsi" w:hAnsiTheme="majorHAnsi" w:cstheme="majorHAnsi"/>
                <w:sz w:val="17"/>
                <w:szCs w:val="17"/>
              </w:rPr>
            </w:pPr>
            <w:proofErr w:type="spellStart"/>
            <w:r>
              <w:rPr>
                <w:rFonts w:asciiTheme="majorHAnsi" w:hAnsiTheme="majorHAnsi" w:cstheme="majorHAnsi"/>
                <w:sz w:val="17"/>
                <w:szCs w:val="17"/>
              </w:rPr>
              <w:t>Loopline</w:t>
            </w:r>
            <w:proofErr w:type="spellEnd"/>
            <w:r>
              <w:rPr>
                <w:rFonts w:asciiTheme="majorHAnsi" w:hAnsiTheme="majorHAnsi" w:cstheme="majorHAnsi"/>
                <w:sz w:val="17"/>
                <w:szCs w:val="17"/>
              </w:rPr>
              <w:t xml:space="preserve"> (delivery points downstream of Wasleys compressor)</w:t>
            </w:r>
          </w:p>
        </w:tc>
      </w:tr>
      <w:tr w:rsidR="00E31DDF" w:rsidRPr="00F365CD" w14:paraId="5CF89A56" w14:textId="77777777" w:rsidTr="00DD00A1">
        <w:trPr>
          <w:cnfStyle w:val="000000010000" w:firstRow="0" w:lastRow="0" w:firstColumn="0" w:lastColumn="0" w:oddVBand="0" w:evenVBand="0" w:oddHBand="0" w:evenHBand="1" w:firstRowFirstColumn="0" w:firstRowLastColumn="0" w:lastRowFirstColumn="0" w:lastRowLastColumn="0"/>
        </w:trPr>
        <w:tc>
          <w:tcPr>
            <w:tcW w:w="1276" w:type="dxa"/>
            <w:shd w:val="clear" w:color="000000" w:fill="auto"/>
          </w:tcPr>
          <w:p w14:paraId="1B60E887" w14:textId="77777777" w:rsidR="00E31DDF" w:rsidRPr="00F365CD" w:rsidRDefault="00E31DDF" w:rsidP="00E31DDF">
            <w:pPr>
              <w:keepNext/>
              <w:spacing w:before="20" w:after="40" w:line="240" w:lineRule="auto"/>
              <w:rPr>
                <w:rFonts w:asciiTheme="majorHAnsi" w:hAnsiTheme="majorHAnsi" w:cstheme="majorHAnsi"/>
                <w:sz w:val="17"/>
                <w:szCs w:val="17"/>
              </w:rPr>
            </w:pPr>
            <w:proofErr w:type="spellStart"/>
            <w:r w:rsidRPr="00F365CD">
              <w:rPr>
                <w:rFonts w:asciiTheme="majorHAnsi" w:hAnsiTheme="majorHAnsi" w:cstheme="majorHAnsi"/>
                <w:sz w:val="17"/>
                <w:szCs w:val="17"/>
              </w:rPr>
              <w:t>SEAGas</w:t>
            </w:r>
            <w:proofErr w:type="spellEnd"/>
          </w:p>
        </w:tc>
        <w:tc>
          <w:tcPr>
            <w:tcW w:w="3402" w:type="dxa"/>
            <w:shd w:val="clear" w:color="000000" w:fill="auto"/>
          </w:tcPr>
          <w:p w14:paraId="6FC54DE5" w14:textId="77777777" w:rsidR="00E31DDF" w:rsidRPr="00F365CD"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Brumby</w:t>
            </w:r>
          </w:p>
        </w:tc>
        <w:tc>
          <w:tcPr>
            <w:tcW w:w="3828" w:type="dxa"/>
            <w:shd w:val="clear" w:color="000000" w:fill="auto"/>
          </w:tcPr>
          <w:p w14:paraId="7F4A35A3" w14:textId="05A084F9" w:rsidR="00E31DDF" w:rsidRPr="00F365CD" w:rsidRDefault="00E31DDF" w:rsidP="00E31DDF">
            <w:pPr>
              <w:keepNext/>
              <w:spacing w:before="20" w:after="40" w:line="240" w:lineRule="auto"/>
              <w:rPr>
                <w:rFonts w:asciiTheme="majorHAnsi" w:hAnsiTheme="majorHAnsi" w:cstheme="majorHAnsi"/>
                <w:sz w:val="17"/>
                <w:szCs w:val="17"/>
              </w:rPr>
            </w:pPr>
            <w:r>
              <w:rPr>
                <w:rFonts w:asciiTheme="majorHAnsi" w:hAnsiTheme="majorHAnsi" w:cstheme="majorHAnsi"/>
                <w:sz w:val="17"/>
                <w:szCs w:val="17"/>
              </w:rPr>
              <w:t xml:space="preserve">All </w:t>
            </w:r>
            <w:r w:rsidR="00E36FD2">
              <w:rPr>
                <w:rFonts w:asciiTheme="majorHAnsi" w:hAnsiTheme="majorHAnsi" w:cstheme="majorHAnsi"/>
                <w:sz w:val="17"/>
                <w:szCs w:val="17"/>
              </w:rPr>
              <w:t>delivery</w:t>
            </w:r>
            <w:r>
              <w:rPr>
                <w:rFonts w:asciiTheme="majorHAnsi" w:hAnsiTheme="majorHAnsi" w:cstheme="majorHAnsi"/>
                <w:sz w:val="17"/>
                <w:szCs w:val="17"/>
              </w:rPr>
              <w:t xml:space="preserve"> points on the pipeline</w:t>
            </w:r>
          </w:p>
        </w:tc>
      </w:tr>
    </w:tbl>
    <w:tbl>
      <w:tblPr>
        <w:tblStyle w:val="PullOutBoxTable"/>
        <w:tblW w:w="5000" w:type="pct"/>
        <w:shd w:val="clear" w:color="auto" w:fill="B7E7FF"/>
        <w:tblCellMar>
          <w:top w:w="113" w:type="dxa"/>
          <w:bottom w:w="113" w:type="dxa"/>
        </w:tblCellMar>
        <w:tblLook w:val="0600" w:firstRow="0" w:lastRow="0" w:firstColumn="0" w:lastColumn="0" w:noHBand="1" w:noVBand="1"/>
        <w:tblCaption w:val="Table 4.1: Indicative receipt and delivery point zones"/>
        <w:tblDescription w:val="Indicative receipt and delivery point zones"/>
      </w:tblPr>
      <w:tblGrid>
        <w:gridCol w:w="8788"/>
      </w:tblGrid>
      <w:tr w:rsidR="00A41ECC" w:rsidRPr="00215754" w14:paraId="13E71A16" w14:textId="77777777" w:rsidTr="00836FC7">
        <w:trPr>
          <w:tblHeader/>
        </w:trPr>
        <w:tc>
          <w:tcPr>
            <w:tcW w:w="5000" w:type="pct"/>
            <w:shd w:val="clear" w:color="auto" w:fill="auto"/>
          </w:tcPr>
          <w:p w14:paraId="7148E0DB" w14:textId="472EDCB8" w:rsidR="006720CC" w:rsidRPr="00215754" w:rsidRDefault="00836FC7" w:rsidP="00836FC7">
            <w:pPr>
              <w:pStyle w:val="ListBullet"/>
              <w:numPr>
                <w:ilvl w:val="0"/>
                <w:numId w:val="0"/>
              </w:numPr>
              <w:spacing w:after="0"/>
              <w:ind w:left="357" w:hanging="357"/>
              <w:rPr>
                <w:sz w:val="21"/>
                <w:szCs w:val="21"/>
              </w:rPr>
            </w:pPr>
            <w:bookmarkStart w:id="106" w:name="_Ref491621827"/>
            <w:bookmarkEnd w:id="102"/>
            <w:r>
              <w:rPr>
                <w:b/>
              </w:rPr>
              <w:lastRenderedPageBreak/>
              <w:t xml:space="preserve">Box </w:t>
            </w:r>
            <w:r>
              <w:rPr>
                <w:b/>
              </w:rPr>
              <w:fldChar w:fldCharType="begin"/>
            </w:r>
            <w:r>
              <w:rPr>
                <w:b/>
              </w:rPr>
              <w:instrText xml:space="preserve"> STYLEREF 1 \s </w:instrText>
            </w:r>
            <w:r>
              <w:rPr>
                <w:b/>
              </w:rPr>
              <w:fldChar w:fldCharType="separate"/>
            </w:r>
            <w:r>
              <w:rPr>
                <w:b/>
                <w:noProof/>
              </w:rPr>
              <w:t>4</w:t>
            </w:r>
            <w:r>
              <w:rPr>
                <w:b/>
              </w:rPr>
              <w:fldChar w:fldCharType="end"/>
            </w:r>
            <w:r>
              <w:rPr>
                <w:b/>
              </w:rPr>
              <w:t>.</w:t>
            </w:r>
            <w:r>
              <w:rPr>
                <w:b/>
              </w:rPr>
              <w:fldChar w:fldCharType="begin"/>
            </w:r>
            <w:r>
              <w:rPr>
                <w:b/>
              </w:rPr>
              <w:instrText xml:space="preserve"> SEQ Box \* ARABIC \s 1 </w:instrText>
            </w:r>
            <w:r>
              <w:rPr>
                <w:b/>
              </w:rPr>
              <w:fldChar w:fldCharType="separate"/>
            </w:r>
            <w:r>
              <w:rPr>
                <w:b/>
                <w:noProof/>
              </w:rPr>
              <w:t>1</w:t>
            </w:r>
            <w:r>
              <w:rPr>
                <w:b/>
              </w:rPr>
              <w:fldChar w:fldCharType="end"/>
            </w:r>
            <w:bookmarkEnd w:id="106"/>
            <w:r>
              <w:rPr>
                <w:b/>
              </w:rPr>
              <w:t>: Questions on receipt and delivery point zones</w:t>
            </w:r>
          </w:p>
        </w:tc>
      </w:tr>
      <w:tr w:rsidR="00836FC7" w:rsidRPr="00215754" w14:paraId="6830A431" w14:textId="77777777" w:rsidTr="00836FC7">
        <w:trPr>
          <w:tblHeader/>
        </w:trPr>
        <w:tc>
          <w:tcPr>
            <w:tcW w:w="5000" w:type="pct"/>
            <w:shd w:val="clear" w:color="auto" w:fill="B7E7FF"/>
          </w:tcPr>
          <w:p w14:paraId="66AAD481" w14:textId="77777777" w:rsidR="00836FC7" w:rsidRPr="00215754" w:rsidRDefault="00836FC7" w:rsidP="00836FC7">
            <w:pPr>
              <w:pStyle w:val="ListBullet"/>
              <w:numPr>
                <w:ilvl w:val="0"/>
                <w:numId w:val="23"/>
              </w:numPr>
              <w:rPr>
                <w:sz w:val="21"/>
                <w:szCs w:val="21"/>
              </w:rPr>
            </w:pPr>
            <w:r w:rsidRPr="00215754">
              <w:rPr>
                <w:sz w:val="21"/>
                <w:szCs w:val="21"/>
              </w:rPr>
              <w:t xml:space="preserve">What, if any, refinements do you think could be made to the </w:t>
            </w:r>
            <w:r>
              <w:rPr>
                <w:sz w:val="21"/>
                <w:szCs w:val="21"/>
              </w:rPr>
              <w:t xml:space="preserve">indicative </w:t>
            </w:r>
            <w:r w:rsidRPr="00215754">
              <w:rPr>
                <w:sz w:val="21"/>
                <w:szCs w:val="21"/>
              </w:rPr>
              <w:t xml:space="preserve">zones </w:t>
            </w:r>
            <w:r>
              <w:rPr>
                <w:sz w:val="21"/>
                <w:szCs w:val="21"/>
              </w:rPr>
              <w:t xml:space="preserve">set out in Table 4.1 </w:t>
            </w:r>
            <w:r w:rsidRPr="00215754">
              <w:rPr>
                <w:sz w:val="21"/>
                <w:szCs w:val="21"/>
              </w:rPr>
              <w:t>to maximise the pool of prospective buyers and sellers, while also:</w:t>
            </w:r>
          </w:p>
          <w:p w14:paraId="42A74BCE" w14:textId="77777777" w:rsidR="00836FC7" w:rsidRPr="00215754" w:rsidRDefault="00836FC7" w:rsidP="00836FC7">
            <w:pPr>
              <w:pStyle w:val="ListBullet2"/>
              <w:rPr>
                <w:sz w:val="21"/>
                <w:szCs w:val="21"/>
              </w:rPr>
            </w:pPr>
            <w:r w:rsidRPr="00215754">
              <w:rPr>
                <w:sz w:val="21"/>
                <w:szCs w:val="21"/>
              </w:rPr>
              <w:t>ensuring that capacity can be transferred between points within the zone on a one-for-one basis if there is physical capacity at the relevant point; and</w:t>
            </w:r>
          </w:p>
          <w:p w14:paraId="2713E9BD" w14:textId="77777777" w:rsidR="00836FC7" w:rsidRPr="00215754" w:rsidRDefault="00836FC7" w:rsidP="00836FC7">
            <w:pPr>
              <w:pStyle w:val="ListBullet2"/>
              <w:rPr>
                <w:sz w:val="21"/>
                <w:szCs w:val="21"/>
              </w:rPr>
            </w:pPr>
            <w:r w:rsidRPr="00215754">
              <w:rPr>
                <w:sz w:val="21"/>
                <w:szCs w:val="21"/>
              </w:rPr>
              <w:t>minimising the risk that secondary shippers will not be able to access capacity at a receipt or delivery point within the zone</w:t>
            </w:r>
            <w:r>
              <w:rPr>
                <w:sz w:val="21"/>
                <w:szCs w:val="21"/>
              </w:rPr>
              <w:t>?</w:t>
            </w:r>
          </w:p>
          <w:p w14:paraId="41FAD193" w14:textId="77777777" w:rsidR="00836FC7" w:rsidRDefault="00836FC7" w:rsidP="00836FC7">
            <w:pPr>
              <w:pStyle w:val="ListBullet"/>
              <w:numPr>
                <w:ilvl w:val="0"/>
                <w:numId w:val="23"/>
              </w:numPr>
              <w:rPr>
                <w:sz w:val="21"/>
                <w:szCs w:val="21"/>
              </w:rPr>
            </w:pPr>
            <w:r>
              <w:rPr>
                <w:sz w:val="21"/>
                <w:szCs w:val="21"/>
              </w:rPr>
              <w:t>Do you think that:</w:t>
            </w:r>
            <w:r w:rsidRPr="00215754">
              <w:rPr>
                <w:sz w:val="21"/>
                <w:szCs w:val="21"/>
              </w:rPr>
              <w:t xml:space="preserve"> </w:t>
            </w:r>
          </w:p>
          <w:p w14:paraId="4E46CD0B" w14:textId="77777777" w:rsidR="00836FC7" w:rsidRPr="006720CC" w:rsidRDefault="00836FC7" w:rsidP="00836FC7">
            <w:pPr>
              <w:pStyle w:val="ListBullet2"/>
              <w:rPr>
                <w:sz w:val="21"/>
                <w:szCs w:val="21"/>
              </w:rPr>
            </w:pPr>
            <w:r w:rsidRPr="00215754">
              <w:rPr>
                <w:sz w:val="21"/>
                <w:szCs w:val="21"/>
              </w:rPr>
              <w:t>pipelines that are</w:t>
            </w:r>
            <w:r w:rsidRPr="006720CC">
              <w:rPr>
                <w:sz w:val="21"/>
                <w:szCs w:val="21"/>
              </w:rPr>
              <w:t xml:space="preserve"> connected to another pipeline should be required to define a transit point delivery zone </w:t>
            </w:r>
            <w:r>
              <w:rPr>
                <w:sz w:val="21"/>
                <w:szCs w:val="21"/>
              </w:rPr>
              <w:t>to minimise the risk that gas cannot be transported between the two pipelines</w:t>
            </w:r>
            <w:r w:rsidRPr="006720CC">
              <w:rPr>
                <w:sz w:val="21"/>
                <w:szCs w:val="21"/>
              </w:rPr>
              <w:t>?</w:t>
            </w:r>
          </w:p>
          <w:p w14:paraId="0D34F445" w14:textId="77777777" w:rsidR="00836FC7" w:rsidRPr="006720CC" w:rsidRDefault="00836FC7" w:rsidP="00836FC7">
            <w:pPr>
              <w:pStyle w:val="ListBullet2"/>
              <w:rPr>
                <w:sz w:val="21"/>
                <w:szCs w:val="21"/>
              </w:rPr>
            </w:pPr>
            <w:r>
              <w:rPr>
                <w:sz w:val="21"/>
                <w:szCs w:val="21"/>
              </w:rPr>
              <w:t xml:space="preserve">pipelines </w:t>
            </w:r>
            <w:r w:rsidRPr="006720CC">
              <w:rPr>
                <w:sz w:val="21"/>
                <w:szCs w:val="21"/>
              </w:rPr>
              <w:t xml:space="preserve">connected to an STTM should be required to define an STTM delivery zone </w:t>
            </w:r>
            <w:r>
              <w:rPr>
                <w:sz w:val="21"/>
                <w:szCs w:val="21"/>
              </w:rPr>
              <w:t>to minimise the risk that gas cannot be supplied into the STTM</w:t>
            </w:r>
            <w:r w:rsidRPr="006720CC">
              <w:rPr>
                <w:sz w:val="21"/>
                <w:szCs w:val="21"/>
              </w:rPr>
              <w:t>?</w:t>
            </w:r>
          </w:p>
          <w:p w14:paraId="438BA34E" w14:textId="77777777" w:rsidR="00836FC7" w:rsidRDefault="00836FC7" w:rsidP="00836FC7">
            <w:pPr>
              <w:pStyle w:val="ListBullet"/>
              <w:numPr>
                <w:ilvl w:val="0"/>
                <w:numId w:val="0"/>
              </w:numPr>
              <w:ind w:left="360"/>
              <w:rPr>
                <w:sz w:val="21"/>
                <w:szCs w:val="21"/>
              </w:rPr>
            </w:pPr>
            <w:r>
              <w:rPr>
                <w:sz w:val="21"/>
                <w:szCs w:val="21"/>
              </w:rPr>
              <w:t>Are there any other special cases that you think would require more careful consideration to be given to the bounds of the zones?</w:t>
            </w:r>
          </w:p>
          <w:p w14:paraId="150786CA" w14:textId="77777777" w:rsidR="00836FC7" w:rsidRDefault="00836FC7" w:rsidP="00836FC7">
            <w:pPr>
              <w:pStyle w:val="ListBullet"/>
              <w:numPr>
                <w:ilvl w:val="0"/>
                <w:numId w:val="23"/>
              </w:numPr>
              <w:rPr>
                <w:sz w:val="21"/>
                <w:szCs w:val="21"/>
              </w:rPr>
            </w:pPr>
            <w:r>
              <w:rPr>
                <w:sz w:val="21"/>
                <w:szCs w:val="21"/>
              </w:rPr>
              <w:t xml:space="preserve">Do you agree with the principles that have been suggested by the Standardisation project team should guide the development of zones, or are there other principles you think should be considered? </w:t>
            </w:r>
          </w:p>
          <w:p w14:paraId="0FF29451" w14:textId="5CCAB0F9" w:rsidR="00836FC7" w:rsidRPr="00836FC7" w:rsidRDefault="00836FC7" w:rsidP="00836FC7">
            <w:pPr>
              <w:pStyle w:val="ListBullet"/>
              <w:numPr>
                <w:ilvl w:val="0"/>
                <w:numId w:val="23"/>
              </w:numPr>
              <w:rPr>
                <w:sz w:val="21"/>
                <w:szCs w:val="21"/>
              </w:rPr>
            </w:pPr>
            <w:r w:rsidRPr="00836FC7">
              <w:rPr>
                <w:sz w:val="21"/>
                <w:szCs w:val="21"/>
              </w:rPr>
              <w:t>Do you think these principles should be included in the NGR?</w:t>
            </w:r>
          </w:p>
        </w:tc>
      </w:tr>
    </w:tbl>
    <w:p w14:paraId="23E08075" w14:textId="77777777" w:rsidR="00262EDE" w:rsidRDefault="00074CCC" w:rsidP="00E00CFC">
      <w:pPr>
        <w:pStyle w:val="Heading3"/>
        <w:numPr>
          <w:ilvl w:val="2"/>
          <w:numId w:val="26"/>
        </w:numPr>
      </w:pPr>
      <w:r>
        <w:t xml:space="preserve">Prioritisation of </w:t>
      </w:r>
      <w:r w:rsidR="00DB228D">
        <w:t>rights at receipt and delivery points</w:t>
      </w:r>
    </w:p>
    <w:p w14:paraId="76ACC066" w14:textId="77777777" w:rsidR="006957DC" w:rsidRDefault="006957DC" w:rsidP="006957DC">
      <w:pPr>
        <w:pStyle w:val="ListBullet"/>
        <w:numPr>
          <w:ilvl w:val="0"/>
          <w:numId w:val="0"/>
        </w:numPr>
      </w:pPr>
      <w:r>
        <w:t xml:space="preserve">The </w:t>
      </w:r>
      <w:r w:rsidR="00D507A8">
        <w:t>secondary firm rights concept</w:t>
      </w:r>
      <w:r>
        <w:t xml:space="preserve"> proposed by the Standardisation project team is similar to the </w:t>
      </w:r>
      <w:r w:rsidR="00D507A8">
        <w:t xml:space="preserve">prioritisation of access concept </w:t>
      </w:r>
      <w:r>
        <w:t>that has be</w:t>
      </w:r>
      <w:r w:rsidR="00D507A8">
        <w:t>en adopted in the United States</w:t>
      </w:r>
      <w:r w:rsidR="00D507A8" w:rsidRPr="00D507A8">
        <w:rPr>
          <w:rStyle w:val="FootnoteReference"/>
        </w:rPr>
        <w:t xml:space="preserve"> </w:t>
      </w:r>
      <w:r w:rsidR="00D507A8">
        <w:rPr>
          <w:rStyle w:val="FootnoteReference"/>
        </w:rPr>
        <w:footnoteReference w:id="47"/>
      </w:r>
      <w:r w:rsidR="00D507A8">
        <w:t xml:space="preserve"> and is </w:t>
      </w:r>
      <w:r w:rsidR="00F243A1">
        <w:t xml:space="preserve">used </w:t>
      </w:r>
      <w:r w:rsidR="00D507A8">
        <w:t xml:space="preserve">on a number of </w:t>
      </w:r>
      <w:r w:rsidR="00F243A1">
        <w:t xml:space="preserve">east coast </w:t>
      </w:r>
      <w:r w:rsidR="00D507A8">
        <w:t xml:space="preserve">transmission pipelines where shippers have rights to all the receipt and/or delivery points on the pipeline. This </w:t>
      </w:r>
      <w:r>
        <w:t xml:space="preserve">concept is required under the zonal model, because: </w:t>
      </w:r>
    </w:p>
    <w:p w14:paraId="5C5DF639" w14:textId="77777777" w:rsidR="006957DC" w:rsidRDefault="006957DC" w:rsidP="006957DC">
      <w:pPr>
        <w:pStyle w:val="ListBullet"/>
      </w:pPr>
      <w:r>
        <w:t xml:space="preserve">the capacity that is sold by the primary shipper may be released from a different receipt or delivery point </w:t>
      </w:r>
      <w:r w:rsidR="006720CC">
        <w:t xml:space="preserve">in the zone </w:t>
      </w:r>
      <w:r>
        <w:t xml:space="preserve">to the </w:t>
      </w:r>
      <w:r w:rsidR="00F243A1">
        <w:t xml:space="preserve">receipt or delivery </w:t>
      </w:r>
      <w:r>
        <w:t>point the secondary shipper intends to use</w:t>
      </w:r>
      <w:r w:rsidR="006720CC">
        <w:t xml:space="preserve"> in that zone</w:t>
      </w:r>
      <w:r>
        <w:t xml:space="preserve">; and </w:t>
      </w:r>
    </w:p>
    <w:p w14:paraId="1BBBDB93" w14:textId="77777777" w:rsidR="006957DC" w:rsidRDefault="006957DC" w:rsidP="006957DC">
      <w:pPr>
        <w:pStyle w:val="ListBullet"/>
      </w:pPr>
      <w:r>
        <w:t>the capacity of individual receipt and delivery points within a zone will usually be lower than the zonal capacity.</w:t>
      </w:r>
    </w:p>
    <w:p w14:paraId="10E35B57" w14:textId="77777777" w:rsidR="006957DC" w:rsidRDefault="006957DC" w:rsidP="006957DC">
      <w:pPr>
        <w:pStyle w:val="BodyText"/>
      </w:pPr>
      <w:r>
        <w:t xml:space="preserve">To deal with these limitations of the zonal model, while also recognising the </w:t>
      </w:r>
      <w:r w:rsidR="00D507A8">
        <w:t xml:space="preserve">firm </w:t>
      </w:r>
      <w:r>
        <w:t xml:space="preserve">rights </w:t>
      </w:r>
      <w:r w:rsidR="00BB42E0">
        <w:t xml:space="preserve">that </w:t>
      </w:r>
      <w:r>
        <w:t>primary shippers have to use receipt and delivery points, the secondary firm rights concept allows secondary shippers to use any receipt or delivery points within a zone subject to the following priority schedule:</w:t>
      </w:r>
    </w:p>
    <w:p w14:paraId="7D33D046" w14:textId="77777777" w:rsidR="006957DC" w:rsidRDefault="00D507A8" w:rsidP="006957DC">
      <w:pPr>
        <w:pStyle w:val="ListBullet"/>
      </w:pPr>
      <w:r>
        <w:t xml:space="preserve">primary </w:t>
      </w:r>
      <w:r w:rsidR="006957DC">
        <w:t xml:space="preserve">shippers with firm rights at a receipt or delivery point have the highest priority; </w:t>
      </w:r>
    </w:p>
    <w:p w14:paraId="47CA0C0F" w14:textId="77777777" w:rsidR="006957DC" w:rsidRDefault="006957DC" w:rsidP="006957DC">
      <w:pPr>
        <w:pStyle w:val="ListBullet"/>
      </w:pPr>
      <w:r>
        <w:t>shippers with secondary firm rights have the second highest priority and are treated equally if there is insufficient capacity at a point (i.e. they all receive a pro-rata allocation of capacity); and</w:t>
      </w:r>
    </w:p>
    <w:p w14:paraId="2D3D7464" w14:textId="77777777" w:rsidR="006957DC" w:rsidRDefault="006957DC" w:rsidP="006957DC">
      <w:pPr>
        <w:pStyle w:val="ListBullet"/>
      </w:pPr>
      <w:r>
        <w:lastRenderedPageBreak/>
        <w:t>shippers with as available or interruptible rights at a receipt or delivery point have a lower priority than shippers with secondary firm rights.</w:t>
      </w:r>
    </w:p>
    <w:p w14:paraId="0ED488C7" w14:textId="6C2AE904" w:rsidR="00782783" w:rsidRDefault="00782783" w:rsidP="006957DC">
      <w:pPr>
        <w:pStyle w:val="BodyText"/>
      </w:pPr>
      <w:r>
        <w:t>One further priority issue that still needs to be considered is how a primary shipper’s renomination rights will be treated relative to the secondary firm right. This is likely to depend on the firmness of the renomination right, but feedback on this issue is welcomed.</w:t>
      </w:r>
    </w:p>
    <w:p w14:paraId="03964F4B" w14:textId="603FE8D8" w:rsidR="006957DC" w:rsidRDefault="00FF2DE7" w:rsidP="006957DC">
      <w:pPr>
        <w:pStyle w:val="BodyText"/>
      </w:pPr>
      <w:r>
        <w:t xml:space="preserve">While the secondary firm right will rank ahead of as available and interruptible rights, there is a risk that if the secondary shipper nominates to </w:t>
      </w:r>
      <w:r w:rsidR="006957DC">
        <w:t xml:space="preserve">use </w:t>
      </w:r>
      <w:r>
        <w:t xml:space="preserve">a </w:t>
      </w:r>
      <w:r w:rsidR="006957DC">
        <w:t xml:space="preserve">receipt or delivery point that is fully utilised by primary shippers, </w:t>
      </w:r>
      <w:r>
        <w:t xml:space="preserve">it </w:t>
      </w:r>
      <w:r w:rsidR="006957DC">
        <w:t xml:space="preserve">will not be </w:t>
      </w:r>
      <w:r w:rsidR="00A91EF9">
        <w:t>able to use those points</w:t>
      </w:r>
      <w:r w:rsidR="006957DC">
        <w:t xml:space="preserve">.  The nature of this risk was discussed at some length by the Standardisation project team, which </w:t>
      </w:r>
      <w:r w:rsidR="00502721">
        <w:t>observed</w:t>
      </w:r>
      <w:r w:rsidR="006957DC">
        <w:t xml:space="preserve"> </w:t>
      </w:r>
      <w:r w:rsidR="00177B21">
        <w:t>the following about the risks at receipt and delivery points</w:t>
      </w:r>
      <w:r w:rsidR="006957DC">
        <w:t>:</w:t>
      </w:r>
    </w:p>
    <w:p w14:paraId="386C939D" w14:textId="77777777" w:rsidR="00324ED9" w:rsidRDefault="00324ED9" w:rsidP="00324ED9">
      <w:pPr>
        <w:pStyle w:val="ListBullet"/>
      </w:pPr>
      <w:r w:rsidRPr="00324ED9">
        <w:rPr>
          <w:b/>
        </w:rPr>
        <w:t>Receipt points</w:t>
      </w:r>
      <w:r w:rsidR="00F243A1">
        <w:rPr>
          <w:b/>
        </w:rPr>
        <w:t>:</w:t>
      </w:r>
    </w:p>
    <w:p w14:paraId="3867BDAF" w14:textId="548D7615" w:rsidR="00324ED9" w:rsidRDefault="00324ED9" w:rsidP="00324ED9">
      <w:pPr>
        <w:pStyle w:val="ListBullet2"/>
      </w:pPr>
      <w:r>
        <w:t xml:space="preserve">The risk would be relatively low on pipelines that have a single receipt point, separate zones for each receipt point or can only be supplied by producers (i.e. because producers will only agree to supply gas if the receipt point is not expected to be fully utilised on a day). </w:t>
      </w:r>
    </w:p>
    <w:p w14:paraId="7EE4BFA2" w14:textId="420B09B8" w:rsidR="00324ED9" w:rsidRDefault="00324ED9" w:rsidP="00324ED9">
      <w:pPr>
        <w:pStyle w:val="ListBullet2"/>
      </w:pPr>
      <w:r>
        <w:t xml:space="preserve">The risk may be higher on pipelines that have multiple receipt points within a zone that can be supplied </w:t>
      </w:r>
      <w:r w:rsidR="006720CC">
        <w:t xml:space="preserve">with gas </w:t>
      </w:r>
      <w:r>
        <w:t>from other pipelines</w:t>
      </w:r>
      <w:r w:rsidR="006720CC">
        <w:t xml:space="preserve"> (e.g. at the entry point to the RBP, which can be supplied from Wallumbilla runs 1, 2</w:t>
      </w:r>
      <w:r w:rsidR="00F7735F">
        <w:t>,</w:t>
      </w:r>
      <w:r w:rsidR="006720CC">
        <w:t xml:space="preserve"> 3, 4 and 7)</w:t>
      </w:r>
      <w:r>
        <w:t>.</w:t>
      </w:r>
    </w:p>
    <w:p w14:paraId="28989A9F" w14:textId="77777777" w:rsidR="00177B21" w:rsidRDefault="00177B21" w:rsidP="00177B21">
      <w:pPr>
        <w:pStyle w:val="ListBullet"/>
      </w:pPr>
      <w:r w:rsidRPr="00324ED9">
        <w:rPr>
          <w:b/>
        </w:rPr>
        <w:t>Delivery points</w:t>
      </w:r>
      <w:r w:rsidR="00F243A1">
        <w:rPr>
          <w:b/>
        </w:rPr>
        <w:t xml:space="preserve">: </w:t>
      </w:r>
    </w:p>
    <w:p w14:paraId="0170877A" w14:textId="77777777" w:rsidR="00ED5E22" w:rsidRDefault="00177B21" w:rsidP="00177B21">
      <w:pPr>
        <w:pStyle w:val="ListBullet2"/>
      </w:pPr>
      <w:r>
        <w:t xml:space="preserve">The risk would be </w:t>
      </w:r>
      <w:r w:rsidR="00A91EF9">
        <w:t xml:space="preserve">very </w:t>
      </w:r>
      <w:r w:rsidR="000F0DA5">
        <w:t xml:space="preserve">low </w:t>
      </w:r>
      <w:r w:rsidR="006957DC">
        <w:t xml:space="preserve">at single user delivery points because the user </w:t>
      </w:r>
      <w:r w:rsidR="00ED5E22">
        <w:t>would not agree to purchase secondary capacity (or purchase gas on a delivered basis from another party) if its delivery point was expected to be fully utilised on a day</w:t>
      </w:r>
      <w:r>
        <w:t>.</w:t>
      </w:r>
      <w:r w:rsidR="00A91EF9">
        <w:rPr>
          <w:rStyle w:val="FootnoteReference"/>
        </w:rPr>
        <w:footnoteReference w:id="48"/>
      </w:r>
    </w:p>
    <w:p w14:paraId="550A1242" w14:textId="77777777" w:rsidR="000F0DA5" w:rsidRDefault="00177B21" w:rsidP="00C00F8F">
      <w:pPr>
        <w:pStyle w:val="ListBullet2"/>
        <w:spacing w:before="100" w:after="100"/>
      </w:pPr>
      <w:r>
        <w:t xml:space="preserve">The risk would be </w:t>
      </w:r>
      <w:r w:rsidR="00ED5E22">
        <w:t>relatively low at other delivery points because the secondary shipper is unlikely to try and use a delivery point unless, in the case of a retailer, it has won a customer from another shipper, or in the case of an end-user</w:t>
      </w:r>
      <w:r>
        <w:t>,</w:t>
      </w:r>
      <w:r w:rsidR="00ED5E22">
        <w:t xml:space="preserve"> it has decided to reduce supply from elsewhere. The only potential caveat</w:t>
      </w:r>
      <w:r w:rsidR="000F0DA5">
        <w:t>s</w:t>
      </w:r>
      <w:r w:rsidR="00ED5E22">
        <w:t xml:space="preserve"> to this </w:t>
      </w:r>
      <w:r>
        <w:t xml:space="preserve">that the project team identified </w:t>
      </w:r>
      <w:r w:rsidR="000F0DA5">
        <w:t xml:space="preserve">were </w:t>
      </w:r>
      <w:r>
        <w:t>that</w:t>
      </w:r>
      <w:r w:rsidR="000F0DA5">
        <w:t>:</w:t>
      </w:r>
      <w:r>
        <w:t xml:space="preserve"> </w:t>
      </w:r>
    </w:p>
    <w:p w14:paraId="7E6B5DFE" w14:textId="77777777" w:rsidR="000F0DA5" w:rsidRDefault="00177B21" w:rsidP="00E00CFC">
      <w:pPr>
        <w:pStyle w:val="BodyText"/>
        <w:numPr>
          <w:ilvl w:val="0"/>
          <w:numId w:val="28"/>
        </w:numPr>
        <w:spacing w:before="100" w:after="100"/>
        <w:ind w:left="1071" w:hanging="357"/>
      </w:pPr>
      <w:r>
        <w:t xml:space="preserve">if there is a </w:t>
      </w:r>
      <w:r w:rsidR="00ED5E22">
        <w:t xml:space="preserve">step increase in </w:t>
      </w:r>
      <w:r>
        <w:t xml:space="preserve">the </w:t>
      </w:r>
      <w:r w:rsidR="00ED5E22">
        <w:t xml:space="preserve">demand for gas at a </w:t>
      </w:r>
      <w:r>
        <w:t xml:space="preserve">delivery point </w:t>
      </w:r>
      <w:r w:rsidR="000F0DA5">
        <w:t xml:space="preserve">then </w:t>
      </w:r>
      <w:r>
        <w:t xml:space="preserve">some curtailment </w:t>
      </w:r>
      <w:r w:rsidR="00502721">
        <w:t xml:space="preserve">of secondary firm rights </w:t>
      </w:r>
      <w:r>
        <w:t>may be required</w:t>
      </w:r>
      <w:r w:rsidR="000F0DA5">
        <w:t xml:space="preserve"> if there is insufficient capacity; or</w:t>
      </w:r>
    </w:p>
    <w:p w14:paraId="7801D3C7" w14:textId="77777777" w:rsidR="00ED5E22" w:rsidRDefault="000F0DA5" w:rsidP="00E00CFC">
      <w:pPr>
        <w:pStyle w:val="BodyText"/>
        <w:numPr>
          <w:ilvl w:val="0"/>
          <w:numId w:val="28"/>
        </w:numPr>
        <w:spacing w:before="100" w:after="100"/>
        <w:ind w:left="1071" w:hanging="357"/>
      </w:pPr>
      <w:r>
        <w:t xml:space="preserve">if a location is serviced by two pipelines and shippers </w:t>
      </w:r>
      <w:r w:rsidR="00502721">
        <w:t xml:space="preserve">can use </w:t>
      </w:r>
      <w:r>
        <w:t xml:space="preserve">either pipeline then some curtailment </w:t>
      </w:r>
      <w:r w:rsidR="00502721">
        <w:t xml:space="preserve">of secondary firm rights </w:t>
      </w:r>
      <w:r>
        <w:t>may be required if secondary shippers try to transport more gas on one pipeline than the available delivery point capacity</w:t>
      </w:r>
      <w:r w:rsidR="00177B21">
        <w:t>.</w:t>
      </w:r>
    </w:p>
    <w:p w14:paraId="792678E5" w14:textId="6D4800C8" w:rsidR="00C4188E" w:rsidRDefault="00502721" w:rsidP="00502721">
      <w:pPr>
        <w:pStyle w:val="BodyText"/>
      </w:pPr>
      <w:r>
        <w:t xml:space="preserve">While the risk in most cases is expected to be relatively low, there is still a possibility that curtailment will be required, which is why the project team advocated the use of the secondary firm concept. </w:t>
      </w:r>
      <w:r w:rsidR="00C4188E">
        <w:t>To enable secondary shippers to understand the nature of this risk</w:t>
      </w:r>
      <w:r w:rsidR="001550C3">
        <w:t xml:space="preserve"> and the likelihood that they will be interrupted</w:t>
      </w:r>
      <w:r w:rsidR="00C4188E">
        <w:t xml:space="preserve">, the </w:t>
      </w:r>
      <w:r>
        <w:t xml:space="preserve">project </w:t>
      </w:r>
      <w:r w:rsidR="00C4188E">
        <w:t xml:space="preserve">team recommended that information on the capacity of receipt and delivery points and historic flows to these points </w:t>
      </w:r>
      <w:r w:rsidR="00C4188E">
        <w:lastRenderedPageBreak/>
        <w:t xml:space="preserve">be published on the </w:t>
      </w:r>
      <w:r w:rsidR="00D30EB7">
        <w:t>BB</w:t>
      </w:r>
      <w:r w:rsidR="00C4188E">
        <w:t xml:space="preserve">. This information is not currently available on the </w:t>
      </w:r>
      <w:r w:rsidR="00D30EB7">
        <w:t>BB</w:t>
      </w:r>
      <w:r w:rsidR="00C4188E">
        <w:t xml:space="preserve">, </w:t>
      </w:r>
      <w:r w:rsidR="001550C3">
        <w:t>so a rule change would be required to give effect to this recommendation.</w:t>
      </w:r>
      <w:r w:rsidR="001550C3">
        <w:rPr>
          <w:rStyle w:val="FootnoteReference"/>
        </w:rPr>
        <w:footnoteReference w:id="49"/>
      </w:r>
      <w:r w:rsidR="001550C3">
        <w:t xml:space="preserve"> </w:t>
      </w:r>
    </w:p>
    <w:p w14:paraId="53F8CFEB" w14:textId="77777777" w:rsidR="00262EDE" w:rsidRDefault="001550C3" w:rsidP="00C00F8F">
      <w:pPr>
        <w:pStyle w:val="BodyText"/>
      </w:pPr>
      <w:r>
        <w:t xml:space="preserve">In addition to having recourse to historic information, the </w:t>
      </w:r>
      <w:r w:rsidR="00C4188E">
        <w:t xml:space="preserve">project </w:t>
      </w:r>
      <w:r w:rsidR="00262EDE">
        <w:t xml:space="preserve">team </w:t>
      </w:r>
      <w:r>
        <w:t xml:space="preserve">noted that the risks associated with </w:t>
      </w:r>
      <w:r w:rsidR="00C4188E">
        <w:t xml:space="preserve">secondary </w:t>
      </w:r>
      <w:r>
        <w:t>firm rights could potentially be managed by implementing one of the following options</w:t>
      </w:r>
      <w:r w:rsidR="00C4188E">
        <w:t>:</w:t>
      </w:r>
      <w:r w:rsidR="00262EDE">
        <w:t xml:space="preserve"> </w:t>
      </w:r>
    </w:p>
    <w:p w14:paraId="0B4D456A" w14:textId="77777777" w:rsidR="00262EDE" w:rsidRDefault="00262EDE" w:rsidP="00262EDE">
      <w:pPr>
        <w:pStyle w:val="ListBullet"/>
      </w:pPr>
      <w:r>
        <w:t xml:space="preserve">The buyer could be notified of the points the seller is releasing capacity from at the time of transaction (either immediately before the transaction – giving the buyer an opportunity to decline, or immediately after the transaction – providing the buyer with an understanding of which points they are more likely to have firm access). However, this approach was considered to devalue the zonal product, potentially reducing liquidity, and could be complex to implement. </w:t>
      </w:r>
    </w:p>
    <w:p w14:paraId="2E6C9B39" w14:textId="77777777" w:rsidR="00262EDE" w:rsidRDefault="00262EDE" w:rsidP="00262EDE">
      <w:pPr>
        <w:pStyle w:val="ListBullet"/>
      </w:pPr>
      <w:r>
        <w:t xml:space="preserve">The buyer could have an opportunity to input preferred delivery and receipt points within the zone when they enter their bid on the capacity trading platform. The netting </w:t>
      </w:r>
      <w:r w:rsidR="00F243A1">
        <w:t xml:space="preserve">process </w:t>
      </w:r>
      <w:r>
        <w:t xml:space="preserve">of the platform could work to match buyers with sellers where possible. Again, this is considered too complex to implement at this stage, but could be revisited in the future if a need is identified. </w:t>
      </w:r>
    </w:p>
    <w:p w14:paraId="178B9787" w14:textId="6369CA74" w:rsidR="005B09EB" w:rsidRDefault="004D7B62" w:rsidP="00BD48EC">
      <w:pPr>
        <w:pStyle w:val="BodyText"/>
      </w:pPr>
      <w:r>
        <w:t xml:space="preserve">As the preceding discussion highlights, there is a risk under the zonal model that shippers that procure zonal capacity through the exchange may not in some circumstances be able to utilise the capacity at the receipt or delivery point of their choice. This is an inherent risk in the zonal model </w:t>
      </w:r>
      <w:r w:rsidR="000D7723">
        <w:t>that cannot</w:t>
      </w:r>
      <w:r w:rsidR="005B09EB">
        <w:t xml:space="preserve"> </w:t>
      </w:r>
      <w:r w:rsidR="000D7723">
        <w:t>be completely eradicated</w:t>
      </w:r>
      <w:r w:rsidR="005B09EB">
        <w:t>, but as the project team has pointed out</w:t>
      </w:r>
      <w:r w:rsidR="006720CC">
        <w:t>,</w:t>
      </w:r>
      <w:r w:rsidR="005B09EB">
        <w:t xml:space="preserve"> the risk will be relatively low in most cases. </w:t>
      </w:r>
      <w:r w:rsidR="00F243A1">
        <w:t xml:space="preserve">Similar to </w:t>
      </w:r>
      <w:r w:rsidR="005B09EB">
        <w:t xml:space="preserve">the project team, the GMRG thinks there would be value in having information on the capacity and utilisation of receipt and delivery points published on the </w:t>
      </w:r>
      <w:r w:rsidR="00D30EB7">
        <w:t>BB</w:t>
      </w:r>
      <w:r w:rsidR="005B09EB">
        <w:t xml:space="preserve"> so that shippers can evaluate the risk before they use the exchange to procure capacity. If</w:t>
      </w:r>
      <w:r w:rsidR="00BD48EC">
        <w:t>, on the basis of this information, the secondary shipper considers</w:t>
      </w:r>
      <w:r w:rsidR="005B09EB">
        <w:t xml:space="preserve"> </w:t>
      </w:r>
      <w:r w:rsidR="00BD48EC">
        <w:t xml:space="preserve">the </w:t>
      </w:r>
      <w:r w:rsidR="005B09EB">
        <w:t xml:space="preserve">risk to be too great, then </w:t>
      </w:r>
      <w:r w:rsidR="00BD48EC">
        <w:t xml:space="preserve">it would </w:t>
      </w:r>
      <w:r w:rsidR="00F7735F">
        <w:t xml:space="preserve">have </w:t>
      </w:r>
      <w:r w:rsidR="005B09EB">
        <w:t xml:space="preserve">the option of entering into a bilateral trade with a primary shipper that has capacity at the receipt and delivery points it requires access to. </w:t>
      </w:r>
    </w:p>
    <w:p w14:paraId="6140C3E6" w14:textId="5A95A287" w:rsidR="00206A7F" w:rsidRDefault="00206A7F" w:rsidP="00BD48EC">
      <w:pPr>
        <w:pStyle w:val="BodyText"/>
      </w:pPr>
      <w:r>
        <w:t>The GMRG is interested in hearing stakeholders’ views on the proposal to introduce the secondary firm construct and the risks that this could expose users of the exchange</w:t>
      </w:r>
      <w:r w:rsidR="0086102C">
        <w:t xml:space="preserve"> to</w:t>
      </w:r>
      <w:r>
        <w:t>. Some specific questions that the GMRG would like to get further feedback on are set out in the box below.</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4.2: Questions on secondary firm rights "/>
        <w:tblDescription w:val="Questions on secondary firm rights "/>
      </w:tblPr>
      <w:tblGrid>
        <w:gridCol w:w="8788"/>
      </w:tblGrid>
      <w:tr w:rsidR="00A41ECC" w:rsidRPr="00BD48EC" w14:paraId="01C49728" w14:textId="77777777" w:rsidTr="00625A31">
        <w:trPr>
          <w:tblHeader/>
        </w:trPr>
        <w:tc>
          <w:tcPr>
            <w:tcW w:w="5000" w:type="pct"/>
            <w:shd w:val="clear" w:color="auto" w:fill="auto"/>
          </w:tcPr>
          <w:p w14:paraId="114E3E9C" w14:textId="0B2E6DF5" w:rsidR="00782783" w:rsidRPr="00BD48EC" w:rsidRDefault="00625A31" w:rsidP="00625A31">
            <w:pPr>
              <w:pStyle w:val="ListNumber"/>
              <w:keepNext/>
              <w:numPr>
                <w:ilvl w:val="0"/>
                <w:numId w:val="0"/>
              </w:numPr>
              <w:spacing w:after="0"/>
              <w:ind w:left="357" w:hanging="357"/>
              <w:rPr>
                <w:rFonts w:eastAsiaTheme="majorEastAsia"/>
                <w:sz w:val="21"/>
                <w:szCs w:val="21"/>
              </w:rPr>
            </w:pPr>
            <w:r>
              <w:rPr>
                <w:b/>
              </w:rPr>
              <w:lastRenderedPageBreak/>
              <w:t xml:space="preserve">Box </w:t>
            </w:r>
            <w:r>
              <w:rPr>
                <w:b/>
              </w:rPr>
              <w:fldChar w:fldCharType="begin"/>
            </w:r>
            <w:r>
              <w:rPr>
                <w:b/>
              </w:rPr>
              <w:instrText xml:space="preserve"> STYLEREF 1 \s </w:instrText>
            </w:r>
            <w:r>
              <w:rPr>
                <w:b/>
              </w:rPr>
              <w:fldChar w:fldCharType="separate"/>
            </w:r>
            <w:r>
              <w:rPr>
                <w:b/>
                <w:noProof/>
              </w:rPr>
              <w:t>4</w:t>
            </w:r>
            <w:r>
              <w:rPr>
                <w:b/>
              </w:rPr>
              <w:fldChar w:fldCharType="end"/>
            </w:r>
            <w:r>
              <w:rPr>
                <w:b/>
              </w:rPr>
              <w:t>.</w:t>
            </w:r>
            <w:r>
              <w:rPr>
                <w:b/>
              </w:rPr>
              <w:fldChar w:fldCharType="begin"/>
            </w:r>
            <w:r>
              <w:rPr>
                <w:b/>
              </w:rPr>
              <w:instrText xml:space="preserve"> SEQ Box \* ARABIC \s 1 </w:instrText>
            </w:r>
            <w:r>
              <w:rPr>
                <w:b/>
              </w:rPr>
              <w:fldChar w:fldCharType="separate"/>
            </w:r>
            <w:r>
              <w:rPr>
                <w:b/>
                <w:noProof/>
              </w:rPr>
              <w:t>2</w:t>
            </w:r>
            <w:r>
              <w:rPr>
                <w:b/>
              </w:rPr>
              <w:fldChar w:fldCharType="end"/>
            </w:r>
            <w:r>
              <w:rPr>
                <w:b/>
              </w:rPr>
              <w:t>: Questions on secondary firm rights</w:t>
            </w:r>
          </w:p>
        </w:tc>
      </w:tr>
      <w:tr w:rsidR="00625A31" w:rsidRPr="00BD48EC" w14:paraId="573AF920" w14:textId="77777777" w:rsidTr="00625A31">
        <w:trPr>
          <w:tblHeader/>
        </w:trPr>
        <w:tc>
          <w:tcPr>
            <w:tcW w:w="5000" w:type="pct"/>
            <w:shd w:val="clear" w:color="auto" w:fill="B7E7FF"/>
          </w:tcPr>
          <w:p w14:paraId="76057B66" w14:textId="77777777" w:rsidR="00625A31" w:rsidRPr="00BD48EC" w:rsidRDefault="00625A31" w:rsidP="00625A31">
            <w:pPr>
              <w:pStyle w:val="ListNumber"/>
              <w:keepNext/>
              <w:numPr>
                <w:ilvl w:val="0"/>
                <w:numId w:val="23"/>
              </w:numPr>
              <w:rPr>
                <w:rFonts w:eastAsiaTheme="majorEastAsia"/>
                <w:sz w:val="21"/>
                <w:szCs w:val="21"/>
              </w:rPr>
            </w:pPr>
            <w:r w:rsidRPr="00BD48EC">
              <w:rPr>
                <w:rFonts w:eastAsiaTheme="majorEastAsia"/>
                <w:sz w:val="21"/>
                <w:szCs w:val="21"/>
              </w:rPr>
              <w:t>Do you agree with the project team’s observations about the level of risk associated with secondary firm rights at receipt and delivery points?</w:t>
            </w:r>
            <w:r>
              <w:rPr>
                <w:rFonts w:eastAsiaTheme="majorEastAsia"/>
                <w:sz w:val="21"/>
                <w:szCs w:val="21"/>
              </w:rPr>
              <w:t xml:space="preserve"> If not, please explain why.</w:t>
            </w:r>
          </w:p>
          <w:p w14:paraId="4B5BF51C" w14:textId="77777777" w:rsidR="00625A31" w:rsidRPr="00BD48EC" w:rsidRDefault="00625A31" w:rsidP="00625A31">
            <w:pPr>
              <w:pStyle w:val="ListNumber"/>
              <w:keepNext/>
              <w:numPr>
                <w:ilvl w:val="0"/>
                <w:numId w:val="23"/>
              </w:numPr>
              <w:rPr>
                <w:rFonts w:eastAsiaTheme="majorEastAsia"/>
                <w:sz w:val="21"/>
                <w:szCs w:val="21"/>
              </w:rPr>
            </w:pPr>
            <w:r w:rsidRPr="00BD48EC">
              <w:rPr>
                <w:sz w:val="21"/>
                <w:szCs w:val="21"/>
              </w:rPr>
              <w:t xml:space="preserve">Apart from defining the zones more narrowly or utilising the point-to-point model, do you think there are any other ways that </w:t>
            </w:r>
            <w:r>
              <w:rPr>
                <w:sz w:val="21"/>
                <w:szCs w:val="21"/>
              </w:rPr>
              <w:t>the</w:t>
            </w:r>
            <w:r w:rsidRPr="00BD48EC">
              <w:rPr>
                <w:sz w:val="21"/>
                <w:szCs w:val="21"/>
              </w:rPr>
              <w:t xml:space="preserve"> risk </w:t>
            </w:r>
            <w:r>
              <w:rPr>
                <w:sz w:val="21"/>
                <w:szCs w:val="21"/>
              </w:rPr>
              <w:t xml:space="preserve">associated with the zonal model </w:t>
            </w:r>
            <w:r w:rsidRPr="00BD48EC">
              <w:rPr>
                <w:sz w:val="21"/>
                <w:szCs w:val="21"/>
              </w:rPr>
              <w:t xml:space="preserve">could be reduced? </w:t>
            </w:r>
          </w:p>
          <w:p w14:paraId="1F22F031" w14:textId="77777777" w:rsidR="00625A31" w:rsidRDefault="00625A31" w:rsidP="00625A31">
            <w:pPr>
              <w:pStyle w:val="ListNumber"/>
              <w:keepNext/>
              <w:numPr>
                <w:ilvl w:val="0"/>
                <w:numId w:val="23"/>
              </w:numPr>
              <w:rPr>
                <w:rFonts w:eastAsiaTheme="majorEastAsia"/>
                <w:sz w:val="21"/>
                <w:szCs w:val="21"/>
              </w:rPr>
            </w:pPr>
            <w:r>
              <w:rPr>
                <w:sz w:val="21"/>
                <w:szCs w:val="21"/>
              </w:rPr>
              <w:t>If you are a potential user of the capacity trading platform would the risk discourage you from using the exchange, or do you think the risks are manageable?</w:t>
            </w:r>
          </w:p>
          <w:p w14:paraId="66048A4F" w14:textId="1A655C19" w:rsidR="00625A31" w:rsidRPr="00625A31" w:rsidRDefault="00625A31" w:rsidP="00625A31">
            <w:pPr>
              <w:pStyle w:val="ListNumber"/>
              <w:keepNext/>
              <w:numPr>
                <w:ilvl w:val="0"/>
                <w:numId w:val="23"/>
              </w:numPr>
              <w:rPr>
                <w:rFonts w:eastAsiaTheme="majorEastAsia"/>
                <w:sz w:val="21"/>
                <w:szCs w:val="21"/>
              </w:rPr>
            </w:pPr>
            <w:r w:rsidRPr="00625A31">
              <w:rPr>
                <w:sz w:val="21"/>
                <w:szCs w:val="21"/>
              </w:rPr>
              <w:t xml:space="preserve">How do you think renomination rights should be treated </w:t>
            </w:r>
            <w:r w:rsidRPr="00625A31">
              <w:rPr>
                <w:i/>
                <w:sz w:val="21"/>
                <w:szCs w:val="21"/>
              </w:rPr>
              <w:t>vis-à-vis</w:t>
            </w:r>
            <w:r w:rsidRPr="00625A31">
              <w:rPr>
                <w:sz w:val="21"/>
                <w:szCs w:val="21"/>
              </w:rPr>
              <w:t xml:space="preserve"> secondary firm rights under the zonal model?</w:t>
            </w:r>
          </w:p>
        </w:tc>
      </w:tr>
    </w:tbl>
    <w:p w14:paraId="6DE77AA6" w14:textId="77777777" w:rsidR="00262EDE" w:rsidRDefault="00DB228D" w:rsidP="00E00CFC">
      <w:pPr>
        <w:pStyle w:val="Heading3"/>
        <w:numPr>
          <w:ilvl w:val="2"/>
          <w:numId w:val="26"/>
        </w:numPr>
      </w:pPr>
      <w:r>
        <w:t xml:space="preserve">Governance </w:t>
      </w:r>
      <w:r w:rsidR="00262EDE">
        <w:t xml:space="preserve">arrangements </w:t>
      </w:r>
      <w:r>
        <w:t xml:space="preserve">for </w:t>
      </w:r>
      <w:r w:rsidR="00262EDE">
        <w:t>the zonal model</w:t>
      </w:r>
    </w:p>
    <w:p w14:paraId="64591715" w14:textId="22B24F96" w:rsidR="009B079C" w:rsidRDefault="009B079C" w:rsidP="00E32F07">
      <w:pPr>
        <w:pStyle w:val="BodyText"/>
      </w:pPr>
      <w:r>
        <w:t>The success of the exchange will be critically dependent on the receipt and delivery point zones that are established on each pipeline. It is relevant therefore to consider the governance arrangements that will apply to the initial development of the zones and any changes that may be required</w:t>
      </w:r>
      <w:r w:rsidR="00930368">
        <w:t xml:space="preserve"> in the future</w:t>
      </w:r>
      <w:r w:rsidR="0058657E">
        <w:t>.</w:t>
      </w:r>
      <w:r w:rsidR="0058657E">
        <w:rPr>
          <w:rStyle w:val="FootnoteReference"/>
        </w:rPr>
        <w:footnoteReference w:id="50"/>
      </w:r>
    </w:p>
    <w:p w14:paraId="48D77D3C" w14:textId="77777777" w:rsidR="00FA5F77" w:rsidRDefault="00930368" w:rsidP="00E32F07">
      <w:pPr>
        <w:pStyle w:val="BodyText"/>
      </w:pPr>
      <w:r>
        <w:t xml:space="preserve">Given the technical </w:t>
      </w:r>
      <w:r w:rsidR="004F28D7">
        <w:t xml:space="preserve">and </w:t>
      </w:r>
      <w:r w:rsidR="0058657E">
        <w:t xml:space="preserve">broader </w:t>
      </w:r>
      <w:r w:rsidR="004F28D7">
        <w:t xml:space="preserve">market </w:t>
      </w:r>
      <w:r>
        <w:t xml:space="preserve">issues that will need to be considered when developing the zones, </w:t>
      </w:r>
      <w:r w:rsidR="004F28D7">
        <w:t>the GMRG’s preliminary view is that</w:t>
      </w:r>
      <w:r w:rsidR="00FA5F77">
        <w:t>:</w:t>
      </w:r>
      <w:r w:rsidR="004F28D7">
        <w:t xml:space="preserve"> </w:t>
      </w:r>
    </w:p>
    <w:p w14:paraId="0DEC4343" w14:textId="77777777" w:rsidR="004F28D7" w:rsidRDefault="00206A7F" w:rsidP="00FA5F77">
      <w:pPr>
        <w:pStyle w:val="ListBullet"/>
      </w:pPr>
      <w:r>
        <w:t>The initial set of zones should be developed by p</w:t>
      </w:r>
      <w:r w:rsidR="004F28D7">
        <w:t>ipeline operators in conjunction with AEMO and the GMRG</w:t>
      </w:r>
      <w:r>
        <w:t>.</w:t>
      </w:r>
    </w:p>
    <w:p w14:paraId="3BDD1A5C" w14:textId="1A055D71" w:rsidR="004F28D7" w:rsidRDefault="00832850" w:rsidP="00FA5F77">
      <w:pPr>
        <w:pStyle w:val="ListBullet"/>
      </w:pPr>
      <w:r>
        <w:t>Proposals for s</w:t>
      </w:r>
      <w:r w:rsidR="00FA5F77">
        <w:t>ubsequent changes to zones</w:t>
      </w:r>
      <w:r>
        <w:t xml:space="preserve"> could be made by </w:t>
      </w:r>
      <w:r w:rsidR="00FA5F77">
        <w:t xml:space="preserve">the pipeline operator </w:t>
      </w:r>
      <w:r w:rsidR="00206A7F">
        <w:t xml:space="preserve">for technical reasons </w:t>
      </w:r>
      <w:r w:rsidR="00FA5F77">
        <w:t xml:space="preserve">or </w:t>
      </w:r>
      <w:r w:rsidR="009D1627">
        <w:t xml:space="preserve">by </w:t>
      </w:r>
      <w:r w:rsidR="00FA5F77">
        <w:t>market participants</w:t>
      </w:r>
      <w:r>
        <w:t xml:space="preserve"> and would be submitted to </w:t>
      </w:r>
      <w:r w:rsidR="00FA5F77">
        <w:t xml:space="preserve">the </w:t>
      </w:r>
      <w:r w:rsidR="007B4229">
        <w:t>i</w:t>
      </w:r>
      <w:r w:rsidR="00FA5F77">
        <w:t xml:space="preserve">ndustry </w:t>
      </w:r>
      <w:r w:rsidR="007B4229">
        <w:t>p</w:t>
      </w:r>
      <w:r w:rsidR="00FA5F77">
        <w:t xml:space="preserve">anel </w:t>
      </w:r>
      <w:r w:rsidR="007B4229">
        <w:t xml:space="preserve">referred to in section 3.5.1.2 </w:t>
      </w:r>
      <w:r>
        <w:t xml:space="preserve">for consideration and recommendation to the </w:t>
      </w:r>
      <w:r w:rsidR="00FA5F77">
        <w:t>AER</w:t>
      </w:r>
      <w:r>
        <w:t xml:space="preserve">. The review process would require </w:t>
      </w:r>
      <w:r w:rsidR="00425E6B">
        <w:t xml:space="preserve">consideration </w:t>
      </w:r>
      <w:r>
        <w:t xml:space="preserve">of the need for </w:t>
      </w:r>
      <w:r w:rsidR="00425E6B">
        <w:t xml:space="preserve">transitional arrangements </w:t>
      </w:r>
      <w:r w:rsidR="00206A7F">
        <w:t xml:space="preserve">to deal with </w:t>
      </w:r>
      <w:r w:rsidR="00425E6B">
        <w:t>trades still on foot.</w:t>
      </w:r>
      <w:r w:rsidR="00FA5F77">
        <w:t xml:space="preserve"> </w:t>
      </w:r>
    </w:p>
    <w:p w14:paraId="2C491E07" w14:textId="77777777" w:rsidR="004F28D7" w:rsidRDefault="00A63225" w:rsidP="00E32F07">
      <w:pPr>
        <w:pStyle w:val="BodyText"/>
      </w:pPr>
      <w:r>
        <w:t xml:space="preserve">In the GMRG’s view </w:t>
      </w:r>
      <w:r w:rsidR="0058657E">
        <w:t xml:space="preserve">some form of </w:t>
      </w:r>
      <w:r>
        <w:t xml:space="preserve">oversight </w:t>
      </w:r>
      <w:r w:rsidR="0058657E">
        <w:t xml:space="preserve">is required </w:t>
      </w:r>
      <w:r w:rsidR="00F243A1">
        <w:t xml:space="preserve">given </w:t>
      </w:r>
      <w:r w:rsidR="0058657E">
        <w:t xml:space="preserve">changes to zonal definitions could adversely affect shippers that have trades on foot. The GMRG also thinks that other market participants should be able to </w:t>
      </w:r>
      <w:r w:rsidR="00425E6B">
        <w:t>propose changes to the zonal definition and be consulted if the pipeline operator proposes changes to the zones. The GMRG is, however, interested in hearing whether other stakeholders share this view or if they think that an alternative approach should be employed.</w:t>
      </w:r>
    </w:p>
    <w:tbl>
      <w:tblPr>
        <w:tblStyle w:val="PullOutBoxTable"/>
        <w:tblW w:w="5000" w:type="pct"/>
        <w:shd w:val="clear" w:color="auto" w:fill="B7E7FF"/>
        <w:tblLook w:val="0600" w:firstRow="0" w:lastRow="0" w:firstColumn="0" w:lastColumn="0" w:noHBand="1" w:noVBand="1"/>
        <w:tblCaption w:val="Box 4.3: Questions on governance for the zonal model"/>
        <w:tblDescription w:val="Questions on governance for the zonal model"/>
      </w:tblPr>
      <w:tblGrid>
        <w:gridCol w:w="8788"/>
      </w:tblGrid>
      <w:tr w:rsidR="00A41ECC" w:rsidRPr="004D73D8" w14:paraId="48EF0D92" w14:textId="77777777" w:rsidTr="00625A31">
        <w:trPr>
          <w:tblHeader/>
        </w:trPr>
        <w:tc>
          <w:tcPr>
            <w:tcW w:w="5000" w:type="pct"/>
            <w:shd w:val="clear" w:color="auto" w:fill="auto"/>
          </w:tcPr>
          <w:p w14:paraId="7850A5A1" w14:textId="7E3F50FB" w:rsidR="00A41ECC" w:rsidRPr="00425E6B" w:rsidRDefault="00625A31" w:rsidP="00625A31">
            <w:pPr>
              <w:pStyle w:val="ListNumber"/>
              <w:keepNext/>
              <w:numPr>
                <w:ilvl w:val="0"/>
                <w:numId w:val="0"/>
              </w:numPr>
              <w:spacing w:after="0"/>
              <w:ind w:left="357" w:hanging="357"/>
              <w:rPr>
                <w:rFonts w:eastAsiaTheme="majorEastAsia"/>
                <w:sz w:val="21"/>
                <w:szCs w:val="21"/>
              </w:rPr>
            </w:pPr>
            <w:r>
              <w:rPr>
                <w:b/>
              </w:rPr>
              <w:lastRenderedPageBreak/>
              <w:t xml:space="preserve">Box </w:t>
            </w:r>
            <w:r>
              <w:rPr>
                <w:b/>
              </w:rPr>
              <w:fldChar w:fldCharType="begin"/>
            </w:r>
            <w:r>
              <w:rPr>
                <w:b/>
              </w:rPr>
              <w:instrText xml:space="preserve"> STYLEREF 1 \s </w:instrText>
            </w:r>
            <w:r>
              <w:rPr>
                <w:b/>
              </w:rPr>
              <w:fldChar w:fldCharType="separate"/>
            </w:r>
            <w:r>
              <w:rPr>
                <w:b/>
                <w:noProof/>
              </w:rPr>
              <w:t>4</w:t>
            </w:r>
            <w:r>
              <w:rPr>
                <w:b/>
              </w:rPr>
              <w:fldChar w:fldCharType="end"/>
            </w:r>
            <w:r>
              <w:rPr>
                <w:b/>
              </w:rPr>
              <w:t>.</w:t>
            </w:r>
            <w:r>
              <w:rPr>
                <w:b/>
              </w:rPr>
              <w:fldChar w:fldCharType="begin"/>
            </w:r>
            <w:r>
              <w:rPr>
                <w:b/>
              </w:rPr>
              <w:instrText xml:space="preserve"> SEQ Box \* ARABIC \s 1 </w:instrText>
            </w:r>
            <w:r>
              <w:rPr>
                <w:b/>
              </w:rPr>
              <w:fldChar w:fldCharType="separate"/>
            </w:r>
            <w:r>
              <w:rPr>
                <w:b/>
                <w:noProof/>
              </w:rPr>
              <w:t>3</w:t>
            </w:r>
            <w:r>
              <w:rPr>
                <w:b/>
              </w:rPr>
              <w:fldChar w:fldCharType="end"/>
            </w:r>
            <w:r>
              <w:rPr>
                <w:b/>
              </w:rPr>
              <w:t>: Questions on governance for the zonal model</w:t>
            </w:r>
          </w:p>
        </w:tc>
      </w:tr>
      <w:tr w:rsidR="00625A31" w:rsidRPr="004D73D8" w14:paraId="3B270144" w14:textId="77777777" w:rsidTr="00625A31">
        <w:trPr>
          <w:tblHeader/>
        </w:trPr>
        <w:tc>
          <w:tcPr>
            <w:tcW w:w="5000" w:type="pct"/>
            <w:shd w:val="clear" w:color="auto" w:fill="B7E7FF"/>
          </w:tcPr>
          <w:p w14:paraId="0E069240" w14:textId="77777777" w:rsidR="00625A31" w:rsidRDefault="00625A31" w:rsidP="00625A31">
            <w:pPr>
              <w:pStyle w:val="ListNumber"/>
              <w:keepNext/>
              <w:numPr>
                <w:ilvl w:val="0"/>
                <w:numId w:val="23"/>
              </w:numPr>
              <w:rPr>
                <w:rFonts w:eastAsiaTheme="majorEastAsia"/>
                <w:sz w:val="21"/>
                <w:szCs w:val="21"/>
              </w:rPr>
            </w:pPr>
            <w:r w:rsidRPr="0002337C">
              <w:rPr>
                <w:rFonts w:eastAsiaTheme="majorEastAsia"/>
                <w:sz w:val="21"/>
                <w:szCs w:val="21"/>
              </w:rPr>
              <w:t xml:space="preserve">Do you agree </w:t>
            </w:r>
            <w:r>
              <w:rPr>
                <w:rFonts w:eastAsiaTheme="majorEastAsia"/>
                <w:sz w:val="21"/>
                <w:szCs w:val="21"/>
              </w:rPr>
              <w:t xml:space="preserve">with the proposed governance arrangements for the zonal model? If not, please explain why. </w:t>
            </w:r>
          </w:p>
          <w:p w14:paraId="7EA92CC2" w14:textId="2D255BFF" w:rsidR="00625A31" w:rsidRPr="00625A31" w:rsidRDefault="00625A31" w:rsidP="00625A31">
            <w:pPr>
              <w:pStyle w:val="ListNumber"/>
              <w:keepNext/>
              <w:numPr>
                <w:ilvl w:val="0"/>
                <w:numId w:val="23"/>
              </w:numPr>
              <w:rPr>
                <w:rFonts w:eastAsiaTheme="majorEastAsia"/>
                <w:sz w:val="21"/>
                <w:szCs w:val="21"/>
              </w:rPr>
            </w:pPr>
            <w:r w:rsidRPr="00625A31">
              <w:rPr>
                <w:rFonts w:eastAsiaTheme="majorEastAsia"/>
                <w:sz w:val="21"/>
                <w:szCs w:val="21"/>
              </w:rPr>
              <w:t>Do you think the rules should specify the principles a pipeline operator, Industry Panel and/or AER would be required to consider before making a change to the zonal definition?</w:t>
            </w:r>
          </w:p>
        </w:tc>
      </w:tr>
    </w:tbl>
    <w:p w14:paraId="15E86C17" w14:textId="77777777" w:rsidR="00262EDE" w:rsidRDefault="00262EDE" w:rsidP="00E00CFC">
      <w:pPr>
        <w:pStyle w:val="Heading2"/>
        <w:numPr>
          <w:ilvl w:val="1"/>
          <w:numId w:val="26"/>
        </w:numPr>
        <w:ind w:left="624"/>
      </w:pPr>
      <w:bookmarkStart w:id="107" w:name="_Ref491665542"/>
      <w:bookmarkStart w:id="108" w:name="_Toc492524746"/>
      <w:r>
        <w:t>Receipt and delivery point change process</w:t>
      </w:r>
      <w:bookmarkEnd w:id="107"/>
      <w:bookmarkEnd w:id="108"/>
      <w:r>
        <w:t xml:space="preserve"> </w:t>
      </w:r>
    </w:p>
    <w:p w14:paraId="10875DDD" w14:textId="77777777" w:rsidR="002108C5" w:rsidRPr="00D1703E" w:rsidRDefault="002108C5" w:rsidP="002108C5">
      <w:pPr>
        <w:pStyle w:val="Heading6"/>
        <w:rPr>
          <w:color w:val="0099CC"/>
        </w:rPr>
      </w:pPr>
      <w:r>
        <w:rPr>
          <w:color w:val="0099CC"/>
        </w:rPr>
        <w:t xml:space="preserve">Background </w:t>
      </w:r>
    </w:p>
    <w:p w14:paraId="3428A0E8" w14:textId="5DCB6015" w:rsidR="005F2B09" w:rsidRDefault="00544662" w:rsidP="00262EDE">
      <w:pPr>
        <w:pStyle w:val="BodyText"/>
      </w:pPr>
      <w:r>
        <w:t xml:space="preserve">The zonal model outlined above is expected to provide primary and secondary shippers greater flexibility to trade </w:t>
      </w:r>
      <w:r w:rsidR="00CC51BA">
        <w:t xml:space="preserve">and use </w:t>
      </w:r>
      <w:r>
        <w:t>capacity</w:t>
      </w:r>
      <w:r w:rsidR="00CC51BA">
        <w:t xml:space="preserve"> within a zone</w:t>
      </w:r>
      <w:r>
        <w:t xml:space="preserve">. It will not, however, address some of the other concerns that the AEMC raised about the potential for non-technical restrictions on changes to receipt and delivery points and </w:t>
      </w:r>
      <w:r w:rsidR="00CC51BA">
        <w:t xml:space="preserve">the </w:t>
      </w:r>
      <w:r>
        <w:t xml:space="preserve">time </w:t>
      </w:r>
      <w:r w:rsidR="005F2B09">
        <w:t xml:space="preserve">service providers can take to approve such changes </w:t>
      </w:r>
      <w:r w:rsidR="009D1627">
        <w:t xml:space="preserve">to </w:t>
      </w:r>
      <w:r w:rsidR="005F2B09">
        <w:t xml:space="preserve">impede secondary capacity trading. </w:t>
      </w:r>
      <w:r w:rsidR="00CC51BA">
        <w:t xml:space="preserve">It is relevant therefore to consider whether improvements can be made to the </w:t>
      </w:r>
      <w:r w:rsidR="00672CEF">
        <w:t xml:space="preserve">receipt and delivery point change process. </w:t>
      </w:r>
    </w:p>
    <w:p w14:paraId="15B1B1E9" w14:textId="0F30C64E" w:rsidR="00E96F2F" w:rsidRPr="00E96F2F" w:rsidRDefault="00E96F2F" w:rsidP="00C31FA5">
      <w:pPr>
        <w:pStyle w:val="BodyText"/>
      </w:pPr>
      <w:r w:rsidRPr="00E96F2F">
        <w:t xml:space="preserve">The GMRG understands from its discussions with the Standardisation project team that </w:t>
      </w:r>
      <w:r w:rsidR="00672CEF">
        <w:t>s</w:t>
      </w:r>
      <w:r w:rsidRPr="00E96F2F">
        <w:t>erv</w:t>
      </w:r>
      <w:r w:rsidR="00672CEF">
        <w:t>ice provider</w:t>
      </w:r>
      <w:r w:rsidR="00C31FA5">
        <w:t>s</w:t>
      </w:r>
      <w:r w:rsidRPr="00E96F2F">
        <w:t xml:space="preserve"> </w:t>
      </w:r>
      <w:r w:rsidR="00C31FA5">
        <w:t xml:space="preserve">usually have </w:t>
      </w:r>
      <w:r w:rsidR="00CC3792">
        <w:t xml:space="preserve">full discretion to determine whether to </w:t>
      </w:r>
      <w:r w:rsidR="00C31FA5">
        <w:t>consent to the change and</w:t>
      </w:r>
      <w:r w:rsidR="00FF2DE7">
        <w:t>,</w:t>
      </w:r>
      <w:r w:rsidR="00C31FA5">
        <w:t xml:space="preserve"> when deciding </w:t>
      </w:r>
      <w:r w:rsidR="00D92207">
        <w:t xml:space="preserve">whether </w:t>
      </w:r>
      <w:r w:rsidR="00C31FA5">
        <w:t>to exercise that discretion</w:t>
      </w:r>
      <w:r w:rsidR="00FF2DE7">
        <w:t>,</w:t>
      </w:r>
      <w:r w:rsidR="00C31FA5">
        <w:t xml:space="preserve"> will usually consider</w:t>
      </w:r>
      <w:r w:rsidRPr="00E96F2F">
        <w:t xml:space="preserve">: </w:t>
      </w:r>
    </w:p>
    <w:p w14:paraId="5D02F203" w14:textId="77777777" w:rsidR="00E96F2F" w:rsidRPr="00E96F2F" w:rsidRDefault="00CC3792" w:rsidP="00C31FA5">
      <w:pPr>
        <w:pStyle w:val="ListBullet"/>
      </w:pPr>
      <w:r>
        <w:t xml:space="preserve">the technical feasibility of the change </w:t>
      </w:r>
      <w:r w:rsidR="00E96F2F" w:rsidRPr="00E96F2F">
        <w:t xml:space="preserve">and what, if any, impact </w:t>
      </w:r>
      <w:r w:rsidR="00C31FA5">
        <w:t xml:space="preserve">the change </w:t>
      </w:r>
      <w:r>
        <w:t xml:space="preserve">may </w:t>
      </w:r>
      <w:r w:rsidR="00E96F2F" w:rsidRPr="00E96F2F">
        <w:t xml:space="preserve">have on other </w:t>
      </w:r>
      <w:r w:rsidR="00751EE2">
        <w:t xml:space="preserve">shippers’ </w:t>
      </w:r>
      <w:r w:rsidR="001F63DD">
        <w:t>use of the facility</w:t>
      </w:r>
      <w:r w:rsidR="00672CEF">
        <w:t xml:space="preserve">, which </w:t>
      </w:r>
      <w:r w:rsidR="00672CEF" w:rsidRPr="00E96F2F">
        <w:t>may</w:t>
      </w:r>
      <w:r w:rsidR="001F63DD">
        <w:t xml:space="preserve"> </w:t>
      </w:r>
      <w:r w:rsidR="00672CEF">
        <w:t xml:space="preserve">require </w:t>
      </w:r>
      <w:r w:rsidR="00672CEF" w:rsidRPr="00E96F2F">
        <w:t>modelling</w:t>
      </w:r>
      <w:r w:rsidR="00F243A1">
        <w:t xml:space="preserve"> of forecast flows</w:t>
      </w:r>
      <w:r w:rsidR="00E96F2F" w:rsidRPr="00E96F2F">
        <w:t>; and</w:t>
      </w:r>
    </w:p>
    <w:p w14:paraId="550B4A09" w14:textId="7FDDE08F" w:rsidR="00E96F2F" w:rsidRPr="00E96F2F" w:rsidRDefault="001F63DD" w:rsidP="00C31FA5">
      <w:pPr>
        <w:pStyle w:val="ListBullet"/>
      </w:pPr>
      <w:r>
        <w:t xml:space="preserve">the </w:t>
      </w:r>
      <w:r w:rsidR="00672CEF">
        <w:t>commercial feasib</w:t>
      </w:r>
      <w:r>
        <w:t>ility of the change</w:t>
      </w:r>
      <w:r w:rsidR="00672CEF">
        <w:t>, which will typically involve a</w:t>
      </w:r>
      <w:r w:rsidR="000B51C9">
        <w:t xml:space="preserve">n assessment </w:t>
      </w:r>
      <w:r w:rsidR="00672CEF">
        <w:t>of whether the service provider’s profitability will be adversely affected by the change (e.g. because the change result</w:t>
      </w:r>
      <w:r w:rsidR="00C31FA5">
        <w:t>s</w:t>
      </w:r>
      <w:r w:rsidR="00672CEF">
        <w:t xml:space="preserve"> in the payment of a </w:t>
      </w:r>
      <w:r w:rsidR="00E96F2F" w:rsidRPr="00E96F2F">
        <w:t>lower tariff</w:t>
      </w:r>
      <w:r w:rsidR="00672CEF">
        <w:t>,</w:t>
      </w:r>
      <w:r w:rsidR="00E96F2F" w:rsidRPr="00E96F2F">
        <w:t xml:space="preserve"> higher </w:t>
      </w:r>
      <w:r w:rsidR="00C31FA5">
        <w:t xml:space="preserve">operating </w:t>
      </w:r>
      <w:r w:rsidR="00E96F2F" w:rsidRPr="00E96F2F">
        <w:t>costs or less capacity being available</w:t>
      </w:r>
      <w:r w:rsidR="00672CEF">
        <w:t>)</w:t>
      </w:r>
      <w:r w:rsidR="00E96F2F" w:rsidRPr="00E96F2F">
        <w:t>.</w:t>
      </w:r>
    </w:p>
    <w:p w14:paraId="2D241928" w14:textId="77777777" w:rsidR="00EC1488" w:rsidRDefault="00C31FA5" w:rsidP="00D92207">
      <w:pPr>
        <w:pStyle w:val="BodyText"/>
        <w:rPr>
          <w:iCs/>
        </w:rPr>
      </w:pPr>
      <w:r>
        <w:t>The GMRG also understands that while some service providers</w:t>
      </w:r>
      <w:r w:rsidR="00672CEF">
        <w:t xml:space="preserve"> </w:t>
      </w:r>
      <w:r w:rsidR="00D92207">
        <w:t>provide shippers with a response within</w:t>
      </w:r>
      <w:r>
        <w:t xml:space="preserve"> </w:t>
      </w:r>
      <w:r w:rsidR="00E96F2F" w:rsidRPr="00E96F2F">
        <w:t xml:space="preserve">five </w:t>
      </w:r>
      <w:r>
        <w:t xml:space="preserve">business days, other </w:t>
      </w:r>
      <w:r w:rsidR="00D92207">
        <w:t xml:space="preserve">service providers </w:t>
      </w:r>
      <w:r>
        <w:t xml:space="preserve">allow themselves </w:t>
      </w:r>
      <w:r w:rsidR="00D92207">
        <w:t>30 days</w:t>
      </w:r>
      <w:r w:rsidR="0018615C">
        <w:t xml:space="preserve"> (~22 business days)</w:t>
      </w:r>
      <w:r w:rsidR="00D92207">
        <w:t xml:space="preserve"> </w:t>
      </w:r>
      <w:r>
        <w:t xml:space="preserve">to </w:t>
      </w:r>
      <w:r w:rsidR="00D92207">
        <w:t xml:space="preserve">respond to the request. Project team members also informed the GMRG that some </w:t>
      </w:r>
      <w:r w:rsidR="00672CEF">
        <w:rPr>
          <w:iCs/>
        </w:rPr>
        <w:t>s</w:t>
      </w:r>
      <w:r w:rsidR="00E96F2F" w:rsidRPr="00E96F2F">
        <w:rPr>
          <w:iCs/>
        </w:rPr>
        <w:t>ervice providers</w:t>
      </w:r>
      <w:r w:rsidR="00EC1488">
        <w:rPr>
          <w:iCs/>
        </w:rPr>
        <w:t xml:space="preserve"> and/or primary GTAs:</w:t>
      </w:r>
      <w:r w:rsidR="00E96F2F" w:rsidRPr="00E96F2F">
        <w:rPr>
          <w:iCs/>
        </w:rPr>
        <w:t xml:space="preserve"> </w:t>
      </w:r>
    </w:p>
    <w:p w14:paraId="5CE5DDDC" w14:textId="77777777" w:rsidR="00EC1488" w:rsidRDefault="00EC1488" w:rsidP="00EC1488">
      <w:pPr>
        <w:pStyle w:val="ListBullet"/>
      </w:pPr>
      <w:r>
        <w:t xml:space="preserve">place a </w:t>
      </w:r>
      <w:r>
        <w:rPr>
          <w:iCs/>
        </w:rPr>
        <w:t xml:space="preserve">cap on </w:t>
      </w:r>
      <w:r w:rsidRPr="00E96F2F">
        <w:rPr>
          <w:iCs/>
        </w:rPr>
        <w:t>the number of requests a shipper can make</w:t>
      </w:r>
      <w:r w:rsidR="00E32F07">
        <w:rPr>
          <w:iCs/>
        </w:rPr>
        <w:t xml:space="preserve"> in a defined period</w:t>
      </w:r>
      <w:r>
        <w:rPr>
          <w:iCs/>
        </w:rPr>
        <w:t>; and/or</w:t>
      </w:r>
    </w:p>
    <w:p w14:paraId="797D21F3" w14:textId="77777777" w:rsidR="00EC1488" w:rsidRDefault="00E96F2F" w:rsidP="00EC1488">
      <w:pPr>
        <w:pStyle w:val="ListBullet"/>
      </w:pPr>
      <w:r w:rsidRPr="00E96F2F">
        <w:rPr>
          <w:iCs/>
        </w:rPr>
        <w:t xml:space="preserve">charge </w:t>
      </w:r>
      <w:r w:rsidR="002108C5">
        <w:rPr>
          <w:iCs/>
        </w:rPr>
        <w:t xml:space="preserve">shippers </w:t>
      </w:r>
      <w:r w:rsidRPr="00E96F2F">
        <w:rPr>
          <w:iCs/>
        </w:rPr>
        <w:t xml:space="preserve">a fee </w:t>
      </w:r>
      <w:r w:rsidR="00D92207">
        <w:rPr>
          <w:iCs/>
        </w:rPr>
        <w:t xml:space="preserve">to </w:t>
      </w:r>
      <w:r w:rsidR="00D92207">
        <w:t xml:space="preserve">change their receipt or delivery point </w:t>
      </w:r>
      <w:r w:rsidR="00F5135D">
        <w:t xml:space="preserve">(or to provide access to new receipt or delivery points) </w:t>
      </w:r>
      <w:r w:rsidR="00D92207">
        <w:t xml:space="preserve">and/or to carry out </w:t>
      </w:r>
      <w:r w:rsidR="00EC1488">
        <w:t xml:space="preserve">the </w:t>
      </w:r>
      <w:r w:rsidR="006B6285">
        <w:t xml:space="preserve">investigative work </w:t>
      </w:r>
      <w:r w:rsidR="00D92207">
        <w:t>required to determine whether the change is technically feasible</w:t>
      </w:r>
      <w:r w:rsidR="00EC1488">
        <w:t>.</w:t>
      </w:r>
    </w:p>
    <w:p w14:paraId="508C7019" w14:textId="77777777" w:rsidR="006B6285" w:rsidRDefault="006B6285" w:rsidP="00262EDE">
      <w:pPr>
        <w:pStyle w:val="BodyText"/>
      </w:pPr>
      <w:r>
        <w:t xml:space="preserve">The Standardisation project team identified a number of options to </w:t>
      </w:r>
      <w:r w:rsidR="00EC1488">
        <w:t xml:space="preserve">try and </w:t>
      </w:r>
      <w:r>
        <w:t xml:space="preserve">improve </w:t>
      </w:r>
      <w:r w:rsidR="00C31FA5">
        <w:t xml:space="preserve">the </w:t>
      </w:r>
      <w:r>
        <w:t>process</w:t>
      </w:r>
      <w:r w:rsidR="00C31FA5">
        <w:t xml:space="preserve"> outlined above</w:t>
      </w:r>
      <w:r>
        <w:t xml:space="preserve">, </w:t>
      </w:r>
      <w:r w:rsidR="002108C5">
        <w:t>including</w:t>
      </w:r>
      <w:r>
        <w:t>:</w:t>
      </w:r>
    </w:p>
    <w:p w14:paraId="61226AB1" w14:textId="77777777" w:rsidR="00F719FE" w:rsidRDefault="00AA3B47" w:rsidP="00AA3B47">
      <w:pPr>
        <w:pStyle w:val="ListBullet"/>
      </w:pPr>
      <w:r>
        <w:t>p</w:t>
      </w:r>
      <w:r w:rsidR="006B6285">
        <w:t xml:space="preserve">roviding greater clarity about the circumstances in which a </w:t>
      </w:r>
      <w:r w:rsidR="00C31FA5">
        <w:t>service provider can withhold its consent</w:t>
      </w:r>
      <w:r w:rsidR="00F719FE">
        <w:t xml:space="preserve"> to a request by: </w:t>
      </w:r>
    </w:p>
    <w:p w14:paraId="42A54686" w14:textId="33789239" w:rsidR="007D68B7" w:rsidRDefault="00F719FE" w:rsidP="007D68B7">
      <w:pPr>
        <w:pStyle w:val="ListBullet2"/>
      </w:pPr>
      <w:r>
        <w:t xml:space="preserve">a primary shipper seeking to change </w:t>
      </w:r>
      <w:r w:rsidR="007D68B7">
        <w:t xml:space="preserve">the </w:t>
      </w:r>
      <w:r>
        <w:t>receipt or delivery points</w:t>
      </w:r>
      <w:r w:rsidR="007D68B7">
        <w:t xml:space="preserve"> it can use;</w:t>
      </w:r>
    </w:p>
    <w:p w14:paraId="36B53CA2" w14:textId="785E363B" w:rsidR="006B6285" w:rsidRDefault="007D68B7" w:rsidP="007D68B7">
      <w:pPr>
        <w:pStyle w:val="ListBullet2"/>
      </w:pPr>
      <w:r>
        <w:lastRenderedPageBreak/>
        <w:t>a secondary shipper seeking to change the receipt or delivery point zones it can use</w:t>
      </w:r>
      <w:r w:rsidR="006B6285">
        <w:t>;</w:t>
      </w:r>
    </w:p>
    <w:p w14:paraId="61E3EC9D" w14:textId="77777777" w:rsidR="00FE3550" w:rsidRDefault="00AA3B47" w:rsidP="00FE3550">
      <w:pPr>
        <w:pStyle w:val="ListBullet"/>
      </w:pPr>
      <w:r>
        <w:t>r</w:t>
      </w:r>
      <w:r w:rsidR="006B6285">
        <w:t>equiring service providers to inform shippers of whether the</w:t>
      </w:r>
      <w:r>
        <w:t>ir</w:t>
      </w:r>
      <w:r w:rsidR="006B6285">
        <w:t xml:space="preserve"> request has been accepted</w:t>
      </w:r>
      <w:r>
        <w:t>,</w:t>
      </w:r>
      <w:r w:rsidR="006B6285">
        <w:t xml:space="preserve"> or if further work is required</w:t>
      </w:r>
      <w:r w:rsidR="002108C5">
        <w:t xml:space="preserve"> within </w:t>
      </w:r>
      <w:r w:rsidR="001F63DD">
        <w:t>a specified time</w:t>
      </w:r>
      <w:r w:rsidR="006B6285">
        <w:t xml:space="preserve">; </w:t>
      </w:r>
    </w:p>
    <w:p w14:paraId="7FF93419" w14:textId="15593AB3" w:rsidR="006B6285" w:rsidRDefault="00FE3550" w:rsidP="00791B5F">
      <w:pPr>
        <w:pStyle w:val="ListBullet"/>
      </w:pPr>
      <w:r>
        <w:t xml:space="preserve">adopting rules that specify </w:t>
      </w:r>
      <w:r w:rsidRPr="00FE3550">
        <w:rPr>
          <w:rFonts w:asciiTheme="majorHAnsi" w:hAnsiTheme="majorHAnsi" w:cstheme="majorHAnsi"/>
        </w:rPr>
        <w:t xml:space="preserve">how changes </w:t>
      </w:r>
      <w:r>
        <w:t xml:space="preserve">within </w:t>
      </w:r>
      <w:r w:rsidR="007D68B7">
        <w:t xml:space="preserve">or across </w:t>
      </w:r>
      <w:r>
        <w:t>zones</w:t>
      </w:r>
      <w:r w:rsidR="007D68B7">
        <w:t xml:space="preserve"> are treated</w:t>
      </w:r>
      <w:r>
        <w:t xml:space="preserve">; </w:t>
      </w:r>
      <w:r w:rsidR="006B6285">
        <w:t>and</w:t>
      </w:r>
    </w:p>
    <w:p w14:paraId="1650A6F5" w14:textId="59AC43B7" w:rsidR="006B6285" w:rsidRDefault="002108C5" w:rsidP="00AA3B47">
      <w:pPr>
        <w:pStyle w:val="ListBullet"/>
      </w:pPr>
      <w:r>
        <w:t>r</w:t>
      </w:r>
      <w:r w:rsidR="006B6285">
        <w:t xml:space="preserve">emoving </w:t>
      </w:r>
      <w:r w:rsidR="00EC1488">
        <w:t xml:space="preserve">any </w:t>
      </w:r>
      <w:r w:rsidR="006B6285">
        <w:t xml:space="preserve">restrictions on </w:t>
      </w:r>
      <w:r w:rsidR="00EC1488">
        <w:t xml:space="preserve">the </w:t>
      </w:r>
      <w:r w:rsidR="006B6285">
        <w:t xml:space="preserve">ability </w:t>
      </w:r>
      <w:r w:rsidR="00EC1488">
        <w:t xml:space="preserve">of shippers to </w:t>
      </w:r>
      <w:r w:rsidR="006B6285">
        <w:t xml:space="preserve">request a change but, where appropriate, </w:t>
      </w:r>
      <w:r w:rsidR="00AA3B47">
        <w:t xml:space="preserve">charging </w:t>
      </w:r>
      <w:r w:rsidR="006B6285">
        <w:t xml:space="preserve">a fee </w:t>
      </w:r>
      <w:r w:rsidR="00AA3B47">
        <w:t xml:space="preserve">for any costs the service provider </w:t>
      </w:r>
      <w:r w:rsidR="00F5135D">
        <w:t xml:space="preserve">reasonably </w:t>
      </w:r>
      <w:r w:rsidR="00AA3B47">
        <w:t>incurs</w:t>
      </w:r>
      <w:r>
        <w:t xml:space="preserve"> assessing the request</w:t>
      </w:r>
      <w:r w:rsidR="00AA3B47">
        <w:t xml:space="preserve">. </w:t>
      </w:r>
    </w:p>
    <w:p w14:paraId="2F21D2DB" w14:textId="046201A5" w:rsidR="002108C5" w:rsidRDefault="002108C5" w:rsidP="00262EDE">
      <w:pPr>
        <w:pStyle w:val="BodyText"/>
      </w:pPr>
      <w:r>
        <w:t xml:space="preserve">The project team’s views on these options are summarised in </w:t>
      </w:r>
      <w:r w:rsidR="00216B82">
        <w:fldChar w:fldCharType="begin"/>
      </w:r>
      <w:r w:rsidR="00216B82">
        <w:instrText xml:space="preserve"> REF _Ref491514280 \h </w:instrText>
      </w:r>
      <w:r w:rsidR="00216B82">
        <w:fldChar w:fldCharType="separate"/>
      </w:r>
      <w:r w:rsidR="00947034">
        <w:t xml:space="preserve">Table </w:t>
      </w:r>
      <w:r w:rsidR="00947034">
        <w:rPr>
          <w:noProof/>
        </w:rPr>
        <w:t>4</w:t>
      </w:r>
      <w:r w:rsidR="00947034">
        <w:t>.</w:t>
      </w:r>
      <w:r w:rsidR="00947034">
        <w:rPr>
          <w:noProof/>
        </w:rPr>
        <w:t>2</w:t>
      </w:r>
      <w:r w:rsidR="00216B82">
        <w:fldChar w:fldCharType="end"/>
      </w:r>
      <w:r w:rsidR="00216B82">
        <w:t>.</w:t>
      </w:r>
    </w:p>
    <w:p w14:paraId="3FA2EAD5" w14:textId="75FA8504" w:rsidR="002108C5" w:rsidRDefault="002108C5" w:rsidP="00751EE2">
      <w:pPr>
        <w:pStyle w:val="Caption"/>
        <w:spacing w:before="120" w:after="0"/>
      </w:pPr>
      <w:bookmarkStart w:id="109" w:name="_Ref491514280"/>
      <w:r>
        <w:t xml:space="preserve">Table </w:t>
      </w:r>
      <w:r w:rsidR="00926D7E">
        <w:fldChar w:fldCharType="begin"/>
      </w:r>
      <w:r w:rsidR="00926D7E">
        <w:instrText xml:space="preserve"> STYLEREF 1 \s </w:instrText>
      </w:r>
      <w:r w:rsidR="00926D7E">
        <w:fldChar w:fldCharType="separate"/>
      </w:r>
      <w:r w:rsidR="00947034">
        <w:rPr>
          <w:noProof/>
        </w:rPr>
        <w:t>4</w:t>
      </w:r>
      <w:r w:rsidR="00926D7E">
        <w:rPr>
          <w:noProof/>
        </w:rPr>
        <w:fldChar w:fldCharType="end"/>
      </w:r>
      <w:r w:rsidR="001C4739">
        <w:t>.</w:t>
      </w:r>
      <w:r w:rsidR="00926D7E">
        <w:fldChar w:fldCharType="begin"/>
      </w:r>
      <w:r w:rsidR="00926D7E">
        <w:instrText xml:space="preserve"> SEQ Table \* ARABIC \s 1 </w:instrText>
      </w:r>
      <w:r w:rsidR="00926D7E">
        <w:fldChar w:fldCharType="separate"/>
      </w:r>
      <w:r w:rsidR="00947034">
        <w:rPr>
          <w:noProof/>
        </w:rPr>
        <w:t>2</w:t>
      </w:r>
      <w:r w:rsidR="00926D7E">
        <w:rPr>
          <w:noProof/>
        </w:rPr>
        <w:fldChar w:fldCharType="end"/>
      </w:r>
      <w:bookmarkEnd w:id="109"/>
      <w:r>
        <w:t>: Receipt and delivery point change process</w:t>
      </w:r>
    </w:p>
    <w:tbl>
      <w:tblPr>
        <w:tblStyle w:val="TableGrid"/>
        <w:tblW w:w="5000" w:type="pct"/>
        <w:tblLayout w:type="fixed"/>
        <w:tblLook w:val="0420" w:firstRow="1" w:lastRow="0" w:firstColumn="0" w:lastColumn="0" w:noHBand="0" w:noVBand="1"/>
        <w:tblCaption w:val="Table 4.2: Receipt and delivery point change process"/>
        <w:tblDescription w:val="Receipt and delivery point change process"/>
      </w:tblPr>
      <w:tblGrid>
        <w:gridCol w:w="1534"/>
        <w:gridCol w:w="7254"/>
      </w:tblGrid>
      <w:tr w:rsidR="002108C5" w14:paraId="1E1D8A01" w14:textId="77777777" w:rsidTr="00751EE2">
        <w:trPr>
          <w:cnfStyle w:val="100000000000" w:firstRow="1" w:lastRow="0" w:firstColumn="0" w:lastColumn="0" w:oddVBand="0" w:evenVBand="0" w:oddHBand="0" w:evenHBand="0" w:firstRowFirstColumn="0" w:firstRowLastColumn="0" w:lastRowFirstColumn="0" w:lastRowLastColumn="0"/>
          <w:cantSplit/>
          <w:tblHeader/>
        </w:trPr>
        <w:tc>
          <w:tcPr>
            <w:tcW w:w="873" w:type="pct"/>
            <w:shd w:val="clear" w:color="auto" w:fill="0099CC"/>
          </w:tcPr>
          <w:p w14:paraId="6817CDF6" w14:textId="77777777" w:rsidR="002108C5" w:rsidRDefault="002108C5" w:rsidP="002108C5">
            <w:pPr>
              <w:pStyle w:val="TableHeading"/>
              <w:spacing w:before="40" w:after="40"/>
              <w:rPr>
                <w:lang w:eastAsia="fr-CA"/>
              </w:rPr>
            </w:pPr>
            <w:r>
              <w:rPr>
                <w:lang w:eastAsia="fr-CA"/>
              </w:rPr>
              <w:t>Issues</w:t>
            </w:r>
          </w:p>
        </w:tc>
        <w:tc>
          <w:tcPr>
            <w:tcW w:w="4127" w:type="pct"/>
            <w:shd w:val="clear" w:color="auto" w:fill="0099CC"/>
          </w:tcPr>
          <w:p w14:paraId="74453560" w14:textId="77777777" w:rsidR="002108C5" w:rsidRDefault="002108C5" w:rsidP="002108C5">
            <w:pPr>
              <w:pStyle w:val="TableHeading"/>
              <w:spacing w:before="40" w:after="40"/>
              <w:rPr>
                <w:lang w:eastAsia="fr-CA"/>
              </w:rPr>
            </w:pPr>
            <w:r>
              <w:rPr>
                <w:lang w:eastAsia="fr-CA"/>
              </w:rPr>
              <w:t>Summary of project team’s view</w:t>
            </w:r>
          </w:p>
        </w:tc>
      </w:tr>
      <w:tr w:rsidR="002108C5" w14:paraId="10B89A90" w14:textId="77777777" w:rsidTr="00751EE2">
        <w:trPr>
          <w:cantSplit/>
        </w:trPr>
        <w:tc>
          <w:tcPr>
            <w:tcW w:w="873" w:type="pct"/>
          </w:tcPr>
          <w:p w14:paraId="6E441204" w14:textId="77777777" w:rsidR="002108C5" w:rsidRDefault="002108C5" w:rsidP="002108C5">
            <w:pPr>
              <w:pStyle w:val="TableBodyText"/>
            </w:pPr>
            <w:r>
              <w:t>Circumstances in which a request can be rejected</w:t>
            </w:r>
          </w:p>
        </w:tc>
        <w:tc>
          <w:tcPr>
            <w:tcW w:w="4127" w:type="pct"/>
          </w:tcPr>
          <w:p w14:paraId="4474127F" w14:textId="77777777" w:rsidR="00661269" w:rsidRDefault="00C76609" w:rsidP="00661269">
            <w:pPr>
              <w:pStyle w:val="BodyText"/>
              <w:spacing w:before="40" w:after="80"/>
            </w:pPr>
            <w:r>
              <w:t xml:space="preserve">Service provider representatives in the project team noted that changes to receipt and delivery points can have technical and commercial implications and so it was appropriate to consider </w:t>
            </w:r>
            <w:r w:rsidR="00216B82">
              <w:t xml:space="preserve">both of </w:t>
            </w:r>
            <w:r>
              <w:t xml:space="preserve">these factors when assessing a shipper’s request and to be able to reject a request on this basis. </w:t>
            </w:r>
            <w:r w:rsidR="000B51C9">
              <w:t xml:space="preserve">Elaborating further on the commercial implications, service provider representatives </w:t>
            </w:r>
            <w:r w:rsidR="00A91EF9">
              <w:t>stated</w:t>
            </w:r>
            <w:r w:rsidR="000B51C9">
              <w:t xml:space="preserve"> they should be kept financially whole and added that this </w:t>
            </w:r>
            <w:r w:rsidR="00661269">
              <w:t xml:space="preserve">was consistent with the way </w:t>
            </w:r>
            <w:r>
              <w:t>rule 106 of the NGR</w:t>
            </w:r>
            <w:r w:rsidR="000B51C9">
              <w:t xml:space="preserve"> </w:t>
            </w:r>
            <w:r w:rsidR="00661269">
              <w:t xml:space="preserve">has been applied to date </w:t>
            </w:r>
            <w:r w:rsidR="000B51C9">
              <w:t xml:space="preserve">and </w:t>
            </w:r>
            <w:r w:rsidR="00661269">
              <w:t>the approach used in other jurisdictions.</w:t>
            </w:r>
            <w:r w:rsidR="00661269">
              <w:rPr>
                <w:rStyle w:val="FootnoteReference"/>
              </w:rPr>
              <w:footnoteReference w:id="51"/>
            </w:r>
            <w:r w:rsidR="00661269">
              <w:t xml:space="preserve"> </w:t>
            </w:r>
          </w:p>
          <w:p w14:paraId="33F67378" w14:textId="77777777" w:rsidR="002108C5" w:rsidRDefault="00661269" w:rsidP="00661269">
            <w:pPr>
              <w:pStyle w:val="BodyText"/>
              <w:spacing w:before="40" w:after="80"/>
            </w:pPr>
            <w:r>
              <w:t xml:space="preserve">Other project team members agreed that service providers should not be worse off as a result of the change and that it was relevant </w:t>
            </w:r>
            <w:r w:rsidR="00FB2F80">
              <w:t xml:space="preserve">therefore </w:t>
            </w:r>
            <w:r>
              <w:t>to take into account commercial considerations. It was, however, suggested by some team members that the scope of the commercial considerations be more clearly defined to limit the discretion in this area.</w:t>
            </w:r>
          </w:p>
        </w:tc>
      </w:tr>
      <w:tr w:rsidR="002108C5" w14:paraId="5B9BC31B" w14:textId="77777777" w:rsidTr="00751EE2">
        <w:trPr>
          <w:cnfStyle w:val="000000010000" w:firstRow="0" w:lastRow="0" w:firstColumn="0" w:lastColumn="0" w:oddVBand="0" w:evenVBand="0" w:oddHBand="0" w:evenHBand="1" w:firstRowFirstColumn="0" w:firstRowLastColumn="0" w:lastRowFirstColumn="0" w:lastRowLastColumn="0"/>
          <w:cantSplit/>
        </w:trPr>
        <w:tc>
          <w:tcPr>
            <w:tcW w:w="873" w:type="pct"/>
          </w:tcPr>
          <w:p w14:paraId="150E433B" w14:textId="77777777" w:rsidR="002108C5" w:rsidRDefault="002108C5" w:rsidP="002108C5">
            <w:pPr>
              <w:pStyle w:val="BodyText"/>
              <w:spacing w:before="40" w:after="40"/>
            </w:pPr>
            <w:r>
              <w:t xml:space="preserve">Time taken to respond to requests </w:t>
            </w:r>
          </w:p>
        </w:tc>
        <w:tc>
          <w:tcPr>
            <w:tcW w:w="4127" w:type="pct"/>
          </w:tcPr>
          <w:p w14:paraId="5F35FBC2" w14:textId="77777777" w:rsidR="001F63DD" w:rsidRDefault="001F63DD" w:rsidP="002108C5">
            <w:pPr>
              <w:pStyle w:val="BodyText"/>
              <w:spacing w:before="40" w:after="40"/>
            </w:pPr>
            <w:r>
              <w:t>P</w:t>
            </w:r>
            <w:r w:rsidR="00CC3792">
              <w:t xml:space="preserve">roject team </w:t>
            </w:r>
            <w:r>
              <w:t xml:space="preserve">members </w:t>
            </w:r>
            <w:r w:rsidR="00CC3792">
              <w:t xml:space="preserve">noted that </w:t>
            </w:r>
            <w:r>
              <w:t xml:space="preserve">if flow modelling or other investigative work is required then it may take the service provider longer to respond to the request than in other cases where this type of work is not required. Project team members </w:t>
            </w:r>
            <w:r w:rsidR="00A93ED8">
              <w:t xml:space="preserve">were </w:t>
            </w:r>
            <w:r>
              <w:t xml:space="preserve">therefore </w:t>
            </w:r>
            <w:r w:rsidR="00A93ED8">
              <w:t xml:space="preserve">of the view that it would not be possible to standardise </w:t>
            </w:r>
            <w:r>
              <w:t>the time service providers have to accept or reject the request. They did, however, think there may be value in requiring the service provider to inform the shipper within 5 business days of receiving the request whether:</w:t>
            </w:r>
          </w:p>
          <w:p w14:paraId="35082CB3" w14:textId="77777777" w:rsidR="001F63DD" w:rsidRDefault="001F63DD" w:rsidP="001F63DD">
            <w:pPr>
              <w:pStyle w:val="TableBullet1"/>
            </w:pPr>
            <w:r>
              <w:t xml:space="preserve">the request had been accepted or rejected; or </w:t>
            </w:r>
          </w:p>
          <w:p w14:paraId="15A7A619" w14:textId="77777777" w:rsidR="002108C5" w:rsidRDefault="001F63DD" w:rsidP="001F63DD">
            <w:pPr>
              <w:pStyle w:val="TableBullet1"/>
            </w:pPr>
            <w:r>
              <w:t xml:space="preserve">if further investigative work </w:t>
            </w:r>
            <w:r w:rsidR="00751EE2">
              <w:t>is</w:t>
            </w:r>
            <w:r>
              <w:t xml:space="preserve"> required to assess the request</w:t>
            </w:r>
            <w:r w:rsidR="00C76609">
              <w:t xml:space="preserve"> and the nature of any work and likely timing of a response</w:t>
            </w:r>
            <w:r>
              <w:t xml:space="preserve">. </w:t>
            </w:r>
          </w:p>
        </w:tc>
      </w:tr>
      <w:tr w:rsidR="00FE3550" w14:paraId="699ED4BB" w14:textId="77777777" w:rsidTr="00791B5F">
        <w:trPr>
          <w:cantSplit/>
        </w:trPr>
        <w:tc>
          <w:tcPr>
            <w:tcW w:w="873" w:type="pct"/>
          </w:tcPr>
          <w:p w14:paraId="0198BB3A" w14:textId="77777777" w:rsidR="00FE3550" w:rsidRDefault="00FE3550" w:rsidP="00791B5F">
            <w:pPr>
              <w:pStyle w:val="TableBodyText"/>
            </w:pPr>
            <w:r>
              <w:t>Rules for changes within and across zones</w:t>
            </w:r>
          </w:p>
        </w:tc>
        <w:tc>
          <w:tcPr>
            <w:tcW w:w="4127" w:type="pct"/>
          </w:tcPr>
          <w:p w14:paraId="5B53606F" w14:textId="77777777" w:rsidR="00FE3550" w:rsidRDefault="00FE3550" w:rsidP="00791B5F">
            <w:pPr>
              <w:pStyle w:val="BodyText"/>
              <w:spacing w:before="40" w:after="80"/>
            </w:pPr>
            <w:r>
              <w:t>Project team members in this case noted that:</w:t>
            </w:r>
          </w:p>
          <w:p w14:paraId="28A75D4A" w14:textId="4C3274AE" w:rsidR="00FE3550" w:rsidRPr="004B398A" w:rsidRDefault="00FE3550" w:rsidP="0057020B">
            <w:pPr>
              <w:pStyle w:val="ListParagraph"/>
              <w:numPr>
                <w:ilvl w:val="1"/>
                <w:numId w:val="35"/>
              </w:numPr>
              <w:spacing w:before="0" w:after="0" w:line="264" w:lineRule="auto"/>
              <w:ind w:left="395" w:hanging="195"/>
              <w:rPr>
                <w:rFonts w:asciiTheme="majorHAnsi" w:hAnsiTheme="majorHAnsi" w:cstheme="majorHAnsi"/>
                <w:szCs w:val="18"/>
              </w:rPr>
            </w:pPr>
            <w:r>
              <w:rPr>
                <w:rFonts w:asciiTheme="majorHAnsi" w:hAnsiTheme="majorHAnsi" w:cstheme="majorHAnsi"/>
                <w:szCs w:val="18"/>
              </w:rPr>
              <w:t xml:space="preserve">transfers of </w:t>
            </w:r>
            <w:r w:rsidR="007D68B7">
              <w:rPr>
                <w:rFonts w:asciiTheme="majorHAnsi" w:hAnsiTheme="majorHAnsi" w:cstheme="majorHAnsi"/>
                <w:szCs w:val="18"/>
              </w:rPr>
              <w:t xml:space="preserve">a primary shipper’s </w:t>
            </w:r>
            <w:r w:rsidRPr="004B398A">
              <w:rPr>
                <w:rFonts w:asciiTheme="majorHAnsi" w:hAnsiTheme="majorHAnsi" w:cstheme="majorHAnsi"/>
                <w:szCs w:val="18"/>
              </w:rPr>
              <w:t xml:space="preserve">capacity </w:t>
            </w:r>
            <w:r>
              <w:rPr>
                <w:rFonts w:asciiTheme="majorHAnsi" w:hAnsiTheme="majorHAnsi" w:cstheme="majorHAnsi"/>
                <w:szCs w:val="18"/>
              </w:rPr>
              <w:t xml:space="preserve">within a zone </w:t>
            </w:r>
            <w:r w:rsidRPr="004B398A">
              <w:rPr>
                <w:rFonts w:asciiTheme="majorHAnsi" w:hAnsiTheme="majorHAnsi" w:cstheme="majorHAnsi"/>
                <w:szCs w:val="18"/>
              </w:rPr>
              <w:t xml:space="preserve">should </w:t>
            </w:r>
            <w:r>
              <w:rPr>
                <w:rFonts w:asciiTheme="majorHAnsi" w:hAnsiTheme="majorHAnsi" w:cstheme="majorHAnsi"/>
                <w:szCs w:val="18"/>
              </w:rPr>
              <w:t xml:space="preserve">occur on </w:t>
            </w:r>
            <w:r w:rsidRPr="004B398A">
              <w:rPr>
                <w:rFonts w:asciiTheme="majorHAnsi" w:hAnsiTheme="majorHAnsi" w:cstheme="majorHAnsi"/>
                <w:szCs w:val="18"/>
              </w:rPr>
              <w:t>a one-for-one basis</w:t>
            </w:r>
            <w:r>
              <w:rPr>
                <w:rFonts w:asciiTheme="majorHAnsi" w:hAnsiTheme="majorHAnsi" w:cstheme="majorHAnsi"/>
                <w:szCs w:val="18"/>
              </w:rPr>
              <w:t>, subject to capacity being available at the relevant receipt or delivery point;</w:t>
            </w:r>
            <w:r w:rsidRPr="004B398A">
              <w:rPr>
                <w:rFonts w:asciiTheme="majorHAnsi" w:hAnsiTheme="majorHAnsi" w:cstheme="majorHAnsi"/>
                <w:szCs w:val="18"/>
              </w:rPr>
              <w:t xml:space="preserve"> </w:t>
            </w:r>
            <w:r>
              <w:rPr>
                <w:rFonts w:asciiTheme="majorHAnsi" w:hAnsiTheme="majorHAnsi" w:cstheme="majorHAnsi"/>
                <w:szCs w:val="18"/>
              </w:rPr>
              <w:t>and</w:t>
            </w:r>
          </w:p>
          <w:p w14:paraId="37B2B274" w14:textId="01A5E1B2" w:rsidR="00FE3550" w:rsidRDefault="00FE3550" w:rsidP="0057020B">
            <w:pPr>
              <w:pStyle w:val="ListParagraph"/>
              <w:numPr>
                <w:ilvl w:val="1"/>
                <w:numId w:val="35"/>
              </w:numPr>
              <w:spacing w:before="0" w:after="0" w:line="264" w:lineRule="auto"/>
              <w:ind w:left="395" w:hanging="195"/>
              <w:rPr>
                <w:rFonts w:asciiTheme="majorHAnsi" w:hAnsiTheme="majorHAnsi" w:cstheme="majorHAnsi"/>
                <w:szCs w:val="18"/>
              </w:rPr>
            </w:pPr>
            <w:r>
              <w:rPr>
                <w:rFonts w:asciiTheme="majorHAnsi" w:hAnsiTheme="majorHAnsi" w:cstheme="majorHAnsi"/>
                <w:szCs w:val="18"/>
              </w:rPr>
              <w:t xml:space="preserve">transfers of </w:t>
            </w:r>
            <w:r w:rsidR="007D68B7">
              <w:rPr>
                <w:rFonts w:asciiTheme="majorHAnsi" w:hAnsiTheme="majorHAnsi" w:cstheme="majorHAnsi"/>
                <w:szCs w:val="18"/>
              </w:rPr>
              <w:t xml:space="preserve">a primary or secondary shipper’s </w:t>
            </w:r>
            <w:r>
              <w:rPr>
                <w:rFonts w:asciiTheme="majorHAnsi" w:hAnsiTheme="majorHAnsi" w:cstheme="majorHAnsi"/>
                <w:szCs w:val="18"/>
              </w:rPr>
              <w:t xml:space="preserve">capacity outside a zone could not be dealt with using a simple </w:t>
            </w:r>
            <w:r w:rsidR="001800D4">
              <w:rPr>
                <w:rFonts w:asciiTheme="majorHAnsi" w:hAnsiTheme="majorHAnsi" w:cstheme="majorHAnsi"/>
                <w:szCs w:val="18"/>
              </w:rPr>
              <w:t>rule</w:t>
            </w:r>
            <w:r>
              <w:rPr>
                <w:rFonts w:asciiTheme="majorHAnsi" w:hAnsiTheme="majorHAnsi" w:cstheme="majorHAnsi"/>
                <w:szCs w:val="18"/>
              </w:rPr>
              <w:t xml:space="preserve"> as has been done in New Zealand</w:t>
            </w:r>
            <w:r w:rsidR="001800D4">
              <w:rPr>
                <w:rFonts w:asciiTheme="majorHAnsi" w:hAnsiTheme="majorHAnsi" w:cstheme="majorHAnsi"/>
                <w:szCs w:val="18"/>
              </w:rPr>
              <w:t>,</w:t>
            </w:r>
            <w:r w:rsidR="001800D4">
              <w:rPr>
                <w:rStyle w:val="FootnoteReference"/>
                <w:rFonts w:asciiTheme="majorHAnsi" w:hAnsiTheme="majorHAnsi" w:cstheme="majorHAnsi"/>
                <w:szCs w:val="18"/>
              </w:rPr>
              <w:footnoteReference w:id="52"/>
            </w:r>
            <w:r>
              <w:rPr>
                <w:rFonts w:asciiTheme="majorHAnsi" w:hAnsiTheme="majorHAnsi" w:cstheme="majorHAnsi"/>
                <w:szCs w:val="18"/>
              </w:rPr>
              <w:t xml:space="preserve"> because </w:t>
            </w:r>
            <w:r w:rsidR="001800D4">
              <w:rPr>
                <w:rFonts w:asciiTheme="majorHAnsi" w:hAnsiTheme="majorHAnsi" w:cstheme="majorHAnsi"/>
                <w:szCs w:val="18"/>
              </w:rPr>
              <w:t xml:space="preserve">the ability to move capacity </w:t>
            </w:r>
            <w:r w:rsidR="007D68B7">
              <w:rPr>
                <w:rFonts w:asciiTheme="majorHAnsi" w:hAnsiTheme="majorHAnsi" w:cstheme="majorHAnsi"/>
                <w:szCs w:val="18"/>
              </w:rPr>
              <w:t xml:space="preserve">across </w:t>
            </w:r>
            <w:r w:rsidR="001800D4">
              <w:rPr>
                <w:rFonts w:asciiTheme="majorHAnsi" w:hAnsiTheme="majorHAnsi" w:cstheme="majorHAnsi"/>
                <w:szCs w:val="18"/>
              </w:rPr>
              <w:t>zone will depend on a range of technical issues (such as pressure or capacity differentials across zones) and may require flow modelling.</w:t>
            </w:r>
          </w:p>
          <w:p w14:paraId="5D74EC6C" w14:textId="78E5C507" w:rsidR="00FB2F80" w:rsidRPr="00FB2F80" w:rsidRDefault="00FB2F80" w:rsidP="00FB2F80">
            <w:pPr>
              <w:spacing w:after="0"/>
              <w:ind w:left="200"/>
              <w:rPr>
                <w:rFonts w:asciiTheme="majorHAnsi" w:hAnsiTheme="majorHAnsi" w:cstheme="majorHAnsi"/>
                <w:szCs w:val="18"/>
              </w:rPr>
            </w:pPr>
            <w:r>
              <w:rPr>
                <w:rFonts w:asciiTheme="majorHAnsi" w:hAnsiTheme="majorHAnsi" w:cstheme="majorHAnsi"/>
                <w:szCs w:val="18"/>
              </w:rPr>
              <w:t xml:space="preserve">The project team also considered </w:t>
            </w:r>
            <w:r w:rsidRPr="00650B9D">
              <w:rPr>
                <w:rFonts w:asciiTheme="majorHAnsi" w:hAnsiTheme="majorHAnsi" w:cstheme="majorHAnsi"/>
                <w:szCs w:val="18"/>
              </w:rPr>
              <w:t>whether flow modelling could be completed up front (i</w:t>
            </w:r>
            <w:r w:rsidR="007D68B7">
              <w:rPr>
                <w:rFonts w:asciiTheme="majorHAnsi" w:hAnsiTheme="majorHAnsi" w:cstheme="majorHAnsi"/>
                <w:szCs w:val="18"/>
              </w:rPr>
              <w:t>.</w:t>
            </w:r>
            <w:r w:rsidRPr="00650B9D">
              <w:rPr>
                <w:rFonts w:asciiTheme="majorHAnsi" w:hAnsiTheme="majorHAnsi" w:cstheme="majorHAnsi"/>
                <w:szCs w:val="18"/>
              </w:rPr>
              <w:t xml:space="preserve">e. prior to requests for transfers) to </w:t>
            </w:r>
            <w:r>
              <w:rPr>
                <w:rFonts w:asciiTheme="majorHAnsi" w:hAnsiTheme="majorHAnsi" w:cstheme="majorHAnsi"/>
                <w:szCs w:val="18"/>
              </w:rPr>
              <w:t xml:space="preserve">reduce the time taken to assess </w:t>
            </w:r>
            <w:r w:rsidRPr="00650B9D">
              <w:rPr>
                <w:rFonts w:asciiTheme="majorHAnsi" w:hAnsiTheme="majorHAnsi" w:cstheme="majorHAnsi"/>
                <w:szCs w:val="18"/>
              </w:rPr>
              <w:t>transfer</w:t>
            </w:r>
            <w:r>
              <w:rPr>
                <w:rFonts w:asciiTheme="majorHAnsi" w:hAnsiTheme="majorHAnsi" w:cstheme="majorHAnsi"/>
                <w:szCs w:val="18"/>
              </w:rPr>
              <w:t xml:space="preserve">s across zones, but concluded this </w:t>
            </w:r>
            <w:r w:rsidRPr="00650B9D">
              <w:rPr>
                <w:rFonts w:asciiTheme="majorHAnsi" w:hAnsiTheme="majorHAnsi" w:cstheme="majorHAnsi"/>
                <w:szCs w:val="18"/>
              </w:rPr>
              <w:t xml:space="preserve">would be </w:t>
            </w:r>
            <w:r>
              <w:rPr>
                <w:rFonts w:asciiTheme="majorHAnsi" w:hAnsiTheme="majorHAnsi" w:cstheme="majorHAnsi"/>
                <w:szCs w:val="18"/>
              </w:rPr>
              <w:t xml:space="preserve">too </w:t>
            </w:r>
            <w:r w:rsidRPr="00650B9D">
              <w:rPr>
                <w:rFonts w:asciiTheme="majorHAnsi" w:hAnsiTheme="majorHAnsi" w:cstheme="majorHAnsi"/>
                <w:szCs w:val="18"/>
              </w:rPr>
              <w:t xml:space="preserve">complex given the </w:t>
            </w:r>
            <w:r>
              <w:rPr>
                <w:rFonts w:asciiTheme="majorHAnsi" w:hAnsiTheme="majorHAnsi" w:cstheme="majorHAnsi"/>
                <w:szCs w:val="18"/>
              </w:rPr>
              <w:t xml:space="preserve">large number </w:t>
            </w:r>
            <w:r w:rsidRPr="00650B9D">
              <w:rPr>
                <w:rFonts w:asciiTheme="majorHAnsi" w:hAnsiTheme="majorHAnsi" w:cstheme="majorHAnsi"/>
                <w:szCs w:val="18"/>
              </w:rPr>
              <w:t xml:space="preserve">of </w:t>
            </w:r>
            <w:r>
              <w:rPr>
                <w:rFonts w:asciiTheme="majorHAnsi" w:hAnsiTheme="majorHAnsi" w:cstheme="majorHAnsi"/>
                <w:szCs w:val="18"/>
              </w:rPr>
              <w:t>potential changes that could be sought</w:t>
            </w:r>
            <w:r w:rsidR="00F7735F">
              <w:rPr>
                <w:rFonts w:asciiTheme="majorHAnsi" w:hAnsiTheme="majorHAnsi" w:cstheme="majorHAnsi"/>
                <w:szCs w:val="18"/>
              </w:rPr>
              <w:t>.</w:t>
            </w:r>
          </w:p>
        </w:tc>
      </w:tr>
      <w:tr w:rsidR="002108C5" w14:paraId="74346759" w14:textId="77777777" w:rsidTr="00751EE2">
        <w:trPr>
          <w:cnfStyle w:val="000000010000" w:firstRow="0" w:lastRow="0" w:firstColumn="0" w:lastColumn="0" w:oddVBand="0" w:evenVBand="0" w:oddHBand="0" w:evenHBand="1" w:firstRowFirstColumn="0" w:firstRowLastColumn="0" w:lastRowFirstColumn="0" w:lastRowLastColumn="0"/>
          <w:cantSplit/>
        </w:trPr>
        <w:tc>
          <w:tcPr>
            <w:tcW w:w="873" w:type="pct"/>
          </w:tcPr>
          <w:p w14:paraId="0D54008C" w14:textId="77777777" w:rsidR="002108C5" w:rsidRDefault="002108C5" w:rsidP="002108C5">
            <w:pPr>
              <w:pStyle w:val="TableListNumber"/>
              <w:ind w:left="85"/>
              <w:rPr>
                <w:lang w:eastAsia="fr-CA"/>
              </w:rPr>
            </w:pPr>
            <w:r>
              <w:rPr>
                <w:lang w:eastAsia="fr-CA"/>
              </w:rPr>
              <w:t xml:space="preserve">Limits on requests and charges </w:t>
            </w:r>
          </w:p>
        </w:tc>
        <w:tc>
          <w:tcPr>
            <w:tcW w:w="4127" w:type="pct"/>
          </w:tcPr>
          <w:p w14:paraId="6AA5C2F0" w14:textId="77777777" w:rsidR="002108C5" w:rsidRDefault="00A93ED8" w:rsidP="002108C5">
            <w:pPr>
              <w:pStyle w:val="TableBodyText"/>
              <w:spacing w:before="40" w:after="40"/>
              <w:rPr>
                <w:lang w:eastAsia="fr-CA"/>
              </w:rPr>
            </w:pPr>
            <w:r>
              <w:rPr>
                <w:lang w:eastAsia="fr-CA"/>
              </w:rPr>
              <w:t xml:space="preserve">Some project team members noted that </w:t>
            </w:r>
            <w:r w:rsidR="00C76609">
              <w:rPr>
                <w:lang w:eastAsia="fr-CA"/>
              </w:rPr>
              <w:t xml:space="preserve">rather than limiting the number of </w:t>
            </w:r>
            <w:r>
              <w:rPr>
                <w:lang w:eastAsia="fr-CA"/>
              </w:rPr>
              <w:t xml:space="preserve">requests </w:t>
            </w:r>
            <w:r w:rsidR="00C76609">
              <w:rPr>
                <w:lang w:eastAsia="fr-CA"/>
              </w:rPr>
              <w:t>a shipper can make</w:t>
            </w:r>
            <w:r w:rsidR="00751EE2">
              <w:rPr>
                <w:lang w:eastAsia="fr-CA"/>
              </w:rPr>
              <w:t>,</w:t>
            </w:r>
            <w:r w:rsidR="00C76609">
              <w:rPr>
                <w:lang w:eastAsia="fr-CA"/>
              </w:rPr>
              <w:t xml:space="preserve"> it would be better to charge shippers the incremental costs of carrying out any inve</w:t>
            </w:r>
            <w:r w:rsidR="00751EE2">
              <w:rPr>
                <w:lang w:eastAsia="fr-CA"/>
              </w:rPr>
              <w:t>stigations that may be required.</w:t>
            </w:r>
          </w:p>
        </w:tc>
      </w:tr>
    </w:tbl>
    <w:p w14:paraId="1F78FB0B" w14:textId="77777777" w:rsidR="002108C5" w:rsidRPr="00D1703E" w:rsidRDefault="002108C5" w:rsidP="00206A7F">
      <w:pPr>
        <w:pStyle w:val="Heading6"/>
        <w:rPr>
          <w:color w:val="0099CC"/>
        </w:rPr>
      </w:pPr>
      <w:r>
        <w:rPr>
          <w:color w:val="0099CC"/>
        </w:rPr>
        <w:lastRenderedPageBreak/>
        <w:t xml:space="preserve">GMRG’s preliminary view and questions for stakeholders </w:t>
      </w:r>
    </w:p>
    <w:p w14:paraId="7F439761" w14:textId="77777777" w:rsidR="00206A7F" w:rsidRDefault="00372030" w:rsidP="00206A7F">
      <w:pPr>
        <w:pStyle w:val="BodyText"/>
        <w:keepNext/>
      </w:pPr>
      <w:r>
        <w:t xml:space="preserve">The GMRG understands the concerns the AEMC </w:t>
      </w:r>
      <w:r w:rsidR="00E121A9">
        <w:t xml:space="preserve">has expressed </w:t>
      </w:r>
      <w:r>
        <w:t>about the potential for some aspects of the receipt and delivery point change process to act as an impediment to secondary trade</w:t>
      </w:r>
      <w:r w:rsidR="004C6941">
        <w:t>. Similar concerns have been raised with the GMRG</w:t>
      </w:r>
      <w:r w:rsidR="00206A7F">
        <w:t xml:space="preserve"> in bilateral discussions</w:t>
      </w:r>
      <w:r w:rsidR="004C6941">
        <w:t xml:space="preserve">, with some stakeholders noting that </w:t>
      </w:r>
      <w:r w:rsidR="00EC1488">
        <w:t xml:space="preserve">service providers </w:t>
      </w:r>
      <w:r w:rsidR="004C6941">
        <w:t xml:space="preserve">have a considerable </w:t>
      </w:r>
      <w:r w:rsidR="002E1BA4">
        <w:t xml:space="preserve">degree </w:t>
      </w:r>
      <w:r w:rsidR="004C6941">
        <w:t xml:space="preserve">of discretion in this area and may not have an incentive </w:t>
      </w:r>
      <w:r w:rsidR="00EC1488">
        <w:t xml:space="preserve">to </w:t>
      </w:r>
      <w:r w:rsidR="002E1BA4">
        <w:t xml:space="preserve">consent to changes that </w:t>
      </w:r>
      <w:r w:rsidR="00EC1488">
        <w:t xml:space="preserve">facilitate trade. </w:t>
      </w:r>
    </w:p>
    <w:p w14:paraId="5F1361E4" w14:textId="77777777" w:rsidR="004C6941" w:rsidRDefault="001F034A" w:rsidP="00262EDE">
      <w:pPr>
        <w:pStyle w:val="BodyText"/>
      </w:pPr>
      <w:r>
        <w:t xml:space="preserve">Having said that, there do appear to be some genuine </w:t>
      </w:r>
      <w:r w:rsidR="002E1BA4">
        <w:t xml:space="preserve">technical and commercial </w:t>
      </w:r>
      <w:r w:rsidR="00EC1488">
        <w:t xml:space="preserve">reasons why </w:t>
      </w:r>
      <w:r>
        <w:t>consent may need to be withheld</w:t>
      </w:r>
      <w:r w:rsidR="00F243A1">
        <w:t xml:space="preserve">.  </w:t>
      </w:r>
      <w:r w:rsidR="003548C6">
        <w:t>There also appear to be genuine technical reasons why changes in receipt or delivery points may take more than five business days</w:t>
      </w:r>
      <w:r w:rsidR="00791B5F">
        <w:t xml:space="preserve"> if capacity is transferred to another zone</w:t>
      </w:r>
      <w:r w:rsidR="003548C6">
        <w:t>. The GMRG has therefore sought to take these issues into account when developing its preliminary view on the improvements that could be made to the receipt and delivery point change process to reduce impediments to trade.</w:t>
      </w:r>
    </w:p>
    <w:p w14:paraId="059F5933" w14:textId="77777777" w:rsidR="00E121A9" w:rsidRDefault="003548C6" w:rsidP="00262EDE">
      <w:pPr>
        <w:pStyle w:val="BodyText"/>
      </w:pPr>
      <w:r>
        <w:t xml:space="preserve">The improvements that the GMRG </w:t>
      </w:r>
      <w:r w:rsidR="00E121A9">
        <w:t xml:space="preserve">thinks </w:t>
      </w:r>
      <w:r w:rsidR="00303694">
        <w:t>c</w:t>
      </w:r>
      <w:r w:rsidR="00E121A9">
        <w:t xml:space="preserve">ould be made to this process </w:t>
      </w:r>
      <w:r w:rsidR="000443F1">
        <w:t>will require a number of changes to be made to the NGR to</w:t>
      </w:r>
      <w:r w:rsidR="00E121A9">
        <w:t>:</w:t>
      </w:r>
    </w:p>
    <w:p w14:paraId="4D2DA62F" w14:textId="77777777" w:rsidR="00157379" w:rsidRDefault="00F243A1" w:rsidP="0057020B">
      <w:pPr>
        <w:pStyle w:val="ListNumber"/>
        <w:numPr>
          <w:ilvl w:val="0"/>
          <w:numId w:val="38"/>
        </w:numPr>
      </w:pPr>
      <w:r>
        <w:t xml:space="preserve">Provide </w:t>
      </w:r>
      <w:r w:rsidR="000443F1">
        <w:t>shippers and service providers with g</w:t>
      </w:r>
      <w:r w:rsidR="003548C6">
        <w:t>reater guidance on</w:t>
      </w:r>
      <w:r w:rsidR="00157379">
        <w:t>:</w:t>
      </w:r>
      <w:r w:rsidR="003548C6">
        <w:t xml:space="preserve"> </w:t>
      </w:r>
    </w:p>
    <w:p w14:paraId="6864C80A" w14:textId="77777777" w:rsidR="00333567" w:rsidRDefault="003548C6" w:rsidP="00157379">
      <w:pPr>
        <w:pStyle w:val="ListBullet2"/>
      </w:pPr>
      <w:r>
        <w:t xml:space="preserve">the rights </w:t>
      </w:r>
      <w:r w:rsidR="007D68B7">
        <w:t xml:space="preserve">primary </w:t>
      </w:r>
      <w:r>
        <w:t xml:space="preserve">shippers </w:t>
      </w:r>
      <w:r w:rsidR="00322C60">
        <w:t xml:space="preserve">have </w:t>
      </w:r>
      <w:r>
        <w:t>to seek a change to their receipt or delivery point</w:t>
      </w:r>
      <w:r w:rsidR="0008527D">
        <w:t>s</w:t>
      </w:r>
      <w:r w:rsidR="00791B5F">
        <w:t xml:space="preserve"> (or add a new point)</w:t>
      </w:r>
      <w:r w:rsidR="00333567">
        <w:t>;</w:t>
      </w:r>
    </w:p>
    <w:p w14:paraId="6B4D3CCD" w14:textId="47CD4F14" w:rsidR="00157379" w:rsidRDefault="00333567" w:rsidP="00157379">
      <w:pPr>
        <w:pStyle w:val="ListBullet2"/>
      </w:pPr>
      <w:r>
        <w:t xml:space="preserve">the rights </w:t>
      </w:r>
      <w:r w:rsidR="007D68B7">
        <w:t xml:space="preserve">secondary shippers have to seek a change to their receipt or delivery zones </w:t>
      </w:r>
      <w:r>
        <w:t xml:space="preserve">– </w:t>
      </w:r>
      <w:r w:rsidR="007D68B7">
        <w:t>note that under the zonal model, secondary shippers will have access to all points within a zone</w:t>
      </w:r>
      <w:r>
        <w:t>, so will</w:t>
      </w:r>
      <w:r w:rsidR="007D68B7">
        <w:t xml:space="preserve"> not </w:t>
      </w:r>
      <w:r>
        <w:t>require consent to change a receipt or delivery point within a zone</w:t>
      </w:r>
      <w:r w:rsidR="00157379">
        <w:t>;</w:t>
      </w:r>
      <w:r w:rsidR="003548C6">
        <w:t xml:space="preserve"> and </w:t>
      </w:r>
    </w:p>
    <w:p w14:paraId="0D227B9D" w14:textId="77777777" w:rsidR="00157379" w:rsidRPr="00157379" w:rsidRDefault="003548C6" w:rsidP="00157379">
      <w:pPr>
        <w:pStyle w:val="ListBullet2"/>
        <w:spacing w:before="60" w:after="60"/>
      </w:pPr>
      <w:r>
        <w:t>the circumstance</w:t>
      </w:r>
      <w:r w:rsidR="00157379">
        <w:t>s</w:t>
      </w:r>
      <w:r>
        <w:t xml:space="preserve"> in which a service provider can withhold its consent</w:t>
      </w:r>
      <w:r w:rsidR="00157379">
        <w:t>,</w:t>
      </w:r>
      <w:r w:rsidR="00157379">
        <w:rPr>
          <w:rStyle w:val="FootnoteReference"/>
        </w:rPr>
        <w:footnoteReference w:id="53"/>
      </w:r>
      <w:r>
        <w:t xml:space="preserve"> </w:t>
      </w:r>
      <w:r w:rsidR="00157379">
        <w:t xml:space="preserve">which in </w:t>
      </w:r>
      <w:r w:rsidR="00157379" w:rsidRPr="00157379">
        <w:t xml:space="preserve">the GMRG’s view should only occur if: </w:t>
      </w:r>
    </w:p>
    <w:p w14:paraId="7EECE250" w14:textId="77777777" w:rsidR="00157379" w:rsidRDefault="00322C60" w:rsidP="00E00CFC">
      <w:pPr>
        <w:pStyle w:val="BodyTextSmall"/>
        <w:numPr>
          <w:ilvl w:val="0"/>
          <w:numId w:val="28"/>
        </w:numPr>
        <w:spacing w:before="60" w:after="60"/>
        <w:ind w:left="1071" w:hanging="357"/>
        <w:rPr>
          <w:sz w:val="22"/>
        </w:rPr>
      </w:pPr>
      <w:r>
        <w:rPr>
          <w:sz w:val="22"/>
        </w:rPr>
        <w:t xml:space="preserve">the change </w:t>
      </w:r>
      <w:r w:rsidR="00157379" w:rsidRPr="00157379">
        <w:rPr>
          <w:sz w:val="22"/>
        </w:rPr>
        <w:t>is not technically feasible</w:t>
      </w:r>
      <w:r w:rsidR="00157379">
        <w:rPr>
          <w:sz w:val="22"/>
        </w:rPr>
        <w:t>;</w:t>
      </w:r>
    </w:p>
    <w:p w14:paraId="60B324AD" w14:textId="77777777" w:rsidR="00157379" w:rsidRPr="00503F6A" w:rsidRDefault="00322C60" w:rsidP="00E00CFC">
      <w:pPr>
        <w:pStyle w:val="BodyTextSmall"/>
        <w:numPr>
          <w:ilvl w:val="0"/>
          <w:numId w:val="28"/>
        </w:numPr>
        <w:spacing w:before="60" w:after="60"/>
        <w:ind w:left="1071" w:hanging="357"/>
        <w:rPr>
          <w:sz w:val="22"/>
        </w:rPr>
      </w:pPr>
      <w:r>
        <w:rPr>
          <w:sz w:val="22"/>
        </w:rPr>
        <w:t xml:space="preserve">the change </w:t>
      </w:r>
      <w:r w:rsidR="00157379" w:rsidRPr="00503F6A">
        <w:rPr>
          <w:sz w:val="22"/>
        </w:rPr>
        <w:t xml:space="preserve">would adversely affect </w:t>
      </w:r>
      <w:r w:rsidR="00F5135D">
        <w:rPr>
          <w:sz w:val="22"/>
        </w:rPr>
        <w:t>another shipper’s</w:t>
      </w:r>
      <w:r w:rsidR="00157379" w:rsidRPr="00503F6A">
        <w:rPr>
          <w:sz w:val="22"/>
        </w:rPr>
        <w:t xml:space="preserve"> access; and/or</w:t>
      </w:r>
    </w:p>
    <w:p w14:paraId="5392E660" w14:textId="77777777" w:rsidR="00E121A9" w:rsidRPr="00322C60" w:rsidRDefault="00322C60" w:rsidP="00E00CFC">
      <w:pPr>
        <w:pStyle w:val="BodyTextSmall"/>
        <w:numPr>
          <w:ilvl w:val="0"/>
          <w:numId w:val="28"/>
        </w:numPr>
        <w:spacing w:before="60" w:after="160"/>
        <w:ind w:left="1071" w:hanging="357"/>
        <w:rPr>
          <w:sz w:val="22"/>
        </w:rPr>
      </w:pPr>
      <w:r w:rsidRPr="00322C60">
        <w:rPr>
          <w:sz w:val="22"/>
        </w:rPr>
        <w:t xml:space="preserve">the change </w:t>
      </w:r>
      <w:r w:rsidR="00503F6A" w:rsidRPr="00322C60">
        <w:rPr>
          <w:sz w:val="22"/>
        </w:rPr>
        <w:t>results in the service provider</w:t>
      </w:r>
      <w:r w:rsidRPr="00322C60">
        <w:rPr>
          <w:sz w:val="22"/>
        </w:rPr>
        <w:t xml:space="preserve"> receiving less revenue under </w:t>
      </w:r>
      <w:r w:rsidR="00AB438B" w:rsidRPr="00322C60">
        <w:rPr>
          <w:sz w:val="22"/>
        </w:rPr>
        <w:t>its contract with the shipper</w:t>
      </w:r>
      <w:r>
        <w:rPr>
          <w:rStyle w:val="FootnoteReference"/>
          <w:sz w:val="22"/>
        </w:rPr>
        <w:footnoteReference w:id="54"/>
      </w:r>
      <w:r w:rsidRPr="00322C60">
        <w:rPr>
          <w:sz w:val="22"/>
        </w:rPr>
        <w:t xml:space="preserve"> or incurring additional costs</w:t>
      </w:r>
      <w:r w:rsidR="0018615C">
        <w:rPr>
          <w:sz w:val="22"/>
        </w:rPr>
        <w:t xml:space="preserve"> </w:t>
      </w:r>
      <w:r w:rsidR="00966E86">
        <w:rPr>
          <w:sz w:val="22"/>
        </w:rPr>
        <w:t xml:space="preserve">that </w:t>
      </w:r>
      <w:r w:rsidR="0018615C">
        <w:rPr>
          <w:sz w:val="22"/>
        </w:rPr>
        <w:t>the shipper is not prepared to pay for</w:t>
      </w:r>
      <w:r w:rsidRPr="00322C60">
        <w:rPr>
          <w:sz w:val="22"/>
        </w:rPr>
        <w:t>.</w:t>
      </w:r>
    </w:p>
    <w:p w14:paraId="459CCF6F" w14:textId="3E587635" w:rsidR="00791B5F" w:rsidRDefault="00F243A1" w:rsidP="0057020B">
      <w:pPr>
        <w:pStyle w:val="ListNumber"/>
        <w:numPr>
          <w:ilvl w:val="0"/>
          <w:numId w:val="38"/>
        </w:numPr>
      </w:pPr>
      <w:r>
        <w:t xml:space="preserve">Specify </w:t>
      </w:r>
      <w:r w:rsidR="00791B5F">
        <w:t>the following timeframes for service providers to respond to a request to change a receipt or delivery point</w:t>
      </w:r>
      <w:r w:rsidR="007D68B7">
        <w:t xml:space="preserve"> or zone</w:t>
      </w:r>
      <w:r w:rsidR="00791B5F">
        <w:t>:</w:t>
      </w:r>
    </w:p>
    <w:p w14:paraId="2BCEB802" w14:textId="1BC78B89" w:rsidR="00791B5F" w:rsidRDefault="00791B5F" w:rsidP="00791B5F">
      <w:pPr>
        <w:pStyle w:val="ListBullet2"/>
        <w:spacing w:before="60" w:after="60"/>
      </w:pPr>
      <w:r>
        <w:t>For changes within a zone, service providers should inform shipper</w:t>
      </w:r>
      <w:r w:rsidR="007D68B7">
        <w:t>s</w:t>
      </w:r>
      <w:r>
        <w:t xml:space="preserve"> within five business days of receiving the request whether consent will be granted or not.</w:t>
      </w:r>
    </w:p>
    <w:p w14:paraId="3475E0AC" w14:textId="7EDC6DA7" w:rsidR="00671371" w:rsidRDefault="00791B5F" w:rsidP="00791B5F">
      <w:pPr>
        <w:pStyle w:val="ListBullet2"/>
        <w:spacing w:before="60" w:after="60"/>
      </w:pPr>
      <w:r>
        <w:t>For changes across zones, service providers should inform shipper</w:t>
      </w:r>
      <w:r w:rsidR="007D68B7">
        <w:t>s</w:t>
      </w:r>
      <w:r>
        <w:t xml:space="preserve"> within five </w:t>
      </w:r>
      <w:r w:rsidR="00303694" w:rsidRPr="00503F6A">
        <w:t xml:space="preserve">business days of receiving </w:t>
      </w:r>
      <w:r w:rsidR="00671371" w:rsidRPr="00503F6A">
        <w:t xml:space="preserve">a </w:t>
      </w:r>
      <w:r w:rsidR="00303694" w:rsidRPr="00503F6A">
        <w:t>request</w:t>
      </w:r>
      <w:r w:rsidR="00671371" w:rsidRPr="00503F6A">
        <w:t xml:space="preserve"> whether consent will be granted or not, or if </w:t>
      </w:r>
      <w:r w:rsidR="00E121A9" w:rsidRPr="00503F6A">
        <w:lastRenderedPageBreak/>
        <w:t xml:space="preserve">further </w:t>
      </w:r>
      <w:r w:rsidR="00671371" w:rsidRPr="00503F6A">
        <w:t>investigations</w:t>
      </w:r>
      <w:r w:rsidR="00303694" w:rsidRPr="00503F6A">
        <w:t xml:space="preserve"> </w:t>
      </w:r>
      <w:r w:rsidR="00671371" w:rsidRPr="00503F6A">
        <w:t xml:space="preserve">are </w:t>
      </w:r>
      <w:r w:rsidR="00E121A9" w:rsidRPr="00503F6A">
        <w:t>required</w:t>
      </w:r>
      <w:r w:rsidR="00671371" w:rsidRPr="00503F6A">
        <w:t>. If further inve</w:t>
      </w:r>
      <w:r w:rsidR="00671371">
        <w:t xml:space="preserve">stigations are required, then the service provider should be required to: </w:t>
      </w:r>
    </w:p>
    <w:p w14:paraId="2938E5F3" w14:textId="77777777" w:rsidR="00671371" w:rsidRDefault="00671371" w:rsidP="0057020B">
      <w:pPr>
        <w:pStyle w:val="BodyText"/>
        <w:numPr>
          <w:ilvl w:val="0"/>
          <w:numId w:val="36"/>
        </w:numPr>
        <w:spacing w:before="60" w:after="60"/>
        <w:ind w:left="1071" w:hanging="357"/>
      </w:pPr>
      <w:r>
        <w:t xml:space="preserve">inform the shipper of </w:t>
      </w:r>
      <w:r w:rsidR="0002337C">
        <w:t xml:space="preserve">how long </w:t>
      </w:r>
      <w:r w:rsidR="00322C60">
        <w:t xml:space="preserve">the investigations </w:t>
      </w:r>
      <w:r w:rsidR="0002337C">
        <w:t>are expected to take</w:t>
      </w:r>
      <w:r>
        <w:t xml:space="preserve"> and what, if any, </w:t>
      </w:r>
      <w:r w:rsidR="00303694" w:rsidRPr="00303694">
        <w:t xml:space="preserve">charges the shipper </w:t>
      </w:r>
      <w:r>
        <w:t xml:space="preserve">will be liable </w:t>
      </w:r>
      <w:r w:rsidR="00322C60">
        <w:t>to pay</w:t>
      </w:r>
      <w:r>
        <w:t>; and</w:t>
      </w:r>
    </w:p>
    <w:p w14:paraId="06DA6F5A" w14:textId="77777777" w:rsidR="00E121A9" w:rsidRPr="00303694" w:rsidRDefault="00303694" w:rsidP="0057020B">
      <w:pPr>
        <w:pStyle w:val="BodyText"/>
        <w:numPr>
          <w:ilvl w:val="0"/>
          <w:numId w:val="36"/>
        </w:numPr>
        <w:spacing w:before="60" w:after="60"/>
        <w:ind w:left="1071" w:hanging="357"/>
      </w:pPr>
      <w:r w:rsidRPr="00303694">
        <w:t>provide its final response</w:t>
      </w:r>
      <w:r w:rsidR="00671371">
        <w:t xml:space="preserve"> to the shipper within </w:t>
      </w:r>
      <w:r w:rsidR="0018615C">
        <w:t>20</w:t>
      </w:r>
      <w:r w:rsidR="00322C60">
        <w:t xml:space="preserve"> </w:t>
      </w:r>
      <w:r w:rsidR="0018615C">
        <w:t xml:space="preserve">business </w:t>
      </w:r>
      <w:r w:rsidR="00671371">
        <w:t>days of receiving the request</w:t>
      </w:r>
      <w:r w:rsidR="000443F1">
        <w:t>.</w:t>
      </w:r>
    </w:p>
    <w:p w14:paraId="04EE7B88" w14:textId="74368107" w:rsidR="000443F1" w:rsidRPr="000443F1" w:rsidRDefault="00F7735F" w:rsidP="0057020B">
      <w:pPr>
        <w:pStyle w:val="ListNumber"/>
        <w:numPr>
          <w:ilvl w:val="0"/>
          <w:numId w:val="38"/>
        </w:numPr>
      </w:pPr>
      <w:r>
        <w:t>O</w:t>
      </w:r>
      <w:r w:rsidR="000443F1">
        <w:t xml:space="preserve">verride </w:t>
      </w:r>
      <w:r w:rsidR="000443F1">
        <w:rPr>
          <w:rFonts w:eastAsiaTheme="majorEastAsia"/>
        </w:rPr>
        <w:t xml:space="preserve">restrictions </w:t>
      </w:r>
      <w:r w:rsidR="0002337C">
        <w:rPr>
          <w:rFonts w:eastAsiaTheme="majorEastAsia"/>
        </w:rPr>
        <w:t xml:space="preserve">on the ability shippers have to seek receipt or delivery point changes </w:t>
      </w:r>
      <w:r w:rsidR="000443F1">
        <w:rPr>
          <w:rFonts w:eastAsiaTheme="majorEastAsia"/>
        </w:rPr>
        <w:t xml:space="preserve">that may be in </w:t>
      </w:r>
      <w:r w:rsidR="0002337C">
        <w:rPr>
          <w:rFonts w:eastAsiaTheme="majorEastAsia"/>
        </w:rPr>
        <w:t>primary GTAs</w:t>
      </w:r>
      <w:r>
        <w:rPr>
          <w:rFonts w:eastAsiaTheme="majorEastAsia"/>
        </w:rPr>
        <w:t>.</w:t>
      </w:r>
    </w:p>
    <w:p w14:paraId="4C05CDD9" w14:textId="6CCE4740" w:rsidR="00E121A9" w:rsidRPr="00074CCC" w:rsidRDefault="00F7735F" w:rsidP="0057020B">
      <w:pPr>
        <w:pStyle w:val="ListNumber"/>
        <w:numPr>
          <w:ilvl w:val="0"/>
          <w:numId w:val="38"/>
        </w:numPr>
      </w:pPr>
      <w:r>
        <w:t>R</w:t>
      </w:r>
      <w:r w:rsidR="000443F1">
        <w:t>equire any charges that service providers levy for receipt or delivery point changes</w:t>
      </w:r>
      <w:r w:rsidR="00F5135D">
        <w:t xml:space="preserve"> (or the inclusion of new receipt or delivery points)</w:t>
      </w:r>
      <w:r w:rsidR="0002337C">
        <w:t>,</w:t>
      </w:r>
      <w:r w:rsidR="000443F1">
        <w:t xml:space="preserve"> or to investigate the technical feasibility of such a change to be cost reflective and, so far as reasonably practicable, reflect the outcomes of a workably competitive market</w:t>
      </w:r>
      <w:r w:rsidR="00303694" w:rsidRPr="00303694">
        <w:rPr>
          <w:rFonts w:eastAsiaTheme="majorEastAsia"/>
        </w:rPr>
        <w:t>.</w:t>
      </w:r>
    </w:p>
    <w:p w14:paraId="15B6D593" w14:textId="77777777" w:rsidR="00E121A9" w:rsidRPr="00303694" w:rsidRDefault="00303694" w:rsidP="00262EDE">
      <w:pPr>
        <w:pStyle w:val="BodyText"/>
      </w:pPr>
      <w:r>
        <w:t xml:space="preserve">In the GMRG’s view, </w:t>
      </w:r>
      <w:r w:rsidR="00CD0161">
        <w:t xml:space="preserve">these changes appropriately balance the concerns raised by the AEMC </w:t>
      </w:r>
      <w:r w:rsidR="00503F6A">
        <w:t xml:space="preserve">and other stakeholders </w:t>
      </w:r>
      <w:r w:rsidR="00CD0161">
        <w:t xml:space="preserve">with the legitimate interests of service providers and other shippers that have rights to utilise the pipeline. </w:t>
      </w:r>
      <w:r w:rsidR="00966E86">
        <w:t xml:space="preserve">This is, however, only a preliminary view and the </w:t>
      </w:r>
      <w:r w:rsidR="00CD0161">
        <w:t>GMRG is</w:t>
      </w:r>
      <w:r w:rsidR="00966E86">
        <w:t xml:space="preserve"> </w:t>
      </w:r>
      <w:r w:rsidR="00CD0161">
        <w:t xml:space="preserve">interested in </w:t>
      </w:r>
      <w:r w:rsidR="00966E86">
        <w:t>hearing from stakeholders</w:t>
      </w:r>
      <w:r w:rsidR="00CD0161">
        <w:t xml:space="preserve"> </w:t>
      </w:r>
      <w:r w:rsidR="00966E86">
        <w:t xml:space="preserve">about the </w:t>
      </w:r>
      <w:r w:rsidR="0002337C">
        <w:t xml:space="preserve">proposed changes to the NGR </w:t>
      </w:r>
      <w:r w:rsidR="00CD0161">
        <w:t>and the questions set out in the box below.</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4.4: Questions on the receipt and delivery point change process "/>
        <w:tblDescription w:val="Questions on the receipt and delivery point change process "/>
      </w:tblPr>
      <w:tblGrid>
        <w:gridCol w:w="8788"/>
      </w:tblGrid>
      <w:tr w:rsidR="000F3961" w:rsidRPr="004D73D8" w14:paraId="5F6745AC" w14:textId="77777777" w:rsidTr="0096687D">
        <w:trPr>
          <w:tblHeader/>
        </w:trPr>
        <w:tc>
          <w:tcPr>
            <w:tcW w:w="5000" w:type="pct"/>
            <w:shd w:val="clear" w:color="auto" w:fill="auto"/>
          </w:tcPr>
          <w:p w14:paraId="0DED306C" w14:textId="00A81614" w:rsidR="000F3961" w:rsidRPr="00A022D5" w:rsidRDefault="00625A31" w:rsidP="0096687D">
            <w:pPr>
              <w:pStyle w:val="ListNumber"/>
              <w:keepNext/>
              <w:numPr>
                <w:ilvl w:val="0"/>
                <w:numId w:val="0"/>
              </w:numPr>
              <w:spacing w:after="0"/>
              <w:ind w:left="357" w:hanging="357"/>
              <w:rPr>
                <w:rFonts w:eastAsiaTheme="majorEastAsia"/>
                <w:sz w:val="21"/>
                <w:szCs w:val="21"/>
              </w:rPr>
            </w:pPr>
            <w:bookmarkStart w:id="110" w:name="_Ref492005737"/>
            <w:r>
              <w:rPr>
                <w:b/>
              </w:rPr>
              <w:t xml:space="preserve">Box </w:t>
            </w:r>
            <w:r>
              <w:rPr>
                <w:b/>
              </w:rPr>
              <w:fldChar w:fldCharType="begin"/>
            </w:r>
            <w:r>
              <w:rPr>
                <w:b/>
              </w:rPr>
              <w:instrText xml:space="preserve"> STYLEREF 1 \s </w:instrText>
            </w:r>
            <w:r>
              <w:rPr>
                <w:b/>
              </w:rPr>
              <w:fldChar w:fldCharType="separate"/>
            </w:r>
            <w:r>
              <w:rPr>
                <w:b/>
                <w:noProof/>
              </w:rPr>
              <w:t>4</w:t>
            </w:r>
            <w:r>
              <w:rPr>
                <w:b/>
              </w:rPr>
              <w:fldChar w:fldCharType="end"/>
            </w:r>
            <w:r>
              <w:rPr>
                <w:b/>
              </w:rPr>
              <w:t>.</w:t>
            </w:r>
            <w:r>
              <w:rPr>
                <w:b/>
              </w:rPr>
              <w:fldChar w:fldCharType="begin"/>
            </w:r>
            <w:r>
              <w:rPr>
                <w:b/>
              </w:rPr>
              <w:instrText xml:space="preserve"> SEQ Box \* ARABIC \s 1 </w:instrText>
            </w:r>
            <w:r>
              <w:rPr>
                <w:b/>
              </w:rPr>
              <w:fldChar w:fldCharType="separate"/>
            </w:r>
            <w:r>
              <w:rPr>
                <w:b/>
                <w:noProof/>
              </w:rPr>
              <w:t>4</w:t>
            </w:r>
            <w:r>
              <w:rPr>
                <w:b/>
              </w:rPr>
              <w:fldChar w:fldCharType="end"/>
            </w:r>
            <w:bookmarkEnd w:id="110"/>
            <w:r>
              <w:rPr>
                <w:b/>
              </w:rPr>
              <w:t>: Questions on the receipt and delivery point change process</w:t>
            </w:r>
          </w:p>
        </w:tc>
      </w:tr>
      <w:tr w:rsidR="0096687D" w:rsidRPr="004D73D8" w14:paraId="7192693C" w14:textId="77777777" w:rsidTr="0096687D">
        <w:trPr>
          <w:tblHeader/>
        </w:trPr>
        <w:tc>
          <w:tcPr>
            <w:tcW w:w="5000" w:type="pct"/>
            <w:shd w:val="clear" w:color="auto" w:fill="B7E7FF"/>
          </w:tcPr>
          <w:p w14:paraId="0F5F54C0" w14:textId="77777777" w:rsidR="0096687D" w:rsidRDefault="0096687D" w:rsidP="0096687D">
            <w:pPr>
              <w:pStyle w:val="ListNumber"/>
              <w:keepNext/>
              <w:numPr>
                <w:ilvl w:val="0"/>
                <w:numId w:val="23"/>
              </w:numPr>
              <w:rPr>
                <w:rFonts w:eastAsiaTheme="majorEastAsia"/>
                <w:sz w:val="21"/>
                <w:szCs w:val="21"/>
              </w:rPr>
            </w:pPr>
            <w:r w:rsidRPr="0002337C">
              <w:rPr>
                <w:rFonts w:eastAsiaTheme="majorEastAsia"/>
                <w:sz w:val="21"/>
                <w:szCs w:val="21"/>
              </w:rPr>
              <w:t xml:space="preserve">Do you agree </w:t>
            </w:r>
            <w:r>
              <w:rPr>
                <w:rFonts w:eastAsiaTheme="majorEastAsia"/>
                <w:sz w:val="21"/>
                <w:szCs w:val="21"/>
              </w:rPr>
              <w:t xml:space="preserve">with the proposal to amend the NGR </w:t>
            </w:r>
            <w:r w:rsidRPr="0002337C">
              <w:rPr>
                <w:rFonts w:eastAsiaTheme="majorEastAsia"/>
                <w:sz w:val="21"/>
                <w:szCs w:val="21"/>
              </w:rPr>
              <w:t xml:space="preserve">to </w:t>
            </w:r>
            <w:r>
              <w:rPr>
                <w:rFonts w:eastAsiaTheme="majorEastAsia"/>
                <w:sz w:val="21"/>
                <w:szCs w:val="21"/>
              </w:rPr>
              <w:t>p</w:t>
            </w:r>
            <w:r w:rsidRPr="0002337C">
              <w:rPr>
                <w:rFonts w:eastAsiaTheme="majorEastAsia"/>
                <w:sz w:val="21"/>
                <w:szCs w:val="21"/>
              </w:rPr>
              <w:t>rovide shippers and service providers with greater guidance on the rights shippers have to seek a change</w:t>
            </w:r>
            <w:r>
              <w:rPr>
                <w:rFonts w:eastAsiaTheme="majorEastAsia"/>
                <w:sz w:val="21"/>
                <w:szCs w:val="21"/>
              </w:rPr>
              <w:t>;</w:t>
            </w:r>
            <w:r w:rsidRPr="0002337C">
              <w:rPr>
                <w:rFonts w:eastAsiaTheme="majorEastAsia"/>
                <w:sz w:val="21"/>
                <w:szCs w:val="21"/>
              </w:rPr>
              <w:t xml:space="preserve"> the circumstances in which a service provider can withhold its consent</w:t>
            </w:r>
            <w:r>
              <w:rPr>
                <w:rFonts w:eastAsiaTheme="majorEastAsia"/>
                <w:sz w:val="21"/>
                <w:szCs w:val="21"/>
              </w:rPr>
              <w:t>, the time service providers should have to respond and the level of any charges that can be recovered from shippers</w:t>
            </w:r>
            <w:r w:rsidRPr="0002337C">
              <w:rPr>
                <w:rFonts w:eastAsiaTheme="majorEastAsia"/>
                <w:sz w:val="21"/>
                <w:szCs w:val="21"/>
              </w:rPr>
              <w:t>?</w:t>
            </w:r>
            <w:r>
              <w:rPr>
                <w:rFonts w:eastAsiaTheme="majorEastAsia"/>
                <w:sz w:val="21"/>
                <w:szCs w:val="21"/>
              </w:rPr>
              <w:t xml:space="preserve"> If not, please explain why. </w:t>
            </w:r>
          </w:p>
          <w:p w14:paraId="5742FD00" w14:textId="77777777" w:rsidR="0096687D" w:rsidRDefault="0096687D" w:rsidP="0096687D">
            <w:pPr>
              <w:pStyle w:val="ListNumber"/>
              <w:keepNext/>
              <w:numPr>
                <w:ilvl w:val="0"/>
                <w:numId w:val="23"/>
              </w:numPr>
              <w:rPr>
                <w:sz w:val="21"/>
                <w:szCs w:val="21"/>
              </w:rPr>
            </w:pPr>
            <w:r w:rsidRPr="0018615C">
              <w:rPr>
                <w:rFonts w:eastAsiaTheme="majorEastAsia"/>
                <w:sz w:val="21"/>
                <w:szCs w:val="21"/>
              </w:rPr>
              <w:t xml:space="preserve">Do you agree that service providers should be able to withhold their consent if the </w:t>
            </w:r>
            <w:r w:rsidRPr="0018615C">
              <w:rPr>
                <w:sz w:val="21"/>
                <w:szCs w:val="21"/>
              </w:rPr>
              <w:t xml:space="preserve">change is not technically feasible or </w:t>
            </w:r>
            <w:r>
              <w:rPr>
                <w:sz w:val="21"/>
                <w:szCs w:val="21"/>
              </w:rPr>
              <w:t xml:space="preserve">if </w:t>
            </w:r>
            <w:r w:rsidRPr="0018615C">
              <w:rPr>
                <w:sz w:val="21"/>
                <w:szCs w:val="21"/>
              </w:rPr>
              <w:t>the change would adversely affect other shippers’ access to services</w:t>
            </w:r>
            <w:r>
              <w:rPr>
                <w:sz w:val="21"/>
                <w:szCs w:val="21"/>
              </w:rPr>
              <w:t>?</w:t>
            </w:r>
          </w:p>
          <w:p w14:paraId="3FF0CC21" w14:textId="77777777" w:rsidR="0096687D" w:rsidRPr="00125FCE" w:rsidRDefault="0096687D" w:rsidP="0096687D">
            <w:pPr>
              <w:pStyle w:val="ListNumber"/>
              <w:keepNext/>
              <w:numPr>
                <w:ilvl w:val="0"/>
                <w:numId w:val="23"/>
              </w:numPr>
              <w:rPr>
                <w:sz w:val="21"/>
                <w:szCs w:val="21"/>
              </w:rPr>
            </w:pPr>
            <w:r w:rsidRPr="00125FCE">
              <w:rPr>
                <w:sz w:val="21"/>
                <w:szCs w:val="21"/>
              </w:rPr>
              <w:t>Do you agree with the proposed limitation of commercial considerations (i.e. consent can be withheld if the service provider receiv</w:t>
            </w:r>
            <w:r>
              <w:rPr>
                <w:sz w:val="21"/>
                <w:szCs w:val="21"/>
              </w:rPr>
              <w:t>es</w:t>
            </w:r>
            <w:r w:rsidRPr="00125FCE">
              <w:rPr>
                <w:sz w:val="21"/>
                <w:szCs w:val="21"/>
              </w:rPr>
              <w:t xml:space="preserve"> less revenue under its contract with the shipper or </w:t>
            </w:r>
            <w:r>
              <w:rPr>
                <w:sz w:val="21"/>
                <w:szCs w:val="21"/>
              </w:rPr>
              <w:t xml:space="preserve">incurs </w:t>
            </w:r>
            <w:r w:rsidRPr="00125FCE">
              <w:rPr>
                <w:sz w:val="21"/>
                <w:szCs w:val="21"/>
              </w:rPr>
              <w:t>additional costs and the shipper is not prepared to pay for any shortfall</w:t>
            </w:r>
            <w:r>
              <w:rPr>
                <w:sz w:val="21"/>
                <w:szCs w:val="21"/>
              </w:rPr>
              <w:t>)? If not, please explain why.</w:t>
            </w:r>
          </w:p>
          <w:p w14:paraId="13D3F3BE" w14:textId="77777777" w:rsidR="0096687D" w:rsidRPr="0018615C" w:rsidRDefault="0096687D" w:rsidP="0096687D">
            <w:pPr>
              <w:pStyle w:val="ListNumber"/>
              <w:keepNext/>
              <w:numPr>
                <w:ilvl w:val="0"/>
                <w:numId w:val="23"/>
              </w:numPr>
              <w:rPr>
                <w:sz w:val="21"/>
                <w:szCs w:val="21"/>
              </w:rPr>
            </w:pPr>
            <w:r>
              <w:rPr>
                <w:sz w:val="21"/>
                <w:szCs w:val="21"/>
              </w:rPr>
              <w:t>A</w:t>
            </w:r>
            <w:r w:rsidRPr="0018615C">
              <w:rPr>
                <w:sz w:val="21"/>
                <w:szCs w:val="21"/>
              </w:rPr>
              <w:t xml:space="preserve">re there </w:t>
            </w:r>
            <w:r>
              <w:rPr>
                <w:sz w:val="21"/>
                <w:szCs w:val="21"/>
              </w:rPr>
              <w:t xml:space="preserve">any </w:t>
            </w:r>
            <w:r w:rsidRPr="0018615C">
              <w:rPr>
                <w:sz w:val="21"/>
                <w:szCs w:val="21"/>
              </w:rPr>
              <w:t>other reasons why you think consent should be able to be withheld by a service provider?</w:t>
            </w:r>
          </w:p>
          <w:p w14:paraId="453A8D20" w14:textId="77777777" w:rsidR="0096687D" w:rsidRDefault="0096687D" w:rsidP="0096687D">
            <w:pPr>
              <w:pStyle w:val="ListNumber"/>
              <w:keepNext/>
              <w:numPr>
                <w:ilvl w:val="0"/>
                <w:numId w:val="23"/>
              </w:numPr>
              <w:rPr>
                <w:rFonts w:eastAsiaTheme="majorEastAsia"/>
                <w:sz w:val="21"/>
                <w:szCs w:val="21"/>
              </w:rPr>
            </w:pPr>
            <w:r w:rsidRPr="0018615C">
              <w:rPr>
                <w:rFonts w:eastAsiaTheme="majorEastAsia"/>
                <w:sz w:val="21"/>
                <w:szCs w:val="21"/>
              </w:rPr>
              <w:t xml:space="preserve">Do you think the </w:t>
            </w:r>
            <w:r>
              <w:rPr>
                <w:rFonts w:eastAsiaTheme="majorEastAsia"/>
                <w:sz w:val="21"/>
                <w:szCs w:val="21"/>
              </w:rPr>
              <w:t>timeframe</w:t>
            </w:r>
            <w:r w:rsidRPr="0018615C">
              <w:rPr>
                <w:rFonts w:eastAsiaTheme="majorEastAsia"/>
                <w:sz w:val="21"/>
                <w:szCs w:val="21"/>
              </w:rPr>
              <w:t xml:space="preserve"> that </w:t>
            </w:r>
            <w:r>
              <w:rPr>
                <w:rFonts w:eastAsiaTheme="majorEastAsia"/>
                <w:sz w:val="21"/>
                <w:szCs w:val="21"/>
              </w:rPr>
              <w:t xml:space="preserve">has been proposed for service providers to respond to requests to transfer receipt or delivery points: </w:t>
            </w:r>
          </w:p>
          <w:p w14:paraId="7244DAF1" w14:textId="77777777" w:rsidR="0096687D" w:rsidRPr="00966E86" w:rsidRDefault="0096687D" w:rsidP="0096687D">
            <w:pPr>
              <w:pStyle w:val="Bullet2b0"/>
            </w:pPr>
            <w:r w:rsidRPr="00966E86">
              <w:t>within a zone is appropriate</w:t>
            </w:r>
            <w:r>
              <w:t xml:space="preserve"> (i.e. within five business days)</w:t>
            </w:r>
            <w:r w:rsidRPr="00966E86">
              <w:t>? If not, please explain why.</w:t>
            </w:r>
          </w:p>
          <w:p w14:paraId="569032FB" w14:textId="77777777" w:rsidR="0096687D" w:rsidRPr="00966E86" w:rsidRDefault="0096687D" w:rsidP="0096687D">
            <w:pPr>
              <w:pStyle w:val="Bullet2b0"/>
            </w:pPr>
            <w:r>
              <w:t xml:space="preserve">across </w:t>
            </w:r>
            <w:r w:rsidRPr="00966E86">
              <w:t>a zone is appropriate</w:t>
            </w:r>
            <w:r>
              <w:t xml:space="preserve"> (i.e. within five business days for an initial response and up to 20 business days for a final response)</w:t>
            </w:r>
            <w:r w:rsidRPr="00966E86">
              <w:t xml:space="preserve">? If not, please explain why. </w:t>
            </w:r>
          </w:p>
          <w:p w14:paraId="406AD4C9" w14:textId="77777777" w:rsidR="0096687D" w:rsidRDefault="0096687D" w:rsidP="0096687D">
            <w:pPr>
              <w:pStyle w:val="ListBullet2"/>
              <w:keepNext/>
              <w:numPr>
                <w:ilvl w:val="0"/>
                <w:numId w:val="23"/>
              </w:numPr>
              <w:rPr>
                <w:rFonts w:eastAsiaTheme="majorEastAsia"/>
                <w:sz w:val="21"/>
                <w:szCs w:val="21"/>
              </w:rPr>
            </w:pPr>
            <w:r>
              <w:rPr>
                <w:rFonts w:eastAsiaTheme="majorEastAsia"/>
                <w:sz w:val="21"/>
                <w:szCs w:val="21"/>
              </w:rPr>
              <w:t>Do you think provisions should be included in the NGR to override any contractual limitations on shippers seeking changes to receipt and delivery points?</w:t>
            </w:r>
            <w:r w:rsidRPr="004D73D8">
              <w:rPr>
                <w:rFonts w:eastAsiaTheme="majorEastAsia"/>
                <w:sz w:val="21"/>
                <w:szCs w:val="21"/>
              </w:rPr>
              <w:t xml:space="preserve"> </w:t>
            </w:r>
          </w:p>
          <w:p w14:paraId="32BC0180" w14:textId="5D71F0CB" w:rsidR="0096687D" w:rsidRPr="0096687D" w:rsidRDefault="0096687D" w:rsidP="0096687D">
            <w:pPr>
              <w:pStyle w:val="ListBullet2"/>
              <w:keepNext/>
              <w:numPr>
                <w:ilvl w:val="0"/>
                <w:numId w:val="23"/>
              </w:numPr>
              <w:rPr>
                <w:rFonts w:eastAsiaTheme="majorEastAsia"/>
                <w:sz w:val="21"/>
                <w:szCs w:val="21"/>
              </w:rPr>
            </w:pPr>
            <w:r w:rsidRPr="0096687D">
              <w:rPr>
                <w:rFonts w:eastAsiaTheme="majorEastAsia"/>
                <w:sz w:val="21"/>
                <w:szCs w:val="21"/>
              </w:rPr>
              <w:t>Are there any other steps that you think could be taken to reduce the impediments to secondary trading currently posed by the receipt and delivery point change process?</w:t>
            </w:r>
          </w:p>
        </w:tc>
      </w:tr>
    </w:tbl>
    <w:p w14:paraId="17E8B84B" w14:textId="77777777" w:rsidR="000F3961" w:rsidRDefault="000F3961" w:rsidP="00B34DD2">
      <w:pPr>
        <w:pStyle w:val="BodyText"/>
        <w:keepNext/>
        <w:spacing w:before="0" w:after="60" w:line="252" w:lineRule="auto"/>
        <w:rPr>
          <w:b/>
        </w:rPr>
      </w:pPr>
    </w:p>
    <w:bookmarkEnd w:id="98"/>
    <w:bookmarkEnd w:id="99"/>
    <w:p w14:paraId="55F2E2CC" w14:textId="77777777" w:rsidR="008200C8" w:rsidRDefault="008200C8" w:rsidP="008200C8">
      <w:pPr>
        <w:pStyle w:val="BodyText"/>
      </w:pPr>
      <w:r>
        <w:br w:type="page"/>
      </w:r>
    </w:p>
    <w:p w14:paraId="61F385DF" w14:textId="77777777" w:rsidR="008200C8" w:rsidRDefault="0088219D" w:rsidP="008200C8">
      <w:pPr>
        <w:pStyle w:val="Heading1"/>
        <w:ind w:right="-143"/>
      </w:pPr>
      <w:bookmarkStart w:id="111" w:name="_Toc492524747"/>
      <w:r>
        <w:lastRenderedPageBreak/>
        <w:t xml:space="preserve">Other Measures to Reduce Barriers to </w:t>
      </w:r>
      <w:r w:rsidR="00452E80">
        <w:t>Trade</w:t>
      </w:r>
      <w:bookmarkEnd w:id="111"/>
    </w:p>
    <w:p w14:paraId="5663AD14" w14:textId="77777777" w:rsidR="00E52016" w:rsidRPr="00E15C33" w:rsidRDefault="00E52016" w:rsidP="008200C8">
      <w:pPr>
        <w:pStyle w:val="BodyText"/>
      </w:pPr>
      <w:r>
        <w:t xml:space="preserve">In addition to the measures outlined in </w:t>
      </w:r>
      <w:r w:rsidR="00452E80">
        <w:t>c</w:t>
      </w:r>
      <w:r>
        <w:t>hapters 3</w:t>
      </w:r>
      <w:r w:rsidR="00452E80">
        <w:t xml:space="preserve"> and 4</w:t>
      </w:r>
      <w:r>
        <w:t>, the</w:t>
      </w:r>
      <w:r w:rsidR="001631C0">
        <w:t xml:space="preserve">re are a </w:t>
      </w:r>
      <w:r>
        <w:t>number of other measures that could be implemented to reduce the barriers to secondary capacity</w:t>
      </w:r>
      <w:r w:rsidR="002C7228">
        <w:t xml:space="preserve"> trading and participation in the day-ahead auction</w:t>
      </w:r>
      <w:r>
        <w:t xml:space="preserve">. These </w:t>
      </w:r>
      <w:r w:rsidRPr="00E15C33">
        <w:t>measures include:</w:t>
      </w:r>
    </w:p>
    <w:p w14:paraId="48F3B5C7" w14:textId="77777777" w:rsidR="00E52016" w:rsidRPr="00E15C33" w:rsidRDefault="00452E80" w:rsidP="00E52016">
      <w:pPr>
        <w:pStyle w:val="ListBullet"/>
      </w:pPr>
      <w:r w:rsidRPr="00E15C33">
        <w:t xml:space="preserve">improving </w:t>
      </w:r>
      <w:r w:rsidR="004C4A76">
        <w:t xml:space="preserve">access to </w:t>
      </w:r>
      <w:r w:rsidRPr="00E15C33">
        <w:t>a</w:t>
      </w:r>
      <w:r w:rsidR="00E52016" w:rsidRPr="00E15C33">
        <w:t>llocation agreements</w:t>
      </w:r>
      <w:r w:rsidR="007E377A">
        <w:t xml:space="preserve"> and receipt and delivery points</w:t>
      </w:r>
      <w:r w:rsidRPr="00E15C33">
        <w:t>;</w:t>
      </w:r>
      <w:r w:rsidR="00E52016" w:rsidRPr="00E15C33">
        <w:t xml:space="preserve"> </w:t>
      </w:r>
    </w:p>
    <w:p w14:paraId="48916125" w14:textId="77777777" w:rsidR="00E52016" w:rsidRPr="00E15C33" w:rsidRDefault="00452E80" w:rsidP="00E52016">
      <w:pPr>
        <w:pStyle w:val="ListBullet"/>
      </w:pPr>
      <w:r w:rsidRPr="00E15C33">
        <w:t xml:space="preserve">providing shippers with </w:t>
      </w:r>
      <w:r w:rsidR="0076364B" w:rsidRPr="00E15C33">
        <w:t xml:space="preserve">more options to deal with imbalances; </w:t>
      </w:r>
    </w:p>
    <w:p w14:paraId="0C4897B8" w14:textId="77777777" w:rsidR="00E52016" w:rsidRDefault="0076364B" w:rsidP="00E52016">
      <w:pPr>
        <w:pStyle w:val="ListBullet"/>
      </w:pPr>
      <w:r w:rsidRPr="00E15C33">
        <w:t>h</w:t>
      </w:r>
      <w:r w:rsidR="00E52016" w:rsidRPr="00E15C33">
        <w:t>armonising gas day start time</w:t>
      </w:r>
      <w:r w:rsidRPr="00E15C33">
        <w:t>s</w:t>
      </w:r>
      <w:r w:rsidR="00E52016" w:rsidRPr="00E15C33">
        <w:t xml:space="preserve"> and nomination </w:t>
      </w:r>
      <w:r w:rsidRPr="00E15C33">
        <w:t xml:space="preserve">cut-off </w:t>
      </w:r>
      <w:r w:rsidR="00E52016" w:rsidRPr="00E15C33">
        <w:t>times</w:t>
      </w:r>
      <w:r w:rsidRPr="00E15C33">
        <w:t xml:space="preserve"> across jurisdictions</w:t>
      </w:r>
      <w:r w:rsidR="001631C0">
        <w:t>; and</w:t>
      </w:r>
    </w:p>
    <w:p w14:paraId="57F12810" w14:textId="77777777" w:rsidR="001631C0" w:rsidRPr="00E15C33" w:rsidRDefault="001044BF" w:rsidP="00E52016">
      <w:pPr>
        <w:pStyle w:val="ListBullet"/>
      </w:pPr>
      <w:r>
        <w:t xml:space="preserve">addressing </w:t>
      </w:r>
      <w:r w:rsidR="00CC0B85">
        <w:t xml:space="preserve">other contractual </w:t>
      </w:r>
      <w:r>
        <w:t xml:space="preserve">impediments to </w:t>
      </w:r>
      <w:r w:rsidR="00CC0B85">
        <w:t xml:space="preserve">trade </w:t>
      </w:r>
      <w:r w:rsidR="001631C0">
        <w:t>in primary GTAs.</w:t>
      </w:r>
    </w:p>
    <w:p w14:paraId="599ACCD2" w14:textId="77777777" w:rsidR="008200C8" w:rsidRDefault="00E52016" w:rsidP="008200C8">
      <w:pPr>
        <w:pStyle w:val="BodyText"/>
      </w:pPr>
      <w:r>
        <w:t>The remainder of this chapter provides further detail on the</w:t>
      </w:r>
      <w:r w:rsidR="0076364B">
        <w:t>se</w:t>
      </w:r>
      <w:r>
        <w:t xml:space="preserve"> measures.</w:t>
      </w:r>
    </w:p>
    <w:p w14:paraId="22B07A6B" w14:textId="77777777" w:rsidR="008200C8" w:rsidRDefault="0088219D" w:rsidP="007E377A">
      <w:pPr>
        <w:pStyle w:val="Heading2"/>
        <w:spacing w:before="0" w:after="0"/>
      </w:pPr>
      <w:bookmarkStart w:id="112" w:name="_Ref491759111"/>
      <w:bookmarkStart w:id="113" w:name="_Toc492524748"/>
      <w:r>
        <w:t>Allocation agreements</w:t>
      </w:r>
      <w:r w:rsidR="007E377A">
        <w:t xml:space="preserve"> and access to receipt/delivery points</w:t>
      </w:r>
      <w:bookmarkEnd w:id="112"/>
      <w:bookmarkEnd w:id="113"/>
    </w:p>
    <w:p w14:paraId="67552473" w14:textId="77777777" w:rsidR="00BB3C99" w:rsidRDefault="004C4A76" w:rsidP="00F270C5">
      <w:pPr>
        <w:pStyle w:val="BodyText"/>
      </w:pPr>
      <w:r>
        <w:t xml:space="preserve">Allocation agreements </w:t>
      </w:r>
      <w:r w:rsidR="00F270C5">
        <w:t xml:space="preserve">specify </w:t>
      </w:r>
      <w:r>
        <w:t xml:space="preserve">the rules that </w:t>
      </w:r>
      <w:r w:rsidR="00924E75">
        <w:t xml:space="preserve">are to </w:t>
      </w:r>
      <w:r>
        <w:t xml:space="preserve">be used </w:t>
      </w:r>
      <w:r w:rsidR="00F37CE1">
        <w:t>by the allocation agent</w:t>
      </w:r>
      <w:r w:rsidR="00F37CE1">
        <w:rPr>
          <w:rStyle w:val="FootnoteReference"/>
        </w:rPr>
        <w:footnoteReference w:id="55"/>
      </w:r>
      <w:r w:rsidR="00F37CE1">
        <w:t xml:space="preserve"> </w:t>
      </w:r>
      <w:r>
        <w:t xml:space="preserve">to allocate </w:t>
      </w:r>
      <w:r w:rsidR="00F270C5">
        <w:t xml:space="preserve">gas </w:t>
      </w:r>
      <w:r w:rsidR="00E16FB5">
        <w:t xml:space="preserve">that is metered as having </w:t>
      </w:r>
      <w:r>
        <w:t>been</w:t>
      </w:r>
      <w:r w:rsidR="00E16FB5">
        <w:t xml:space="preserve"> </w:t>
      </w:r>
      <w:r w:rsidR="00F270C5">
        <w:t xml:space="preserve">supplied </w:t>
      </w:r>
      <w:r>
        <w:t xml:space="preserve">to a </w:t>
      </w:r>
      <w:r w:rsidR="00F37CE1">
        <w:t xml:space="preserve">multi-user </w:t>
      </w:r>
      <w:r w:rsidR="00F270C5">
        <w:t xml:space="preserve">receipt </w:t>
      </w:r>
      <w:r>
        <w:t xml:space="preserve">or </w:t>
      </w:r>
      <w:r w:rsidR="00F270C5">
        <w:t>delivery point</w:t>
      </w:r>
      <w:r w:rsidR="00F37CE1">
        <w:t xml:space="preserve"> between shippers using these points</w:t>
      </w:r>
      <w:r w:rsidR="00912EA2">
        <w:t xml:space="preserve"> (for example, allocating on a pro-rata basis using shipper nominations or scheduled quantities)</w:t>
      </w:r>
      <w:r w:rsidR="00F270C5">
        <w:t>. The GMRG understands that</w:t>
      </w:r>
      <w:r w:rsidR="009E0991">
        <w:t xml:space="preserve"> the scope of the allocation agreements and the allocation rules specified therein can vary markedly</w:t>
      </w:r>
      <w:r w:rsidR="00924E75">
        <w:t xml:space="preserve"> across receipt and delivery points</w:t>
      </w:r>
      <w:r w:rsidR="009E0991">
        <w:t>. The GMRG also understands that:</w:t>
      </w:r>
      <w:r w:rsidR="00F270C5">
        <w:t xml:space="preserve"> </w:t>
      </w:r>
    </w:p>
    <w:p w14:paraId="486437DA" w14:textId="77777777" w:rsidR="00BB3C99" w:rsidRDefault="00F37CE1" w:rsidP="001C4E1C">
      <w:pPr>
        <w:pStyle w:val="ListBullet"/>
      </w:pPr>
      <w:r>
        <w:t>S</w:t>
      </w:r>
      <w:r w:rsidR="00BB3C99">
        <w:t>hippers wish</w:t>
      </w:r>
      <w:r>
        <w:t>ing</w:t>
      </w:r>
      <w:r w:rsidR="00BB3C99">
        <w:t xml:space="preserve"> to </w:t>
      </w:r>
      <w:r>
        <w:t>transport</w:t>
      </w:r>
      <w:r w:rsidR="00BB3C99">
        <w:t xml:space="preserve"> gas to or from </w:t>
      </w:r>
      <w:r>
        <w:t xml:space="preserve">a multi-user receipt or delivery point </w:t>
      </w:r>
      <w:r w:rsidR="00BB3C99">
        <w:t>must be a party to the allocation agreement to nominate gas at this point.</w:t>
      </w:r>
      <w:r w:rsidR="001C4E1C">
        <w:t xml:space="preserve"> </w:t>
      </w:r>
      <w:r w:rsidR="00125FCE">
        <w:t>I</w:t>
      </w:r>
      <w:r w:rsidR="00BB3C99">
        <w:t>f there is no agreement</w:t>
      </w:r>
      <w:r w:rsidR="00125FCE">
        <w:t xml:space="preserve"> in place at a delivery point then </w:t>
      </w:r>
      <w:r w:rsidR="00BB3C99">
        <w:t xml:space="preserve">pipeline operators </w:t>
      </w:r>
      <w:r w:rsidR="00125FCE">
        <w:t xml:space="preserve">can </w:t>
      </w:r>
      <w:r>
        <w:t>apply</w:t>
      </w:r>
      <w:r w:rsidR="00BB3C99">
        <w:t xml:space="preserve"> a default allocation rule. </w:t>
      </w:r>
      <w:r w:rsidR="00125FCE">
        <w:t>The default rule cannot, however, be applied at most receipt points because these points are controlled by the producers at that point.</w:t>
      </w:r>
    </w:p>
    <w:p w14:paraId="47BF8B80" w14:textId="440327EB" w:rsidR="00BB3C99" w:rsidRDefault="00BB3C99" w:rsidP="009466E7">
      <w:pPr>
        <w:pStyle w:val="ListBullet"/>
      </w:pPr>
      <w:r>
        <w:t xml:space="preserve">Contribution agreements may be used in conjunction </w:t>
      </w:r>
      <w:r w:rsidR="009E0991">
        <w:t>with</w:t>
      </w:r>
      <w:r w:rsidR="005B364C">
        <w:t xml:space="preserve"> </w:t>
      </w:r>
      <w:r>
        <w:t>allocation agreement</w:t>
      </w:r>
      <w:r w:rsidR="00E36FD2">
        <w:t>s</w:t>
      </w:r>
      <w:r w:rsidR="00F37CE1">
        <w:t xml:space="preserve"> at points </w:t>
      </w:r>
      <w:r>
        <w:t>where shippers have invested in the construction of a receipt or delivery point</w:t>
      </w:r>
      <w:r w:rsidR="00F37CE1">
        <w:t xml:space="preserve"> and include a fee for use of the point</w:t>
      </w:r>
      <w:r>
        <w:t>.</w:t>
      </w:r>
      <w:r w:rsidR="001C4E1C">
        <w:t xml:space="preserve"> Access to these points may, depending on the arrangement that has been reached with the service provider, require the approval of the shipper(s) that funded the point, or may just require a contribution to the costs.</w:t>
      </w:r>
    </w:p>
    <w:p w14:paraId="1A577728" w14:textId="77777777" w:rsidR="00BB3C99" w:rsidRDefault="00BB3C99" w:rsidP="009466E7">
      <w:pPr>
        <w:pStyle w:val="ListBullet"/>
      </w:pPr>
      <w:r>
        <w:t xml:space="preserve">Some allocation agreements </w:t>
      </w:r>
      <w:r w:rsidR="00F37CE1">
        <w:t xml:space="preserve">provide for </w:t>
      </w:r>
      <w:r>
        <w:t>sub-allocation levels</w:t>
      </w:r>
      <w:r w:rsidR="00F37CE1">
        <w:t xml:space="preserve"> and accord the </w:t>
      </w:r>
      <w:r>
        <w:t xml:space="preserve">shipper </w:t>
      </w:r>
      <w:r w:rsidR="00F37CE1">
        <w:t xml:space="preserve">responsibility </w:t>
      </w:r>
      <w:r>
        <w:t xml:space="preserve">for sub-allocating the gas </w:t>
      </w:r>
      <w:r w:rsidR="00F37CE1">
        <w:t xml:space="preserve">to </w:t>
      </w:r>
      <w:r>
        <w:t>parties they have traded with.</w:t>
      </w:r>
    </w:p>
    <w:p w14:paraId="28830237" w14:textId="77777777" w:rsidR="009E0991" w:rsidRDefault="00F37CE1" w:rsidP="009E0991">
      <w:pPr>
        <w:pStyle w:val="BodyText"/>
      </w:pPr>
      <w:r>
        <w:t xml:space="preserve">In the </w:t>
      </w:r>
      <w:r w:rsidR="005E3347" w:rsidRPr="005E3347">
        <w:rPr>
          <w:i/>
        </w:rPr>
        <w:t>East Coast Review</w:t>
      </w:r>
      <w:r>
        <w:t xml:space="preserve">, the AEMC noted that some changes to </w:t>
      </w:r>
      <w:r w:rsidR="00924E75">
        <w:t xml:space="preserve">these </w:t>
      </w:r>
      <w:r>
        <w:t xml:space="preserve">agreements may be required to enable capacity to be traded and to </w:t>
      </w:r>
      <w:r w:rsidR="00924E75">
        <w:t>facilitate</w:t>
      </w:r>
      <w:r>
        <w:t xml:space="preserve"> greater receipt and delivery point flexibility.</w:t>
      </w:r>
      <w:r>
        <w:rPr>
          <w:rStyle w:val="FootnoteReference"/>
        </w:rPr>
        <w:footnoteReference w:id="56"/>
      </w:r>
      <w:r>
        <w:t xml:space="preserve"> </w:t>
      </w:r>
      <w:r w:rsidR="00924E75">
        <w:t xml:space="preserve">These issues were discussed with the </w:t>
      </w:r>
      <w:r w:rsidR="009E0991">
        <w:t>Standardisation project team</w:t>
      </w:r>
      <w:r w:rsidR="00924E75">
        <w:t xml:space="preserve">, who informed the GMRG that </w:t>
      </w:r>
      <w:r w:rsidR="009E0991">
        <w:t xml:space="preserve">allocation agreements may act as an impediment to </w:t>
      </w:r>
      <w:r w:rsidR="00924E75">
        <w:t xml:space="preserve">capacity trading </w:t>
      </w:r>
      <w:r w:rsidR="009E0991">
        <w:t xml:space="preserve">because: </w:t>
      </w:r>
    </w:p>
    <w:p w14:paraId="44F8B2CD" w14:textId="77777777" w:rsidR="009E0991" w:rsidRDefault="009E0991" w:rsidP="00E16FB5">
      <w:pPr>
        <w:pStyle w:val="ListBullet"/>
      </w:pPr>
      <w:r>
        <w:t xml:space="preserve">there is limited publicly available information on allocation agreements </w:t>
      </w:r>
      <w:r w:rsidR="00F243A1">
        <w:t xml:space="preserve">or </w:t>
      </w:r>
      <w:r>
        <w:t xml:space="preserve">the </w:t>
      </w:r>
      <w:r w:rsidR="00BB3C99">
        <w:t xml:space="preserve">process </w:t>
      </w:r>
      <w:r>
        <w:t>a shipper needs to follow and who it needs to contact to become a party to an allocation agreement at a particular point</w:t>
      </w:r>
      <w:r w:rsidR="00E16FB5">
        <w:t xml:space="preserve">; </w:t>
      </w:r>
    </w:p>
    <w:p w14:paraId="13F02C81" w14:textId="77777777" w:rsidR="001C4E1C" w:rsidRDefault="0088300B" w:rsidP="00E16FB5">
      <w:pPr>
        <w:pStyle w:val="ListBullet"/>
      </w:pPr>
      <w:r>
        <w:lastRenderedPageBreak/>
        <w:t xml:space="preserve">there are some allocation agreements that restrict </w:t>
      </w:r>
      <w:r w:rsidR="006356E3">
        <w:t xml:space="preserve">the number of shippers that can </w:t>
      </w:r>
      <w:r w:rsidR="00E11693">
        <w:t>become a party to the agreement</w:t>
      </w:r>
      <w:r w:rsidR="006356E3">
        <w:t xml:space="preserve">, or otherwise </w:t>
      </w:r>
      <w:r w:rsidR="001C4E1C">
        <w:t>limit</w:t>
      </w:r>
      <w:r w:rsidR="006356E3">
        <w:t xml:space="preserve"> access to a particular receipt or delivery point</w:t>
      </w:r>
      <w:r w:rsidR="006356E3" w:rsidRPr="006356E3">
        <w:t xml:space="preserve"> </w:t>
      </w:r>
      <w:r w:rsidR="001C4E1C">
        <w:t xml:space="preserve">- </w:t>
      </w:r>
      <w:r w:rsidR="006356E3">
        <w:t>it was noted that this tends to occur at</w:t>
      </w:r>
      <w:r w:rsidR="001C4E1C">
        <w:t>:</w:t>
      </w:r>
      <w:r w:rsidR="006356E3">
        <w:t xml:space="preserve"> </w:t>
      </w:r>
    </w:p>
    <w:p w14:paraId="7FE81605" w14:textId="77777777" w:rsidR="001C4E1C" w:rsidRDefault="006356E3" w:rsidP="001C4E1C">
      <w:pPr>
        <w:pStyle w:val="ListBullet2"/>
      </w:pPr>
      <w:r>
        <w:t>locations where there is also a contribution agreement in place</w:t>
      </w:r>
      <w:r w:rsidR="001C4E1C">
        <w:t>; and</w:t>
      </w:r>
    </w:p>
    <w:p w14:paraId="05A1B0C3" w14:textId="77777777" w:rsidR="0088300B" w:rsidRDefault="001C4E1C" w:rsidP="001C4E1C">
      <w:pPr>
        <w:pStyle w:val="ListBullet2"/>
      </w:pPr>
      <w:r>
        <w:t>receipt points controlled by producers, with some producers reportedly requiring shippers to have a Gas Supply Agreement with the producer to become a party to the allocation agreement</w:t>
      </w:r>
      <w:r w:rsidR="007E377A">
        <w:t>; and</w:t>
      </w:r>
    </w:p>
    <w:p w14:paraId="2706CE88" w14:textId="77777777" w:rsidR="00E16FB5" w:rsidRDefault="00E16FB5" w:rsidP="000E7E62">
      <w:pPr>
        <w:pStyle w:val="ListBullet"/>
      </w:pPr>
      <w:r>
        <w:t xml:space="preserve">differences in </w:t>
      </w:r>
      <w:r w:rsidR="000E7E62">
        <w:t xml:space="preserve">the </w:t>
      </w:r>
      <w:r>
        <w:t xml:space="preserve">allocation rules used at </w:t>
      </w:r>
      <w:r w:rsidR="000E7E62">
        <w:t xml:space="preserve">some points (e.g. </w:t>
      </w:r>
      <w:r w:rsidR="001C4E1C">
        <w:t xml:space="preserve">at </w:t>
      </w:r>
      <w:r>
        <w:t xml:space="preserve">pipeline </w:t>
      </w:r>
      <w:r w:rsidR="001C4E1C">
        <w:t>interconnection points</w:t>
      </w:r>
      <w:r w:rsidR="000E7E62">
        <w:t>)</w:t>
      </w:r>
      <w:r>
        <w:t xml:space="preserve"> may </w:t>
      </w:r>
      <w:r w:rsidR="000E7E62">
        <w:t xml:space="preserve">result in </w:t>
      </w:r>
      <w:r>
        <w:t xml:space="preserve">differences in the volume of gas a shipper is </w:t>
      </w:r>
      <w:r w:rsidR="005B364C">
        <w:t xml:space="preserve">allocated </w:t>
      </w:r>
      <w:r>
        <w:t>to have supplied into or taken from the pipeline</w:t>
      </w:r>
      <w:r w:rsidR="000E7E62">
        <w:t xml:space="preserve"> and result in an imbalance</w:t>
      </w:r>
      <w:r>
        <w:t>.</w:t>
      </w:r>
      <w:r w:rsidR="000E7E62">
        <w:t xml:space="preserve"> </w:t>
      </w:r>
    </w:p>
    <w:p w14:paraId="4B2DF8E5" w14:textId="48EE3D4A" w:rsidR="0088300B" w:rsidRDefault="00BB3C99" w:rsidP="0088300B">
      <w:pPr>
        <w:pStyle w:val="BodyText"/>
      </w:pPr>
      <w:r>
        <w:t xml:space="preserve">The Standardisation project team </w:t>
      </w:r>
      <w:r w:rsidR="00FF2DE7">
        <w:t xml:space="preserve">discussed </w:t>
      </w:r>
      <w:r w:rsidR="00E16FB5">
        <w:t xml:space="preserve">a number of </w:t>
      </w:r>
      <w:r w:rsidR="00FF2DE7">
        <w:t xml:space="preserve">measures </w:t>
      </w:r>
      <w:r>
        <w:t xml:space="preserve">to </w:t>
      </w:r>
      <w:r w:rsidR="00E16FB5">
        <w:t xml:space="preserve">try and overcome </w:t>
      </w:r>
      <w:r>
        <w:t>the</w:t>
      </w:r>
      <w:r w:rsidR="000E7E62">
        <w:t>se</w:t>
      </w:r>
      <w:r>
        <w:t xml:space="preserve"> impediment</w:t>
      </w:r>
      <w:r w:rsidR="00E16FB5">
        <w:t>s</w:t>
      </w:r>
      <w:r w:rsidR="0088300B">
        <w:t>, including:</w:t>
      </w:r>
    </w:p>
    <w:p w14:paraId="3DB23997" w14:textId="77777777" w:rsidR="000E7E62" w:rsidRDefault="000E7E62" w:rsidP="0088300B">
      <w:pPr>
        <w:pStyle w:val="ListBullet"/>
      </w:pPr>
      <w:r>
        <w:t>publishing information on how shippers can become a p</w:t>
      </w:r>
      <w:r w:rsidR="0088300B">
        <w:t>arty to an allocation agreement</w:t>
      </w:r>
      <w:r w:rsidR="00164F8C">
        <w:t xml:space="preserve"> at each point</w:t>
      </w:r>
      <w:r w:rsidR="0088300B">
        <w:t>;</w:t>
      </w:r>
    </w:p>
    <w:p w14:paraId="79582BDF" w14:textId="77777777" w:rsidR="00164F8C" w:rsidRDefault="00164F8C" w:rsidP="009466E7">
      <w:pPr>
        <w:pStyle w:val="ListBullet"/>
      </w:pPr>
      <w:r>
        <w:t xml:space="preserve">options to reduce the administrative costs, time and complexities that may be associated with becoming a party to a number of allocation agreements, including: </w:t>
      </w:r>
    </w:p>
    <w:p w14:paraId="4697F7EE" w14:textId="77777777" w:rsidR="00915A98" w:rsidRDefault="00E16FB5" w:rsidP="00164F8C">
      <w:pPr>
        <w:pStyle w:val="ListBullet2"/>
      </w:pPr>
      <w:r>
        <w:t>d</w:t>
      </w:r>
      <w:r w:rsidR="00BB3C99">
        <w:t xml:space="preserve">eeming </w:t>
      </w:r>
      <w:r>
        <w:t xml:space="preserve">secondary shippers </w:t>
      </w:r>
      <w:r w:rsidR="00915A98">
        <w:t xml:space="preserve">to be </w:t>
      </w:r>
      <w:r w:rsidR="00BB3C99">
        <w:t>a party</w:t>
      </w:r>
      <w:r>
        <w:t xml:space="preserve"> to </w:t>
      </w:r>
      <w:r w:rsidR="00912EA2">
        <w:t xml:space="preserve">any </w:t>
      </w:r>
      <w:r>
        <w:t>allocation agreement</w:t>
      </w:r>
      <w:r w:rsidR="00912EA2">
        <w:t xml:space="preserve"> </w:t>
      </w:r>
      <w:r w:rsidR="00915A98">
        <w:t xml:space="preserve">that may be in place at the </w:t>
      </w:r>
      <w:r w:rsidR="00912EA2">
        <w:t>receipt and delivery points they want to use</w:t>
      </w:r>
      <w:r w:rsidR="00915A98">
        <w:t>;</w:t>
      </w:r>
    </w:p>
    <w:p w14:paraId="4F0F5148" w14:textId="77777777" w:rsidR="005B364C" w:rsidRDefault="00915A98" w:rsidP="00164F8C">
      <w:pPr>
        <w:pStyle w:val="ListBullet2"/>
      </w:pPr>
      <w:r>
        <w:t>including all the allocation agreements as schedules to the operational GTA</w:t>
      </w:r>
      <w:r w:rsidR="005B364C">
        <w:t>;</w:t>
      </w:r>
      <w:r w:rsidR="00164F8C">
        <w:t xml:space="preserve"> or</w:t>
      </w:r>
    </w:p>
    <w:p w14:paraId="19AE1F9C" w14:textId="77777777" w:rsidR="00BB3C99" w:rsidRDefault="00912EA2" w:rsidP="00164F8C">
      <w:pPr>
        <w:pStyle w:val="ListBullet2"/>
      </w:pPr>
      <w:r>
        <w:t xml:space="preserve">allowing AEMO to become a party to </w:t>
      </w:r>
      <w:r w:rsidR="000E7E62">
        <w:t xml:space="preserve">all the allocation agreements and to </w:t>
      </w:r>
      <w:r>
        <w:t>be responsible for sub-allocating</w:t>
      </w:r>
      <w:r w:rsidR="000E7E62">
        <w:t xml:space="preserve"> gas to secondary shippers; and</w:t>
      </w:r>
    </w:p>
    <w:p w14:paraId="47FF5F17" w14:textId="77777777" w:rsidR="00BB3C99" w:rsidRDefault="000E7E62" w:rsidP="00A54E31">
      <w:pPr>
        <w:pStyle w:val="ListBullet"/>
      </w:pPr>
      <w:r>
        <w:t xml:space="preserve">standardising the allocation rules in the allocation agreements. </w:t>
      </w:r>
    </w:p>
    <w:p w14:paraId="2AEFD0C5" w14:textId="17C72150" w:rsidR="00164F8C" w:rsidRPr="00915A98" w:rsidRDefault="0088300B" w:rsidP="0088300B">
      <w:pPr>
        <w:pStyle w:val="BodyText"/>
      </w:pPr>
      <w:r>
        <w:t xml:space="preserve">While some consideration was given to the latter </w:t>
      </w:r>
      <w:r w:rsidR="008E2712">
        <w:t>two</w:t>
      </w:r>
      <w:r>
        <w:t xml:space="preserve"> options, the project team </w:t>
      </w:r>
      <w:r w:rsidR="006356E3">
        <w:t>identified a number of specific issues with each option</w:t>
      </w:r>
      <w:r w:rsidR="00164F8C">
        <w:t>, which are summarised in</w:t>
      </w:r>
      <w:r w:rsidR="006356E3">
        <w:t xml:space="preserve"> </w:t>
      </w:r>
      <w:r w:rsidR="006356E3">
        <w:fldChar w:fldCharType="begin"/>
      </w:r>
      <w:r w:rsidR="006356E3">
        <w:instrText xml:space="preserve"> REF _Ref491424696 \h </w:instrText>
      </w:r>
      <w:r w:rsidR="006356E3">
        <w:fldChar w:fldCharType="separate"/>
      </w:r>
      <w:r w:rsidR="00947034">
        <w:t xml:space="preserve">Table </w:t>
      </w:r>
      <w:r w:rsidR="00947034">
        <w:rPr>
          <w:noProof/>
        </w:rPr>
        <w:t>5</w:t>
      </w:r>
      <w:r w:rsidR="00947034">
        <w:t>.</w:t>
      </w:r>
      <w:r w:rsidR="00947034">
        <w:rPr>
          <w:noProof/>
        </w:rPr>
        <w:t>1</w:t>
      </w:r>
      <w:r w:rsidR="006356E3">
        <w:fldChar w:fldCharType="end"/>
      </w:r>
      <w:r w:rsidR="006356E3">
        <w:t>.</w:t>
      </w:r>
      <w:r w:rsidR="00164F8C">
        <w:t xml:space="preserve"> The project team also noted that allocation agreements can be complex with multiple levels of allocation and specific rules to accommodate legacy arrangements and concluded that little could be done to address the impediments posed by these arrangements.</w:t>
      </w:r>
    </w:p>
    <w:p w14:paraId="4D28E01F" w14:textId="21B8B874" w:rsidR="0088300B" w:rsidRDefault="0088300B" w:rsidP="006676B1">
      <w:pPr>
        <w:pStyle w:val="Caption"/>
        <w:spacing w:after="0"/>
      </w:pPr>
      <w:bookmarkStart w:id="114" w:name="_Ref491424696"/>
      <w:r>
        <w:lastRenderedPageBreak/>
        <w:t xml:space="preserve">Table </w:t>
      </w:r>
      <w:r w:rsidR="00926D7E">
        <w:fldChar w:fldCharType="begin"/>
      </w:r>
      <w:r w:rsidR="00926D7E">
        <w:instrText xml:space="preserve"> STYLEREF 1 \s </w:instrText>
      </w:r>
      <w:r w:rsidR="00926D7E">
        <w:fldChar w:fldCharType="separate"/>
      </w:r>
      <w:r w:rsidR="00947034">
        <w:rPr>
          <w:noProof/>
        </w:rPr>
        <w:t>5</w:t>
      </w:r>
      <w:r w:rsidR="00926D7E">
        <w:rPr>
          <w:noProof/>
        </w:rPr>
        <w:fldChar w:fldCharType="end"/>
      </w:r>
      <w:r w:rsidR="001C4739">
        <w:t>.</w:t>
      </w:r>
      <w:r w:rsidR="00926D7E">
        <w:fldChar w:fldCharType="begin"/>
      </w:r>
      <w:r w:rsidR="00926D7E">
        <w:instrText xml:space="preserve"> SEQ Table \* ARABIC \s 1 </w:instrText>
      </w:r>
      <w:r w:rsidR="00926D7E">
        <w:fldChar w:fldCharType="separate"/>
      </w:r>
      <w:r w:rsidR="00947034">
        <w:rPr>
          <w:noProof/>
        </w:rPr>
        <w:t>1</w:t>
      </w:r>
      <w:r w:rsidR="00926D7E">
        <w:rPr>
          <w:noProof/>
        </w:rPr>
        <w:fldChar w:fldCharType="end"/>
      </w:r>
      <w:bookmarkEnd w:id="114"/>
      <w:r>
        <w:t>: Other options to reduce impediments posed by allocation arrangements</w:t>
      </w:r>
    </w:p>
    <w:tbl>
      <w:tblPr>
        <w:tblStyle w:val="TableGrid"/>
        <w:tblW w:w="5000" w:type="pct"/>
        <w:tblLayout w:type="fixed"/>
        <w:tblLook w:val="0420" w:firstRow="1" w:lastRow="0" w:firstColumn="0" w:lastColumn="0" w:noHBand="0" w:noVBand="1"/>
        <w:tblCaption w:val="Table 5.1: Other options to reduce impediments posed by allocation arrangements"/>
        <w:tblDescription w:val="Other options to reduce impediments posed by allocation arrangements"/>
      </w:tblPr>
      <w:tblGrid>
        <w:gridCol w:w="2552"/>
        <w:gridCol w:w="6236"/>
      </w:tblGrid>
      <w:tr w:rsidR="0088300B" w14:paraId="64EB3F44" w14:textId="77777777" w:rsidTr="007E377A">
        <w:trPr>
          <w:cnfStyle w:val="100000000000" w:firstRow="1" w:lastRow="0" w:firstColumn="0" w:lastColumn="0" w:oddVBand="0" w:evenVBand="0" w:oddHBand="0" w:evenHBand="0" w:firstRowFirstColumn="0" w:firstRowLastColumn="0" w:lastRowFirstColumn="0" w:lastRowLastColumn="0"/>
          <w:cantSplit/>
          <w:tblHeader/>
        </w:trPr>
        <w:tc>
          <w:tcPr>
            <w:tcW w:w="1452" w:type="pct"/>
            <w:shd w:val="clear" w:color="auto" w:fill="0099CC"/>
          </w:tcPr>
          <w:p w14:paraId="342AD4D6" w14:textId="77777777" w:rsidR="0088300B" w:rsidRDefault="0088300B" w:rsidP="006676B1">
            <w:pPr>
              <w:pStyle w:val="TableHeading"/>
              <w:keepNext/>
              <w:rPr>
                <w:lang w:eastAsia="fr-CA"/>
              </w:rPr>
            </w:pPr>
            <w:r>
              <w:rPr>
                <w:lang w:eastAsia="fr-CA"/>
              </w:rPr>
              <w:t>Options considered</w:t>
            </w:r>
          </w:p>
        </w:tc>
        <w:tc>
          <w:tcPr>
            <w:tcW w:w="3548" w:type="pct"/>
            <w:shd w:val="clear" w:color="auto" w:fill="0099CC"/>
          </w:tcPr>
          <w:p w14:paraId="6A33EBD5" w14:textId="77777777" w:rsidR="0088300B" w:rsidRDefault="0088300B" w:rsidP="006676B1">
            <w:pPr>
              <w:pStyle w:val="TableHeading"/>
              <w:keepNext/>
              <w:rPr>
                <w:lang w:eastAsia="fr-CA"/>
              </w:rPr>
            </w:pPr>
            <w:r>
              <w:rPr>
                <w:lang w:eastAsia="fr-CA"/>
              </w:rPr>
              <w:t>Project team’s view on the options</w:t>
            </w:r>
          </w:p>
        </w:tc>
      </w:tr>
      <w:tr w:rsidR="0088300B" w14:paraId="23D5C9E5" w14:textId="77777777" w:rsidTr="0088300B">
        <w:trPr>
          <w:cantSplit/>
        </w:trPr>
        <w:tc>
          <w:tcPr>
            <w:tcW w:w="1452" w:type="pct"/>
          </w:tcPr>
          <w:p w14:paraId="2FE6FB55" w14:textId="77777777" w:rsidR="0088300B" w:rsidRPr="0088300B" w:rsidRDefault="0088300B" w:rsidP="006676B1">
            <w:pPr>
              <w:pStyle w:val="TableBodyText"/>
              <w:keepNext/>
              <w:rPr>
                <w:lang w:eastAsia="fr-CA"/>
              </w:rPr>
            </w:pPr>
            <w:r w:rsidRPr="0088300B">
              <w:t>Deeming secondary shippers party to the agreements</w:t>
            </w:r>
          </w:p>
        </w:tc>
        <w:tc>
          <w:tcPr>
            <w:tcW w:w="3548" w:type="pct"/>
          </w:tcPr>
          <w:p w14:paraId="4B44A75F" w14:textId="77777777" w:rsidR="0088300B" w:rsidRDefault="0088300B" w:rsidP="006676B1">
            <w:pPr>
              <w:pStyle w:val="TableBodyText"/>
              <w:keepNext/>
              <w:rPr>
                <w:lang w:eastAsia="fr-CA"/>
              </w:rPr>
            </w:pPr>
            <w:r>
              <w:t>Some project team members noted that deeming secondary shippers as a party to an allocation agreement could be disputed, which would affect the integrity of the operational GTA and secondary capacity market.</w:t>
            </w:r>
          </w:p>
        </w:tc>
      </w:tr>
      <w:tr w:rsidR="0088300B" w14:paraId="1592097A" w14:textId="77777777" w:rsidTr="0088300B">
        <w:trPr>
          <w:cnfStyle w:val="000000010000" w:firstRow="0" w:lastRow="0" w:firstColumn="0" w:lastColumn="0" w:oddVBand="0" w:evenVBand="0" w:oddHBand="0" w:evenHBand="1" w:firstRowFirstColumn="0" w:firstRowLastColumn="0" w:lastRowFirstColumn="0" w:lastRowLastColumn="0"/>
          <w:cantSplit/>
        </w:trPr>
        <w:tc>
          <w:tcPr>
            <w:tcW w:w="1452" w:type="pct"/>
          </w:tcPr>
          <w:p w14:paraId="5BAF1C9F" w14:textId="77777777" w:rsidR="0088300B" w:rsidRPr="0088300B" w:rsidRDefault="0088300B" w:rsidP="006676B1">
            <w:pPr>
              <w:pStyle w:val="TableBodyText"/>
              <w:keepNext/>
              <w:rPr>
                <w:lang w:eastAsia="fr-CA"/>
              </w:rPr>
            </w:pPr>
            <w:r w:rsidRPr="0088300B">
              <w:t>Adding allocation agreements as schedules to the operational GTA</w:t>
            </w:r>
          </w:p>
        </w:tc>
        <w:tc>
          <w:tcPr>
            <w:tcW w:w="3548" w:type="pct"/>
          </w:tcPr>
          <w:p w14:paraId="67E9F612" w14:textId="77777777" w:rsidR="0088300B" w:rsidRDefault="0088300B" w:rsidP="006676B1">
            <w:pPr>
              <w:pStyle w:val="TableBodyText"/>
              <w:keepNext/>
              <w:rPr>
                <w:lang w:eastAsia="fr-CA"/>
              </w:rPr>
            </w:pPr>
            <w:r>
              <w:t>The project team noted that before adding the allocation agreements to the operational GTA, service providers need to seek the agreement of the relevant parties, which they suggested could be a complex and costly undertaking for service providers and raise further change management issues. The project team also noted that there may be confidentiality concerns because allocation agreements are not generally made public, nor available to the service provider when they are not the allocation agent.</w:t>
            </w:r>
          </w:p>
        </w:tc>
      </w:tr>
      <w:tr w:rsidR="0088300B" w14:paraId="53CB9BA4" w14:textId="77777777" w:rsidTr="0088300B">
        <w:trPr>
          <w:cantSplit/>
        </w:trPr>
        <w:tc>
          <w:tcPr>
            <w:tcW w:w="1452" w:type="pct"/>
          </w:tcPr>
          <w:p w14:paraId="1E82473E" w14:textId="77777777" w:rsidR="0088300B" w:rsidRPr="0088300B" w:rsidRDefault="0088300B" w:rsidP="006676B1">
            <w:pPr>
              <w:pStyle w:val="TableBodyText"/>
              <w:keepNext/>
              <w:rPr>
                <w:lang w:eastAsia="fr-CA"/>
              </w:rPr>
            </w:pPr>
            <w:r w:rsidRPr="0088300B">
              <w:t>AEMO as sub-allocation agent</w:t>
            </w:r>
          </w:p>
        </w:tc>
        <w:tc>
          <w:tcPr>
            <w:tcW w:w="3548" w:type="pct"/>
          </w:tcPr>
          <w:p w14:paraId="06F3D8AA" w14:textId="31A5FE2B" w:rsidR="0088300B" w:rsidRDefault="0088300B" w:rsidP="006676B1">
            <w:pPr>
              <w:pStyle w:val="TableBodyText"/>
              <w:keepNext/>
              <w:rPr>
                <w:lang w:eastAsia="fr-CA"/>
              </w:rPr>
            </w:pPr>
            <w:r>
              <w:t xml:space="preserve">Project team members noted that having AEMO </w:t>
            </w:r>
            <w:r w:rsidR="00F7735F">
              <w:t xml:space="preserve">as </w:t>
            </w:r>
            <w:r>
              <w:t>a sub-allocation agent in all agreements would restrict the way parties manage their imbalance accounts, and would introduce an additional level of complexity in these agreements and introduce an additional administration cost.</w:t>
            </w:r>
          </w:p>
        </w:tc>
      </w:tr>
      <w:tr w:rsidR="0088300B" w14:paraId="6C8A3BD1" w14:textId="77777777" w:rsidTr="0088300B">
        <w:trPr>
          <w:cnfStyle w:val="000000010000" w:firstRow="0" w:lastRow="0" w:firstColumn="0" w:lastColumn="0" w:oddVBand="0" w:evenVBand="0" w:oddHBand="0" w:evenHBand="1" w:firstRowFirstColumn="0" w:firstRowLastColumn="0" w:lastRowFirstColumn="0" w:lastRowLastColumn="0"/>
          <w:cantSplit/>
        </w:trPr>
        <w:tc>
          <w:tcPr>
            <w:tcW w:w="1452" w:type="pct"/>
          </w:tcPr>
          <w:p w14:paraId="451ED106" w14:textId="77777777" w:rsidR="0088300B" w:rsidRPr="0088300B" w:rsidRDefault="0088300B" w:rsidP="0088300B">
            <w:pPr>
              <w:pStyle w:val="TableBodyText"/>
            </w:pPr>
            <w:r w:rsidRPr="0088300B">
              <w:t>Standardisation of allocation rules</w:t>
            </w:r>
          </w:p>
        </w:tc>
        <w:tc>
          <w:tcPr>
            <w:tcW w:w="3548" w:type="pct"/>
          </w:tcPr>
          <w:p w14:paraId="4A45A2FA" w14:textId="77777777" w:rsidR="0088300B" w:rsidRDefault="0088300B" w:rsidP="0088300B">
            <w:pPr>
              <w:pStyle w:val="TableBodyText"/>
            </w:pPr>
            <w:r>
              <w:t>A number of team members noted that standardising allocation rules could adversely affect parties operating under legacy arrangements and added that this could conflict with the AEMC’s recommendation that counterparties</w:t>
            </w:r>
            <w:r w:rsidRPr="00974249">
              <w:rPr>
                <w:szCs w:val="18"/>
              </w:rPr>
              <w:t xml:space="preserve"> to existing contracts should not be materially disadvantaged through the standardisation process</w:t>
            </w:r>
            <w:r>
              <w:rPr>
                <w:szCs w:val="18"/>
              </w:rPr>
              <w:t>.</w:t>
            </w:r>
          </w:p>
        </w:tc>
      </w:tr>
    </w:tbl>
    <w:p w14:paraId="0E25A974" w14:textId="112A7588" w:rsidR="00BB3C99" w:rsidRDefault="00164F8C" w:rsidP="000B7C10">
      <w:pPr>
        <w:pStyle w:val="BodyText"/>
      </w:pPr>
      <w:r>
        <w:t xml:space="preserve">It was in this context that the </w:t>
      </w:r>
      <w:r w:rsidR="006356E3">
        <w:t xml:space="preserve">Standardisation </w:t>
      </w:r>
      <w:r w:rsidR="00BB3C99">
        <w:t xml:space="preserve">project team </w:t>
      </w:r>
      <w:r w:rsidR="00CC26BB">
        <w:t xml:space="preserve">concluded that secondary shippers would need to </w:t>
      </w:r>
      <w:r w:rsidR="00BB3C99">
        <w:t xml:space="preserve">sign up to the allocation agreements </w:t>
      </w:r>
      <w:r w:rsidR="000B7C10">
        <w:t xml:space="preserve">at </w:t>
      </w:r>
      <w:r w:rsidR="00CC26BB">
        <w:t xml:space="preserve">all the </w:t>
      </w:r>
      <w:r w:rsidR="00BB3C99">
        <w:t xml:space="preserve">points they intend to </w:t>
      </w:r>
      <w:r w:rsidR="00CC26BB">
        <w:t xml:space="preserve">supply </w:t>
      </w:r>
      <w:r w:rsidR="00BB3C99">
        <w:t>or deliver gas</w:t>
      </w:r>
      <w:r w:rsidR="00CC26BB">
        <w:t xml:space="preserve"> to</w:t>
      </w:r>
      <w:r w:rsidR="00BB3C99">
        <w:t xml:space="preserve">. </w:t>
      </w:r>
      <w:r w:rsidR="000B7C10">
        <w:t xml:space="preserve">To aid this process, the </w:t>
      </w:r>
      <w:r w:rsidR="00BB3C99">
        <w:t xml:space="preserve">project team </w:t>
      </w:r>
      <w:r w:rsidR="000B7C10">
        <w:t xml:space="preserve">suggested that </w:t>
      </w:r>
      <w:r w:rsidR="009F7249">
        <w:t xml:space="preserve">information on the </w:t>
      </w:r>
      <w:r w:rsidR="000B7C10">
        <w:t xml:space="preserve">identity of the allocation agent at each point and their contact details be published </w:t>
      </w:r>
      <w:r>
        <w:t xml:space="preserve">on a website </w:t>
      </w:r>
      <w:r w:rsidR="000B7C10">
        <w:t xml:space="preserve">(e.g. on the </w:t>
      </w:r>
      <w:r w:rsidR="00D30EB7">
        <w:t>BB</w:t>
      </w:r>
      <w:r w:rsidR="000B7C10">
        <w:t xml:space="preserve">). </w:t>
      </w:r>
      <w:r w:rsidR="00BB3C99">
        <w:t>The Standardisation project team stopped short</w:t>
      </w:r>
      <w:r w:rsidR="000B7C10">
        <w:t>, however,</w:t>
      </w:r>
      <w:r w:rsidR="00BB3C99">
        <w:t xml:space="preserve"> of recommending the allocation agreements </w:t>
      </w:r>
      <w:r w:rsidR="000B7C10">
        <w:t>be</w:t>
      </w:r>
      <w:r w:rsidR="00BB3C99">
        <w:t xml:space="preserve"> made public, </w:t>
      </w:r>
      <w:r w:rsidR="000B7C10">
        <w:t xml:space="preserve">because they noted the agreements </w:t>
      </w:r>
      <w:r w:rsidR="00BB3C99">
        <w:t xml:space="preserve">can </w:t>
      </w:r>
      <w:r w:rsidR="000B7C10">
        <w:t xml:space="preserve">contain </w:t>
      </w:r>
      <w:r w:rsidR="00BB3C99">
        <w:t>confidential</w:t>
      </w:r>
      <w:r w:rsidR="000B7C10">
        <w:t xml:space="preserve"> information</w:t>
      </w:r>
      <w:r w:rsidR="00BB3C99">
        <w:t xml:space="preserve">. </w:t>
      </w:r>
    </w:p>
    <w:p w14:paraId="55E2899A" w14:textId="6ABD2177" w:rsidR="007D768E" w:rsidRDefault="004B0246" w:rsidP="000B7C10">
      <w:pPr>
        <w:pStyle w:val="BodyText"/>
      </w:pPr>
      <w:r>
        <w:t>The GMRG understands that the opaqueness surrounding allocation agreements could act as an impediment to trade</w:t>
      </w:r>
      <w:r w:rsidR="00164F8C">
        <w:t xml:space="preserve"> and </w:t>
      </w:r>
      <w:r>
        <w:t>therefore agree</w:t>
      </w:r>
      <w:r w:rsidR="006356E3">
        <w:t xml:space="preserve">s </w:t>
      </w:r>
      <w:r>
        <w:t xml:space="preserve">with the project team that </w:t>
      </w:r>
      <w:r w:rsidR="007D768E">
        <w:t>information on the allocation agent and contact detail</w:t>
      </w:r>
      <w:r w:rsidR="00164F8C">
        <w:t>s</w:t>
      </w:r>
      <w:r w:rsidR="007D768E">
        <w:t xml:space="preserve"> </w:t>
      </w:r>
      <w:r w:rsidR="00164F8C">
        <w:t xml:space="preserve">at all of the relevant </w:t>
      </w:r>
      <w:r w:rsidR="007D768E">
        <w:t>point</w:t>
      </w:r>
      <w:r w:rsidR="00164F8C">
        <w:t>s</w:t>
      </w:r>
      <w:r w:rsidR="007D768E">
        <w:t xml:space="preserve"> </w:t>
      </w:r>
      <w:r w:rsidR="00164F8C">
        <w:t xml:space="preserve">should be published </w:t>
      </w:r>
      <w:r w:rsidR="007D768E">
        <w:t xml:space="preserve">on the </w:t>
      </w:r>
      <w:r w:rsidR="00D30EB7">
        <w:t>BB</w:t>
      </w:r>
      <w:r>
        <w:t xml:space="preserve">. </w:t>
      </w:r>
      <w:r w:rsidR="007D768E">
        <w:t>While this may reduce some of the impediments posed by allocation agreements, the GMRG is concerned that:</w:t>
      </w:r>
    </w:p>
    <w:p w14:paraId="6EC5B734" w14:textId="77777777" w:rsidR="007D768E" w:rsidRDefault="007D768E" w:rsidP="007D768E">
      <w:pPr>
        <w:pStyle w:val="ListBullet"/>
      </w:pPr>
      <w:r>
        <w:t xml:space="preserve">the requirement to sign up to a number of allocation agreements and to potentially incur administrative costs at all of these points may act as a financial impediment; </w:t>
      </w:r>
    </w:p>
    <w:p w14:paraId="32123310" w14:textId="77777777" w:rsidR="007D768E" w:rsidRDefault="007D768E" w:rsidP="007D768E">
      <w:pPr>
        <w:pStyle w:val="ListBullet"/>
      </w:pPr>
      <w:r>
        <w:t xml:space="preserve">differences in allocation rules where pipelines interconnect may </w:t>
      </w:r>
      <w:r w:rsidR="003471A8">
        <w:t xml:space="preserve">act as an impediment to </w:t>
      </w:r>
      <w:r>
        <w:t xml:space="preserve">trade because they </w:t>
      </w:r>
      <w:r w:rsidR="003471A8">
        <w:t xml:space="preserve">can </w:t>
      </w:r>
      <w:r>
        <w:t xml:space="preserve">expose shippers to </w:t>
      </w:r>
      <w:r w:rsidR="003471A8">
        <w:t xml:space="preserve">significant </w:t>
      </w:r>
      <w:r>
        <w:t>costs and risks</w:t>
      </w:r>
      <w:r w:rsidR="007E377A">
        <w:t>; and</w:t>
      </w:r>
    </w:p>
    <w:p w14:paraId="7F3DB950" w14:textId="77777777" w:rsidR="007E377A" w:rsidRDefault="007E377A" w:rsidP="007D768E">
      <w:pPr>
        <w:pStyle w:val="ListBullet"/>
      </w:pPr>
      <w:r>
        <w:t>the control of some receipt and delivery points by shippers and the contribution agreements that have been implemented at some points may impede access.</w:t>
      </w:r>
    </w:p>
    <w:p w14:paraId="7DFB1D5B" w14:textId="77777777" w:rsidR="004B0246" w:rsidRDefault="00F243A1" w:rsidP="000B7C10">
      <w:pPr>
        <w:pStyle w:val="BodyText"/>
      </w:pPr>
      <w:r>
        <w:t xml:space="preserve">On the information currently before the GMRG, it is difficult to know how significant these impediments are. Accordingly, the GMRG has not formed a preliminary view on this issue. </w:t>
      </w:r>
      <w:r w:rsidR="003471A8">
        <w:t>The GMRG welcomes any feedback stakeholders may have on these issues and on the questions set out in the box below.</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5.1: Questions on allocation agreements"/>
        <w:tblDescription w:val="Questions on allocation agreements"/>
      </w:tblPr>
      <w:tblGrid>
        <w:gridCol w:w="8788"/>
      </w:tblGrid>
      <w:tr w:rsidR="000B7C10" w:rsidRPr="008E2712" w14:paraId="0B995640" w14:textId="77777777" w:rsidTr="0096687D">
        <w:trPr>
          <w:tblHeader/>
        </w:trPr>
        <w:tc>
          <w:tcPr>
            <w:tcW w:w="5000" w:type="pct"/>
            <w:shd w:val="clear" w:color="auto" w:fill="auto"/>
          </w:tcPr>
          <w:p w14:paraId="11808C76" w14:textId="097F2809" w:rsidR="001C4E1C" w:rsidRPr="0096687D" w:rsidRDefault="0096687D" w:rsidP="0096687D">
            <w:pPr>
              <w:pStyle w:val="ListBullet"/>
              <w:keepNext/>
              <w:numPr>
                <w:ilvl w:val="0"/>
                <w:numId w:val="0"/>
              </w:numPr>
              <w:spacing w:after="0"/>
              <w:ind w:left="357" w:hanging="357"/>
              <w:rPr>
                <w:b/>
                <w:sz w:val="21"/>
                <w:szCs w:val="21"/>
              </w:rPr>
            </w:pPr>
            <w:r w:rsidRPr="0096687D">
              <w:rPr>
                <w:b/>
              </w:rPr>
              <w:lastRenderedPageBreak/>
              <w:t xml:space="preserve">Box </w:t>
            </w:r>
            <w:r w:rsidRPr="0096687D">
              <w:rPr>
                <w:b/>
              </w:rPr>
              <w:fldChar w:fldCharType="begin"/>
            </w:r>
            <w:r w:rsidRPr="0096687D">
              <w:rPr>
                <w:b/>
              </w:rPr>
              <w:instrText xml:space="preserve"> STYLEREF 1 \s </w:instrText>
            </w:r>
            <w:r w:rsidRPr="0096687D">
              <w:rPr>
                <w:b/>
              </w:rPr>
              <w:fldChar w:fldCharType="separate"/>
            </w:r>
            <w:r w:rsidRPr="0096687D">
              <w:rPr>
                <w:b/>
                <w:noProof/>
              </w:rPr>
              <w:t>5</w:t>
            </w:r>
            <w:r w:rsidRPr="0096687D">
              <w:rPr>
                <w:b/>
                <w:noProof/>
              </w:rPr>
              <w:fldChar w:fldCharType="end"/>
            </w:r>
            <w:r w:rsidRPr="0096687D">
              <w:rPr>
                <w:b/>
              </w:rPr>
              <w:t>.</w:t>
            </w:r>
            <w:r w:rsidRPr="0096687D">
              <w:rPr>
                <w:b/>
              </w:rPr>
              <w:fldChar w:fldCharType="begin"/>
            </w:r>
            <w:r w:rsidRPr="0096687D">
              <w:rPr>
                <w:b/>
              </w:rPr>
              <w:instrText xml:space="preserve"> SEQ Box \* ARABIC \s 1 </w:instrText>
            </w:r>
            <w:r w:rsidRPr="0096687D">
              <w:rPr>
                <w:b/>
              </w:rPr>
              <w:fldChar w:fldCharType="separate"/>
            </w:r>
            <w:r w:rsidRPr="0096687D">
              <w:rPr>
                <w:b/>
                <w:noProof/>
              </w:rPr>
              <w:t>1</w:t>
            </w:r>
            <w:r w:rsidRPr="0096687D">
              <w:rPr>
                <w:b/>
                <w:noProof/>
              </w:rPr>
              <w:fldChar w:fldCharType="end"/>
            </w:r>
            <w:r w:rsidRPr="0096687D">
              <w:rPr>
                <w:b/>
              </w:rPr>
              <w:t xml:space="preserve">: </w:t>
            </w:r>
            <w:r w:rsidRPr="0096687D">
              <w:rPr>
                <w:b/>
                <w:bCs/>
              </w:rPr>
              <w:t>Questions on allocation agreements</w:t>
            </w:r>
          </w:p>
        </w:tc>
      </w:tr>
      <w:tr w:rsidR="0096687D" w:rsidRPr="008E2712" w14:paraId="3ECEEF38" w14:textId="77777777" w:rsidTr="0096687D">
        <w:trPr>
          <w:tblHeader/>
        </w:trPr>
        <w:tc>
          <w:tcPr>
            <w:tcW w:w="5000" w:type="pct"/>
            <w:shd w:val="clear" w:color="auto" w:fill="B7E7FF"/>
          </w:tcPr>
          <w:p w14:paraId="1771C317" w14:textId="77777777" w:rsidR="0096687D" w:rsidRPr="008E2712" w:rsidRDefault="0096687D" w:rsidP="0096687D">
            <w:pPr>
              <w:pStyle w:val="ListBullet"/>
              <w:keepNext/>
              <w:numPr>
                <w:ilvl w:val="0"/>
                <w:numId w:val="23"/>
              </w:numPr>
              <w:ind w:left="357" w:hanging="357"/>
              <w:rPr>
                <w:sz w:val="21"/>
                <w:szCs w:val="21"/>
              </w:rPr>
            </w:pPr>
            <w:r w:rsidRPr="008E2712">
              <w:rPr>
                <w:sz w:val="21"/>
                <w:szCs w:val="21"/>
              </w:rPr>
              <w:t>How significant an impediment to trade do you think allocation agreements are?</w:t>
            </w:r>
          </w:p>
          <w:p w14:paraId="0256012E" w14:textId="77777777" w:rsidR="0096687D" w:rsidRPr="008E2712" w:rsidRDefault="0096687D" w:rsidP="0096687D">
            <w:pPr>
              <w:pStyle w:val="ListBullet"/>
              <w:keepNext/>
              <w:numPr>
                <w:ilvl w:val="0"/>
                <w:numId w:val="23"/>
              </w:numPr>
              <w:ind w:left="357" w:hanging="357"/>
              <w:rPr>
                <w:sz w:val="21"/>
                <w:szCs w:val="21"/>
              </w:rPr>
            </w:pPr>
            <w:r w:rsidRPr="008E2712">
              <w:rPr>
                <w:sz w:val="21"/>
                <w:szCs w:val="21"/>
              </w:rPr>
              <w:t xml:space="preserve">Are there any other impediments to trade posed by allocation agreements </w:t>
            </w:r>
            <w:r>
              <w:rPr>
                <w:sz w:val="21"/>
                <w:szCs w:val="21"/>
              </w:rPr>
              <w:t xml:space="preserve">and/or contribution agreements </w:t>
            </w:r>
            <w:r w:rsidRPr="008E2712">
              <w:rPr>
                <w:sz w:val="21"/>
                <w:szCs w:val="21"/>
              </w:rPr>
              <w:t xml:space="preserve">that have not been identified in this consultation paper? If so, please explain what they are and how you think </w:t>
            </w:r>
            <w:r>
              <w:rPr>
                <w:sz w:val="21"/>
                <w:szCs w:val="21"/>
              </w:rPr>
              <w:t xml:space="preserve">they </w:t>
            </w:r>
            <w:r w:rsidRPr="008E2712">
              <w:rPr>
                <w:sz w:val="21"/>
                <w:szCs w:val="21"/>
              </w:rPr>
              <w:t xml:space="preserve">could be addressed. </w:t>
            </w:r>
          </w:p>
          <w:p w14:paraId="3878018D" w14:textId="77777777" w:rsidR="0096687D" w:rsidRPr="008E2712" w:rsidRDefault="0096687D" w:rsidP="0096687D">
            <w:pPr>
              <w:pStyle w:val="ListBullet"/>
              <w:keepNext/>
              <w:numPr>
                <w:ilvl w:val="0"/>
                <w:numId w:val="23"/>
              </w:numPr>
              <w:ind w:left="357" w:hanging="357"/>
              <w:rPr>
                <w:sz w:val="21"/>
                <w:szCs w:val="21"/>
              </w:rPr>
            </w:pPr>
            <w:r>
              <w:rPr>
                <w:sz w:val="21"/>
                <w:szCs w:val="21"/>
              </w:rPr>
              <w:t>Do you think that deeming secondary shippers to be a party to the allocation agreement is a workable solution, or can you foresee issues with this solution?</w:t>
            </w:r>
          </w:p>
          <w:p w14:paraId="6EE04EC5" w14:textId="77777777" w:rsidR="0096687D" w:rsidRDefault="0096687D" w:rsidP="0096687D">
            <w:pPr>
              <w:pStyle w:val="ListBullet"/>
              <w:keepNext/>
              <w:numPr>
                <w:ilvl w:val="0"/>
                <w:numId w:val="23"/>
              </w:numPr>
              <w:ind w:left="357" w:hanging="357"/>
              <w:rPr>
                <w:sz w:val="21"/>
                <w:szCs w:val="21"/>
              </w:rPr>
            </w:pPr>
            <w:r w:rsidRPr="008E2712">
              <w:rPr>
                <w:sz w:val="21"/>
                <w:szCs w:val="21"/>
              </w:rPr>
              <w:t xml:space="preserve">Do you think that providing greater transparency about who to contact to become a party to an allocation arrangement will be sufficient to reduce the impediments to trade posed by allocation agreements, or do you think that other measures (including those outlined in </w:t>
            </w:r>
            <w:r w:rsidRPr="008E2712">
              <w:rPr>
                <w:sz w:val="21"/>
                <w:szCs w:val="21"/>
              </w:rPr>
              <w:fldChar w:fldCharType="begin"/>
            </w:r>
            <w:r w:rsidRPr="008E2712">
              <w:rPr>
                <w:sz w:val="21"/>
                <w:szCs w:val="21"/>
              </w:rPr>
              <w:instrText xml:space="preserve"> REF _Ref491424696 \h  \* MERGEFORMAT </w:instrText>
            </w:r>
            <w:r w:rsidRPr="008E2712">
              <w:rPr>
                <w:sz w:val="21"/>
                <w:szCs w:val="21"/>
              </w:rPr>
            </w:r>
            <w:r w:rsidRPr="008E2712">
              <w:rPr>
                <w:sz w:val="21"/>
                <w:szCs w:val="21"/>
              </w:rPr>
              <w:fldChar w:fldCharType="separate"/>
            </w:r>
            <w:r w:rsidRPr="00947034">
              <w:rPr>
                <w:sz w:val="21"/>
                <w:szCs w:val="21"/>
              </w:rPr>
              <w:t xml:space="preserve">Table </w:t>
            </w:r>
            <w:r w:rsidRPr="00947034">
              <w:rPr>
                <w:noProof/>
                <w:sz w:val="21"/>
                <w:szCs w:val="21"/>
              </w:rPr>
              <w:t>5.1</w:t>
            </w:r>
            <w:r w:rsidRPr="008E2712">
              <w:rPr>
                <w:sz w:val="21"/>
                <w:szCs w:val="21"/>
              </w:rPr>
              <w:fldChar w:fldCharType="end"/>
            </w:r>
            <w:r>
              <w:rPr>
                <w:sz w:val="21"/>
                <w:szCs w:val="21"/>
              </w:rPr>
              <w:t xml:space="preserve">) </w:t>
            </w:r>
            <w:r w:rsidRPr="008E2712">
              <w:rPr>
                <w:sz w:val="21"/>
                <w:szCs w:val="21"/>
              </w:rPr>
              <w:t xml:space="preserve">are required to facilitate access to these agreements? </w:t>
            </w:r>
          </w:p>
          <w:p w14:paraId="2E3AD686" w14:textId="77777777" w:rsidR="0096687D" w:rsidRPr="008E2712" w:rsidRDefault="0096687D" w:rsidP="0096687D">
            <w:pPr>
              <w:pStyle w:val="ListBullet"/>
              <w:keepNext/>
              <w:numPr>
                <w:ilvl w:val="0"/>
                <w:numId w:val="23"/>
              </w:numPr>
              <w:ind w:left="357" w:hanging="357"/>
              <w:rPr>
                <w:sz w:val="21"/>
                <w:szCs w:val="21"/>
              </w:rPr>
            </w:pPr>
            <w:r w:rsidRPr="008E2712">
              <w:rPr>
                <w:sz w:val="21"/>
                <w:szCs w:val="21"/>
              </w:rPr>
              <w:t>What effect are differences in allocation rules at points where pipelines interconnect having on shippers at these locations?  Is the effect material and do you think a common allocation rule should be adopted across the east coast?</w:t>
            </w:r>
          </w:p>
          <w:p w14:paraId="2244AF5E" w14:textId="77777777" w:rsidR="0096687D" w:rsidRDefault="0096687D" w:rsidP="0096687D">
            <w:pPr>
              <w:pStyle w:val="ListBullet"/>
              <w:keepNext/>
              <w:numPr>
                <w:ilvl w:val="0"/>
                <w:numId w:val="23"/>
              </w:numPr>
              <w:ind w:left="357" w:hanging="357"/>
              <w:rPr>
                <w:sz w:val="21"/>
                <w:szCs w:val="21"/>
              </w:rPr>
            </w:pPr>
            <w:r w:rsidRPr="008E2712">
              <w:rPr>
                <w:sz w:val="21"/>
                <w:szCs w:val="21"/>
              </w:rPr>
              <w:t xml:space="preserve">Do you think there is any value in standardising allocation agreements? </w:t>
            </w:r>
          </w:p>
          <w:p w14:paraId="2F62C2EA" w14:textId="77777777" w:rsidR="0096687D" w:rsidRDefault="0096687D" w:rsidP="0096687D">
            <w:pPr>
              <w:pStyle w:val="ListBullet"/>
              <w:keepNext/>
              <w:numPr>
                <w:ilvl w:val="0"/>
                <w:numId w:val="23"/>
              </w:numPr>
              <w:ind w:left="357" w:hanging="357"/>
              <w:rPr>
                <w:sz w:val="21"/>
                <w:szCs w:val="21"/>
              </w:rPr>
            </w:pPr>
            <w:r>
              <w:rPr>
                <w:sz w:val="21"/>
                <w:szCs w:val="21"/>
              </w:rPr>
              <w:t>Have you experienced any difficulties accessing receipt or delivery points that are controlled by a shipper? How prevalent an issue do you think this is and how do you think it could be addressed?</w:t>
            </w:r>
          </w:p>
          <w:p w14:paraId="132CF565" w14:textId="7ADC5FC0" w:rsidR="0096687D" w:rsidRPr="0096687D" w:rsidRDefault="0096687D" w:rsidP="0096687D">
            <w:pPr>
              <w:pStyle w:val="ListBullet"/>
              <w:keepNext/>
              <w:numPr>
                <w:ilvl w:val="0"/>
                <w:numId w:val="23"/>
              </w:numPr>
              <w:ind w:left="357" w:hanging="357"/>
              <w:rPr>
                <w:sz w:val="21"/>
                <w:szCs w:val="21"/>
              </w:rPr>
            </w:pPr>
            <w:r w:rsidRPr="0096687D">
              <w:rPr>
                <w:sz w:val="21"/>
                <w:szCs w:val="21"/>
              </w:rPr>
              <w:t>Can contribution agreements, or the charges levied under these agreements, act as a barrier to trade?</w:t>
            </w:r>
          </w:p>
        </w:tc>
      </w:tr>
    </w:tbl>
    <w:p w14:paraId="148E7E63" w14:textId="77777777" w:rsidR="0088219D" w:rsidRDefault="00250943" w:rsidP="0088219D">
      <w:pPr>
        <w:pStyle w:val="Heading2"/>
      </w:pPr>
      <w:bookmarkStart w:id="115" w:name="_Ref492239512"/>
      <w:bookmarkStart w:id="116" w:name="_Toc492524749"/>
      <w:r>
        <w:t xml:space="preserve">Management </w:t>
      </w:r>
      <w:r w:rsidR="002633E5">
        <w:t>of i</w:t>
      </w:r>
      <w:r w:rsidR="0088219D">
        <w:t>mbalance</w:t>
      </w:r>
      <w:r w:rsidR="002633E5">
        <w:t>s</w:t>
      </w:r>
      <w:bookmarkEnd w:id="115"/>
      <w:bookmarkEnd w:id="116"/>
    </w:p>
    <w:p w14:paraId="39936B17" w14:textId="77DFCA6E" w:rsidR="000D57ED" w:rsidRDefault="005E172E" w:rsidP="001A321D">
      <w:pPr>
        <w:pStyle w:val="BodyText"/>
      </w:pPr>
      <w:r w:rsidRPr="001A321D">
        <w:t xml:space="preserve">An imbalance can arise on a gas day if the volume of gas supplied by a shipper into the pipeline differs from the volume of gas delivered to the shipper on that day. </w:t>
      </w:r>
      <w:r w:rsidR="001A321D" w:rsidRPr="001A321D">
        <w:rPr>
          <w:color w:val="000000"/>
        </w:rPr>
        <w:t>To provide shippers with some flexibility to manage their imbalances</w:t>
      </w:r>
      <w:r w:rsidR="00F65451">
        <w:rPr>
          <w:color w:val="000000"/>
        </w:rPr>
        <w:t xml:space="preserve"> while also encouraging shippers to minimise their imbalances</w:t>
      </w:r>
      <w:r w:rsidR="001A321D" w:rsidRPr="001A321D">
        <w:rPr>
          <w:color w:val="000000"/>
        </w:rPr>
        <w:t>, pipeline operators generally allow an imbalance to occur up to a specified threshold before imposing an imbalance charge</w:t>
      </w:r>
      <w:r w:rsidR="001A321D">
        <w:rPr>
          <w:color w:val="000000"/>
        </w:rPr>
        <w:t xml:space="preserve"> on the difference between the imbalance and the imbalance allowance</w:t>
      </w:r>
      <w:r w:rsidR="001A321D" w:rsidRPr="001A321D">
        <w:rPr>
          <w:color w:val="000000"/>
        </w:rPr>
        <w:t>.</w:t>
      </w:r>
      <w:r w:rsidRPr="001A321D">
        <w:t xml:space="preserve"> </w:t>
      </w:r>
      <w:r w:rsidR="000D57ED">
        <w:t xml:space="preserve">If an imbalance does arise, a shipper will </w:t>
      </w:r>
      <w:r w:rsidR="001A321D">
        <w:t xml:space="preserve">usually </w:t>
      </w:r>
      <w:r w:rsidR="009069F0">
        <w:t xml:space="preserve">have </w:t>
      </w:r>
      <w:r w:rsidR="000D57ED">
        <w:t xml:space="preserve">a window of time to clear the imbalance, after which the pipeline operator may take steps to </w:t>
      </w:r>
      <w:r w:rsidR="009069F0">
        <w:t xml:space="preserve">correct </w:t>
      </w:r>
      <w:r w:rsidR="000D57ED">
        <w:t>the imbalance</w:t>
      </w:r>
      <w:r w:rsidR="009069F0">
        <w:rPr>
          <w:rStyle w:val="FootnoteReference"/>
        </w:rPr>
        <w:footnoteReference w:id="57"/>
      </w:r>
      <w:r w:rsidR="009069F0">
        <w:t xml:space="preserve"> and recover the </w:t>
      </w:r>
      <w:r w:rsidR="000D57ED">
        <w:t>costs from the shipper.</w:t>
      </w:r>
      <w:r w:rsidR="00E36FD2">
        <w:t xml:space="preserve"> See Chapter 3 for how these have been proposed to be included in the draft operational GTA for secondary shippers.</w:t>
      </w:r>
    </w:p>
    <w:p w14:paraId="67802400" w14:textId="77777777" w:rsidR="00F65451" w:rsidRPr="00F65451" w:rsidRDefault="00F65451" w:rsidP="00F65451">
      <w:pPr>
        <w:pStyle w:val="BodyText"/>
      </w:pPr>
      <w:r>
        <w:t xml:space="preserve">The measures that </w:t>
      </w:r>
      <w:r w:rsidRPr="00F65451">
        <w:t xml:space="preserve">shippers </w:t>
      </w:r>
      <w:r w:rsidR="00CC006A">
        <w:t xml:space="preserve">can </w:t>
      </w:r>
      <w:r>
        <w:t xml:space="preserve">currently use </w:t>
      </w:r>
      <w:r w:rsidRPr="00F65451">
        <w:t xml:space="preserve">to clear </w:t>
      </w:r>
      <w:r>
        <w:t>an imbalance</w:t>
      </w:r>
      <w:r w:rsidRPr="00F65451">
        <w:t xml:space="preserve"> include:</w:t>
      </w:r>
    </w:p>
    <w:p w14:paraId="39F1FB40" w14:textId="77777777" w:rsidR="00F65451" w:rsidRDefault="00F65451" w:rsidP="0057020B">
      <w:pPr>
        <w:pStyle w:val="ListNumber"/>
        <w:numPr>
          <w:ilvl w:val="0"/>
          <w:numId w:val="37"/>
        </w:numPr>
      </w:pPr>
      <w:r>
        <w:t xml:space="preserve">physically </w:t>
      </w:r>
      <w:r w:rsidR="006B3BF1">
        <w:t>supplying</w:t>
      </w:r>
      <w:r>
        <w:t xml:space="preserve"> more or less gas </w:t>
      </w:r>
      <w:r w:rsidR="00CC006A">
        <w:t xml:space="preserve">into the pipeline </w:t>
      </w:r>
      <w:r>
        <w:t>when transporting gas on the next occasion;</w:t>
      </w:r>
    </w:p>
    <w:p w14:paraId="1340ABA2" w14:textId="77777777" w:rsidR="00F65451" w:rsidRDefault="00F65451" w:rsidP="00125FCE">
      <w:pPr>
        <w:pStyle w:val="ListNumber"/>
      </w:pPr>
      <w:r>
        <w:t xml:space="preserve">trading the imbalance through a </w:t>
      </w:r>
      <w:r w:rsidRPr="00650B9D">
        <w:t>bilateral in</w:t>
      </w:r>
      <w:r w:rsidR="00F243A1">
        <w:t>-</w:t>
      </w:r>
      <w:r w:rsidRPr="00650B9D">
        <w:t>pipe trad</w:t>
      </w:r>
      <w:r>
        <w:t xml:space="preserve">e on those pipelines </w:t>
      </w:r>
      <w:r w:rsidR="00C22C10">
        <w:t xml:space="preserve">where this </w:t>
      </w:r>
      <w:r>
        <w:t>service</w:t>
      </w:r>
      <w:r w:rsidR="00C22C10">
        <w:t xml:space="preserve"> is offered</w:t>
      </w:r>
      <w:r>
        <w:t>;</w:t>
      </w:r>
      <w:r w:rsidR="006B3BF1">
        <w:rPr>
          <w:rStyle w:val="FootnoteReference"/>
        </w:rPr>
        <w:footnoteReference w:id="58"/>
      </w:r>
      <w:r w:rsidR="00125FCE">
        <w:t>and</w:t>
      </w:r>
    </w:p>
    <w:p w14:paraId="3305101D" w14:textId="77777777" w:rsidR="00F65451" w:rsidRPr="00650B9D" w:rsidRDefault="00F65451" w:rsidP="00125FCE">
      <w:pPr>
        <w:pStyle w:val="ListNumber"/>
      </w:pPr>
      <w:r>
        <w:t xml:space="preserve">engaging in a </w:t>
      </w:r>
      <w:r w:rsidRPr="00650B9D">
        <w:t>bilateral</w:t>
      </w:r>
      <w:r>
        <w:t xml:space="preserve"> imbalance trade with another shipper on </w:t>
      </w:r>
      <w:r w:rsidR="00CC006A">
        <w:t xml:space="preserve">those </w:t>
      </w:r>
      <w:r>
        <w:t>pipeline</w:t>
      </w:r>
      <w:r w:rsidR="00CC006A">
        <w:t>s</w:t>
      </w:r>
      <w:r w:rsidR="00C22C10">
        <w:t xml:space="preserve"> where the shipper’s GTA allows it to do so</w:t>
      </w:r>
      <w:r w:rsidR="00125FCE">
        <w:t>.</w:t>
      </w:r>
    </w:p>
    <w:p w14:paraId="365F9347" w14:textId="510ED4AD" w:rsidR="007E7A05" w:rsidRPr="005B073E" w:rsidRDefault="00CC006A" w:rsidP="005B073E">
      <w:pPr>
        <w:pStyle w:val="BodyText"/>
      </w:pPr>
      <w:r>
        <w:lastRenderedPageBreak/>
        <w:t xml:space="preserve">In their discussions on </w:t>
      </w:r>
      <w:r w:rsidR="00A312D2">
        <w:t xml:space="preserve">how imbalances should be treated in </w:t>
      </w:r>
      <w:r>
        <w:t xml:space="preserve">the operational GTA, the Standardisation project team </w:t>
      </w:r>
      <w:r w:rsidR="00143F47">
        <w:t xml:space="preserve">noted that clearing an imbalance </w:t>
      </w:r>
      <w:r w:rsidR="00A312D2">
        <w:t xml:space="preserve">could </w:t>
      </w:r>
      <w:r w:rsidR="00143F47">
        <w:t xml:space="preserve">be more difficult for secondary shippers </w:t>
      </w:r>
      <w:r w:rsidR="00A312D2">
        <w:t xml:space="preserve">that use </w:t>
      </w:r>
      <w:r w:rsidR="00D4503D">
        <w:t>capacity on an ad-hoc basis</w:t>
      </w:r>
      <w:r w:rsidR="00A312D2">
        <w:t xml:space="preserve"> and act as a barrier to trade</w:t>
      </w:r>
      <w:r w:rsidR="00F243A1">
        <w:t xml:space="preserve">. This is </w:t>
      </w:r>
      <w:r w:rsidR="00143F47">
        <w:t xml:space="preserve">because once </w:t>
      </w:r>
      <w:r>
        <w:t>the</w:t>
      </w:r>
      <w:r w:rsidR="00A312D2">
        <w:t>ir</w:t>
      </w:r>
      <w:r>
        <w:t xml:space="preserve"> </w:t>
      </w:r>
      <w:r w:rsidR="00143F47">
        <w:t xml:space="preserve">trade </w:t>
      </w:r>
      <w:r w:rsidR="00A312D2">
        <w:t xml:space="preserve">has </w:t>
      </w:r>
      <w:r w:rsidR="00143F47">
        <w:t xml:space="preserve">ended </w:t>
      </w:r>
      <w:r w:rsidR="00F243A1">
        <w:t xml:space="preserve">secondary shippers </w:t>
      </w:r>
      <w:r w:rsidR="00143F47">
        <w:t xml:space="preserve">would be </w:t>
      </w:r>
      <w:r w:rsidR="00F243A1">
        <w:t>un</w:t>
      </w:r>
      <w:r w:rsidR="00143F47">
        <w:t xml:space="preserve">able to </w:t>
      </w:r>
      <w:r w:rsidR="00A312D2">
        <w:t xml:space="preserve">use option 1. </w:t>
      </w:r>
      <w:r>
        <w:t xml:space="preserve">Some project team members therefore </w:t>
      </w:r>
      <w:r w:rsidR="007E7A05">
        <w:t xml:space="preserve">proposed </w:t>
      </w:r>
      <w:r>
        <w:t xml:space="preserve">that </w:t>
      </w:r>
      <w:r w:rsidR="00A312D2">
        <w:t>the scope of the capacity trading platform be expanded to allow shippers to trade imbalances bilaterally through the listing service or through the exchange.</w:t>
      </w:r>
      <w:r w:rsidR="007E7A05">
        <w:t xml:space="preserve"> The design of the capacity trading platform that is currently being consulted upon does not include this feature, but the GMRG does think there may be merit in expanding its scope to facilitate this type of trade. The GMRG is interested therefore in getting further feedback on this proposal. </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5.2: Questions on imbalance clearing "/>
        <w:tblDescription w:val="Questions on imbalance clearing "/>
      </w:tblPr>
      <w:tblGrid>
        <w:gridCol w:w="8788"/>
      </w:tblGrid>
      <w:tr w:rsidR="007E7A05" w:rsidRPr="00674898" w14:paraId="1730291F" w14:textId="77777777" w:rsidTr="005B073E">
        <w:trPr>
          <w:tblHeader/>
        </w:trPr>
        <w:tc>
          <w:tcPr>
            <w:tcW w:w="5000" w:type="pct"/>
            <w:shd w:val="clear" w:color="auto" w:fill="auto"/>
          </w:tcPr>
          <w:p w14:paraId="29A417C2" w14:textId="0660F7CB" w:rsidR="007E7A05" w:rsidRPr="005B073E" w:rsidRDefault="005B073E" w:rsidP="005B073E">
            <w:pPr>
              <w:pStyle w:val="ListNumber"/>
              <w:numPr>
                <w:ilvl w:val="0"/>
                <w:numId w:val="0"/>
              </w:numPr>
              <w:spacing w:after="0"/>
              <w:ind w:left="357" w:hanging="357"/>
              <w:rPr>
                <w:rFonts w:eastAsiaTheme="majorEastAsia"/>
                <w:b/>
                <w:sz w:val="21"/>
                <w:szCs w:val="21"/>
              </w:rPr>
            </w:pPr>
            <w:r w:rsidRPr="005B073E">
              <w:rPr>
                <w:b/>
              </w:rPr>
              <w:t xml:space="preserve">Box </w:t>
            </w:r>
            <w:r w:rsidRPr="005B073E">
              <w:rPr>
                <w:b/>
              </w:rPr>
              <w:fldChar w:fldCharType="begin"/>
            </w:r>
            <w:r w:rsidRPr="005B073E">
              <w:rPr>
                <w:b/>
              </w:rPr>
              <w:instrText xml:space="preserve"> STYLEREF 1 \s </w:instrText>
            </w:r>
            <w:r w:rsidRPr="005B073E">
              <w:rPr>
                <w:b/>
              </w:rPr>
              <w:fldChar w:fldCharType="separate"/>
            </w:r>
            <w:r w:rsidRPr="005B073E">
              <w:rPr>
                <w:b/>
                <w:noProof/>
              </w:rPr>
              <w:t>5</w:t>
            </w:r>
            <w:r w:rsidRPr="005B073E">
              <w:rPr>
                <w:b/>
                <w:noProof/>
              </w:rPr>
              <w:fldChar w:fldCharType="end"/>
            </w:r>
            <w:r w:rsidRPr="005B073E">
              <w:rPr>
                <w:b/>
              </w:rPr>
              <w:t>.</w:t>
            </w:r>
            <w:r w:rsidRPr="005B073E">
              <w:rPr>
                <w:b/>
              </w:rPr>
              <w:fldChar w:fldCharType="begin"/>
            </w:r>
            <w:r w:rsidRPr="005B073E">
              <w:rPr>
                <w:b/>
              </w:rPr>
              <w:instrText xml:space="preserve"> SEQ Box \* ARABIC \s 1 </w:instrText>
            </w:r>
            <w:r w:rsidRPr="005B073E">
              <w:rPr>
                <w:b/>
              </w:rPr>
              <w:fldChar w:fldCharType="separate"/>
            </w:r>
            <w:r w:rsidRPr="005B073E">
              <w:rPr>
                <w:b/>
                <w:noProof/>
              </w:rPr>
              <w:t>2</w:t>
            </w:r>
            <w:r w:rsidRPr="005B073E">
              <w:rPr>
                <w:b/>
                <w:noProof/>
              </w:rPr>
              <w:fldChar w:fldCharType="end"/>
            </w:r>
            <w:r w:rsidRPr="005B073E">
              <w:rPr>
                <w:b/>
              </w:rPr>
              <w:t xml:space="preserve">: </w:t>
            </w:r>
            <w:r w:rsidRPr="005B073E">
              <w:rPr>
                <w:b/>
                <w:bCs/>
              </w:rPr>
              <w:t>Questions on imbalance clearing</w:t>
            </w:r>
          </w:p>
        </w:tc>
      </w:tr>
      <w:tr w:rsidR="005B073E" w:rsidRPr="00674898" w14:paraId="5F23771E" w14:textId="77777777" w:rsidTr="005B073E">
        <w:trPr>
          <w:tblHeader/>
        </w:trPr>
        <w:tc>
          <w:tcPr>
            <w:tcW w:w="5000" w:type="pct"/>
            <w:shd w:val="clear" w:color="auto" w:fill="B7E7FF"/>
          </w:tcPr>
          <w:p w14:paraId="3256065F" w14:textId="77777777" w:rsidR="005B073E" w:rsidRPr="004F36FB" w:rsidRDefault="005B073E" w:rsidP="005B073E">
            <w:pPr>
              <w:pStyle w:val="ListNumber"/>
              <w:numPr>
                <w:ilvl w:val="0"/>
                <w:numId w:val="23"/>
              </w:numPr>
              <w:rPr>
                <w:rFonts w:eastAsiaTheme="majorEastAsia"/>
                <w:sz w:val="21"/>
                <w:szCs w:val="21"/>
              </w:rPr>
            </w:pPr>
            <w:r>
              <w:rPr>
                <w:rFonts w:eastAsiaTheme="majorEastAsia"/>
                <w:sz w:val="21"/>
                <w:szCs w:val="21"/>
              </w:rPr>
              <w:t>Do you think the capacity trading platform should facilitate the trade of imbalances?</w:t>
            </w:r>
          </w:p>
          <w:p w14:paraId="293F3CA3" w14:textId="77777777" w:rsidR="005B073E" w:rsidRPr="00674898" w:rsidRDefault="005B073E" w:rsidP="005B073E">
            <w:pPr>
              <w:pStyle w:val="ListBullet2"/>
              <w:rPr>
                <w:rFonts w:eastAsiaTheme="majorEastAsia"/>
                <w:sz w:val="21"/>
                <w:szCs w:val="21"/>
              </w:rPr>
            </w:pPr>
            <w:r w:rsidRPr="00674898">
              <w:rPr>
                <w:rFonts w:eastAsiaTheme="majorEastAsia"/>
                <w:sz w:val="21"/>
                <w:szCs w:val="21"/>
              </w:rPr>
              <w:t xml:space="preserve">If </w:t>
            </w:r>
            <w:r>
              <w:rPr>
                <w:rFonts w:eastAsiaTheme="majorEastAsia"/>
                <w:sz w:val="21"/>
                <w:szCs w:val="21"/>
              </w:rPr>
              <w:t>so, do you think this should be done through the listing service or exchange</w:t>
            </w:r>
            <w:r w:rsidRPr="00674898">
              <w:rPr>
                <w:rFonts w:eastAsiaTheme="majorEastAsia"/>
                <w:sz w:val="21"/>
                <w:szCs w:val="21"/>
              </w:rPr>
              <w:t>?</w:t>
            </w:r>
          </w:p>
          <w:p w14:paraId="7A0606B0" w14:textId="77777777" w:rsidR="005B073E" w:rsidRDefault="005B073E" w:rsidP="005B073E">
            <w:pPr>
              <w:pStyle w:val="ListBullet2"/>
              <w:rPr>
                <w:rFonts w:eastAsiaTheme="majorEastAsia"/>
                <w:sz w:val="21"/>
                <w:szCs w:val="21"/>
              </w:rPr>
            </w:pPr>
            <w:r w:rsidRPr="00674898">
              <w:rPr>
                <w:rFonts w:eastAsiaTheme="majorEastAsia"/>
                <w:sz w:val="21"/>
                <w:szCs w:val="21"/>
              </w:rPr>
              <w:t xml:space="preserve">If </w:t>
            </w:r>
            <w:r>
              <w:rPr>
                <w:rFonts w:eastAsiaTheme="majorEastAsia"/>
                <w:sz w:val="21"/>
                <w:szCs w:val="21"/>
              </w:rPr>
              <w:t>not</w:t>
            </w:r>
            <w:r w:rsidRPr="00674898">
              <w:rPr>
                <w:rFonts w:eastAsiaTheme="majorEastAsia"/>
                <w:sz w:val="21"/>
                <w:szCs w:val="21"/>
              </w:rPr>
              <w:t xml:space="preserve">, </w:t>
            </w:r>
            <w:r>
              <w:rPr>
                <w:rFonts w:eastAsiaTheme="majorEastAsia"/>
                <w:sz w:val="21"/>
                <w:szCs w:val="21"/>
              </w:rPr>
              <w:t>please explain why.</w:t>
            </w:r>
          </w:p>
          <w:p w14:paraId="638CF42C" w14:textId="77777777" w:rsidR="005B073E" w:rsidRDefault="005B073E" w:rsidP="005B073E">
            <w:pPr>
              <w:pStyle w:val="ListNumber"/>
              <w:numPr>
                <w:ilvl w:val="0"/>
                <w:numId w:val="23"/>
              </w:numPr>
              <w:rPr>
                <w:rFonts w:eastAsiaTheme="majorEastAsia"/>
                <w:sz w:val="21"/>
                <w:szCs w:val="21"/>
              </w:rPr>
            </w:pPr>
            <w:r>
              <w:rPr>
                <w:rFonts w:eastAsiaTheme="majorEastAsia"/>
                <w:sz w:val="21"/>
                <w:szCs w:val="21"/>
              </w:rPr>
              <w:t xml:space="preserve">Are there other options you think could be made available to shippers to facilitate the clearing of an imbalance (e.g. extending in-pipe trading services to other pipelines)? </w:t>
            </w:r>
          </w:p>
          <w:p w14:paraId="7C338287" w14:textId="31803226" w:rsidR="005B073E" w:rsidRPr="005B073E" w:rsidRDefault="005B073E" w:rsidP="005B073E">
            <w:pPr>
              <w:pStyle w:val="ListNumber"/>
              <w:numPr>
                <w:ilvl w:val="0"/>
                <w:numId w:val="23"/>
              </w:numPr>
              <w:rPr>
                <w:rFonts w:eastAsiaTheme="majorEastAsia"/>
                <w:sz w:val="21"/>
                <w:szCs w:val="21"/>
              </w:rPr>
            </w:pPr>
            <w:r w:rsidRPr="005B073E">
              <w:rPr>
                <w:rFonts w:eastAsiaTheme="majorEastAsia"/>
                <w:sz w:val="21"/>
                <w:szCs w:val="21"/>
              </w:rPr>
              <w:t>Are there any other impediments to a shipper clearing an imbalance (for example, are there provisions in GTAs that prohibit shippers from trading imbalances)?</w:t>
            </w:r>
          </w:p>
        </w:tc>
      </w:tr>
    </w:tbl>
    <w:p w14:paraId="2DA65438" w14:textId="77777777" w:rsidR="008B3812" w:rsidRDefault="008B3812" w:rsidP="008B3812">
      <w:pPr>
        <w:pStyle w:val="Heading2"/>
      </w:pPr>
      <w:bookmarkStart w:id="117" w:name="_Toc492524750"/>
      <w:r>
        <w:t xml:space="preserve">Gas day start times and nomination </w:t>
      </w:r>
      <w:r w:rsidR="0076364B">
        <w:t xml:space="preserve">cut-off </w:t>
      </w:r>
      <w:r>
        <w:t>times</w:t>
      </w:r>
      <w:bookmarkEnd w:id="117"/>
    </w:p>
    <w:p w14:paraId="60F9A688" w14:textId="77777777" w:rsidR="00AA6640" w:rsidRPr="001C4E1C" w:rsidRDefault="00AA6640" w:rsidP="001C4E1C">
      <w:pPr>
        <w:pStyle w:val="BodyText"/>
        <w:rPr>
          <w:b/>
          <w:color w:val="0099CC"/>
        </w:rPr>
      </w:pPr>
      <w:r w:rsidRPr="001C4E1C">
        <w:rPr>
          <w:b/>
          <w:color w:val="0099CC"/>
        </w:rPr>
        <w:t>Background</w:t>
      </w:r>
    </w:p>
    <w:p w14:paraId="6476A677" w14:textId="77777777" w:rsidR="006566F5" w:rsidRDefault="006566F5" w:rsidP="008B3812">
      <w:pPr>
        <w:pStyle w:val="BodyText"/>
      </w:pPr>
      <w:r w:rsidRPr="006566F5">
        <w:t>In February 2017, the AEMC decided to amend the rules to require the gas day start times in the facilitated markets (i.e. the STTM, the GSH and the DWGM) to move to 6 am (AEST) on 1 April 2021.</w:t>
      </w:r>
      <w:r>
        <w:t xml:space="preserve"> The benefits </w:t>
      </w:r>
      <w:r w:rsidR="00DC2E22">
        <w:t xml:space="preserve">of harmonisation </w:t>
      </w:r>
      <w:r>
        <w:t xml:space="preserve">that the AEMC cited in this context </w:t>
      </w:r>
      <w:r w:rsidR="00DC2E22">
        <w:t xml:space="preserve">were </w:t>
      </w:r>
      <w:r>
        <w:t>that it would:</w:t>
      </w:r>
      <w:r w:rsidR="00DC2E22">
        <w:rPr>
          <w:rStyle w:val="FootnoteReference"/>
        </w:rPr>
        <w:footnoteReference w:id="59"/>
      </w:r>
    </w:p>
    <w:p w14:paraId="36DD151F" w14:textId="77777777" w:rsidR="006566F5" w:rsidRDefault="006566F5" w:rsidP="006566F5">
      <w:pPr>
        <w:pStyle w:val="ListBullet"/>
      </w:pPr>
      <w:r>
        <w:t xml:space="preserve">reduce the </w:t>
      </w:r>
      <w:r w:rsidR="00615DA6">
        <w:t xml:space="preserve">costs and </w:t>
      </w:r>
      <w:r>
        <w:t>complexities that market participants operating (or wishing to operate) across multiple facilitated markets currently face</w:t>
      </w:r>
      <w:r w:rsidR="00DC2E22">
        <w:t>, including pipeline operators located at the interface of markets with different gas day start times</w:t>
      </w:r>
      <w:r>
        <w:t>; and</w:t>
      </w:r>
    </w:p>
    <w:p w14:paraId="5A8023B2" w14:textId="77777777" w:rsidR="006566F5" w:rsidRDefault="006566F5" w:rsidP="006566F5">
      <w:pPr>
        <w:pStyle w:val="ListBullet"/>
      </w:pPr>
      <w:r>
        <w:t>increase the interoperability and interconnection between markets and, in so doing, promote participation</w:t>
      </w:r>
      <w:r w:rsidR="00615DA6">
        <w:t xml:space="preserve"> </w:t>
      </w:r>
      <w:r>
        <w:t>and liquidity in these markets and trade between locations.</w:t>
      </w:r>
    </w:p>
    <w:p w14:paraId="00E650EA" w14:textId="77777777" w:rsidR="00615DA6" w:rsidRDefault="006566F5" w:rsidP="003649DA">
      <w:pPr>
        <w:pStyle w:val="BodyText"/>
      </w:pPr>
      <w:r>
        <w:t xml:space="preserve">The AEMC also noted that while it was aware </w:t>
      </w:r>
      <w:r w:rsidR="003649DA">
        <w:t xml:space="preserve">that some </w:t>
      </w:r>
      <w:r>
        <w:t xml:space="preserve">market participants were currently using contractual and operational arrangements to manage differences in </w:t>
      </w:r>
      <w:r w:rsidR="00250943">
        <w:t xml:space="preserve">gas day </w:t>
      </w:r>
      <w:r>
        <w:t xml:space="preserve">start times (e.g. through </w:t>
      </w:r>
      <w:proofErr w:type="spellStart"/>
      <w:r>
        <w:t>linepack</w:t>
      </w:r>
      <w:proofErr w:type="spellEnd"/>
      <w:r>
        <w:t xml:space="preserve"> and imbalance allowances), </w:t>
      </w:r>
      <w:r w:rsidR="003649DA">
        <w:t>these arrangements were not costless and may not be available in all circumstances.</w:t>
      </w:r>
      <w:r w:rsidR="001B7E7C">
        <w:rPr>
          <w:rStyle w:val="FootnoteReference"/>
        </w:rPr>
        <w:footnoteReference w:id="60"/>
      </w:r>
      <w:r w:rsidR="003649DA">
        <w:t xml:space="preserve"> </w:t>
      </w:r>
    </w:p>
    <w:p w14:paraId="1EBACE0B" w14:textId="77777777" w:rsidR="00615DA6" w:rsidRDefault="00615DA6" w:rsidP="003649DA">
      <w:pPr>
        <w:pStyle w:val="BodyText"/>
      </w:pPr>
      <w:r>
        <w:lastRenderedPageBreak/>
        <w:t>While the focus of the rule change was on the facilitated markets, t</w:t>
      </w:r>
      <w:r w:rsidR="003649DA">
        <w:t xml:space="preserve">he AEMC </w:t>
      </w:r>
      <w:r>
        <w:t xml:space="preserve">noted that employing the same gas day start time </w:t>
      </w:r>
      <w:r w:rsidR="004646E4">
        <w:t xml:space="preserve">for the </w:t>
      </w:r>
      <w:r>
        <w:t xml:space="preserve">capacity </w:t>
      </w:r>
      <w:r w:rsidR="004646E4">
        <w:t xml:space="preserve">trading reforms </w:t>
      </w:r>
      <w:r>
        <w:t xml:space="preserve">and harmonising </w:t>
      </w:r>
      <w:r w:rsidR="004646E4">
        <w:t xml:space="preserve">pipeline </w:t>
      </w:r>
      <w:r>
        <w:t>schedules would be “desirable”</w:t>
      </w:r>
      <w:r w:rsidR="004646E4">
        <w:t xml:space="preserve"> because it would enable </w:t>
      </w:r>
      <w:r w:rsidR="000406EF">
        <w:t>“seamless trading between regions”</w:t>
      </w:r>
      <w:r w:rsidR="004646E4">
        <w:t xml:space="preserve"> and “promote participation, competition and liquidity in these markets”</w:t>
      </w:r>
      <w:r w:rsidR="000406EF">
        <w:t>.</w:t>
      </w:r>
      <w:r w:rsidR="000406EF">
        <w:rPr>
          <w:rStyle w:val="FootnoteReference"/>
        </w:rPr>
        <w:footnoteReference w:id="61"/>
      </w:r>
      <w:r w:rsidR="000406EF">
        <w:t xml:space="preserve"> A similar observation was made by the ACCC in the East Coast Gas Inquiry, with the ACCC noting that alignment of gas day start times and the nomination times employed by pipeline operators and other facilities would “reduce any potential barriers to trade and transaction costs.”</w:t>
      </w:r>
      <w:r w:rsidR="000406EF">
        <w:rPr>
          <w:rStyle w:val="FootnoteReference"/>
        </w:rPr>
        <w:footnoteReference w:id="62"/>
      </w:r>
    </w:p>
    <w:p w14:paraId="7F7F35D7" w14:textId="456448C4" w:rsidR="004F2815" w:rsidRDefault="00F243A1" w:rsidP="004F2815">
      <w:pPr>
        <w:pStyle w:val="BodyText"/>
      </w:pPr>
      <w:r>
        <w:t xml:space="preserve">The </w:t>
      </w:r>
      <w:r w:rsidR="00250943">
        <w:t xml:space="preserve">1 April 2021 </w:t>
      </w:r>
      <w:r>
        <w:t xml:space="preserve">commencement date </w:t>
      </w:r>
      <w:r w:rsidR="004F2815">
        <w:t xml:space="preserve">was adopted </w:t>
      </w:r>
      <w:r w:rsidR="00250943">
        <w:t xml:space="preserve">by the AEMC for this rule change </w:t>
      </w:r>
      <w:r w:rsidR="004F2815">
        <w:t xml:space="preserve">because at the time </w:t>
      </w:r>
      <w:r w:rsidR="00250943">
        <w:t xml:space="preserve">it made the </w:t>
      </w:r>
      <w:r w:rsidR="004F2815">
        <w:t>rule the capacity trading reform package was expected to be implemented in 2021.</w:t>
      </w:r>
      <w:r w:rsidR="004F2815">
        <w:rPr>
          <w:rStyle w:val="FootnoteReference"/>
        </w:rPr>
        <w:footnoteReference w:id="63"/>
      </w:r>
      <w:r w:rsidR="004F2815">
        <w:t xml:space="preserve"> Given a decision has subsequently been made to bring forward the implementation of the reforms to 2018/19, it is relevant to consider whether:</w:t>
      </w:r>
    </w:p>
    <w:p w14:paraId="4E416723" w14:textId="77777777" w:rsidR="00AA1002" w:rsidRDefault="004F2815" w:rsidP="004F2815">
      <w:pPr>
        <w:pStyle w:val="ListBullet"/>
      </w:pPr>
      <w:r>
        <w:t>the harmonisation of gas day start times in the facilitated markets should be brought forward</w:t>
      </w:r>
      <w:r w:rsidR="00AA1002">
        <w:t>;</w:t>
      </w:r>
    </w:p>
    <w:p w14:paraId="3E1E8CD8" w14:textId="77777777" w:rsidR="004F2815" w:rsidRDefault="00AA1002" w:rsidP="004F2815">
      <w:pPr>
        <w:pStyle w:val="ListBullet"/>
      </w:pPr>
      <w:r>
        <w:t xml:space="preserve">the application of the gas day start time harmonisation should extend to </w:t>
      </w:r>
      <w:r w:rsidR="004F2815">
        <w:t>all pipelines, production facilities, compressor and storage facilities in the east coast; and</w:t>
      </w:r>
    </w:p>
    <w:p w14:paraId="350E2039" w14:textId="77777777" w:rsidR="004F2815" w:rsidRDefault="004F2815" w:rsidP="004F2815">
      <w:pPr>
        <w:pStyle w:val="ListBullet"/>
      </w:pPr>
      <w:r>
        <w:t>the nomination cut-off times should also be harmonised across pipeline</w:t>
      </w:r>
      <w:r w:rsidR="007C7752">
        <w:t>s</w:t>
      </w:r>
      <w:r>
        <w:t xml:space="preserve"> and other facilities that will be subject to the capacity trading reforms (e.g. compressors). </w:t>
      </w:r>
    </w:p>
    <w:p w14:paraId="79F6F7CE" w14:textId="77777777" w:rsidR="002320B0" w:rsidRDefault="002320B0" w:rsidP="002320B0">
      <w:pPr>
        <w:pStyle w:val="BodyText"/>
      </w:pPr>
      <w:r>
        <w:t>In doing so, it is important to understand the effect that dif</w:t>
      </w:r>
      <w:r w:rsidR="00250943">
        <w:t>ferences in gas day start times</w:t>
      </w:r>
      <w:r>
        <w:t xml:space="preserve"> and nomination cut-off times will have on: </w:t>
      </w:r>
    </w:p>
    <w:p w14:paraId="128D9685" w14:textId="77777777" w:rsidR="002320B0" w:rsidRDefault="002320B0" w:rsidP="002320B0">
      <w:pPr>
        <w:pStyle w:val="ListBullet"/>
      </w:pPr>
      <w:r>
        <w:t>the timing of the close of trade for day-ahead products on the capacity trading platform; and</w:t>
      </w:r>
    </w:p>
    <w:p w14:paraId="5CD42962" w14:textId="77777777" w:rsidR="002320B0" w:rsidRDefault="002320B0" w:rsidP="002320B0">
      <w:pPr>
        <w:pStyle w:val="ListBullet"/>
      </w:pPr>
      <w:r>
        <w:t xml:space="preserve">the timing of the day-ahead auction. </w:t>
      </w:r>
    </w:p>
    <w:p w14:paraId="52446FDD" w14:textId="41A8C5EF" w:rsidR="002320B0" w:rsidRDefault="002320B0" w:rsidP="002320B0">
      <w:pPr>
        <w:pStyle w:val="BodyText"/>
      </w:pPr>
      <w:r>
        <w:t xml:space="preserve">These effects </w:t>
      </w:r>
      <w:r w:rsidR="00F243A1">
        <w:t xml:space="preserve">are highlighted in </w:t>
      </w:r>
      <w:r>
        <w:rPr>
          <w:highlight w:val="yellow"/>
        </w:rPr>
        <w:fldChar w:fldCharType="begin"/>
      </w:r>
      <w:r>
        <w:instrText xml:space="preserve"> REF _Ref490636402 \h </w:instrText>
      </w:r>
      <w:r>
        <w:rPr>
          <w:highlight w:val="yellow"/>
        </w:rPr>
      </w:r>
      <w:r>
        <w:rPr>
          <w:highlight w:val="yellow"/>
        </w:rPr>
        <w:fldChar w:fldCharType="separate"/>
      </w:r>
      <w:r w:rsidR="00947034">
        <w:t xml:space="preserve">Table </w:t>
      </w:r>
      <w:r w:rsidR="00947034">
        <w:rPr>
          <w:noProof/>
        </w:rPr>
        <w:t>5</w:t>
      </w:r>
      <w:r w:rsidR="00947034">
        <w:t>.</w:t>
      </w:r>
      <w:r w:rsidR="00947034">
        <w:rPr>
          <w:noProof/>
        </w:rPr>
        <w:t>2</w:t>
      </w:r>
      <w:r>
        <w:rPr>
          <w:highlight w:val="yellow"/>
        </w:rPr>
        <w:fldChar w:fldCharType="end"/>
      </w:r>
      <w:r>
        <w:t xml:space="preserve">, with the top half of the table setting out </w:t>
      </w:r>
      <w:r w:rsidRPr="004F2815">
        <w:rPr>
          <w:i/>
        </w:rPr>
        <w:t>indicative</w:t>
      </w:r>
      <w:r>
        <w:t xml:space="preserve"> times for the close of trade on the capacity trading platform and the day-ahead auction under the current gas day start times and nomination cut-off times, while the bottom half shows what would occur if gas day start times and nomination times were harmonised. </w:t>
      </w:r>
    </w:p>
    <w:p w14:paraId="26845444" w14:textId="2B06F875" w:rsidR="002320B0" w:rsidRDefault="002320B0" w:rsidP="002320B0">
      <w:pPr>
        <w:pStyle w:val="BodyText"/>
      </w:pPr>
      <w:r>
        <w:t>The timings in this table are indicative only at this stage, because further consideration needs to be given to how much time service providers require to give effect to trades on the capacity trading platform and to determine the capacity that can be auctioned</w:t>
      </w:r>
      <w:r w:rsidR="00F7735F">
        <w:t>.</w:t>
      </w:r>
    </w:p>
    <w:p w14:paraId="3DA18C85" w14:textId="089B720A" w:rsidR="002320B0" w:rsidRDefault="002320B0" w:rsidP="002320B0">
      <w:pPr>
        <w:pStyle w:val="Caption"/>
        <w:spacing w:before="40" w:after="0"/>
      </w:pPr>
      <w:bookmarkStart w:id="118" w:name="_Ref490636402"/>
      <w:bookmarkStart w:id="119" w:name="_Hlk491187433"/>
      <w:r>
        <w:lastRenderedPageBreak/>
        <w:t xml:space="preserve">Table </w:t>
      </w:r>
      <w:r w:rsidR="00926D7E">
        <w:fldChar w:fldCharType="begin"/>
      </w:r>
      <w:r w:rsidR="00926D7E">
        <w:instrText xml:space="preserve"> STYLEREF 1 \s </w:instrText>
      </w:r>
      <w:r w:rsidR="00926D7E">
        <w:fldChar w:fldCharType="separate"/>
      </w:r>
      <w:r w:rsidR="00947034">
        <w:rPr>
          <w:noProof/>
        </w:rPr>
        <w:t>5</w:t>
      </w:r>
      <w:r w:rsidR="00926D7E">
        <w:rPr>
          <w:noProof/>
        </w:rPr>
        <w:fldChar w:fldCharType="end"/>
      </w:r>
      <w:r w:rsidR="001C4739">
        <w:t>.</w:t>
      </w:r>
      <w:r w:rsidR="00926D7E">
        <w:fldChar w:fldCharType="begin"/>
      </w:r>
      <w:r w:rsidR="00926D7E">
        <w:instrText xml:space="preserve"> SEQ Table \* ARABIC \s 1 </w:instrText>
      </w:r>
      <w:r w:rsidR="00926D7E">
        <w:fldChar w:fldCharType="separate"/>
      </w:r>
      <w:r w:rsidR="00947034">
        <w:rPr>
          <w:noProof/>
        </w:rPr>
        <w:t>2</w:t>
      </w:r>
      <w:r w:rsidR="00926D7E">
        <w:rPr>
          <w:noProof/>
        </w:rPr>
        <w:fldChar w:fldCharType="end"/>
      </w:r>
      <w:bookmarkEnd w:id="118"/>
      <w:r>
        <w:t>: Gas day start times, nomination cut-off times and indicative timings for the day-ahead auction and close of trade on the trading platform (all times AEST)</w:t>
      </w:r>
    </w:p>
    <w:tbl>
      <w:tblPr>
        <w:tblStyle w:val="TableGrid"/>
        <w:tblW w:w="5312" w:type="pct"/>
        <w:tblBorders>
          <w:left w:val="single" w:sz="4" w:space="0" w:color="auto"/>
          <w:right w:val="single" w:sz="4" w:space="0" w:color="auto"/>
        </w:tblBorders>
        <w:tblLook w:val="04A0" w:firstRow="1" w:lastRow="0" w:firstColumn="1" w:lastColumn="0" w:noHBand="0" w:noVBand="1"/>
        <w:tblCaption w:val="Table 5.2: Gas day start times, nomination cut-off times and indicative timings for the day-ahead auction and close of trade on the trading platform"/>
        <w:tblDescription w:val="Gas day start times, nomination cut-off times and indicative timings for the day-ahead auction and close of trade on the trading platform (all times AEST)"/>
      </w:tblPr>
      <w:tblGrid>
        <w:gridCol w:w="1601"/>
        <w:gridCol w:w="1156"/>
        <w:gridCol w:w="1712"/>
        <w:gridCol w:w="1362"/>
        <w:gridCol w:w="1164"/>
        <w:gridCol w:w="1162"/>
        <w:gridCol w:w="1169"/>
      </w:tblGrid>
      <w:tr w:rsidR="002320B0" w:rsidRPr="001B6BC7" w14:paraId="4050A9F2" w14:textId="77777777" w:rsidTr="00E8337C">
        <w:trPr>
          <w:cnfStyle w:val="100000000000" w:firstRow="1" w:lastRow="0" w:firstColumn="0" w:lastColumn="0" w:oddVBand="0" w:evenVBand="0" w:oddHBand="0" w:evenHBand="0" w:firstRowFirstColumn="0" w:firstRowLastColumn="0" w:lastRowFirstColumn="0" w:lastRowLastColumn="0"/>
          <w:cantSplit/>
          <w:tblHeader/>
        </w:trPr>
        <w:tc>
          <w:tcPr>
            <w:tcW w:w="858" w:type="pct"/>
            <w:vMerge w:val="restart"/>
            <w:shd w:val="clear" w:color="auto" w:fill="0099CC"/>
            <w:noWrap/>
            <w:hideMark/>
          </w:tcPr>
          <w:p w14:paraId="79989FA8" w14:textId="77777777" w:rsidR="002320B0" w:rsidRPr="001B6BC7" w:rsidRDefault="002320B0" w:rsidP="002320B0">
            <w:pPr>
              <w:pStyle w:val="TableHeading"/>
              <w:spacing w:before="40" w:after="40"/>
            </w:pPr>
          </w:p>
        </w:tc>
        <w:tc>
          <w:tcPr>
            <w:tcW w:w="620" w:type="pct"/>
            <w:vMerge w:val="restart"/>
            <w:shd w:val="clear" w:color="auto" w:fill="0099CC"/>
            <w:hideMark/>
          </w:tcPr>
          <w:p w14:paraId="6F31EBF6" w14:textId="77777777" w:rsidR="002320B0" w:rsidRPr="001B6BC7" w:rsidRDefault="002320B0" w:rsidP="002320B0">
            <w:pPr>
              <w:pStyle w:val="TableHeading"/>
              <w:spacing w:before="40" w:after="40"/>
            </w:pPr>
            <w:r w:rsidRPr="001B6BC7">
              <w:t xml:space="preserve">Gas Day Start Time </w:t>
            </w:r>
          </w:p>
        </w:tc>
        <w:tc>
          <w:tcPr>
            <w:tcW w:w="918" w:type="pct"/>
            <w:vMerge w:val="restart"/>
            <w:shd w:val="clear" w:color="auto" w:fill="0099CC"/>
            <w:hideMark/>
          </w:tcPr>
          <w:p w14:paraId="693626FD" w14:textId="77777777" w:rsidR="002320B0" w:rsidRPr="001B6BC7" w:rsidRDefault="002320B0" w:rsidP="002320B0">
            <w:pPr>
              <w:pStyle w:val="TableHeading"/>
              <w:spacing w:before="40" w:after="40"/>
            </w:pPr>
            <w:r w:rsidRPr="001B6BC7">
              <w:t xml:space="preserve">Indicative Timing </w:t>
            </w:r>
            <w:r>
              <w:t xml:space="preserve">Capacity Trading Platform </w:t>
            </w:r>
            <w:r w:rsidRPr="001B6BC7">
              <w:t>Close</w:t>
            </w:r>
            <w:r>
              <w:t xml:space="preserve"> for Day-Ahead Products</w:t>
            </w:r>
            <w:r w:rsidRPr="001B6BC7">
              <w:t>*</w:t>
            </w:r>
          </w:p>
        </w:tc>
        <w:tc>
          <w:tcPr>
            <w:tcW w:w="730" w:type="pct"/>
            <w:vMerge w:val="restart"/>
            <w:shd w:val="clear" w:color="auto" w:fill="0099CC"/>
            <w:hideMark/>
          </w:tcPr>
          <w:p w14:paraId="5D82A408" w14:textId="77777777" w:rsidR="002320B0" w:rsidRPr="001B6BC7" w:rsidRDefault="002320B0" w:rsidP="002320B0">
            <w:pPr>
              <w:pStyle w:val="TableHeading"/>
              <w:spacing w:before="40" w:after="40"/>
            </w:pPr>
            <w:r w:rsidRPr="001B6BC7">
              <w:t>Pipeline Nomination Cut Off Time for Gas Day D+1**</w:t>
            </w:r>
          </w:p>
        </w:tc>
        <w:tc>
          <w:tcPr>
            <w:tcW w:w="1874" w:type="pct"/>
            <w:gridSpan w:val="3"/>
            <w:shd w:val="clear" w:color="auto" w:fill="0099CC"/>
            <w:hideMark/>
          </w:tcPr>
          <w:p w14:paraId="77DBA4DD" w14:textId="77777777" w:rsidR="002320B0" w:rsidRPr="001B6BC7" w:rsidRDefault="002320B0" w:rsidP="002320B0">
            <w:pPr>
              <w:pStyle w:val="TableHeading"/>
              <w:spacing w:before="40" w:after="40"/>
              <w:jc w:val="center"/>
            </w:pPr>
            <w:r w:rsidRPr="001B6BC7">
              <w:t>Indicative Timing for Day-Ahead Auction***</w:t>
            </w:r>
          </w:p>
        </w:tc>
      </w:tr>
      <w:tr w:rsidR="002320B0" w:rsidRPr="001B6BC7" w14:paraId="07D155E8" w14:textId="77777777" w:rsidTr="00E8337C">
        <w:trPr>
          <w:cnfStyle w:val="100000000000" w:firstRow="1" w:lastRow="0" w:firstColumn="0" w:lastColumn="0" w:oddVBand="0" w:evenVBand="0" w:oddHBand="0" w:evenHBand="0" w:firstRowFirstColumn="0" w:firstRowLastColumn="0" w:lastRowFirstColumn="0" w:lastRowLastColumn="0"/>
          <w:cantSplit/>
          <w:tblHeader/>
        </w:trPr>
        <w:tc>
          <w:tcPr>
            <w:tcW w:w="858" w:type="pct"/>
            <w:vMerge/>
            <w:tcBorders>
              <w:bottom w:val="single" w:sz="4" w:space="0" w:color="auto"/>
            </w:tcBorders>
            <w:shd w:val="clear" w:color="auto" w:fill="0099CC"/>
            <w:noWrap/>
            <w:hideMark/>
          </w:tcPr>
          <w:p w14:paraId="719485E6" w14:textId="77777777" w:rsidR="002320B0" w:rsidRPr="001B6BC7" w:rsidRDefault="002320B0" w:rsidP="002320B0">
            <w:pPr>
              <w:pStyle w:val="TableBodyText"/>
              <w:spacing w:before="40" w:after="40"/>
              <w:rPr>
                <w:bCs/>
                <w:color w:val="000000"/>
              </w:rPr>
            </w:pPr>
          </w:p>
        </w:tc>
        <w:tc>
          <w:tcPr>
            <w:tcW w:w="620" w:type="pct"/>
            <w:vMerge/>
            <w:tcBorders>
              <w:bottom w:val="single" w:sz="4" w:space="0" w:color="auto"/>
            </w:tcBorders>
            <w:shd w:val="clear" w:color="auto" w:fill="0099CC"/>
            <w:hideMark/>
          </w:tcPr>
          <w:p w14:paraId="69E1B25A" w14:textId="77777777" w:rsidR="002320B0" w:rsidRPr="001B6BC7" w:rsidRDefault="002320B0" w:rsidP="002320B0">
            <w:pPr>
              <w:pStyle w:val="TableBodyText"/>
              <w:spacing w:before="40" w:after="40"/>
              <w:rPr>
                <w:bCs/>
                <w:color w:val="000000"/>
              </w:rPr>
            </w:pPr>
          </w:p>
        </w:tc>
        <w:tc>
          <w:tcPr>
            <w:tcW w:w="918" w:type="pct"/>
            <w:vMerge/>
            <w:tcBorders>
              <w:bottom w:val="single" w:sz="4" w:space="0" w:color="auto"/>
            </w:tcBorders>
            <w:shd w:val="clear" w:color="auto" w:fill="0099CC"/>
            <w:hideMark/>
          </w:tcPr>
          <w:p w14:paraId="128412D2" w14:textId="77777777" w:rsidR="002320B0" w:rsidRPr="001B6BC7" w:rsidRDefault="002320B0" w:rsidP="002320B0">
            <w:pPr>
              <w:pStyle w:val="TableBodyText"/>
              <w:spacing w:before="40" w:after="40"/>
              <w:rPr>
                <w:bCs/>
                <w:color w:val="000000"/>
              </w:rPr>
            </w:pPr>
          </w:p>
        </w:tc>
        <w:tc>
          <w:tcPr>
            <w:tcW w:w="730" w:type="pct"/>
            <w:vMerge/>
            <w:tcBorders>
              <w:bottom w:val="single" w:sz="4" w:space="0" w:color="auto"/>
            </w:tcBorders>
            <w:shd w:val="clear" w:color="auto" w:fill="0099CC"/>
            <w:hideMark/>
          </w:tcPr>
          <w:p w14:paraId="6FD2B9E2" w14:textId="77777777" w:rsidR="002320B0" w:rsidRPr="001B6BC7" w:rsidRDefault="002320B0" w:rsidP="002320B0">
            <w:pPr>
              <w:pStyle w:val="TableBodyText"/>
              <w:spacing w:before="40" w:after="40"/>
              <w:rPr>
                <w:bCs/>
                <w:color w:val="000000"/>
              </w:rPr>
            </w:pPr>
          </w:p>
        </w:tc>
        <w:tc>
          <w:tcPr>
            <w:tcW w:w="624" w:type="pct"/>
            <w:tcBorders>
              <w:bottom w:val="single" w:sz="4" w:space="0" w:color="auto"/>
            </w:tcBorders>
            <w:shd w:val="clear" w:color="auto" w:fill="0099CC"/>
            <w:hideMark/>
          </w:tcPr>
          <w:p w14:paraId="02320AC4" w14:textId="77777777" w:rsidR="002320B0" w:rsidRPr="001B6BC7" w:rsidRDefault="002320B0" w:rsidP="002320B0">
            <w:pPr>
              <w:pStyle w:val="TableBodyText"/>
              <w:spacing w:before="40" w:after="40"/>
              <w:rPr>
                <w:bCs/>
                <w:color w:val="FFFFFF" w:themeColor="background1"/>
              </w:rPr>
            </w:pPr>
            <w:r w:rsidRPr="001B6BC7">
              <w:rPr>
                <w:bCs/>
                <w:color w:val="FFFFFF" w:themeColor="background1"/>
              </w:rPr>
              <w:t>Auction Capacity Published</w:t>
            </w:r>
          </w:p>
        </w:tc>
        <w:tc>
          <w:tcPr>
            <w:tcW w:w="623" w:type="pct"/>
            <w:tcBorders>
              <w:bottom w:val="single" w:sz="4" w:space="0" w:color="auto"/>
            </w:tcBorders>
            <w:shd w:val="clear" w:color="auto" w:fill="0099CC"/>
            <w:hideMark/>
          </w:tcPr>
          <w:p w14:paraId="54D3B7D3" w14:textId="77777777" w:rsidR="002320B0" w:rsidRPr="001B6BC7" w:rsidRDefault="002320B0" w:rsidP="002320B0">
            <w:pPr>
              <w:pStyle w:val="TableBodyText"/>
              <w:spacing w:before="40" w:after="40"/>
              <w:rPr>
                <w:bCs/>
                <w:color w:val="FFFFFF" w:themeColor="background1"/>
              </w:rPr>
            </w:pPr>
            <w:r>
              <w:rPr>
                <w:bCs/>
                <w:color w:val="FFFFFF" w:themeColor="background1"/>
              </w:rPr>
              <w:t>Auction Bids Due</w:t>
            </w:r>
          </w:p>
        </w:tc>
        <w:tc>
          <w:tcPr>
            <w:tcW w:w="627" w:type="pct"/>
            <w:tcBorders>
              <w:bottom w:val="single" w:sz="4" w:space="0" w:color="auto"/>
            </w:tcBorders>
            <w:shd w:val="clear" w:color="auto" w:fill="0099CC"/>
            <w:hideMark/>
          </w:tcPr>
          <w:p w14:paraId="59400374" w14:textId="77777777" w:rsidR="002320B0" w:rsidRPr="001B6BC7" w:rsidRDefault="002320B0" w:rsidP="002320B0">
            <w:pPr>
              <w:pStyle w:val="TableBodyText"/>
              <w:spacing w:before="40" w:after="40"/>
              <w:rPr>
                <w:bCs/>
                <w:color w:val="FFFFFF" w:themeColor="background1"/>
              </w:rPr>
            </w:pPr>
            <w:r w:rsidRPr="001B6BC7">
              <w:rPr>
                <w:bCs/>
                <w:color w:val="FFFFFF" w:themeColor="background1"/>
              </w:rPr>
              <w:t>Auction Completed</w:t>
            </w:r>
          </w:p>
        </w:tc>
      </w:tr>
      <w:tr w:rsidR="002320B0" w:rsidRPr="001B6BC7" w14:paraId="207124B0" w14:textId="77777777" w:rsidTr="002320B0">
        <w:trPr>
          <w:cnfStyle w:val="100000000000" w:firstRow="1" w:lastRow="0" w:firstColumn="0" w:lastColumn="0" w:oddVBand="0" w:evenVBand="0" w:oddHBand="0" w:evenHBand="0" w:firstRowFirstColumn="0" w:firstRowLastColumn="0" w:lastRowFirstColumn="0" w:lastRowLastColumn="0"/>
          <w:cantSplit/>
          <w:tblHeader/>
        </w:trPr>
        <w:tc>
          <w:tcPr>
            <w:tcW w:w="5000" w:type="pct"/>
            <w:gridSpan w:val="7"/>
            <w:shd w:val="clear" w:color="auto" w:fill="D9D9D9" w:themeFill="background1" w:themeFillShade="D9"/>
            <w:noWrap/>
            <w:hideMark/>
          </w:tcPr>
          <w:p w14:paraId="04D953D1" w14:textId="77777777" w:rsidR="002320B0" w:rsidRPr="001B6BC7" w:rsidRDefault="002320B0" w:rsidP="002320B0">
            <w:pPr>
              <w:pStyle w:val="TableBodyText"/>
              <w:spacing w:before="40" w:after="40"/>
              <w:jc w:val="center"/>
              <w:rPr>
                <w:bCs/>
                <w:color w:val="000000"/>
              </w:rPr>
            </w:pPr>
            <w:r w:rsidRPr="001B6BC7">
              <w:rPr>
                <w:bCs/>
                <w:color w:val="000000"/>
              </w:rPr>
              <w:t>Current Gas Day and Nomination Cut-Off Times</w:t>
            </w:r>
          </w:p>
        </w:tc>
      </w:tr>
      <w:tr w:rsidR="00E8337C" w:rsidRPr="001B6BC7" w14:paraId="6E1D2419" w14:textId="77777777" w:rsidTr="00E8337C">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2F992A69" w14:textId="77777777" w:rsidR="00E8337C" w:rsidRPr="001B6BC7" w:rsidRDefault="00E8337C" w:rsidP="002320B0">
            <w:pPr>
              <w:pStyle w:val="TableBodyText"/>
              <w:spacing w:before="40" w:after="40"/>
              <w:rPr>
                <w:b w:val="0"/>
                <w:bCs/>
                <w:color w:val="000000"/>
              </w:rPr>
            </w:pPr>
            <w:r w:rsidRPr="001B6BC7">
              <w:rPr>
                <w:b w:val="0"/>
                <w:bCs/>
                <w:color w:val="000000"/>
              </w:rPr>
              <w:t>NSW/ACT</w:t>
            </w:r>
          </w:p>
        </w:tc>
        <w:tc>
          <w:tcPr>
            <w:tcW w:w="620" w:type="pct"/>
            <w:shd w:val="clear" w:color="auto" w:fill="auto"/>
            <w:noWrap/>
            <w:vAlign w:val="center"/>
            <w:hideMark/>
          </w:tcPr>
          <w:p w14:paraId="21FCDA02" w14:textId="77777777" w:rsidR="00E8337C" w:rsidRPr="001B6BC7" w:rsidRDefault="00E8337C" w:rsidP="002320B0">
            <w:pPr>
              <w:pStyle w:val="TableBodyText"/>
              <w:spacing w:before="40" w:after="40"/>
              <w:jc w:val="center"/>
              <w:rPr>
                <w:b w:val="0"/>
                <w:bCs/>
                <w:color w:val="000000"/>
              </w:rPr>
            </w:pPr>
            <w:r w:rsidRPr="001B6BC7">
              <w:rPr>
                <w:b w:val="0"/>
                <w:bCs/>
                <w:color w:val="000000"/>
              </w:rPr>
              <w:t xml:space="preserve">6:30 </w:t>
            </w:r>
            <w:r>
              <w:rPr>
                <w:b w:val="0"/>
                <w:bCs/>
                <w:color w:val="000000"/>
              </w:rPr>
              <w:t>am</w:t>
            </w:r>
          </w:p>
        </w:tc>
        <w:tc>
          <w:tcPr>
            <w:tcW w:w="918" w:type="pct"/>
            <w:vMerge w:val="restart"/>
            <w:shd w:val="clear" w:color="auto" w:fill="auto"/>
            <w:noWrap/>
            <w:vAlign w:val="center"/>
            <w:hideMark/>
          </w:tcPr>
          <w:p w14:paraId="7C444CB9" w14:textId="77777777" w:rsidR="00E8337C" w:rsidRPr="001B6BC7" w:rsidRDefault="00E8337C" w:rsidP="002320B0">
            <w:pPr>
              <w:pStyle w:val="TableBodyText"/>
              <w:spacing w:before="40" w:after="40"/>
              <w:jc w:val="center"/>
              <w:rPr>
                <w:b w:val="0"/>
                <w:bCs/>
                <w:color w:val="000000"/>
              </w:rPr>
            </w:pPr>
            <w:r w:rsidRPr="001B6BC7">
              <w:rPr>
                <w:b w:val="0"/>
                <w:bCs/>
                <w:color w:val="000000"/>
              </w:rPr>
              <w:t>1</w:t>
            </w:r>
            <w:r w:rsidR="00B80DAD">
              <w:rPr>
                <w:b w:val="0"/>
                <w:bCs/>
                <w:color w:val="000000"/>
              </w:rPr>
              <w:t>1</w:t>
            </w:r>
            <w:r w:rsidRPr="001B6BC7">
              <w:rPr>
                <w:b w:val="0"/>
                <w:bCs/>
                <w:color w:val="000000"/>
              </w:rPr>
              <w:t xml:space="preserve">:00 </w:t>
            </w:r>
            <w:r w:rsidR="00B80DAD">
              <w:rPr>
                <w:b w:val="0"/>
                <w:bCs/>
                <w:color w:val="000000"/>
              </w:rPr>
              <w:t>a</w:t>
            </w:r>
            <w:r>
              <w:rPr>
                <w:b w:val="0"/>
                <w:bCs/>
                <w:color w:val="000000"/>
              </w:rPr>
              <w:t>m</w:t>
            </w:r>
          </w:p>
        </w:tc>
        <w:tc>
          <w:tcPr>
            <w:tcW w:w="730" w:type="pct"/>
            <w:shd w:val="clear" w:color="auto" w:fill="auto"/>
            <w:noWrap/>
            <w:vAlign w:val="center"/>
            <w:hideMark/>
          </w:tcPr>
          <w:p w14:paraId="634058C7" w14:textId="77777777" w:rsidR="00E8337C" w:rsidRPr="001B6BC7" w:rsidRDefault="00E8337C" w:rsidP="002320B0">
            <w:pPr>
              <w:pStyle w:val="TableBodyText"/>
              <w:spacing w:before="40" w:after="40"/>
              <w:jc w:val="center"/>
              <w:rPr>
                <w:b w:val="0"/>
                <w:bCs/>
                <w:color w:val="000000"/>
              </w:rPr>
            </w:pPr>
            <w:r w:rsidRPr="001B6BC7">
              <w:rPr>
                <w:b w:val="0"/>
                <w:bCs/>
                <w:color w:val="000000"/>
              </w:rPr>
              <w:t xml:space="preserve">2 -2:30 </w:t>
            </w:r>
            <w:r>
              <w:rPr>
                <w:b w:val="0"/>
                <w:bCs/>
                <w:color w:val="000000"/>
              </w:rPr>
              <w:t>pm</w:t>
            </w:r>
          </w:p>
        </w:tc>
        <w:tc>
          <w:tcPr>
            <w:tcW w:w="624" w:type="pct"/>
            <w:vMerge w:val="restart"/>
            <w:shd w:val="clear" w:color="auto" w:fill="auto"/>
            <w:noWrap/>
            <w:vAlign w:val="center"/>
            <w:hideMark/>
          </w:tcPr>
          <w:p w14:paraId="369AC8FF" w14:textId="77777777" w:rsidR="00E8337C" w:rsidRPr="001B6BC7" w:rsidRDefault="00E8337C" w:rsidP="002320B0">
            <w:pPr>
              <w:pStyle w:val="TableBodyText"/>
              <w:spacing w:before="40" w:after="40"/>
              <w:jc w:val="center"/>
              <w:rPr>
                <w:b w:val="0"/>
                <w:bCs/>
                <w:color w:val="000000"/>
              </w:rPr>
            </w:pPr>
            <w:r>
              <w:rPr>
                <w:b w:val="0"/>
                <w:bCs/>
                <w:color w:val="000000"/>
              </w:rPr>
              <w:t>5</w:t>
            </w:r>
            <w:r w:rsidRPr="001B6BC7">
              <w:rPr>
                <w:b w:val="0"/>
                <w:bCs/>
                <w:color w:val="000000"/>
              </w:rPr>
              <w:t>:</w:t>
            </w:r>
            <w:r w:rsidR="00B80DAD">
              <w:rPr>
                <w:b w:val="0"/>
                <w:bCs/>
                <w:color w:val="000000"/>
              </w:rPr>
              <w:t>0</w:t>
            </w:r>
            <w:r w:rsidRPr="001B6BC7">
              <w:rPr>
                <w:b w:val="0"/>
                <w:bCs/>
                <w:color w:val="000000"/>
              </w:rPr>
              <w:t xml:space="preserve">0 </w:t>
            </w:r>
            <w:r>
              <w:rPr>
                <w:b w:val="0"/>
                <w:bCs/>
                <w:color w:val="000000"/>
              </w:rPr>
              <w:t>pm</w:t>
            </w:r>
          </w:p>
        </w:tc>
        <w:tc>
          <w:tcPr>
            <w:tcW w:w="623" w:type="pct"/>
            <w:vMerge w:val="restart"/>
            <w:shd w:val="clear" w:color="auto" w:fill="auto"/>
            <w:noWrap/>
            <w:vAlign w:val="center"/>
            <w:hideMark/>
          </w:tcPr>
          <w:p w14:paraId="6B1DBE65" w14:textId="650204A4" w:rsidR="00E8337C" w:rsidRPr="001B6BC7" w:rsidRDefault="00B80DAD" w:rsidP="002320B0">
            <w:pPr>
              <w:pStyle w:val="TableBodyText"/>
              <w:spacing w:before="40" w:after="40"/>
              <w:jc w:val="center"/>
              <w:rPr>
                <w:b w:val="0"/>
                <w:bCs/>
                <w:color w:val="000000"/>
              </w:rPr>
            </w:pPr>
            <w:r>
              <w:rPr>
                <w:b w:val="0"/>
                <w:bCs/>
                <w:color w:val="000000"/>
              </w:rPr>
              <w:t>5</w:t>
            </w:r>
            <w:r w:rsidR="00F7735F">
              <w:rPr>
                <w:b w:val="0"/>
                <w:bCs/>
                <w:color w:val="000000"/>
              </w:rPr>
              <w:t>:</w:t>
            </w:r>
            <w:r>
              <w:rPr>
                <w:b w:val="0"/>
                <w:bCs/>
                <w:color w:val="000000"/>
              </w:rPr>
              <w:t>3</w:t>
            </w:r>
            <w:r w:rsidR="00E8337C" w:rsidRPr="001B6BC7">
              <w:rPr>
                <w:b w:val="0"/>
                <w:bCs/>
                <w:color w:val="000000"/>
              </w:rPr>
              <w:t xml:space="preserve">0 </w:t>
            </w:r>
            <w:r w:rsidR="00E8337C">
              <w:rPr>
                <w:b w:val="0"/>
                <w:bCs/>
                <w:color w:val="000000"/>
              </w:rPr>
              <w:t>pm</w:t>
            </w:r>
          </w:p>
        </w:tc>
        <w:tc>
          <w:tcPr>
            <w:tcW w:w="627" w:type="pct"/>
            <w:vMerge w:val="restart"/>
            <w:shd w:val="clear" w:color="auto" w:fill="auto"/>
            <w:noWrap/>
            <w:vAlign w:val="center"/>
            <w:hideMark/>
          </w:tcPr>
          <w:p w14:paraId="6F1E07C6" w14:textId="77777777" w:rsidR="00E8337C" w:rsidRPr="001B6BC7" w:rsidRDefault="00B80DAD" w:rsidP="002320B0">
            <w:pPr>
              <w:pStyle w:val="TableBodyText"/>
              <w:spacing w:before="40" w:after="40"/>
              <w:jc w:val="center"/>
              <w:rPr>
                <w:b w:val="0"/>
                <w:bCs/>
                <w:color w:val="000000"/>
              </w:rPr>
            </w:pPr>
            <w:r>
              <w:rPr>
                <w:b w:val="0"/>
                <w:bCs/>
                <w:color w:val="000000"/>
              </w:rPr>
              <w:t>5</w:t>
            </w:r>
            <w:r w:rsidR="00E8337C" w:rsidRPr="001B6BC7">
              <w:rPr>
                <w:b w:val="0"/>
                <w:bCs/>
                <w:color w:val="000000"/>
              </w:rPr>
              <w:t>:</w:t>
            </w:r>
            <w:r>
              <w:rPr>
                <w:b w:val="0"/>
                <w:bCs/>
                <w:color w:val="000000"/>
              </w:rPr>
              <w:t>4</w:t>
            </w:r>
            <w:r w:rsidR="00E8337C" w:rsidRPr="001B6BC7">
              <w:rPr>
                <w:b w:val="0"/>
                <w:bCs/>
                <w:color w:val="000000"/>
              </w:rPr>
              <w:t xml:space="preserve">0 </w:t>
            </w:r>
            <w:r w:rsidR="00E8337C">
              <w:rPr>
                <w:b w:val="0"/>
                <w:bCs/>
                <w:color w:val="000000"/>
              </w:rPr>
              <w:t>pm</w:t>
            </w:r>
          </w:p>
        </w:tc>
      </w:tr>
      <w:tr w:rsidR="00E8337C" w:rsidRPr="001B6BC7" w14:paraId="683524EA" w14:textId="77777777" w:rsidTr="00E8337C">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6EFEC5F2" w14:textId="77777777" w:rsidR="00E8337C" w:rsidRPr="001B6BC7" w:rsidRDefault="00E8337C" w:rsidP="002320B0">
            <w:pPr>
              <w:pStyle w:val="TableBodyText"/>
              <w:spacing w:before="40" w:after="40"/>
              <w:rPr>
                <w:b w:val="0"/>
                <w:bCs/>
                <w:color w:val="000000"/>
              </w:rPr>
            </w:pPr>
            <w:r w:rsidRPr="001B6BC7">
              <w:rPr>
                <w:b w:val="0"/>
                <w:bCs/>
                <w:color w:val="000000"/>
              </w:rPr>
              <w:t>SA</w:t>
            </w:r>
          </w:p>
        </w:tc>
        <w:tc>
          <w:tcPr>
            <w:tcW w:w="620" w:type="pct"/>
            <w:shd w:val="clear" w:color="auto" w:fill="auto"/>
            <w:noWrap/>
            <w:vAlign w:val="center"/>
            <w:hideMark/>
          </w:tcPr>
          <w:p w14:paraId="3EFCC049" w14:textId="77777777" w:rsidR="00E8337C" w:rsidRPr="001B6BC7" w:rsidRDefault="00E8337C" w:rsidP="002320B0">
            <w:pPr>
              <w:pStyle w:val="TableBodyText"/>
              <w:spacing w:before="40" w:after="40"/>
              <w:jc w:val="center"/>
              <w:rPr>
                <w:b w:val="0"/>
                <w:bCs/>
                <w:color w:val="000000"/>
              </w:rPr>
            </w:pPr>
            <w:r w:rsidRPr="001B6BC7">
              <w:rPr>
                <w:b w:val="0"/>
                <w:bCs/>
                <w:color w:val="000000"/>
              </w:rPr>
              <w:t xml:space="preserve">6:30 </w:t>
            </w:r>
            <w:r>
              <w:rPr>
                <w:b w:val="0"/>
                <w:bCs/>
                <w:color w:val="000000"/>
              </w:rPr>
              <w:t>am</w:t>
            </w:r>
          </w:p>
        </w:tc>
        <w:tc>
          <w:tcPr>
            <w:tcW w:w="918" w:type="pct"/>
            <w:vMerge/>
            <w:shd w:val="clear" w:color="auto" w:fill="auto"/>
            <w:vAlign w:val="center"/>
            <w:hideMark/>
          </w:tcPr>
          <w:p w14:paraId="0169959A" w14:textId="77777777" w:rsidR="00E8337C" w:rsidRPr="001B6BC7" w:rsidRDefault="00E8337C" w:rsidP="002320B0">
            <w:pPr>
              <w:pStyle w:val="TableBodyText"/>
              <w:spacing w:before="40" w:after="40"/>
              <w:jc w:val="center"/>
              <w:rPr>
                <w:b w:val="0"/>
                <w:bCs/>
                <w:color w:val="000000"/>
              </w:rPr>
            </w:pPr>
          </w:p>
        </w:tc>
        <w:tc>
          <w:tcPr>
            <w:tcW w:w="730" w:type="pct"/>
            <w:shd w:val="clear" w:color="auto" w:fill="auto"/>
            <w:noWrap/>
            <w:vAlign w:val="center"/>
            <w:hideMark/>
          </w:tcPr>
          <w:p w14:paraId="4A9CE9B2" w14:textId="77777777" w:rsidR="00E8337C" w:rsidRPr="001B6BC7" w:rsidRDefault="00E8337C" w:rsidP="002320B0">
            <w:pPr>
              <w:pStyle w:val="TableBodyText"/>
              <w:spacing w:before="40" w:after="40"/>
              <w:jc w:val="center"/>
              <w:rPr>
                <w:b w:val="0"/>
                <w:bCs/>
                <w:color w:val="000000"/>
              </w:rPr>
            </w:pPr>
            <w:r w:rsidRPr="001B6BC7">
              <w:rPr>
                <w:b w:val="0"/>
                <w:bCs/>
                <w:color w:val="000000"/>
              </w:rPr>
              <w:t xml:space="preserve">3:30 </w:t>
            </w:r>
            <w:r>
              <w:rPr>
                <w:b w:val="0"/>
                <w:bCs/>
                <w:color w:val="000000"/>
              </w:rPr>
              <w:t>pm</w:t>
            </w:r>
          </w:p>
        </w:tc>
        <w:tc>
          <w:tcPr>
            <w:tcW w:w="624" w:type="pct"/>
            <w:vMerge/>
            <w:shd w:val="clear" w:color="auto" w:fill="auto"/>
            <w:vAlign w:val="center"/>
            <w:hideMark/>
          </w:tcPr>
          <w:p w14:paraId="00BE26B7" w14:textId="77777777" w:rsidR="00E8337C" w:rsidRPr="001B6BC7" w:rsidRDefault="00E8337C" w:rsidP="002320B0">
            <w:pPr>
              <w:pStyle w:val="TableBodyText"/>
              <w:spacing w:before="40" w:after="40"/>
              <w:jc w:val="center"/>
              <w:rPr>
                <w:b w:val="0"/>
                <w:bCs/>
                <w:color w:val="000000"/>
              </w:rPr>
            </w:pPr>
          </w:p>
        </w:tc>
        <w:tc>
          <w:tcPr>
            <w:tcW w:w="623" w:type="pct"/>
            <w:vMerge/>
            <w:shd w:val="clear" w:color="auto" w:fill="auto"/>
            <w:vAlign w:val="center"/>
            <w:hideMark/>
          </w:tcPr>
          <w:p w14:paraId="19DFD947" w14:textId="77777777" w:rsidR="00E8337C" w:rsidRPr="001B6BC7" w:rsidRDefault="00E8337C" w:rsidP="002320B0">
            <w:pPr>
              <w:pStyle w:val="TableBodyText"/>
              <w:spacing w:before="40" w:after="40"/>
              <w:jc w:val="center"/>
              <w:rPr>
                <w:b w:val="0"/>
                <w:bCs/>
                <w:color w:val="000000"/>
              </w:rPr>
            </w:pPr>
          </w:p>
        </w:tc>
        <w:tc>
          <w:tcPr>
            <w:tcW w:w="627" w:type="pct"/>
            <w:vMerge/>
            <w:shd w:val="clear" w:color="auto" w:fill="auto"/>
            <w:vAlign w:val="center"/>
            <w:hideMark/>
          </w:tcPr>
          <w:p w14:paraId="3B9F455F" w14:textId="77777777" w:rsidR="00E8337C" w:rsidRPr="001B6BC7" w:rsidRDefault="00E8337C" w:rsidP="002320B0">
            <w:pPr>
              <w:pStyle w:val="TableBodyText"/>
              <w:spacing w:before="40" w:after="40"/>
              <w:jc w:val="center"/>
              <w:rPr>
                <w:b w:val="0"/>
                <w:bCs/>
                <w:color w:val="000000"/>
              </w:rPr>
            </w:pPr>
          </w:p>
        </w:tc>
      </w:tr>
      <w:tr w:rsidR="00E8337C" w:rsidRPr="001B6BC7" w14:paraId="32B31E0F" w14:textId="77777777" w:rsidTr="00E8337C">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59D60D9B" w14:textId="77777777" w:rsidR="00E8337C" w:rsidRPr="001B6BC7" w:rsidRDefault="00E8337C" w:rsidP="002320B0">
            <w:pPr>
              <w:pStyle w:val="TableBodyText"/>
              <w:spacing w:before="40" w:after="40"/>
              <w:rPr>
                <w:b w:val="0"/>
                <w:bCs/>
                <w:color w:val="000000"/>
              </w:rPr>
            </w:pPr>
            <w:r w:rsidRPr="001B6BC7">
              <w:rPr>
                <w:b w:val="0"/>
                <w:bCs/>
                <w:color w:val="000000"/>
              </w:rPr>
              <w:t>Queensland</w:t>
            </w:r>
          </w:p>
        </w:tc>
        <w:tc>
          <w:tcPr>
            <w:tcW w:w="620" w:type="pct"/>
            <w:shd w:val="clear" w:color="auto" w:fill="auto"/>
            <w:noWrap/>
            <w:vAlign w:val="center"/>
            <w:hideMark/>
          </w:tcPr>
          <w:p w14:paraId="03D4E308" w14:textId="77777777" w:rsidR="00E8337C" w:rsidRPr="001B6BC7" w:rsidRDefault="00E8337C" w:rsidP="002320B0">
            <w:pPr>
              <w:pStyle w:val="TableBodyText"/>
              <w:spacing w:before="40" w:after="40"/>
              <w:jc w:val="center"/>
              <w:rPr>
                <w:b w:val="0"/>
                <w:bCs/>
                <w:color w:val="000000"/>
              </w:rPr>
            </w:pPr>
            <w:r w:rsidRPr="001B6BC7">
              <w:rPr>
                <w:b w:val="0"/>
                <w:bCs/>
                <w:color w:val="000000"/>
              </w:rPr>
              <w:t xml:space="preserve">8:00 </w:t>
            </w:r>
            <w:r>
              <w:rPr>
                <w:b w:val="0"/>
                <w:bCs/>
                <w:color w:val="000000"/>
              </w:rPr>
              <w:t>am</w:t>
            </w:r>
          </w:p>
        </w:tc>
        <w:tc>
          <w:tcPr>
            <w:tcW w:w="918" w:type="pct"/>
            <w:vMerge/>
            <w:shd w:val="clear" w:color="auto" w:fill="auto"/>
            <w:vAlign w:val="center"/>
            <w:hideMark/>
          </w:tcPr>
          <w:p w14:paraId="191656B7" w14:textId="77777777" w:rsidR="00E8337C" w:rsidRPr="001B6BC7" w:rsidRDefault="00E8337C" w:rsidP="002320B0">
            <w:pPr>
              <w:pStyle w:val="TableBodyText"/>
              <w:spacing w:before="40" w:after="40"/>
              <w:jc w:val="center"/>
              <w:rPr>
                <w:b w:val="0"/>
                <w:bCs/>
                <w:color w:val="000000"/>
              </w:rPr>
            </w:pPr>
          </w:p>
        </w:tc>
        <w:tc>
          <w:tcPr>
            <w:tcW w:w="730" w:type="pct"/>
            <w:shd w:val="clear" w:color="auto" w:fill="auto"/>
            <w:noWrap/>
            <w:vAlign w:val="center"/>
            <w:hideMark/>
          </w:tcPr>
          <w:p w14:paraId="090975C9" w14:textId="77777777" w:rsidR="00E8337C" w:rsidRPr="001B6BC7" w:rsidRDefault="00E8337C" w:rsidP="002320B0">
            <w:pPr>
              <w:pStyle w:val="TableBodyText"/>
              <w:spacing w:before="40" w:after="40"/>
              <w:jc w:val="center"/>
              <w:rPr>
                <w:b w:val="0"/>
                <w:bCs/>
                <w:color w:val="000000"/>
              </w:rPr>
            </w:pPr>
            <w:r w:rsidRPr="001B6BC7">
              <w:rPr>
                <w:b w:val="0"/>
                <w:bCs/>
                <w:color w:val="000000"/>
              </w:rPr>
              <w:t xml:space="preserve">3-4:00 </w:t>
            </w:r>
            <w:r>
              <w:rPr>
                <w:b w:val="0"/>
                <w:bCs/>
                <w:color w:val="000000"/>
              </w:rPr>
              <w:t>pm</w:t>
            </w:r>
          </w:p>
        </w:tc>
        <w:tc>
          <w:tcPr>
            <w:tcW w:w="624" w:type="pct"/>
            <w:vMerge/>
            <w:shd w:val="clear" w:color="auto" w:fill="auto"/>
            <w:vAlign w:val="center"/>
            <w:hideMark/>
          </w:tcPr>
          <w:p w14:paraId="4AF8688D" w14:textId="77777777" w:rsidR="00E8337C" w:rsidRPr="001B6BC7" w:rsidRDefault="00E8337C" w:rsidP="002320B0">
            <w:pPr>
              <w:pStyle w:val="TableBodyText"/>
              <w:spacing w:before="40" w:after="40"/>
              <w:jc w:val="center"/>
              <w:rPr>
                <w:b w:val="0"/>
                <w:bCs/>
                <w:color w:val="000000"/>
              </w:rPr>
            </w:pPr>
          </w:p>
        </w:tc>
        <w:tc>
          <w:tcPr>
            <w:tcW w:w="623" w:type="pct"/>
            <w:vMerge/>
            <w:shd w:val="clear" w:color="auto" w:fill="auto"/>
            <w:vAlign w:val="center"/>
            <w:hideMark/>
          </w:tcPr>
          <w:p w14:paraId="36CFBC78" w14:textId="77777777" w:rsidR="00E8337C" w:rsidRPr="001B6BC7" w:rsidRDefault="00E8337C" w:rsidP="002320B0">
            <w:pPr>
              <w:pStyle w:val="TableBodyText"/>
              <w:spacing w:before="40" w:after="40"/>
              <w:jc w:val="center"/>
              <w:rPr>
                <w:b w:val="0"/>
                <w:bCs/>
                <w:color w:val="000000"/>
              </w:rPr>
            </w:pPr>
          </w:p>
        </w:tc>
        <w:tc>
          <w:tcPr>
            <w:tcW w:w="627" w:type="pct"/>
            <w:vMerge/>
            <w:shd w:val="clear" w:color="auto" w:fill="auto"/>
            <w:vAlign w:val="center"/>
            <w:hideMark/>
          </w:tcPr>
          <w:p w14:paraId="5A7E19DD" w14:textId="77777777" w:rsidR="00E8337C" w:rsidRPr="001B6BC7" w:rsidRDefault="00E8337C" w:rsidP="002320B0">
            <w:pPr>
              <w:pStyle w:val="TableBodyText"/>
              <w:spacing w:before="40" w:after="40"/>
              <w:jc w:val="center"/>
              <w:rPr>
                <w:b w:val="0"/>
                <w:bCs/>
                <w:color w:val="000000"/>
              </w:rPr>
            </w:pPr>
          </w:p>
        </w:tc>
      </w:tr>
      <w:tr w:rsidR="00E8337C" w:rsidRPr="001B6BC7" w14:paraId="5928340F" w14:textId="77777777" w:rsidTr="00E8337C">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1C94F912" w14:textId="77777777" w:rsidR="00E8337C" w:rsidRPr="001B6BC7" w:rsidRDefault="00E8337C" w:rsidP="002320B0">
            <w:pPr>
              <w:pStyle w:val="TableBodyText"/>
              <w:spacing w:before="40" w:after="40"/>
              <w:rPr>
                <w:b w:val="0"/>
                <w:bCs/>
                <w:color w:val="000000"/>
              </w:rPr>
            </w:pPr>
            <w:r w:rsidRPr="001B6BC7">
              <w:rPr>
                <w:b w:val="0"/>
                <w:bCs/>
                <w:color w:val="000000"/>
              </w:rPr>
              <w:t>Tasmania</w:t>
            </w:r>
          </w:p>
        </w:tc>
        <w:tc>
          <w:tcPr>
            <w:tcW w:w="620" w:type="pct"/>
            <w:shd w:val="clear" w:color="auto" w:fill="auto"/>
            <w:noWrap/>
            <w:vAlign w:val="center"/>
            <w:hideMark/>
          </w:tcPr>
          <w:p w14:paraId="1A23F64B" w14:textId="06BAC927" w:rsidR="00E8337C" w:rsidRPr="001B6BC7" w:rsidRDefault="00E8337C" w:rsidP="002320B0">
            <w:pPr>
              <w:pStyle w:val="TableBodyText"/>
              <w:spacing w:before="40" w:after="40"/>
              <w:jc w:val="center"/>
              <w:rPr>
                <w:b w:val="0"/>
                <w:bCs/>
                <w:color w:val="000000"/>
              </w:rPr>
            </w:pPr>
            <w:r w:rsidRPr="001B6BC7">
              <w:rPr>
                <w:b w:val="0"/>
                <w:bCs/>
                <w:color w:val="000000"/>
              </w:rPr>
              <w:t>6</w:t>
            </w:r>
            <w:r w:rsidR="00F7735F">
              <w:rPr>
                <w:b w:val="0"/>
                <w:bCs/>
                <w:color w:val="000000"/>
              </w:rPr>
              <w:t>:</w:t>
            </w:r>
            <w:r w:rsidRPr="001B6BC7">
              <w:rPr>
                <w:b w:val="0"/>
                <w:bCs/>
                <w:color w:val="000000"/>
              </w:rPr>
              <w:t xml:space="preserve">30 </w:t>
            </w:r>
            <w:r>
              <w:rPr>
                <w:b w:val="0"/>
                <w:bCs/>
                <w:color w:val="000000"/>
              </w:rPr>
              <w:t>am</w:t>
            </w:r>
          </w:p>
        </w:tc>
        <w:tc>
          <w:tcPr>
            <w:tcW w:w="918" w:type="pct"/>
            <w:vMerge/>
            <w:shd w:val="clear" w:color="auto" w:fill="auto"/>
            <w:vAlign w:val="center"/>
            <w:hideMark/>
          </w:tcPr>
          <w:p w14:paraId="70AC4B0C" w14:textId="77777777" w:rsidR="00E8337C" w:rsidRPr="001B6BC7" w:rsidRDefault="00E8337C" w:rsidP="002320B0">
            <w:pPr>
              <w:pStyle w:val="TableBodyText"/>
              <w:spacing w:before="40" w:after="40"/>
              <w:jc w:val="center"/>
              <w:rPr>
                <w:b w:val="0"/>
                <w:bCs/>
                <w:color w:val="000000"/>
              </w:rPr>
            </w:pPr>
          </w:p>
        </w:tc>
        <w:tc>
          <w:tcPr>
            <w:tcW w:w="730" w:type="pct"/>
            <w:shd w:val="clear" w:color="auto" w:fill="auto"/>
            <w:noWrap/>
            <w:vAlign w:val="center"/>
            <w:hideMark/>
          </w:tcPr>
          <w:p w14:paraId="1CC80738" w14:textId="65FE0D32" w:rsidR="00E8337C" w:rsidRPr="001B6BC7" w:rsidRDefault="00E8337C" w:rsidP="002320B0">
            <w:pPr>
              <w:pStyle w:val="TableBodyText"/>
              <w:spacing w:before="40" w:after="40"/>
              <w:jc w:val="center"/>
              <w:rPr>
                <w:b w:val="0"/>
                <w:bCs/>
                <w:color w:val="000000"/>
              </w:rPr>
            </w:pPr>
            <w:r w:rsidRPr="001B6BC7">
              <w:rPr>
                <w:b w:val="0"/>
                <w:bCs/>
                <w:color w:val="000000"/>
              </w:rPr>
              <w:t>1</w:t>
            </w:r>
            <w:r w:rsidR="00F7735F">
              <w:rPr>
                <w:b w:val="0"/>
                <w:bCs/>
                <w:color w:val="000000"/>
              </w:rPr>
              <w:t>:</w:t>
            </w:r>
            <w:r w:rsidRPr="001B6BC7">
              <w:rPr>
                <w:b w:val="0"/>
                <w:bCs/>
                <w:color w:val="000000"/>
              </w:rPr>
              <w:t xml:space="preserve">30 </w:t>
            </w:r>
            <w:r>
              <w:rPr>
                <w:b w:val="0"/>
                <w:bCs/>
                <w:color w:val="000000"/>
              </w:rPr>
              <w:t>pm</w:t>
            </w:r>
          </w:p>
        </w:tc>
        <w:tc>
          <w:tcPr>
            <w:tcW w:w="624" w:type="pct"/>
            <w:vMerge/>
            <w:shd w:val="clear" w:color="auto" w:fill="auto"/>
            <w:vAlign w:val="center"/>
            <w:hideMark/>
          </w:tcPr>
          <w:p w14:paraId="40C9AC8F" w14:textId="77777777" w:rsidR="00E8337C" w:rsidRPr="001B6BC7" w:rsidRDefault="00E8337C" w:rsidP="002320B0">
            <w:pPr>
              <w:pStyle w:val="TableBodyText"/>
              <w:spacing w:before="40" w:after="40"/>
              <w:jc w:val="center"/>
              <w:rPr>
                <w:b w:val="0"/>
                <w:bCs/>
                <w:color w:val="000000"/>
              </w:rPr>
            </w:pPr>
          </w:p>
        </w:tc>
        <w:tc>
          <w:tcPr>
            <w:tcW w:w="623" w:type="pct"/>
            <w:vMerge/>
            <w:shd w:val="clear" w:color="auto" w:fill="auto"/>
            <w:vAlign w:val="center"/>
            <w:hideMark/>
          </w:tcPr>
          <w:p w14:paraId="13EDD327" w14:textId="77777777" w:rsidR="00E8337C" w:rsidRPr="001B6BC7" w:rsidRDefault="00E8337C" w:rsidP="002320B0">
            <w:pPr>
              <w:pStyle w:val="TableBodyText"/>
              <w:spacing w:before="40" w:after="40"/>
              <w:jc w:val="center"/>
              <w:rPr>
                <w:b w:val="0"/>
                <w:bCs/>
                <w:color w:val="000000"/>
              </w:rPr>
            </w:pPr>
          </w:p>
        </w:tc>
        <w:tc>
          <w:tcPr>
            <w:tcW w:w="627" w:type="pct"/>
            <w:vMerge/>
            <w:shd w:val="clear" w:color="auto" w:fill="auto"/>
            <w:vAlign w:val="center"/>
            <w:hideMark/>
          </w:tcPr>
          <w:p w14:paraId="25CA338B" w14:textId="77777777" w:rsidR="00E8337C" w:rsidRPr="001B6BC7" w:rsidRDefault="00E8337C" w:rsidP="002320B0">
            <w:pPr>
              <w:pStyle w:val="TableBodyText"/>
              <w:spacing w:before="40" w:after="40"/>
              <w:jc w:val="center"/>
              <w:rPr>
                <w:b w:val="0"/>
                <w:bCs/>
                <w:color w:val="000000"/>
              </w:rPr>
            </w:pPr>
          </w:p>
        </w:tc>
      </w:tr>
      <w:tr w:rsidR="00E8337C" w:rsidRPr="001B6BC7" w14:paraId="440F9CF2" w14:textId="77777777" w:rsidTr="00E8337C">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tcPr>
          <w:p w14:paraId="7662181C" w14:textId="77777777" w:rsidR="00E8337C" w:rsidRPr="001B6BC7" w:rsidRDefault="00E8337C" w:rsidP="002320B0">
            <w:pPr>
              <w:pStyle w:val="TableBodyText"/>
              <w:spacing w:before="40" w:after="40"/>
              <w:rPr>
                <w:b w:val="0"/>
                <w:bCs/>
                <w:color w:val="000000"/>
              </w:rPr>
            </w:pPr>
            <w:r>
              <w:rPr>
                <w:b w:val="0"/>
                <w:bCs/>
                <w:color w:val="000000"/>
              </w:rPr>
              <w:t>Northern Territory</w:t>
            </w:r>
          </w:p>
        </w:tc>
        <w:tc>
          <w:tcPr>
            <w:tcW w:w="620" w:type="pct"/>
            <w:shd w:val="clear" w:color="auto" w:fill="auto"/>
            <w:noWrap/>
            <w:vAlign w:val="center"/>
          </w:tcPr>
          <w:p w14:paraId="2C43E342" w14:textId="77777777" w:rsidR="00E8337C" w:rsidRPr="001B6BC7" w:rsidRDefault="00E8337C" w:rsidP="002320B0">
            <w:pPr>
              <w:pStyle w:val="TableBodyText"/>
              <w:spacing w:before="40" w:after="40"/>
              <w:jc w:val="center"/>
              <w:rPr>
                <w:b w:val="0"/>
                <w:bCs/>
                <w:color w:val="000000"/>
              </w:rPr>
            </w:pPr>
            <w:r>
              <w:rPr>
                <w:b w:val="0"/>
                <w:bCs/>
                <w:color w:val="000000"/>
              </w:rPr>
              <w:t>8.30 am</w:t>
            </w:r>
          </w:p>
        </w:tc>
        <w:tc>
          <w:tcPr>
            <w:tcW w:w="918" w:type="pct"/>
            <w:shd w:val="clear" w:color="auto" w:fill="auto"/>
            <w:vAlign w:val="center"/>
          </w:tcPr>
          <w:p w14:paraId="437222D5" w14:textId="77777777" w:rsidR="00E8337C" w:rsidRPr="001B6BC7" w:rsidRDefault="00E8337C" w:rsidP="002320B0">
            <w:pPr>
              <w:pStyle w:val="TableBodyText"/>
              <w:spacing w:before="40" w:after="40"/>
              <w:jc w:val="center"/>
              <w:rPr>
                <w:b w:val="0"/>
                <w:bCs/>
                <w:color w:val="000000"/>
              </w:rPr>
            </w:pPr>
            <w:proofErr w:type="spellStart"/>
            <w:r>
              <w:rPr>
                <w:b w:val="0"/>
                <w:bCs/>
                <w:color w:val="000000"/>
              </w:rPr>
              <w:t>n.a</w:t>
            </w:r>
            <w:proofErr w:type="spellEnd"/>
            <w:r>
              <w:rPr>
                <w:b w:val="0"/>
                <w:bCs/>
                <w:color w:val="000000"/>
              </w:rPr>
              <w:t>.</w:t>
            </w:r>
          </w:p>
        </w:tc>
        <w:tc>
          <w:tcPr>
            <w:tcW w:w="730" w:type="pct"/>
            <w:shd w:val="clear" w:color="auto" w:fill="auto"/>
            <w:noWrap/>
            <w:vAlign w:val="center"/>
          </w:tcPr>
          <w:p w14:paraId="0CAF26A4" w14:textId="0884CE8B" w:rsidR="00E8337C" w:rsidRPr="001B6BC7" w:rsidRDefault="00DF6F93" w:rsidP="002320B0">
            <w:pPr>
              <w:pStyle w:val="TableBodyText"/>
              <w:spacing w:before="40" w:after="40"/>
              <w:jc w:val="center"/>
              <w:rPr>
                <w:b w:val="0"/>
                <w:bCs/>
                <w:color w:val="000000"/>
              </w:rPr>
            </w:pPr>
            <w:r>
              <w:rPr>
                <w:b w:val="0"/>
                <w:bCs/>
                <w:color w:val="000000"/>
              </w:rPr>
              <w:t>2-</w:t>
            </w:r>
            <w:r w:rsidR="00E8337C">
              <w:rPr>
                <w:b w:val="0"/>
                <w:bCs/>
                <w:color w:val="000000"/>
              </w:rPr>
              <w:t>2</w:t>
            </w:r>
            <w:r w:rsidR="00F7735F">
              <w:rPr>
                <w:b w:val="0"/>
                <w:bCs/>
                <w:color w:val="000000"/>
              </w:rPr>
              <w:t>:</w:t>
            </w:r>
            <w:r w:rsidR="00E8337C">
              <w:rPr>
                <w:b w:val="0"/>
                <w:bCs/>
                <w:color w:val="000000"/>
              </w:rPr>
              <w:t>30 pm</w:t>
            </w:r>
          </w:p>
        </w:tc>
        <w:tc>
          <w:tcPr>
            <w:tcW w:w="624" w:type="pct"/>
            <w:vMerge/>
            <w:shd w:val="clear" w:color="auto" w:fill="auto"/>
            <w:vAlign w:val="center"/>
          </w:tcPr>
          <w:p w14:paraId="366A0C37" w14:textId="77777777" w:rsidR="00E8337C" w:rsidRPr="001B6BC7" w:rsidRDefault="00E8337C" w:rsidP="002320B0">
            <w:pPr>
              <w:pStyle w:val="TableBodyText"/>
              <w:spacing w:before="40" w:after="40"/>
              <w:jc w:val="center"/>
              <w:rPr>
                <w:b w:val="0"/>
                <w:bCs/>
                <w:color w:val="000000"/>
              </w:rPr>
            </w:pPr>
          </w:p>
        </w:tc>
        <w:tc>
          <w:tcPr>
            <w:tcW w:w="623" w:type="pct"/>
            <w:vMerge/>
            <w:shd w:val="clear" w:color="auto" w:fill="auto"/>
            <w:vAlign w:val="center"/>
          </w:tcPr>
          <w:p w14:paraId="1D635B05" w14:textId="77777777" w:rsidR="00E8337C" w:rsidRPr="001B6BC7" w:rsidRDefault="00E8337C" w:rsidP="002320B0">
            <w:pPr>
              <w:pStyle w:val="TableBodyText"/>
              <w:spacing w:before="40" w:after="40"/>
              <w:jc w:val="center"/>
              <w:rPr>
                <w:b w:val="0"/>
                <w:bCs/>
                <w:color w:val="000000"/>
              </w:rPr>
            </w:pPr>
          </w:p>
        </w:tc>
        <w:tc>
          <w:tcPr>
            <w:tcW w:w="627" w:type="pct"/>
            <w:vMerge/>
            <w:shd w:val="clear" w:color="auto" w:fill="auto"/>
            <w:vAlign w:val="center"/>
          </w:tcPr>
          <w:p w14:paraId="07A79BC6" w14:textId="77777777" w:rsidR="00E8337C" w:rsidRPr="001B6BC7" w:rsidRDefault="00E8337C" w:rsidP="002320B0">
            <w:pPr>
              <w:pStyle w:val="TableBodyText"/>
              <w:spacing w:before="40" w:after="40"/>
              <w:jc w:val="center"/>
              <w:rPr>
                <w:b w:val="0"/>
                <w:bCs/>
                <w:color w:val="000000"/>
              </w:rPr>
            </w:pPr>
          </w:p>
        </w:tc>
      </w:tr>
      <w:tr w:rsidR="002320B0" w:rsidRPr="001B6BC7" w14:paraId="04AA0CF1" w14:textId="77777777" w:rsidTr="00E8337C">
        <w:trPr>
          <w:cnfStyle w:val="100000000000" w:firstRow="1" w:lastRow="0" w:firstColumn="0" w:lastColumn="0" w:oddVBand="0" w:evenVBand="0" w:oddHBand="0" w:evenHBand="0" w:firstRowFirstColumn="0" w:firstRowLastColumn="0" w:lastRowFirstColumn="0" w:lastRowLastColumn="0"/>
          <w:cantSplit/>
          <w:tblHeader/>
        </w:trPr>
        <w:tc>
          <w:tcPr>
            <w:tcW w:w="858" w:type="pct"/>
            <w:tcBorders>
              <w:bottom w:val="single" w:sz="4" w:space="0" w:color="auto"/>
            </w:tcBorders>
            <w:shd w:val="clear" w:color="auto" w:fill="auto"/>
            <w:noWrap/>
            <w:hideMark/>
          </w:tcPr>
          <w:p w14:paraId="2604DB97" w14:textId="77777777" w:rsidR="002320B0" w:rsidRPr="001B6BC7" w:rsidRDefault="002320B0" w:rsidP="002320B0">
            <w:pPr>
              <w:pStyle w:val="TableBodyText"/>
              <w:spacing w:before="40" w:after="40"/>
              <w:rPr>
                <w:b w:val="0"/>
                <w:bCs/>
                <w:color w:val="000000"/>
              </w:rPr>
            </w:pPr>
            <w:r w:rsidRPr="001B6BC7">
              <w:rPr>
                <w:b w:val="0"/>
                <w:bCs/>
                <w:color w:val="000000"/>
              </w:rPr>
              <w:t>Victoria</w:t>
            </w:r>
          </w:p>
        </w:tc>
        <w:tc>
          <w:tcPr>
            <w:tcW w:w="620" w:type="pct"/>
            <w:tcBorders>
              <w:bottom w:val="single" w:sz="4" w:space="0" w:color="auto"/>
            </w:tcBorders>
            <w:shd w:val="clear" w:color="auto" w:fill="auto"/>
            <w:noWrap/>
            <w:vAlign w:val="center"/>
            <w:hideMark/>
          </w:tcPr>
          <w:p w14:paraId="2368E402" w14:textId="77777777" w:rsidR="002320B0" w:rsidRPr="001B6BC7" w:rsidRDefault="002320B0" w:rsidP="002320B0">
            <w:pPr>
              <w:pStyle w:val="TableBodyText"/>
              <w:spacing w:before="40" w:after="40"/>
              <w:jc w:val="center"/>
              <w:rPr>
                <w:b w:val="0"/>
                <w:bCs/>
                <w:color w:val="000000"/>
              </w:rPr>
            </w:pPr>
            <w:r w:rsidRPr="001B6BC7">
              <w:rPr>
                <w:b w:val="0"/>
                <w:bCs/>
                <w:color w:val="000000"/>
              </w:rPr>
              <w:t xml:space="preserve">6:00 </w:t>
            </w:r>
            <w:r>
              <w:rPr>
                <w:b w:val="0"/>
                <w:bCs/>
                <w:color w:val="000000"/>
              </w:rPr>
              <w:t>am</w:t>
            </w:r>
          </w:p>
        </w:tc>
        <w:tc>
          <w:tcPr>
            <w:tcW w:w="918" w:type="pct"/>
            <w:tcBorders>
              <w:bottom w:val="single" w:sz="4" w:space="0" w:color="auto"/>
            </w:tcBorders>
            <w:shd w:val="clear" w:color="auto" w:fill="auto"/>
            <w:noWrap/>
            <w:vAlign w:val="center"/>
            <w:hideMark/>
          </w:tcPr>
          <w:p w14:paraId="09FFE464" w14:textId="77777777" w:rsidR="002320B0" w:rsidRPr="001B6BC7" w:rsidRDefault="002320B0" w:rsidP="002320B0">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730" w:type="pct"/>
            <w:tcBorders>
              <w:bottom w:val="single" w:sz="4" w:space="0" w:color="auto"/>
            </w:tcBorders>
            <w:shd w:val="clear" w:color="auto" w:fill="auto"/>
            <w:noWrap/>
            <w:vAlign w:val="center"/>
            <w:hideMark/>
          </w:tcPr>
          <w:p w14:paraId="38E984A1" w14:textId="77777777" w:rsidR="002320B0" w:rsidRPr="001B6BC7" w:rsidRDefault="002320B0" w:rsidP="002320B0">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4" w:type="pct"/>
            <w:tcBorders>
              <w:bottom w:val="single" w:sz="4" w:space="0" w:color="auto"/>
            </w:tcBorders>
            <w:shd w:val="clear" w:color="auto" w:fill="auto"/>
            <w:noWrap/>
            <w:vAlign w:val="center"/>
            <w:hideMark/>
          </w:tcPr>
          <w:p w14:paraId="7191E615" w14:textId="77777777" w:rsidR="002320B0" w:rsidRPr="001B6BC7" w:rsidRDefault="002320B0" w:rsidP="002320B0">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3" w:type="pct"/>
            <w:tcBorders>
              <w:bottom w:val="single" w:sz="4" w:space="0" w:color="auto"/>
            </w:tcBorders>
            <w:shd w:val="clear" w:color="auto" w:fill="auto"/>
            <w:noWrap/>
            <w:vAlign w:val="center"/>
            <w:hideMark/>
          </w:tcPr>
          <w:p w14:paraId="0534AC6B" w14:textId="77777777" w:rsidR="002320B0" w:rsidRPr="001B6BC7" w:rsidRDefault="002320B0" w:rsidP="002320B0">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7" w:type="pct"/>
            <w:tcBorders>
              <w:bottom w:val="single" w:sz="4" w:space="0" w:color="auto"/>
            </w:tcBorders>
            <w:shd w:val="clear" w:color="auto" w:fill="auto"/>
            <w:noWrap/>
            <w:vAlign w:val="center"/>
            <w:hideMark/>
          </w:tcPr>
          <w:p w14:paraId="50C730DA" w14:textId="77777777" w:rsidR="002320B0" w:rsidRPr="001B6BC7" w:rsidRDefault="002320B0" w:rsidP="002320B0">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r>
      <w:tr w:rsidR="002320B0" w:rsidRPr="001B6BC7" w14:paraId="61A2890F" w14:textId="77777777" w:rsidTr="002320B0">
        <w:trPr>
          <w:cnfStyle w:val="100000000000" w:firstRow="1" w:lastRow="0" w:firstColumn="0" w:lastColumn="0" w:oddVBand="0" w:evenVBand="0" w:oddHBand="0" w:evenHBand="0" w:firstRowFirstColumn="0" w:firstRowLastColumn="0" w:lastRowFirstColumn="0" w:lastRowLastColumn="0"/>
          <w:cantSplit/>
          <w:tblHeader/>
        </w:trPr>
        <w:tc>
          <w:tcPr>
            <w:tcW w:w="5000" w:type="pct"/>
            <w:gridSpan w:val="7"/>
            <w:shd w:val="clear" w:color="auto" w:fill="D9D9D9" w:themeFill="background1" w:themeFillShade="D9"/>
            <w:noWrap/>
            <w:vAlign w:val="center"/>
            <w:hideMark/>
          </w:tcPr>
          <w:p w14:paraId="0ABF22B1" w14:textId="77777777" w:rsidR="002320B0" w:rsidRPr="001B6BC7" w:rsidRDefault="002320B0" w:rsidP="002320B0">
            <w:pPr>
              <w:pStyle w:val="TableBodyText"/>
              <w:spacing w:before="40" w:after="40"/>
              <w:jc w:val="center"/>
              <w:rPr>
                <w:bCs/>
                <w:color w:val="000000"/>
              </w:rPr>
            </w:pPr>
            <w:r w:rsidRPr="001B6BC7">
              <w:rPr>
                <w:bCs/>
                <w:color w:val="000000"/>
              </w:rPr>
              <w:t>Harmonised Gas Day and Nomination Cut-Off Times</w:t>
            </w:r>
          </w:p>
        </w:tc>
      </w:tr>
      <w:tr w:rsidR="00E8337C" w:rsidRPr="001B6BC7" w14:paraId="5F443F7C" w14:textId="77777777" w:rsidTr="00E8337C">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3370FD76" w14:textId="77777777" w:rsidR="00E8337C" w:rsidRPr="001B6BC7" w:rsidRDefault="00E8337C" w:rsidP="002320B0">
            <w:pPr>
              <w:pStyle w:val="TableBodyText"/>
              <w:spacing w:before="40" w:after="40"/>
              <w:rPr>
                <w:b w:val="0"/>
                <w:bCs/>
                <w:color w:val="000000"/>
              </w:rPr>
            </w:pPr>
            <w:r w:rsidRPr="001B6BC7">
              <w:rPr>
                <w:b w:val="0"/>
                <w:bCs/>
                <w:color w:val="000000"/>
              </w:rPr>
              <w:t>NSW/ACT</w:t>
            </w:r>
          </w:p>
        </w:tc>
        <w:tc>
          <w:tcPr>
            <w:tcW w:w="620" w:type="pct"/>
            <w:vMerge w:val="restart"/>
            <w:shd w:val="clear" w:color="auto" w:fill="auto"/>
            <w:noWrap/>
            <w:vAlign w:val="center"/>
            <w:hideMark/>
          </w:tcPr>
          <w:p w14:paraId="10B858C2" w14:textId="77777777" w:rsidR="00E8337C" w:rsidRPr="00126476" w:rsidRDefault="00E8337C" w:rsidP="002320B0">
            <w:pPr>
              <w:pStyle w:val="TableBodyText"/>
              <w:spacing w:before="40" w:after="40"/>
              <w:jc w:val="center"/>
              <w:rPr>
                <w:b w:val="0"/>
                <w:bCs/>
                <w:color w:val="000000"/>
              </w:rPr>
            </w:pPr>
            <w:r w:rsidRPr="00126476">
              <w:rPr>
                <w:b w:val="0"/>
                <w:bCs/>
                <w:color w:val="000000"/>
              </w:rPr>
              <w:t>6:00 am</w:t>
            </w:r>
          </w:p>
        </w:tc>
        <w:tc>
          <w:tcPr>
            <w:tcW w:w="918" w:type="pct"/>
            <w:vMerge w:val="restart"/>
            <w:shd w:val="clear" w:color="auto" w:fill="auto"/>
            <w:noWrap/>
            <w:vAlign w:val="center"/>
            <w:hideMark/>
          </w:tcPr>
          <w:p w14:paraId="0B31C97F" w14:textId="77777777" w:rsidR="00E8337C" w:rsidRPr="00126476" w:rsidRDefault="00E8337C" w:rsidP="002320B0">
            <w:pPr>
              <w:pStyle w:val="TableBodyText"/>
              <w:spacing w:before="40" w:after="40"/>
              <w:jc w:val="center"/>
              <w:rPr>
                <w:b w:val="0"/>
                <w:bCs/>
                <w:color w:val="000000"/>
              </w:rPr>
            </w:pPr>
            <w:r w:rsidRPr="00126476">
              <w:rPr>
                <w:b w:val="0"/>
                <w:bCs/>
                <w:color w:val="000000"/>
              </w:rPr>
              <w:br/>
              <w:t>1</w:t>
            </w:r>
            <w:r w:rsidR="00B80DAD" w:rsidRPr="00126476">
              <w:rPr>
                <w:b w:val="0"/>
                <w:bCs/>
                <w:color w:val="000000"/>
              </w:rPr>
              <w:t>2:0</w:t>
            </w:r>
            <w:r w:rsidRPr="00126476">
              <w:rPr>
                <w:b w:val="0"/>
                <w:bCs/>
                <w:color w:val="000000"/>
              </w:rPr>
              <w:t>0 pm</w:t>
            </w:r>
          </w:p>
        </w:tc>
        <w:tc>
          <w:tcPr>
            <w:tcW w:w="730" w:type="pct"/>
            <w:vMerge w:val="restart"/>
            <w:shd w:val="clear" w:color="auto" w:fill="auto"/>
            <w:noWrap/>
            <w:vAlign w:val="center"/>
            <w:hideMark/>
          </w:tcPr>
          <w:p w14:paraId="100BB766" w14:textId="77777777" w:rsidR="00E8337C" w:rsidRPr="00126476" w:rsidRDefault="00E8337C" w:rsidP="002320B0">
            <w:pPr>
              <w:pStyle w:val="TableBodyText"/>
              <w:spacing w:before="40" w:after="40"/>
              <w:jc w:val="center"/>
              <w:rPr>
                <w:b w:val="0"/>
                <w:bCs/>
                <w:color w:val="000000"/>
              </w:rPr>
            </w:pPr>
            <w:r w:rsidRPr="00126476">
              <w:rPr>
                <w:b w:val="0"/>
                <w:bCs/>
                <w:color w:val="000000"/>
              </w:rPr>
              <w:br/>
              <w:t>3:00 pm</w:t>
            </w:r>
          </w:p>
        </w:tc>
        <w:tc>
          <w:tcPr>
            <w:tcW w:w="624" w:type="pct"/>
            <w:vMerge w:val="restart"/>
            <w:shd w:val="clear" w:color="auto" w:fill="auto"/>
            <w:noWrap/>
            <w:vAlign w:val="center"/>
            <w:hideMark/>
          </w:tcPr>
          <w:p w14:paraId="2C87889E" w14:textId="77777777" w:rsidR="00E8337C" w:rsidRPr="00126476" w:rsidRDefault="00E8337C" w:rsidP="002320B0">
            <w:pPr>
              <w:pStyle w:val="TableBodyText"/>
              <w:spacing w:before="40" w:after="40"/>
              <w:jc w:val="center"/>
              <w:rPr>
                <w:b w:val="0"/>
                <w:bCs/>
                <w:color w:val="000000"/>
              </w:rPr>
            </w:pPr>
            <w:r w:rsidRPr="00126476">
              <w:rPr>
                <w:b w:val="0"/>
                <w:bCs/>
                <w:color w:val="000000"/>
              </w:rPr>
              <w:br/>
              <w:t>4</w:t>
            </w:r>
            <w:r w:rsidR="00B80DAD" w:rsidRPr="00126476">
              <w:rPr>
                <w:b w:val="0"/>
                <w:bCs/>
                <w:color w:val="000000"/>
              </w:rPr>
              <w:t>:00</w:t>
            </w:r>
            <w:r w:rsidRPr="00126476">
              <w:rPr>
                <w:b w:val="0"/>
                <w:bCs/>
                <w:color w:val="000000"/>
              </w:rPr>
              <w:t xml:space="preserve"> pm</w:t>
            </w:r>
          </w:p>
        </w:tc>
        <w:tc>
          <w:tcPr>
            <w:tcW w:w="623" w:type="pct"/>
            <w:vMerge w:val="restart"/>
            <w:shd w:val="clear" w:color="auto" w:fill="auto"/>
            <w:noWrap/>
            <w:vAlign w:val="center"/>
            <w:hideMark/>
          </w:tcPr>
          <w:p w14:paraId="6690D097" w14:textId="672A6BAB" w:rsidR="00E8337C" w:rsidRPr="00126476" w:rsidRDefault="00E8337C" w:rsidP="002320B0">
            <w:pPr>
              <w:pStyle w:val="TableBodyText"/>
              <w:spacing w:before="40" w:after="40"/>
              <w:jc w:val="center"/>
              <w:rPr>
                <w:b w:val="0"/>
                <w:bCs/>
                <w:color w:val="000000"/>
              </w:rPr>
            </w:pPr>
            <w:r w:rsidRPr="00126476">
              <w:rPr>
                <w:b w:val="0"/>
                <w:bCs/>
                <w:color w:val="000000"/>
              </w:rPr>
              <w:br/>
            </w:r>
            <w:r w:rsidR="00B80DAD" w:rsidRPr="00126476">
              <w:rPr>
                <w:b w:val="0"/>
                <w:bCs/>
                <w:color w:val="000000"/>
              </w:rPr>
              <w:t>4</w:t>
            </w:r>
            <w:r w:rsidR="00F7735F">
              <w:rPr>
                <w:b w:val="0"/>
                <w:bCs/>
                <w:color w:val="000000"/>
              </w:rPr>
              <w:t>:</w:t>
            </w:r>
            <w:r w:rsidR="00B80DAD" w:rsidRPr="00126476">
              <w:rPr>
                <w:b w:val="0"/>
                <w:bCs/>
                <w:color w:val="000000"/>
              </w:rPr>
              <w:t>3</w:t>
            </w:r>
            <w:r w:rsidRPr="00126476">
              <w:rPr>
                <w:b w:val="0"/>
                <w:bCs/>
                <w:color w:val="000000"/>
              </w:rPr>
              <w:t>0 pm</w:t>
            </w:r>
          </w:p>
        </w:tc>
        <w:tc>
          <w:tcPr>
            <w:tcW w:w="627" w:type="pct"/>
            <w:vMerge w:val="restart"/>
            <w:shd w:val="clear" w:color="auto" w:fill="auto"/>
            <w:noWrap/>
            <w:vAlign w:val="center"/>
            <w:hideMark/>
          </w:tcPr>
          <w:p w14:paraId="5C9F1DBA" w14:textId="77777777" w:rsidR="00E8337C" w:rsidRPr="00126476" w:rsidRDefault="00E8337C" w:rsidP="002320B0">
            <w:pPr>
              <w:pStyle w:val="TableBodyText"/>
              <w:spacing w:before="40" w:after="40"/>
              <w:jc w:val="center"/>
              <w:rPr>
                <w:b w:val="0"/>
                <w:bCs/>
                <w:color w:val="000000"/>
              </w:rPr>
            </w:pPr>
            <w:r w:rsidRPr="00126476">
              <w:rPr>
                <w:b w:val="0"/>
                <w:bCs/>
                <w:color w:val="000000"/>
              </w:rPr>
              <w:br/>
            </w:r>
            <w:r w:rsidR="00B80DAD" w:rsidRPr="00126476">
              <w:rPr>
                <w:b w:val="0"/>
                <w:bCs/>
                <w:color w:val="000000"/>
              </w:rPr>
              <w:t>4:4</w:t>
            </w:r>
            <w:r w:rsidRPr="00126476">
              <w:rPr>
                <w:b w:val="0"/>
                <w:bCs/>
                <w:color w:val="000000"/>
              </w:rPr>
              <w:t>0 pm</w:t>
            </w:r>
          </w:p>
        </w:tc>
      </w:tr>
      <w:tr w:rsidR="00E8337C" w:rsidRPr="001B6BC7" w14:paraId="0760DE17" w14:textId="77777777" w:rsidTr="00E8337C">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58446CDC" w14:textId="77777777" w:rsidR="00E8337C" w:rsidRPr="001B6BC7" w:rsidRDefault="00E8337C" w:rsidP="002320B0">
            <w:pPr>
              <w:pStyle w:val="TableBodyText"/>
              <w:spacing w:before="40" w:after="40"/>
              <w:rPr>
                <w:b w:val="0"/>
                <w:bCs/>
                <w:color w:val="000000"/>
              </w:rPr>
            </w:pPr>
            <w:r w:rsidRPr="001B6BC7">
              <w:rPr>
                <w:b w:val="0"/>
                <w:bCs/>
                <w:color w:val="000000"/>
              </w:rPr>
              <w:t>SA</w:t>
            </w:r>
          </w:p>
        </w:tc>
        <w:tc>
          <w:tcPr>
            <w:tcW w:w="620" w:type="pct"/>
            <w:vMerge/>
            <w:shd w:val="clear" w:color="auto" w:fill="auto"/>
            <w:vAlign w:val="center"/>
            <w:hideMark/>
          </w:tcPr>
          <w:p w14:paraId="54111494" w14:textId="77777777" w:rsidR="00E8337C" w:rsidRPr="001B6BC7" w:rsidRDefault="00E8337C" w:rsidP="002320B0">
            <w:pPr>
              <w:pStyle w:val="TableBodyText"/>
              <w:spacing w:before="40" w:after="40"/>
              <w:jc w:val="center"/>
              <w:rPr>
                <w:b w:val="0"/>
                <w:bCs/>
                <w:color w:val="000000"/>
              </w:rPr>
            </w:pPr>
          </w:p>
        </w:tc>
        <w:tc>
          <w:tcPr>
            <w:tcW w:w="918" w:type="pct"/>
            <w:vMerge/>
            <w:shd w:val="clear" w:color="auto" w:fill="auto"/>
            <w:vAlign w:val="center"/>
            <w:hideMark/>
          </w:tcPr>
          <w:p w14:paraId="2E4F57BF" w14:textId="77777777" w:rsidR="00E8337C" w:rsidRPr="001B6BC7" w:rsidRDefault="00E8337C" w:rsidP="002320B0">
            <w:pPr>
              <w:pStyle w:val="TableBodyText"/>
              <w:spacing w:before="40" w:after="40"/>
              <w:jc w:val="center"/>
              <w:rPr>
                <w:b w:val="0"/>
                <w:bCs/>
                <w:color w:val="000000"/>
              </w:rPr>
            </w:pPr>
          </w:p>
        </w:tc>
        <w:tc>
          <w:tcPr>
            <w:tcW w:w="730" w:type="pct"/>
            <w:vMerge/>
            <w:shd w:val="clear" w:color="auto" w:fill="auto"/>
            <w:vAlign w:val="center"/>
            <w:hideMark/>
          </w:tcPr>
          <w:p w14:paraId="34E5F608" w14:textId="77777777" w:rsidR="00E8337C" w:rsidRPr="001B6BC7" w:rsidRDefault="00E8337C" w:rsidP="002320B0">
            <w:pPr>
              <w:pStyle w:val="TableBodyText"/>
              <w:spacing w:before="40" w:after="40"/>
              <w:jc w:val="center"/>
              <w:rPr>
                <w:b w:val="0"/>
                <w:bCs/>
                <w:color w:val="000000"/>
              </w:rPr>
            </w:pPr>
          </w:p>
        </w:tc>
        <w:tc>
          <w:tcPr>
            <w:tcW w:w="624" w:type="pct"/>
            <w:vMerge/>
            <w:shd w:val="clear" w:color="auto" w:fill="auto"/>
            <w:vAlign w:val="center"/>
            <w:hideMark/>
          </w:tcPr>
          <w:p w14:paraId="751C5ADC" w14:textId="77777777" w:rsidR="00E8337C" w:rsidRPr="001B6BC7" w:rsidRDefault="00E8337C" w:rsidP="002320B0">
            <w:pPr>
              <w:pStyle w:val="TableBodyText"/>
              <w:spacing w:before="40" w:after="40"/>
              <w:jc w:val="center"/>
              <w:rPr>
                <w:b w:val="0"/>
                <w:bCs/>
                <w:color w:val="000000"/>
              </w:rPr>
            </w:pPr>
          </w:p>
        </w:tc>
        <w:tc>
          <w:tcPr>
            <w:tcW w:w="623" w:type="pct"/>
            <w:vMerge/>
            <w:shd w:val="clear" w:color="auto" w:fill="auto"/>
            <w:vAlign w:val="center"/>
            <w:hideMark/>
          </w:tcPr>
          <w:p w14:paraId="5BD68E79" w14:textId="77777777" w:rsidR="00E8337C" w:rsidRPr="001B6BC7" w:rsidRDefault="00E8337C" w:rsidP="002320B0">
            <w:pPr>
              <w:pStyle w:val="TableBodyText"/>
              <w:spacing w:before="40" w:after="40"/>
              <w:jc w:val="center"/>
              <w:rPr>
                <w:b w:val="0"/>
                <w:bCs/>
                <w:color w:val="000000"/>
              </w:rPr>
            </w:pPr>
          </w:p>
        </w:tc>
        <w:tc>
          <w:tcPr>
            <w:tcW w:w="627" w:type="pct"/>
            <w:vMerge/>
            <w:shd w:val="clear" w:color="auto" w:fill="auto"/>
            <w:vAlign w:val="center"/>
            <w:hideMark/>
          </w:tcPr>
          <w:p w14:paraId="5124AF2B" w14:textId="77777777" w:rsidR="00E8337C" w:rsidRPr="001B6BC7" w:rsidRDefault="00E8337C" w:rsidP="002320B0">
            <w:pPr>
              <w:pStyle w:val="TableBodyText"/>
              <w:spacing w:before="40" w:after="40"/>
              <w:jc w:val="center"/>
              <w:rPr>
                <w:b w:val="0"/>
                <w:bCs/>
                <w:color w:val="000000"/>
              </w:rPr>
            </w:pPr>
          </w:p>
        </w:tc>
      </w:tr>
      <w:tr w:rsidR="00E8337C" w:rsidRPr="001B6BC7" w14:paraId="7B78600C" w14:textId="77777777" w:rsidTr="00E8337C">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2A34C730" w14:textId="77777777" w:rsidR="00E8337C" w:rsidRPr="001B6BC7" w:rsidRDefault="00E8337C" w:rsidP="002320B0">
            <w:pPr>
              <w:pStyle w:val="TableBodyText"/>
              <w:spacing w:before="40" w:after="40"/>
              <w:rPr>
                <w:b w:val="0"/>
                <w:bCs/>
                <w:color w:val="000000"/>
              </w:rPr>
            </w:pPr>
            <w:r w:rsidRPr="001B6BC7">
              <w:rPr>
                <w:b w:val="0"/>
                <w:bCs/>
                <w:color w:val="000000"/>
              </w:rPr>
              <w:t>Queensland</w:t>
            </w:r>
          </w:p>
        </w:tc>
        <w:tc>
          <w:tcPr>
            <w:tcW w:w="620" w:type="pct"/>
            <w:vMerge/>
            <w:shd w:val="clear" w:color="auto" w:fill="auto"/>
            <w:vAlign w:val="center"/>
            <w:hideMark/>
          </w:tcPr>
          <w:p w14:paraId="45CA4412" w14:textId="77777777" w:rsidR="00E8337C" w:rsidRPr="001B6BC7" w:rsidRDefault="00E8337C" w:rsidP="002320B0">
            <w:pPr>
              <w:pStyle w:val="TableBodyText"/>
              <w:spacing w:before="40" w:after="40"/>
              <w:jc w:val="center"/>
              <w:rPr>
                <w:b w:val="0"/>
                <w:bCs/>
                <w:color w:val="000000"/>
              </w:rPr>
            </w:pPr>
          </w:p>
        </w:tc>
        <w:tc>
          <w:tcPr>
            <w:tcW w:w="918" w:type="pct"/>
            <w:vMerge/>
            <w:shd w:val="clear" w:color="auto" w:fill="auto"/>
            <w:vAlign w:val="center"/>
            <w:hideMark/>
          </w:tcPr>
          <w:p w14:paraId="7BA232E3" w14:textId="77777777" w:rsidR="00E8337C" w:rsidRPr="001B6BC7" w:rsidRDefault="00E8337C" w:rsidP="002320B0">
            <w:pPr>
              <w:pStyle w:val="TableBodyText"/>
              <w:spacing w:before="40" w:after="40"/>
              <w:jc w:val="center"/>
              <w:rPr>
                <w:b w:val="0"/>
                <w:bCs/>
                <w:color w:val="000000"/>
              </w:rPr>
            </w:pPr>
          </w:p>
        </w:tc>
        <w:tc>
          <w:tcPr>
            <w:tcW w:w="730" w:type="pct"/>
            <w:vMerge/>
            <w:shd w:val="clear" w:color="auto" w:fill="auto"/>
            <w:vAlign w:val="center"/>
            <w:hideMark/>
          </w:tcPr>
          <w:p w14:paraId="18873231" w14:textId="77777777" w:rsidR="00E8337C" w:rsidRPr="001B6BC7" w:rsidRDefault="00E8337C" w:rsidP="002320B0">
            <w:pPr>
              <w:pStyle w:val="TableBodyText"/>
              <w:spacing w:before="40" w:after="40"/>
              <w:jc w:val="center"/>
              <w:rPr>
                <w:b w:val="0"/>
                <w:bCs/>
                <w:color w:val="000000"/>
              </w:rPr>
            </w:pPr>
          </w:p>
        </w:tc>
        <w:tc>
          <w:tcPr>
            <w:tcW w:w="624" w:type="pct"/>
            <w:vMerge/>
            <w:shd w:val="clear" w:color="auto" w:fill="auto"/>
            <w:vAlign w:val="center"/>
            <w:hideMark/>
          </w:tcPr>
          <w:p w14:paraId="159D41DE" w14:textId="77777777" w:rsidR="00E8337C" w:rsidRPr="001B6BC7" w:rsidRDefault="00E8337C" w:rsidP="002320B0">
            <w:pPr>
              <w:pStyle w:val="TableBodyText"/>
              <w:spacing w:before="40" w:after="40"/>
              <w:jc w:val="center"/>
              <w:rPr>
                <w:b w:val="0"/>
                <w:bCs/>
                <w:color w:val="000000"/>
              </w:rPr>
            </w:pPr>
          </w:p>
        </w:tc>
        <w:tc>
          <w:tcPr>
            <w:tcW w:w="623" w:type="pct"/>
            <w:vMerge/>
            <w:shd w:val="clear" w:color="auto" w:fill="auto"/>
            <w:vAlign w:val="center"/>
            <w:hideMark/>
          </w:tcPr>
          <w:p w14:paraId="4CF4A0BD" w14:textId="77777777" w:rsidR="00E8337C" w:rsidRPr="001B6BC7" w:rsidRDefault="00E8337C" w:rsidP="002320B0">
            <w:pPr>
              <w:pStyle w:val="TableBodyText"/>
              <w:spacing w:before="40" w:after="40"/>
              <w:jc w:val="center"/>
              <w:rPr>
                <w:b w:val="0"/>
                <w:bCs/>
                <w:color w:val="000000"/>
              </w:rPr>
            </w:pPr>
          </w:p>
        </w:tc>
        <w:tc>
          <w:tcPr>
            <w:tcW w:w="627" w:type="pct"/>
            <w:vMerge/>
            <w:shd w:val="clear" w:color="auto" w:fill="auto"/>
            <w:vAlign w:val="center"/>
            <w:hideMark/>
          </w:tcPr>
          <w:p w14:paraId="5FC74A40" w14:textId="77777777" w:rsidR="00E8337C" w:rsidRPr="001B6BC7" w:rsidRDefault="00E8337C" w:rsidP="002320B0">
            <w:pPr>
              <w:pStyle w:val="TableBodyText"/>
              <w:spacing w:before="40" w:after="40"/>
              <w:jc w:val="center"/>
              <w:rPr>
                <w:b w:val="0"/>
                <w:bCs/>
                <w:color w:val="000000"/>
              </w:rPr>
            </w:pPr>
          </w:p>
        </w:tc>
      </w:tr>
      <w:tr w:rsidR="00E8337C" w:rsidRPr="001B6BC7" w14:paraId="38AD7912" w14:textId="77777777" w:rsidTr="00E8337C">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5409B4A7" w14:textId="77777777" w:rsidR="00E8337C" w:rsidRPr="001B6BC7" w:rsidRDefault="00E8337C" w:rsidP="002320B0">
            <w:pPr>
              <w:pStyle w:val="TableBodyText"/>
              <w:spacing w:before="40" w:after="40"/>
              <w:rPr>
                <w:b w:val="0"/>
                <w:bCs/>
                <w:color w:val="000000"/>
              </w:rPr>
            </w:pPr>
            <w:r w:rsidRPr="001B6BC7">
              <w:rPr>
                <w:b w:val="0"/>
                <w:bCs/>
                <w:color w:val="000000"/>
              </w:rPr>
              <w:t>Tasmania</w:t>
            </w:r>
          </w:p>
        </w:tc>
        <w:tc>
          <w:tcPr>
            <w:tcW w:w="620" w:type="pct"/>
            <w:vMerge/>
            <w:shd w:val="clear" w:color="auto" w:fill="auto"/>
            <w:vAlign w:val="center"/>
            <w:hideMark/>
          </w:tcPr>
          <w:p w14:paraId="13645418" w14:textId="77777777" w:rsidR="00E8337C" w:rsidRPr="001B6BC7" w:rsidRDefault="00E8337C" w:rsidP="002320B0">
            <w:pPr>
              <w:pStyle w:val="TableBodyText"/>
              <w:spacing w:before="40" w:after="40"/>
              <w:jc w:val="center"/>
              <w:rPr>
                <w:b w:val="0"/>
                <w:bCs/>
                <w:color w:val="000000"/>
              </w:rPr>
            </w:pPr>
          </w:p>
        </w:tc>
        <w:tc>
          <w:tcPr>
            <w:tcW w:w="918" w:type="pct"/>
            <w:vMerge/>
            <w:shd w:val="clear" w:color="auto" w:fill="auto"/>
            <w:vAlign w:val="center"/>
            <w:hideMark/>
          </w:tcPr>
          <w:p w14:paraId="0AFAE601" w14:textId="77777777" w:rsidR="00E8337C" w:rsidRPr="001B6BC7" w:rsidRDefault="00E8337C" w:rsidP="002320B0">
            <w:pPr>
              <w:pStyle w:val="TableBodyText"/>
              <w:spacing w:before="40" w:after="40"/>
              <w:jc w:val="center"/>
              <w:rPr>
                <w:b w:val="0"/>
                <w:bCs/>
                <w:color w:val="000000"/>
              </w:rPr>
            </w:pPr>
          </w:p>
        </w:tc>
        <w:tc>
          <w:tcPr>
            <w:tcW w:w="730" w:type="pct"/>
            <w:vMerge/>
            <w:shd w:val="clear" w:color="auto" w:fill="auto"/>
            <w:vAlign w:val="center"/>
            <w:hideMark/>
          </w:tcPr>
          <w:p w14:paraId="56565A33" w14:textId="77777777" w:rsidR="00E8337C" w:rsidRPr="001B6BC7" w:rsidRDefault="00E8337C" w:rsidP="002320B0">
            <w:pPr>
              <w:pStyle w:val="TableBodyText"/>
              <w:spacing w:before="40" w:after="40"/>
              <w:jc w:val="center"/>
              <w:rPr>
                <w:b w:val="0"/>
                <w:bCs/>
                <w:color w:val="000000"/>
              </w:rPr>
            </w:pPr>
          </w:p>
        </w:tc>
        <w:tc>
          <w:tcPr>
            <w:tcW w:w="624" w:type="pct"/>
            <w:vMerge/>
            <w:shd w:val="clear" w:color="auto" w:fill="auto"/>
            <w:vAlign w:val="center"/>
            <w:hideMark/>
          </w:tcPr>
          <w:p w14:paraId="49CF4C50" w14:textId="77777777" w:rsidR="00E8337C" w:rsidRPr="001B6BC7" w:rsidRDefault="00E8337C" w:rsidP="002320B0">
            <w:pPr>
              <w:pStyle w:val="TableBodyText"/>
              <w:spacing w:before="40" w:after="40"/>
              <w:jc w:val="center"/>
              <w:rPr>
                <w:b w:val="0"/>
                <w:bCs/>
                <w:color w:val="000000"/>
              </w:rPr>
            </w:pPr>
          </w:p>
        </w:tc>
        <w:tc>
          <w:tcPr>
            <w:tcW w:w="623" w:type="pct"/>
            <w:vMerge/>
            <w:shd w:val="clear" w:color="auto" w:fill="auto"/>
            <w:vAlign w:val="center"/>
            <w:hideMark/>
          </w:tcPr>
          <w:p w14:paraId="30AF8795" w14:textId="77777777" w:rsidR="00E8337C" w:rsidRPr="001B6BC7" w:rsidRDefault="00E8337C" w:rsidP="002320B0">
            <w:pPr>
              <w:pStyle w:val="TableBodyText"/>
              <w:spacing w:before="40" w:after="40"/>
              <w:jc w:val="center"/>
              <w:rPr>
                <w:b w:val="0"/>
                <w:bCs/>
                <w:color w:val="000000"/>
              </w:rPr>
            </w:pPr>
          </w:p>
        </w:tc>
        <w:tc>
          <w:tcPr>
            <w:tcW w:w="627" w:type="pct"/>
            <w:vMerge/>
            <w:shd w:val="clear" w:color="auto" w:fill="auto"/>
            <w:vAlign w:val="center"/>
            <w:hideMark/>
          </w:tcPr>
          <w:p w14:paraId="58F135E5" w14:textId="77777777" w:rsidR="00E8337C" w:rsidRPr="001B6BC7" w:rsidRDefault="00E8337C" w:rsidP="002320B0">
            <w:pPr>
              <w:pStyle w:val="TableBodyText"/>
              <w:spacing w:before="40" w:after="40"/>
              <w:jc w:val="center"/>
              <w:rPr>
                <w:b w:val="0"/>
                <w:bCs/>
                <w:color w:val="000000"/>
              </w:rPr>
            </w:pPr>
          </w:p>
        </w:tc>
      </w:tr>
      <w:tr w:rsidR="00E8337C" w:rsidRPr="001B6BC7" w14:paraId="32DB5313" w14:textId="77777777" w:rsidTr="00E8337C">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tcPr>
          <w:p w14:paraId="720A6A13" w14:textId="77777777" w:rsidR="00E8337C" w:rsidRPr="001B6BC7" w:rsidRDefault="00E8337C" w:rsidP="002320B0">
            <w:pPr>
              <w:pStyle w:val="TableBodyText"/>
              <w:spacing w:before="40" w:after="40"/>
              <w:rPr>
                <w:b w:val="0"/>
                <w:bCs/>
                <w:color w:val="000000"/>
              </w:rPr>
            </w:pPr>
            <w:r>
              <w:rPr>
                <w:b w:val="0"/>
                <w:bCs/>
                <w:color w:val="000000"/>
              </w:rPr>
              <w:t>Northern Territory</w:t>
            </w:r>
          </w:p>
        </w:tc>
        <w:tc>
          <w:tcPr>
            <w:tcW w:w="620" w:type="pct"/>
            <w:vMerge/>
            <w:shd w:val="clear" w:color="auto" w:fill="auto"/>
            <w:vAlign w:val="center"/>
          </w:tcPr>
          <w:p w14:paraId="14944022" w14:textId="77777777" w:rsidR="00E8337C" w:rsidRPr="001B6BC7" w:rsidRDefault="00E8337C" w:rsidP="002320B0">
            <w:pPr>
              <w:pStyle w:val="TableBodyText"/>
              <w:spacing w:before="40" w:after="40"/>
              <w:jc w:val="center"/>
              <w:rPr>
                <w:b w:val="0"/>
                <w:bCs/>
                <w:color w:val="000000"/>
              </w:rPr>
            </w:pPr>
          </w:p>
        </w:tc>
        <w:tc>
          <w:tcPr>
            <w:tcW w:w="918" w:type="pct"/>
            <w:vMerge/>
            <w:shd w:val="clear" w:color="auto" w:fill="auto"/>
            <w:vAlign w:val="center"/>
          </w:tcPr>
          <w:p w14:paraId="166D1B1E" w14:textId="77777777" w:rsidR="00E8337C" w:rsidRPr="001B6BC7" w:rsidRDefault="00E8337C" w:rsidP="002320B0">
            <w:pPr>
              <w:pStyle w:val="TableBodyText"/>
              <w:spacing w:before="40" w:after="40"/>
              <w:jc w:val="center"/>
              <w:rPr>
                <w:b w:val="0"/>
                <w:bCs/>
                <w:color w:val="000000"/>
              </w:rPr>
            </w:pPr>
          </w:p>
        </w:tc>
        <w:tc>
          <w:tcPr>
            <w:tcW w:w="730" w:type="pct"/>
            <w:vMerge/>
            <w:shd w:val="clear" w:color="auto" w:fill="auto"/>
            <w:vAlign w:val="center"/>
          </w:tcPr>
          <w:p w14:paraId="72B5FB4D" w14:textId="77777777" w:rsidR="00E8337C" w:rsidRPr="001B6BC7" w:rsidRDefault="00E8337C" w:rsidP="002320B0">
            <w:pPr>
              <w:pStyle w:val="TableBodyText"/>
              <w:spacing w:before="40" w:after="40"/>
              <w:jc w:val="center"/>
              <w:rPr>
                <w:b w:val="0"/>
                <w:bCs/>
                <w:color w:val="000000"/>
              </w:rPr>
            </w:pPr>
          </w:p>
        </w:tc>
        <w:tc>
          <w:tcPr>
            <w:tcW w:w="624" w:type="pct"/>
            <w:vMerge/>
            <w:shd w:val="clear" w:color="auto" w:fill="auto"/>
            <w:vAlign w:val="center"/>
          </w:tcPr>
          <w:p w14:paraId="4A76BC06" w14:textId="77777777" w:rsidR="00E8337C" w:rsidRPr="001B6BC7" w:rsidRDefault="00E8337C" w:rsidP="002320B0">
            <w:pPr>
              <w:pStyle w:val="TableBodyText"/>
              <w:spacing w:before="40" w:after="40"/>
              <w:jc w:val="center"/>
              <w:rPr>
                <w:b w:val="0"/>
                <w:bCs/>
                <w:color w:val="000000"/>
              </w:rPr>
            </w:pPr>
          </w:p>
        </w:tc>
        <w:tc>
          <w:tcPr>
            <w:tcW w:w="623" w:type="pct"/>
            <w:vMerge/>
            <w:shd w:val="clear" w:color="auto" w:fill="auto"/>
            <w:vAlign w:val="center"/>
          </w:tcPr>
          <w:p w14:paraId="4818002E" w14:textId="77777777" w:rsidR="00E8337C" w:rsidRPr="001B6BC7" w:rsidRDefault="00E8337C" w:rsidP="002320B0">
            <w:pPr>
              <w:pStyle w:val="TableBodyText"/>
              <w:spacing w:before="40" w:after="40"/>
              <w:jc w:val="center"/>
              <w:rPr>
                <w:b w:val="0"/>
                <w:bCs/>
                <w:color w:val="000000"/>
              </w:rPr>
            </w:pPr>
          </w:p>
        </w:tc>
        <w:tc>
          <w:tcPr>
            <w:tcW w:w="627" w:type="pct"/>
            <w:vMerge/>
            <w:shd w:val="clear" w:color="auto" w:fill="auto"/>
            <w:vAlign w:val="center"/>
          </w:tcPr>
          <w:p w14:paraId="5BCBC1EC" w14:textId="77777777" w:rsidR="00E8337C" w:rsidRPr="001B6BC7" w:rsidRDefault="00E8337C" w:rsidP="002320B0">
            <w:pPr>
              <w:pStyle w:val="TableBodyText"/>
              <w:spacing w:before="40" w:after="40"/>
              <w:jc w:val="center"/>
              <w:rPr>
                <w:b w:val="0"/>
                <w:bCs/>
                <w:color w:val="000000"/>
              </w:rPr>
            </w:pPr>
          </w:p>
        </w:tc>
      </w:tr>
      <w:tr w:rsidR="002320B0" w:rsidRPr="001B6BC7" w14:paraId="463008EB" w14:textId="77777777" w:rsidTr="00E8337C">
        <w:trPr>
          <w:cnfStyle w:val="100000000000" w:firstRow="1" w:lastRow="0" w:firstColumn="0" w:lastColumn="0" w:oddVBand="0" w:evenVBand="0" w:oddHBand="0" w:evenHBand="0" w:firstRowFirstColumn="0" w:firstRowLastColumn="0" w:lastRowFirstColumn="0" w:lastRowLastColumn="0"/>
          <w:cantSplit/>
          <w:tblHeader/>
        </w:trPr>
        <w:tc>
          <w:tcPr>
            <w:tcW w:w="858" w:type="pct"/>
            <w:shd w:val="clear" w:color="auto" w:fill="auto"/>
            <w:noWrap/>
            <w:hideMark/>
          </w:tcPr>
          <w:p w14:paraId="230EDFAA" w14:textId="77777777" w:rsidR="002320B0" w:rsidRPr="001B6BC7" w:rsidRDefault="002320B0" w:rsidP="002320B0">
            <w:pPr>
              <w:pStyle w:val="TableBodyText"/>
              <w:spacing w:before="40" w:after="40"/>
              <w:rPr>
                <w:b w:val="0"/>
                <w:bCs/>
                <w:color w:val="000000"/>
              </w:rPr>
            </w:pPr>
            <w:r w:rsidRPr="001B6BC7">
              <w:rPr>
                <w:b w:val="0"/>
                <w:bCs/>
                <w:color w:val="000000"/>
              </w:rPr>
              <w:t>Victoria</w:t>
            </w:r>
          </w:p>
        </w:tc>
        <w:tc>
          <w:tcPr>
            <w:tcW w:w="620" w:type="pct"/>
            <w:vMerge/>
            <w:shd w:val="clear" w:color="auto" w:fill="auto"/>
            <w:vAlign w:val="center"/>
            <w:hideMark/>
          </w:tcPr>
          <w:p w14:paraId="0CA7357B" w14:textId="77777777" w:rsidR="002320B0" w:rsidRPr="001B6BC7" w:rsidRDefault="002320B0" w:rsidP="002320B0">
            <w:pPr>
              <w:pStyle w:val="TableBodyText"/>
              <w:spacing w:before="40" w:after="40"/>
              <w:jc w:val="center"/>
              <w:rPr>
                <w:b w:val="0"/>
                <w:bCs/>
                <w:color w:val="000000"/>
              </w:rPr>
            </w:pPr>
          </w:p>
        </w:tc>
        <w:tc>
          <w:tcPr>
            <w:tcW w:w="918" w:type="pct"/>
            <w:shd w:val="clear" w:color="auto" w:fill="auto"/>
            <w:noWrap/>
            <w:vAlign w:val="center"/>
            <w:hideMark/>
          </w:tcPr>
          <w:p w14:paraId="05BB766B" w14:textId="77777777" w:rsidR="002320B0" w:rsidRPr="001B6BC7" w:rsidRDefault="002320B0" w:rsidP="002320B0">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730" w:type="pct"/>
            <w:shd w:val="clear" w:color="auto" w:fill="auto"/>
            <w:noWrap/>
            <w:vAlign w:val="center"/>
            <w:hideMark/>
          </w:tcPr>
          <w:p w14:paraId="03BAAC55" w14:textId="77777777" w:rsidR="002320B0" w:rsidRPr="001B6BC7" w:rsidRDefault="002320B0" w:rsidP="002320B0">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4" w:type="pct"/>
            <w:shd w:val="clear" w:color="auto" w:fill="auto"/>
            <w:noWrap/>
            <w:vAlign w:val="center"/>
            <w:hideMark/>
          </w:tcPr>
          <w:p w14:paraId="2B71FAF8" w14:textId="77777777" w:rsidR="002320B0" w:rsidRPr="001B6BC7" w:rsidRDefault="002320B0" w:rsidP="002320B0">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3" w:type="pct"/>
            <w:shd w:val="clear" w:color="auto" w:fill="auto"/>
            <w:noWrap/>
            <w:vAlign w:val="center"/>
            <w:hideMark/>
          </w:tcPr>
          <w:p w14:paraId="4EB5B783" w14:textId="77777777" w:rsidR="002320B0" w:rsidRPr="001B6BC7" w:rsidRDefault="002320B0" w:rsidP="002320B0">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c>
          <w:tcPr>
            <w:tcW w:w="627" w:type="pct"/>
            <w:shd w:val="clear" w:color="auto" w:fill="auto"/>
            <w:noWrap/>
            <w:vAlign w:val="center"/>
            <w:hideMark/>
          </w:tcPr>
          <w:p w14:paraId="2C4DF801" w14:textId="77777777" w:rsidR="002320B0" w:rsidRPr="001B6BC7" w:rsidRDefault="002320B0" w:rsidP="002320B0">
            <w:pPr>
              <w:pStyle w:val="TableBodyText"/>
              <w:spacing w:before="40" w:after="40"/>
              <w:jc w:val="center"/>
              <w:rPr>
                <w:b w:val="0"/>
                <w:bCs/>
                <w:color w:val="000000"/>
              </w:rPr>
            </w:pPr>
            <w:proofErr w:type="spellStart"/>
            <w:r w:rsidRPr="001B6BC7">
              <w:rPr>
                <w:b w:val="0"/>
                <w:bCs/>
                <w:color w:val="000000"/>
              </w:rPr>
              <w:t>n.a</w:t>
            </w:r>
            <w:proofErr w:type="spellEnd"/>
            <w:r w:rsidRPr="001B6BC7">
              <w:rPr>
                <w:b w:val="0"/>
                <w:bCs/>
                <w:color w:val="000000"/>
              </w:rPr>
              <w:t>.</w:t>
            </w:r>
          </w:p>
        </w:tc>
      </w:tr>
    </w:tbl>
    <w:p w14:paraId="3BD2EEF2" w14:textId="77777777" w:rsidR="002320B0" w:rsidRPr="004F36FB" w:rsidRDefault="002320B0" w:rsidP="002320B0">
      <w:pPr>
        <w:pStyle w:val="BodyText"/>
        <w:spacing w:before="0" w:after="20"/>
        <w:rPr>
          <w:sz w:val="16"/>
          <w:szCs w:val="16"/>
        </w:rPr>
      </w:pPr>
      <w:r w:rsidRPr="004F36FB">
        <w:rPr>
          <w:sz w:val="16"/>
          <w:szCs w:val="16"/>
        </w:rPr>
        <w:t xml:space="preserve">Notes: </w:t>
      </w:r>
      <w:r>
        <w:rPr>
          <w:sz w:val="16"/>
          <w:szCs w:val="16"/>
        </w:rPr>
        <w:br/>
      </w:r>
      <w:r w:rsidRPr="004F36FB">
        <w:rPr>
          <w:sz w:val="16"/>
          <w:szCs w:val="16"/>
        </w:rPr>
        <w:t xml:space="preserve">* Trading assumed to end </w:t>
      </w:r>
      <w:r w:rsidR="00E30AEE">
        <w:rPr>
          <w:sz w:val="16"/>
          <w:szCs w:val="16"/>
        </w:rPr>
        <w:t>2.5-</w:t>
      </w:r>
      <w:r w:rsidR="00126476">
        <w:rPr>
          <w:sz w:val="16"/>
          <w:szCs w:val="16"/>
        </w:rPr>
        <w:t>3</w:t>
      </w:r>
      <w:r w:rsidRPr="004F36FB">
        <w:rPr>
          <w:sz w:val="16"/>
          <w:szCs w:val="16"/>
        </w:rPr>
        <w:t xml:space="preserve"> hours before nomination cut-off time to allow pipeline operators to make MDQ transfers.</w:t>
      </w:r>
    </w:p>
    <w:p w14:paraId="26259002" w14:textId="77777777" w:rsidR="002320B0" w:rsidRPr="004F36FB" w:rsidRDefault="002320B0" w:rsidP="002320B0">
      <w:pPr>
        <w:pStyle w:val="BodyText"/>
        <w:spacing w:before="0" w:after="20"/>
        <w:rPr>
          <w:sz w:val="16"/>
          <w:szCs w:val="16"/>
        </w:rPr>
      </w:pPr>
      <w:r w:rsidRPr="004F36FB">
        <w:rPr>
          <w:sz w:val="16"/>
          <w:szCs w:val="16"/>
        </w:rPr>
        <w:t>** Nomination cut-off times assumed to be offsets to gas day start times.</w:t>
      </w:r>
    </w:p>
    <w:p w14:paraId="0A126B41" w14:textId="77777777" w:rsidR="002320B0" w:rsidRPr="004F36FB" w:rsidRDefault="002320B0" w:rsidP="002320B0">
      <w:pPr>
        <w:pStyle w:val="BodyText"/>
        <w:spacing w:before="0" w:after="20"/>
        <w:rPr>
          <w:sz w:val="16"/>
          <w:szCs w:val="16"/>
        </w:rPr>
      </w:pPr>
      <w:r w:rsidRPr="004F36FB">
        <w:rPr>
          <w:sz w:val="16"/>
          <w:szCs w:val="16"/>
        </w:rPr>
        <w:t xml:space="preserve">*** Capacity assumed to be published </w:t>
      </w:r>
      <w:r w:rsidR="00E8337C">
        <w:rPr>
          <w:sz w:val="16"/>
          <w:szCs w:val="16"/>
        </w:rPr>
        <w:t>1.5</w:t>
      </w:r>
      <w:r w:rsidRPr="004F36FB">
        <w:rPr>
          <w:sz w:val="16"/>
          <w:szCs w:val="16"/>
        </w:rPr>
        <w:t xml:space="preserve"> </w:t>
      </w:r>
      <w:r w:rsidR="00E8337C">
        <w:rPr>
          <w:sz w:val="16"/>
          <w:szCs w:val="16"/>
        </w:rPr>
        <w:t xml:space="preserve">hours </w:t>
      </w:r>
      <w:r w:rsidRPr="004F36FB">
        <w:rPr>
          <w:sz w:val="16"/>
          <w:szCs w:val="16"/>
        </w:rPr>
        <w:t>after nomination cut-off time. Shippers are then assumed to have 30 minutes to make their bids in the auction. The auction is then assumed to be completed within 10 minutes of bids closing.</w:t>
      </w:r>
    </w:p>
    <w:bookmarkEnd w:id="119"/>
    <w:p w14:paraId="7FA95DDF" w14:textId="11BB977A" w:rsidR="002320B0" w:rsidRDefault="002320B0" w:rsidP="002320B0">
      <w:pPr>
        <w:pStyle w:val="BodyText"/>
      </w:pPr>
      <w:r>
        <w:t xml:space="preserve">As the top half of </w:t>
      </w:r>
      <w:r>
        <w:rPr>
          <w:highlight w:val="yellow"/>
        </w:rPr>
        <w:fldChar w:fldCharType="begin"/>
      </w:r>
      <w:r>
        <w:instrText xml:space="preserve"> REF _Ref490636402 \h </w:instrText>
      </w:r>
      <w:r>
        <w:rPr>
          <w:highlight w:val="yellow"/>
        </w:rPr>
      </w:r>
      <w:r>
        <w:rPr>
          <w:highlight w:val="yellow"/>
        </w:rPr>
        <w:fldChar w:fldCharType="separate"/>
      </w:r>
      <w:r w:rsidR="00947034">
        <w:t xml:space="preserve">Table </w:t>
      </w:r>
      <w:r w:rsidR="00947034">
        <w:rPr>
          <w:noProof/>
        </w:rPr>
        <w:t>5</w:t>
      </w:r>
      <w:r w:rsidR="00947034">
        <w:t>.</w:t>
      </w:r>
      <w:r w:rsidR="00947034">
        <w:rPr>
          <w:noProof/>
        </w:rPr>
        <w:t>2</w:t>
      </w:r>
      <w:r>
        <w:rPr>
          <w:highlight w:val="yellow"/>
        </w:rPr>
        <w:fldChar w:fldCharType="end"/>
      </w:r>
      <w:r>
        <w:t xml:space="preserve"> highlights, a lack of alignment of gas day start times and nomination cut-off times across the east coast will result in:</w:t>
      </w:r>
    </w:p>
    <w:p w14:paraId="1F833C3C" w14:textId="77777777" w:rsidR="002320B0" w:rsidRDefault="002320B0" w:rsidP="002320B0">
      <w:pPr>
        <w:pStyle w:val="ListBullet"/>
      </w:pPr>
      <w:r>
        <w:t>the close of trade for day-ahead products on the capacity trading platform being set by reference to the earliest nomination cut-off time (currently 1.30 pm (AEST)</w:t>
      </w:r>
      <w:r w:rsidR="002D1CCE">
        <w:t>)</w:t>
      </w:r>
      <w:r>
        <w:t>, which means that trade will need to cease by 1</w:t>
      </w:r>
      <w:r w:rsidR="002D1CCE">
        <w:t>1</w:t>
      </w:r>
      <w:r>
        <w:t xml:space="preserve"> </w:t>
      </w:r>
      <w:r w:rsidR="002D1CCE">
        <w:t>a</w:t>
      </w:r>
      <w:r>
        <w:t>m (AEST); and</w:t>
      </w:r>
    </w:p>
    <w:p w14:paraId="08AA85F8" w14:textId="77777777" w:rsidR="002320B0" w:rsidRDefault="002320B0" w:rsidP="002320B0">
      <w:pPr>
        <w:pStyle w:val="ListBullet"/>
      </w:pPr>
      <w:r>
        <w:t>the timing of the day-ahead auction being set by reference to the latest nomination cut-off time (currently 4 pm (AEST)), which means that the earliest the auction could be conducted is by 5.</w:t>
      </w:r>
      <w:r w:rsidR="00DF6F93">
        <w:t>4</w:t>
      </w:r>
      <w:r>
        <w:t>0 pm AEST.</w:t>
      </w:r>
    </w:p>
    <w:p w14:paraId="10E2291A" w14:textId="35812C73" w:rsidR="002320B0" w:rsidRDefault="002320B0" w:rsidP="002320B0">
      <w:pPr>
        <w:pStyle w:val="BodyText"/>
      </w:pPr>
      <w:r>
        <w:t>If, on the other hand, gas day start times were harmonised and a common nomination cut-off time of, for example, 3 pm (AEST)</w:t>
      </w:r>
      <w:r>
        <w:rPr>
          <w:rStyle w:val="FootnoteReference"/>
        </w:rPr>
        <w:footnoteReference w:id="64"/>
      </w:r>
      <w:r>
        <w:t xml:space="preserve"> was adopted (see bottom half of </w:t>
      </w:r>
      <w:r>
        <w:rPr>
          <w:highlight w:val="yellow"/>
        </w:rPr>
        <w:fldChar w:fldCharType="begin"/>
      </w:r>
      <w:r>
        <w:instrText xml:space="preserve"> REF _Ref490636402 \h </w:instrText>
      </w:r>
      <w:r>
        <w:rPr>
          <w:highlight w:val="yellow"/>
        </w:rPr>
      </w:r>
      <w:r>
        <w:rPr>
          <w:highlight w:val="yellow"/>
        </w:rPr>
        <w:fldChar w:fldCharType="separate"/>
      </w:r>
      <w:r w:rsidR="00947034">
        <w:t xml:space="preserve">Table </w:t>
      </w:r>
      <w:r w:rsidR="00947034">
        <w:rPr>
          <w:noProof/>
        </w:rPr>
        <w:t>5</w:t>
      </w:r>
      <w:r w:rsidR="00947034">
        <w:t>.</w:t>
      </w:r>
      <w:r w:rsidR="00947034">
        <w:rPr>
          <w:noProof/>
        </w:rPr>
        <w:t>2</w:t>
      </w:r>
      <w:r>
        <w:rPr>
          <w:highlight w:val="yellow"/>
        </w:rPr>
        <w:fldChar w:fldCharType="end"/>
      </w:r>
      <w:r>
        <w:t xml:space="preserve">) then: </w:t>
      </w:r>
    </w:p>
    <w:p w14:paraId="4F4F9227" w14:textId="77777777" w:rsidR="002320B0" w:rsidRDefault="002320B0" w:rsidP="002320B0">
      <w:pPr>
        <w:pStyle w:val="ListBullet"/>
      </w:pPr>
      <w:r>
        <w:t>the trade of day-ahead products on the capacity trading platform could close at 1</w:t>
      </w:r>
      <w:r w:rsidR="00DF6F93">
        <w:t>2</w:t>
      </w:r>
      <w:r>
        <w:t xml:space="preserve"> pm (AEST), which would give shippers an additional </w:t>
      </w:r>
      <w:r w:rsidR="00DF6F93">
        <w:t>hour</w:t>
      </w:r>
      <w:r>
        <w:t xml:space="preserve"> to sell any spare day-ahead capacity they may have on the capacity trading platform; and</w:t>
      </w:r>
    </w:p>
    <w:p w14:paraId="3AA6B57D" w14:textId="77777777" w:rsidR="002320B0" w:rsidRDefault="002320B0" w:rsidP="002320B0">
      <w:pPr>
        <w:pStyle w:val="ListBullet"/>
      </w:pPr>
      <w:r>
        <w:t xml:space="preserve">the auction could be conducted one hour earlier at </w:t>
      </w:r>
      <w:r w:rsidR="00DF6F93">
        <w:t>4</w:t>
      </w:r>
      <w:r>
        <w:t>.</w:t>
      </w:r>
      <w:r w:rsidR="00DF6F93">
        <w:t>4</w:t>
      </w:r>
      <w:r>
        <w:t xml:space="preserve">0 pm (AEST), which would provide shippers that procure capacity through the auction with more time to co-ordinate their capacity, commodity and downstream arrangements for the next day. </w:t>
      </w:r>
    </w:p>
    <w:p w14:paraId="288D55A7" w14:textId="77777777" w:rsidR="00AA1002" w:rsidRDefault="00E8337C" w:rsidP="002320B0">
      <w:pPr>
        <w:pStyle w:val="BodyText"/>
      </w:pPr>
      <w:r>
        <w:lastRenderedPageBreak/>
        <w:t xml:space="preserve">In short, </w:t>
      </w:r>
      <w:r w:rsidR="002320B0">
        <w:t>the harmonisation of gas day start times and nomination cut-off times will enable shippers to make greater use of the capacity trading platform and day-ahead auction. It will also</w:t>
      </w:r>
      <w:r w:rsidR="00AA1002">
        <w:t>:</w:t>
      </w:r>
    </w:p>
    <w:p w14:paraId="511BA7F5" w14:textId="77777777" w:rsidR="00AA1002" w:rsidRDefault="00AA1002" w:rsidP="00AA1002">
      <w:pPr>
        <w:pStyle w:val="ListBullet"/>
      </w:pPr>
      <w:r>
        <w:t>reduce the costs and complexities that market participants operating across multiple facilitated markets would otherwise face; and</w:t>
      </w:r>
    </w:p>
    <w:p w14:paraId="2D073600" w14:textId="77777777" w:rsidR="00AA1002" w:rsidRDefault="00AA1002" w:rsidP="00AA1002">
      <w:pPr>
        <w:pStyle w:val="ListBullet"/>
      </w:pPr>
      <w:r>
        <w:t>increase the interoperability and interconnection between markets and, in so doing, promote participation, competition and liquidity in these markets and trade between locations.</w:t>
      </w:r>
    </w:p>
    <w:p w14:paraId="08AF693B" w14:textId="77777777" w:rsidR="00AA6640" w:rsidRPr="001C4E1C" w:rsidRDefault="00AA6640" w:rsidP="001C4E1C">
      <w:pPr>
        <w:pStyle w:val="BodyText"/>
        <w:keepNext/>
        <w:rPr>
          <w:b/>
          <w:color w:val="0099CC"/>
        </w:rPr>
      </w:pPr>
      <w:r w:rsidRPr="001C4E1C">
        <w:rPr>
          <w:b/>
          <w:color w:val="0099CC"/>
        </w:rPr>
        <w:t>Project teams’ views</w:t>
      </w:r>
    </w:p>
    <w:p w14:paraId="4C64BDFF" w14:textId="77777777" w:rsidR="002320B0" w:rsidRDefault="00AA1002" w:rsidP="002320B0">
      <w:pPr>
        <w:pStyle w:val="BodyText"/>
      </w:pPr>
      <w:r>
        <w:t xml:space="preserve">The issues associated with bringing forward the gas day start time harmonisation, extending the application of the harmonised gas day start times and adopting a common nomination cut-off time were discussed with the Standardisation, Capacity Trading Platform and Day-Ahead Auction project teams.  The views </w:t>
      </w:r>
      <w:r w:rsidR="00A049AB">
        <w:t>expressed by these project teams can be summarised as follows:</w:t>
      </w:r>
    </w:p>
    <w:p w14:paraId="4FD9B701" w14:textId="77777777" w:rsidR="004646E4" w:rsidRDefault="00A049AB" w:rsidP="002E3970">
      <w:pPr>
        <w:pStyle w:val="ListBullet"/>
      </w:pPr>
      <w:r w:rsidRPr="00E8337C">
        <w:rPr>
          <w:b/>
        </w:rPr>
        <w:t>Brin</w:t>
      </w:r>
      <w:r w:rsidR="00352A74" w:rsidRPr="00E8337C">
        <w:rPr>
          <w:b/>
        </w:rPr>
        <w:t>g</w:t>
      </w:r>
      <w:r w:rsidRPr="00E8337C">
        <w:rPr>
          <w:b/>
        </w:rPr>
        <w:t>ing forward gas day start time harmonisation</w:t>
      </w:r>
      <w:r w:rsidR="000B1CB2" w:rsidRPr="00E8337C">
        <w:rPr>
          <w:b/>
        </w:rPr>
        <w:t xml:space="preserve"> for the facilitated markets</w:t>
      </w:r>
      <w:r w:rsidR="00473CD3" w:rsidRPr="00E8337C">
        <w:rPr>
          <w:b/>
        </w:rPr>
        <w:t xml:space="preserve"> </w:t>
      </w:r>
      <w:r w:rsidR="00473CD3">
        <w:t xml:space="preserve">– </w:t>
      </w:r>
      <w:r w:rsidR="00AD643C">
        <w:t>Mixed views were expressed on</w:t>
      </w:r>
      <w:r w:rsidR="002E3970">
        <w:t xml:space="preserve"> </w:t>
      </w:r>
      <w:r w:rsidR="00AD643C">
        <w:t>this issue</w:t>
      </w:r>
      <w:r w:rsidR="002E3970">
        <w:t xml:space="preserve">, with some project team members </w:t>
      </w:r>
      <w:r w:rsidR="00F243A1">
        <w:t xml:space="preserve">indicating </w:t>
      </w:r>
      <w:r w:rsidR="002E3970">
        <w:t xml:space="preserve">there would be value in bringing the harmonisation forward to 2019 to remove impediments to capacity trading across jurisdictions. Other team members, on the other hand, </w:t>
      </w:r>
      <w:r w:rsidR="00F243A1">
        <w:t xml:space="preserve">indicated that </w:t>
      </w:r>
      <w:r w:rsidR="002E3970">
        <w:t xml:space="preserve">the current timing should be maintained because the benefits of bringing forward harmonisation would </w:t>
      </w:r>
      <w:r w:rsidR="00F243A1">
        <w:t xml:space="preserve">be unlikely to </w:t>
      </w:r>
      <w:r w:rsidR="002E3970">
        <w:t xml:space="preserve">outweigh the costs.  </w:t>
      </w:r>
      <w:r w:rsidR="008D7AFA">
        <w:t xml:space="preserve">These project team members added that any differences in gas day start times in the intervening period could be dealt with </w:t>
      </w:r>
      <w:r w:rsidR="00F83E3E">
        <w:t xml:space="preserve">by </w:t>
      </w:r>
      <w:r w:rsidR="008D7AFA">
        <w:t xml:space="preserve">using the contractual and operational arrangements that </w:t>
      </w:r>
      <w:r w:rsidR="00F83E3E">
        <w:t>shippers and pipeline operators are currently using to overcome the impediments posed by this difference. One project team member</w:t>
      </w:r>
      <w:r w:rsidR="002E3970">
        <w:t xml:space="preserve"> also noted that </w:t>
      </w:r>
      <w:r w:rsidR="00F83E3E">
        <w:t xml:space="preserve">if a decision was made to bring </w:t>
      </w:r>
      <w:r w:rsidR="002E3970">
        <w:t xml:space="preserve">the harmonisation </w:t>
      </w:r>
      <w:r w:rsidR="00F83E3E">
        <w:t xml:space="preserve">forward it </w:t>
      </w:r>
      <w:r w:rsidR="002E3970">
        <w:t xml:space="preserve">could impose additional costs on </w:t>
      </w:r>
      <w:r w:rsidR="00E8337C">
        <w:t xml:space="preserve">other facilities that are directly affected by the harmonisation (e.g. the </w:t>
      </w:r>
      <w:r w:rsidR="002E3970">
        <w:t>distribution networks in NSW, South Australia and Queensland</w:t>
      </w:r>
      <w:r w:rsidR="00E8337C">
        <w:t>)</w:t>
      </w:r>
      <w:r w:rsidR="002E3970">
        <w:t>.</w:t>
      </w:r>
    </w:p>
    <w:p w14:paraId="6E4E7342" w14:textId="77777777" w:rsidR="00A049AB" w:rsidRDefault="00A049AB" w:rsidP="004646E4">
      <w:pPr>
        <w:pStyle w:val="ListBullet"/>
      </w:pPr>
      <w:r w:rsidRPr="00E8337C">
        <w:rPr>
          <w:b/>
        </w:rPr>
        <w:t>Extending the application of gas day harmonisation</w:t>
      </w:r>
      <w:r w:rsidR="00352A74" w:rsidRPr="00E8337C">
        <w:rPr>
          <w:b/>
        </w:rPr>
        <w:t xml:space="preserve"> </w:t>
      </w:r>
      <w:r w:rsidR="000B1CB2" w:rsidRPr="00E8337C">
        <w:rPr>
          <w:b/>
        </w:rPr>
        <w:t>beyond the markets</w:t>
      </w:r>
      <w:r w:rsidR="000B1CB2">
        <w:t xml:space="preserve"> – </w:t>
      </w:r>
      <w:r w:rsidR="002E3970">
        <w:t xml:space="preserve">A number of project team members pointed out that the AEMC’s rule change only applies to the facilitated markets and </w:t>
      </w:r>
      <w:r w:rsidR="00B57A0C">
        <w:t xml:space="preserve">noted that </w:t>
      </w:r>
      <w:r w:rsidR="002E3970">
        <w:t xml:space="preserve">there would be value in extending the application of the </w:t>
      </w:r>
      <w:r w:rsidR="00B57A0C">
        <w:t xml:space="preserve">harmonised </w:t>
      </w:r>
      <w:r w:rsidR="002E3970">
        <w:t>gas day start time to the operators of all production, pipeline</w:t>
      </w:r>
      <w:r w:rsidR="00B57A0C">
        <w:t xml:space="preserve">, </w:t>
      </w:r>
      <w:proofErr w:type="gramStart"/>
      <w:r w:rsidR="00B57A0C">
        <w:t>compressor</w:t>
      </w:r>
      <w:proofErr w:type="gramEnd"/>
      <w:r w:rsidR="002E3970">
        <w:t xml:space="preserve"> </w:t>
      </w:r>
      <w:r w:rsidR="00B57A0C">
        <w:t xml:space="preserve">and </w:t>
      </w:r>
      <w:r w:rsidR="002E3970">
        <w:t>storage facilities.</w:t>
      </w:r>
      <w:r w:rsidR="000B1CB2">
        <w:t xml:space="preserve"> </w:t>
      </w:r>
      <w:r w:rsidR="00B57A0C">
        <w:t xml:space="preserve">These project team members also noted that mandating the change through the NGL and/or the NGR would be more cost effective than requiring facility operators </w:t>
      </w:r>
      <w:r w:rsidR="002E3970">
        <w:t xml:space="preserve">to negotiate </w:t>
      </w:r>
      <w:r w:rsidR="00B57A0C">
        <w:t xml:space="preserve">changes </w:t>
      </w:r>
      <w:r w:rsidR="005E3347">
        <w:t xml:space="preserve">with </w:t>
      </w:r>
      <w:r w:rsidR="00B57A0C">
        <w:t xml:space="preserve">all of their </w:t>
      </w:r>
      <w:r w:rsidR="002E3970">
        <w:t xml:space="preserve">existing users </w:t>
      </w:r>
      <w:r w:rsidR="00B57A0C">
        <w:t>and would also address the risk that some users refuse to allow the change.</w:t>
      </w:r>
    </w:p>
    <w:p w14:paraId="52A89945" w14:textId="77777777" w:rsidR="00A049AB" w:rsidRDefault="00A049AB" w:rsidP="004646E4">
      <w:pPr>
        <w:pStyle w:val="ListBullet"/>
      </w:pPr>
      <w:r w:rsidRPr="00E8337C">
        <w:rPr>
          <w:b/>
        </w:rPr>
        <w:t xml:space="preserve">Adopting a common nomination cut-off time </w:t>
      </w:r>
      <w:r w:rsidR="000B1CB2">
        <w:t xml:space="preserve">– </w:t>
      </w:r>
      <w:r w:rsidR="00B57A0C">
        <w:t xml:space="preserve">Project team members had mixed views on this issue, with some </w:t>
      </w:r>
      <w:r w:rsidR="005E3347">
        <w:t xml:space="preserve">indicating that </w:t>
      </w:r>
      <w:r w:rsidR="00B57A0C">
        <w:t>there would be value in harmonising nomination times</w:t>
      </w:r>
      <w:r w:rsidR="005E3347">
        <w:t>. O</w:t>
      </w:r>
      <w:r w:rsidR="00B57A0C">
        <w:t>thers</w:t>
      </w:r>
      <w:r w:rsidR="005E3347">
        <w:t>, on the other hand,</w:t>
      </w:r>
      <w:r w:rsidR="00B57A0C">
        <w:t xml:space="preserve"> noted that differences </w:t>
      </w:r>
      <w:r w:rsidR="005E3347">
        <w:t xml:space="preserve">in timing </w:t>
      </w:r>
      <w:r w:rsidR="00B57A0C">
        <w:t xml:space="preserve">across jurisdictions can benefit shippers </w:t>
      </w:r>
      <w:r w:rsidR="005B364C">
        <w:t xml:space="preserve">and service providers </w:t>
      </w:r>
      <w:r w:rsidR="00B57A0C">
        <w:t>from a resourcing perspective. Those project team members that thought there was value in harmonising nomination cut-off times noted that it should occur when gas day harmonisation occurs and should be mandated through the NGL and/or NGR.</w:t>
      </w:r>
      <w:r w:rsidR="00352A74">
        <w:t xml:space="preserve"> </w:t>
      </w:r>
    </w:p>
    <w:p w14:paraId="290CD44B" w14:textId="77777777" w:rsidR="00AA6640" w:rsidRPr="001C4E1C" w:rsidRDefault="00AA6640" w:rsidP="001C4E1C">
      <w:pPr>
        <w:pStyle w:val="BodyText"/>
        <w:keepNext/>
        <w:rPr>
          <w:b/>
          <w:color w:val="0099CC"/>
        </w:rPr>
      </w:pPr>
      <w:r w:rsidRPr="001C4E1C">
        <w:rPr>
          <w:b/>
          <w:color w:val="0099CC"/>
        </w:rPr>
        <w:lastRenderedPageBreak/>
        <w:t>GMRG’s preliminary view and questions for stakeholders</w:t>
      </w:r>
    </w:p>
    <w:p w14:paraId="6C390E1F" w14:textId="77777777" w:rsidR="00FC3530" w:rsidRDefault="00F83E3E" w:rsidP="008B3812">
      <w:pPr>
        <w:pStyle w:val="BodyText"/>
      </w:pPr>
      <w:r>
        <w:t>Having regard to the feedback provided by project team members</w:t>
      </w:r>
      <w:r w:rsidR="00E8337C">
        <w:t>,</w:t>
      </w:r>
      <w:r>
        <w:t xml:space="preserve"> the views expressed by the AEMC and the ACCC</w:t>
      </w:r>
      <w:r w:rsidR="00E8337C">
        <w:t xml:space="preserve"> and the objectives of the reforms</w:t>
      </w:r>
      <w:r>
        <w:t>, the GMRG</w:t>
      </w:r>
      <w:r w:rsidR="007C7752">
        <w:t>’</w:t>
      </w:r>
      <w:r>
        <w:t>s preliminary view is th</w:t>
      </w:r>
      <w:r w:rsidR="00FC3530">
        <w:t xml:space="preserve">at: </w:t>
      </w:r>
    </w:p>
    <w:p w14:paraId="63DFA309" w14:textId="77777777" w:rsidR="00FC3530" w:rsidRDefault="00E8337C" w:rsidP="00FC3530">
      <w:pPr>
        <w:pStyle w:val="ListBullet"/>
      </w:pPr>
      <w:r>
        <w:t>A</w:t>
      </w:r>
      <w:r w:rsidR="00FC3530">
        <w:t xml:space="preserve"> </w:t>
      </w:r>
      <w:r w:rsidR="00F83E3E">
        <w:t xml:space="preserve">common gas day start time </w:t>
      </w:r>
      <w:r w:rsidR="00FC3530">
        <w:t xml:space="preserve">of 6 am (AEST) should be adopted </w:t>
      </w:r>
      <w:r>
        <w:t>across</w:t>
      </w:r>
      <w:r w:rsidR="00FC3530">
        <w:t xml:space="preserve"> the east coast and </w:t>
      </w:r>
      <w:r>
        <w:t xml:space="preserve">the Northern Territory once it becomes connected via the Northern Gas Pipeline. </w:t>
      </w:r>
      <w:r w:rsidR="00EA6045">
        <w:t xml:space="preserve">The requirement to adopt this gas day start time should </w:t>
      </w:r>
      <w:r w:rsidR="005E3347">
        <w:t xml:space="preserve">be </w:t>
      </w:r>
      <w:r w:rsidR="00FC3530">
        <w:t xml:space="preserve">mandated </w:t>
      </w:r>
      <w:r w:rsidR="007C7752">
        <w:t xml:space="preserve">through the NGR </w:t>
      </w:r>
      <w:r w:rsidR="00FC3530">
        <w:t xml:space="preserve">to ensure </w:t>
      </w:r>
      <w:r w:rsidR="007C7752">
        <w:t xml:space="preserve">it </w:t>
      </w:r>
      <w:r w:rsidR="00FC3530">
        <w:t>applies to the operators of all production, pipeline, compressor and storage facilities</w:t>
      </w:r>
      <w:r w:rsidR="00EA6045">
        <w:t>.</w:t>
      </w:r>
      <w:r w:rsidR="00FC3530">
        <w:t xml:space="preserve"> </w:t>
      </w:r>
    </w:p>
    <w:p w14:paraId="157E8024" w14:textId="77777777" w:rsidR="007C7752" w:rsidRDefault="00EA6045" w:rsidP="00D94692">
      <w:pPr>
        <w:pStyle w:val="ListBullet"/>
      </w:pPr>
      <w:r>
        <w:t>A</w:t>
      </w:r>
      <w:r w:rsidR="00FC3530">
        <w:t xml:space="preserve"> common nomination cut-off time of 3 pm (AEST) </w:t>
      </w:r>
      <w:r w:rsidR="007C7752">
        <w:t>for pipelines and other facilities that will be subject to the capacity trading reforms should be mandated through the NGR.</w:t>
      </w:r>
    </w:p>
    <w:p w14:paraId="31069FD3" w14:textId="77777777" w:rsidR="008F66DA" w:rsidRDefault="00FC3530" w:rsidP="008B3812">
      <w:pPr>
        <w:pStyle w:val="BodyText"/>
      </w:pPr>
      <w:r>
        <w:t xml:space="preserve">The GMRG understands that to give effect to these changes, amendments to the NGL </w:t>
      </w:r>
      <w:r w:rsidR="007C7752">
        <w:t xml:space="preserve">would be </w:t>
      </w:r>
      <w:r>
        <w:t xml:space="preserve">required to enable rules to be made about </w:t>
      </w:r>
      <w:r w:rsidR="007C7752">
        <w:t xml:space="preserve">the gas day start times and nomination cut-off times employed by a range of facilities. The earliest this </w:t>
      </w:r>
      <w:r w:rsidR="00EA6045">
        <w:t xml:space="preserve">is likely to </w:t>
      </w:r>
      <w:r w:rsidR="007C7752">
        <w:t xml:space="preserve">occur is </w:t>
      </w:r>
      <w:r w:rsidR="00EA6045">
        <w:t>mid-</w:t>
      </w:r>
      <w:r w:rsidR="007C7752">
        <w:t>2018</w:t>
      </w:r>
      <w:r w:rsidR="00EA6045">
        <w:t xml:space="preserve"> given that an election is due to occur in South Australia in March 2018</w:t>
      </w:r>
      <w:r w:rsidR="007C7752">
        <w:t xml:space="preserve">. </w:t>
      </w:r>
      <w:r w:rsidR="00D94692">
        <w:t>If f</w:t>
      </w:r>
      <w:r w:rsidR="007C7752">
        <w:t xml:space="preserve">acility operators </w:t>
      </w:r>
      <w:r w:rsidR="00D94692">
        <w:t xml:space="preserve">were </w:t>
      </w:r>
      <w:r w:rsidR="007C7752">
        <w:t xml:space="preserve">then </w:t>
      </w:r>
      <w:r w:rsidR="00D94692">
        <w:t>provided 12 months</w:t>
      </w:r>
      <w:r w:rsidR="00D94692">
        <w:rPr>
          <w:rStyle w:val="FootnoteReference"/>
        </w:rPr>
        <w:footnoteReference w:id="65"/>
      </w:r>
      <w:r w:rsidR="00D94692">
        <w:t xml:space="preserve"> to </w:t>
      </w:r>
      <w:r w:rsidR="007C7752">
        <w:t>make the relevant changes to their meters and systems</w:t>
      </w:r>
      <w:r w:rsidR="00D94692">
        <w:t xml:space="preserve">, then it is possible that harmonisation of gas days and nomination cut-off times </w:t>
      </w:r>
      <w:r w:rsidR="007C7752">
        <w:t xml:space="preserve">could </w:t>
      </w:r>
      <w:r w:rsidR="00D94692">
        <w:t xml:space="preserve">be achieved by </w:t>
      </w:r>
      <w:r w:rsidR="008F66DA">
        <w:t xml:space="preserve">1 October </w:t>
      </w:r>
      <w:r w:rsidR="00D94692">
        <w:t>2019</w:t>
      </w:r>
      <w:r w:rsidR="008F66DA">
        <w:t>, which is after the trading platform and auction are expected to be in place</w:t>
      </w:r>
      <w:r w:rsidR="00D94692">
        <w:t xml:space="preserve">. </w:t>
      </w:r>
    </w:p>
    <w:p w14:paraId="662E24B6" w14:textId="77777777" w:rsidR="00FC3530" w:rsidRDefault="00D94692" w:rsidP="008B3812">
      <w:pPr>
        <w:pStyle w:val="BodyText"/>
      </w:pPr>
      <w:r>
        <w:t xml:space="preserve">There are, however, some risks to this </w:t>
      </w:r>
      <w:r w:rsidR="00EA6045">
        <w:t xml:space="preserve">2019 </w:t>
      </w:r>
      <w:r>
        <w:t>timing</w:t>
      </w:r>
      <w:r w:rsidR="00DF6F93">
        <w:t xml:space="preserve">, </w:t>
      </w:r>
      <w:r w:rsidR="005E3347">
        <w:t xml:space="preserve">including </w:t>
      </w:r>
      <w:r w:rsidR="00DF6F93">
        <w:t xml:space="preserve">that the </w:t>
      </w:r>
      <w:r w:rsidR="008F66DA">
        <w:t xml:space="preserve">broader application of the harmonised gas day start times and nomination cut-off times </w:t>
      </w:r>
      <w:r w:rsidR="00EA6045">
        <w:t>may take</w:t>
      </w:r>
      <w:r w:rsidR="008F66DA">
        <w:t xml:space="preserve"> operators </w:t>
      </w:r>
      <w:r w:rsidR="00EA6045">
        <w:t xml:space="preserve">longer </w:t>
      </w:r>
      <w:r w:rsidR="008F66DA">
        <w:t xml:space="preserve">than 12 months </w:t>
      </w:r>
      <w:r w:rsidR="00EA6045">
        <w:t xml:space="preserve">to </w:t>
      </w:r>
      <w:r w:rsidR="008F66DA">
        <w:t>make the necessary changes. It is not clear therefore whether a commencement date of 1 October 2019 for gas day and nomination cut-off time harmonisation is feasible, or if it would be better to maintain the 1 April 202</w:t>
      </w:r>
      <w:r w:rsidR="005B364C">
        <w:t>1</w:t>
      </w:r>
      <w:r w:rsidR="008F66DA">
        <w:t xml:space="preserve"> date. </w:t>
      </w:r>
    </w:p>
    <w:p w14:paraId="134349C3" w14:textId="2417C0B4" w:rsidR="008F66DA" w:rsidRPr="001B7E7C" w:rsidRDefault="008F66DA" w:rsidP="001B7E7C">
      <w:pPr>
        <w:pStyle w:val="BodyText"/>
      </w:pPr>
      <w:r>
        <w:t xml:space="preserve">Irrespective, of which commencement date is chosen, some transitional measures will </w:t>
      </w:r>
      <w:r w:rsidR="005E3347">
        <w:t xml:space="preserve">be required </w:t>
      </w:r>
      <w:r>
        <w:t xml:space="preserve">to deal with the differences in gas day start times and nomination cut-off times until harmonisation can be achieved. </w:t>
      </w:r>
      <w:r w:rsidR="001B7E7C">
        <w:t>The close of trade on the capacity trading platform will, f</w:t>
      </w:r>
      <w:r>
        <w:t>or example</w:t>
      </w:r>
      <w:r w:rsidR="001B7E7C">
        <w:t xml:space="preserve">, need to be set at an earlier time while the day-ahead auction will need to be </w:t>
      </w:r>
      <w:r w:rsidR="005E3347">
        <w:t xml:space="preserve">concluded </w:t>
      </w:r>
      <w:r w:rsidR="001B7E7C">
        <w:t xml:space="preserve">later. Provisions will also need to be included in the standardised operational GTA to require service providers operating at the interface of markets to accommodate </w:t>
      </w:r>
      <w:r w:rsidR="00B576E8">
        <w:t xml:space="preserve">the differences in gas days. These provisions have not yet been included in the </w:t>
      </w:r>
      <w:r w:rsidR="001B7E7C">
        <w:t>operationa</w:t>
      </w:r>
      <w:r w:rsidR="001B7E7C" w:rsidRPr="001B7E7C">
        <w:t>l GTA.</w:t>
      </w:r>
    </w:p>
    <w:p w14:paraId="17718A0B" w14:textId="2FEB6CBE" w:rsidR="0076364B" w:rsidRDefault="001B7E7C" w:rsidP="001B7E7C">
      <w:pPr>
        <w:pStyle w:val="BodyText"/>
      </w:pPr>
      <w:r w:rsidRPr="001B7E7C">
        <w:t xml:space="preserve">The GMRG is interested in hearing further from stakeholders on this issue and </w:t>
      </w:r>
      <w:r w:rsidR="005E3347">
        <w:t xml:space="preserve">is seeking feedback in response to the </w:t>
      </w:r>
      <w:r w:rsidRPr="001B7E7C">
        <w:t xml:space="preserve">questions </w:t>
      </w:r>
      <w:r w:rsidR="005E3347">
        <w:t xml:space="preserve">set out in </w:t>
      </w:r>
      <w:r w:rsidR="005E3347">
        <w:fldChar w:fldCharType="begin"/>
      </w:r>
      <w:r w:rsidR="005E3347">
        <w:instrText xml:space="preserve"> REF _Ref491710892 \h </w:instrText>
      </w:r>
      <w:r w:rsidR="005E3347">
        <w:fldChar w:fldCharType="separate"/>
      </w:r>
      <w:r w:rsidR="00947034" w:rsidRPr="00EC75C1">
        <w:t xml:space="preserve">Box </w:t>
      </w:r>
      <w:r w:rsidR="00947034">
        <w:rPr>
          <w:noProof/>
        </w:rPr>
        <w:t>5</w:t>
      </w:r>
      <w:r w:rsidR="00947034">
        <w:t>.</w:t>
      </w:r>
      <w:r w:rsidR="00947034">
        <w:rPr>
          <w:noProof/>
        </w:rPr>
        <w:t>3</w:t>
      </w:r>
      <w:r w:rsidR="005E3347">
        <w:fldChar w:fldCharType="end"/>
      </w:r>
      <w:r w:rsidR="005E3347">
        <w:t>.</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5.3: Questions on harmonisation of gas day start times and nomination times "/>
        <w:tblDescription w:val="Questions on harmonisation of gas day start times and nomination times "/>
      </w:tblPr>
      <w:tblGrid>
        <w:gridCol w:w="8788"/>
      </w:tblGrid>
      <w:tr w:rsidR="00914AA0" w:rsidRPr="00EA6045" w14:paraId="3F2D45F3" w14:textId="77777777" w:rsidTr="005B073E">
        <w:trPr>
          <w:tblHeader/>
        </w:trPr>
        <w:tc>
          <w:tcPr>
            <w:tcW w:w="5000" w:type="pct"/>
            <w:shd w:val="clear" w:color="auto" w:fill="auto"/>
          </w:tcPr>
          <w:p w14:paraId="0F79653B" w14:textId="462E17AE" w:rsidR="00B576E8" w:rsidRPr="005B073E" w:rsidRDefault="005B073E" w:rsidP="005B073E">
            <w:pPr>
              <w:pStyle w:val="ListNumber"/>
              <w:keepNext/>
              <w:numPr>
                <w:ilvl w:val="0"/>
                <w:numId w:val="0"/>
              </w:numPr>
              <w:ind w:left="360" w:hanging="360"/>
              <w:rPr>
                <w:rFonts w:eastAsiaTheme="majorEastAsia"/>
                <w:b/>
                <w:sz w:val="21"/>
                <w:szCs w:val="21"/>
              </w:rPr>
            </w:pPr>
            <w:bookmarkStart w:id="120" w:name="_Ref491710892"/>
            <w:r w:rsidRPr="005B073E">
              <w:rPr>
                <w:b/>
                <w:sz w:val="21"/>
                <w:szCs w:val="21"/>
              </w:rPr>
              <w:lastRenderedPageBreak/>
              <w:t xml:space="preserve">Box </w:t>
            </w:r>
            <w:r w:rsidRPr="005B073E">
              <w:rPr>
                <w:b/>
                <w:sz w:val="21"/>
                <w:szCs w:val="21"/>
              </w:rPr>
              <w:fldChar w:fldCharType="begin"/>
            </w:r>
            <w:r w:rsidRPr="005B073E">
              <w:rPr>
                <w:b/>
                <w:sz w:val="21"/>
                <w:szCs w:val="21"/>
              </w:rPr>
              <w:instrText xml:space="preserve"> STYLEREF 1 \s </w:instrText>
            </w:r>
            <w:r w:rsidRPr="005B073E">
              <w:rPr>
                <w:b/>
                <w:sz w:val="21"/>
                <w:szCs w:val="21"/>
              </w:rPr>
              <w:fldChar w:fldCharType="separate"/>
            </w:r>
            <w:r w:rsidRPr="005B073E">
              <w:rPr>
                <w:b/>
                <w:noProof/>
                <w:sz w:val="21"/>
                <w:szCs w:val="21"/>
              </w:rPr>
              <w:t>5</w:t>
            </w:r>
            <w:r w:rsidRPr="005B073E">
              <w:rPr>
                <w:b/>
                <w:noProof/>
                <w:sz w:val="21"/>
                <w:szCs w:val="21"/>
              </w:rPr>
              <w:fldChar w:fldCharType="end"/>
            </w:r>
            <w:r w:rsidRPr="005B073E">
              <w:rPr>
                <w:b/>
                <w:sz w:val="21"/>
                <w:szCs w:val="21"/>
              </w:rPr>
              <w:t>.</w:t>
            </w:r>
            <w:r w:rsidRPr="005B073E">
              <w:rPr>
                <w:b/>
                <w:sz w:val="21"/>
                <w:szCs w:val="21"/>
              </w:rPr>
              <w:fldChar w:fldCharType="begin"/>
            </w:r>
            <w:r w:rsidRPr="005B073E">
              <w:rPr>
                <w:b/>
                <w:sz w:val="21"/>
                <w:szCs w:val="21"/>
              </w:rPr>
              <w:instrText xml:space="preserve"> SEQ Box \* ARABIC \s 1 </w:instrText>
            </w:r>
            <w:r w:rsidRPr="005B073E">
              <w:rPr>
                <w:b/>
                <w:sz w:val="21"/>
                <w:szCs w:val="21"/>
              </w:rPr>
              <w:fldChar w:fldCharType="separate"/>
            </w:r>
            <w:r w:rsidRPr="005B073E">
              <w:rPr>
                <w:b/>
                <w:noProof/>
                <w:sz w:val="21"/>
                <w:szCs w:val="21"/>
              </w:rPr>
              <w:t>3</w:t>
            </w:r>
            <w:r w:rsidRPr="005B073E">
              <w:rPr>
                <w:b/>
                <w:noProof/>
                <w:sz w:val="21"/>
                <w:szCs w:val="21"/>
              </w:rPr>
              <w:fldChar w:fldCharType="end"/>
            </w:r>
            <w:bookmarkEnd w:id="120"/>
            <w:r w:rsidRPr="005B073E">
              <w:rPr>
                <w:b/>
                <w:sz w:val="21"/>
                <w:szCs w:val="21"/>
              </w:rPr>
              <w:t xml:space="preserve">: </w:t>
            </w:r>
            <w:r w:rsidRPr="005B073E">
              <w:rPr>
                <w:b/>
                <w:bCs/>
                <w:sz w:val="21"/>
                <w:szCs w:val="21"/>
              </w:rPr>
              <w:t>Questions on harmonisation of gas day start times and nomination times</w:t>
            </w:r>
          </w:p>
        </w:tc>
      </w:tr>
      <w:tr w:rsidR="005B073E" w:rsidRPr="00EA6045" w14:paraId="26E02805" w14:textId="77777777" w:rsidTr="005B073E">
        <w:tc>
          <w:tcPr>
            <w:tcW w:w="5000" w:type="pct"/>
            <w:shd w:val="clear" w:color="auto" w:fill="B7E7FF"/>
          </w:tcPr>
          <w:p w14:paraId="0B61AF26" w14:textId="77777777" w:rsidR="005B073E" w:rsidRPr="00EA6045" w:rsidRDefault="005B073E" w:rsidP="005B073E">
            <w:pPr>
              <w:pStyle w:val="ListNumber"/>
              <w:keepNext/>
              <w:numPr>
                <w:ilvl w:val="0"/>
                <w:numId w:val="23"/>
              </w:numPr>
              <w:rPr>
                <w:rFonts w:eastAsiaTheme="majorEastAsia"/>
                <w:sz w:val="21"/>
                <w:szCs w:val="21"/>
              </w:rPr>
            </w:pPr>
            <w:r w:rsidRPr="00EA6045">
              <w:rPr>
                <w:rFonts w:eastAsiaTheme="majorEastAsia"/>
                <w:sz w:val="21"/>
                <w:szCs w:val="21"/>
              </w:rPr>
              <w:t>Do you think there is value in bringing forward the harmonisation of gas day start times in the facilitated markets?</w:t>
            </w:r>
          </w:p>
          <w:p w14:paraId="3D8900D3" w14:textId="77777777" w:rsidR="005B073E" w:rsidRPr="00EA6045" w:rsidRDefault="005B073E" w:rsidP="005B073E">
            <w:pPr>
              <w:pStyle w:val="ListBullet2"/>
              <w:keepNext/>
              <w:rPr>
                <w:rFonts w:eastAsiaTheme="majorEastAsia"/>
                <w:sz w:val="21"/>
                <w:szCs w:val="21"/>
              </w:rPr>
            </w:pPr>
            <w:r w:rsidRPr="00EA6045">
              <w:rPr>
                <w:rFonts w:eastAsiaTheme="majorEastAsia"/>
                <w:sz w:val="21"/>
                <w:szCs w:val="21"/>
              </w:rPr>
              <w:t>If not, why not?</w:t>
            </w:r>
          </w:p>
          <w:p w14:paraId="4BF16516" w14:textId="77777777" w:rsidR="005B073E" w:rsidRPr="00EA6045" w:rsidRDefault="005B073E" w:rsidP="005B073E">
            <w:pPr>
              <w:pStyle w:val="ListBullet2"/>
              <w:keepNext/>
              <w:rPr>
                <w:rFonts w:eastAsiaTheme="majorEastAsia"/>
                <w:sz w:val="21"/>
                <w:szCs w:val="21"/>
              </w:rPr>
            </w:pPr>
            <w:r w:rsidRPr="00EA6045">
              <w:rPr>
                <w:rFonts w:eastAsiaTheme="majorEastAsia"/>
                <w:sz w:val="21"/>
                <w:szCs w:val="21"/>
              </w:rPr>
              <w:t>If so, do you think it should be brought forward to 1 October 2019, or another time?</w:t>
            </w:r>
          </w:p>
          <w:p w14:paraId="06BFCCF2" w14:textId="77777777" w:rsidR="005B073E" w:rsidRPr="00EA6045" w:rsidRDefault="005B073E" w:rsidP="005B073E">
            <w:pPr>
              <w:pStyle w:val="ListNumber"/>
              <w:keepNext/>
              <w:numPr>
                <w:ilvl w:val="0"/>
                <w:numId w:val="23"/>
              </w:numPr>
              <w:rPr>
                <w:rFonts w:eastAsiaTheme="majorEastAsia"/>
                <w:sz w:val="21"/>
                <w:szCs w:val="21"/>
              </w:rPr>
            </w:pPr>
            <w:r>
              <w:rPr>
                <w:rFonts w:eastAsiaTheme="majorEastAsia"/>
                <w:sz w:val="21"/>
                <w:szCs w:val="21"/>
              </w:rPr>
              <w:t xml:space="preserve">Should </w:t>
            </w:r>
            <w:r w:rsidRPr="00EA6045">
              <w:rPr>
                <w:rFonts w:eastAsiaTheme="majorEastAsia"/>
                <w:sz w:val="21"/>
                <w:szCs w:val="21"/>
              </w:rPr>
              <w:t>all facilities (i.e. production facilities, pipelines, compressors and storage facilities) in the east coast to be subject to a common gas day start time?</w:t>
            </w:r>
          </w:p>
          <w:p w14:paraId="07260C20" w14:textId="77777777" w:rsidR="005B073E" w:rsidRPr="00EA6045" w:rsidRDefault="005B073E" w:rsidP="005B073E">
            <w:pPr>
              <w:pStyle w:val="ListBullet2"/>
              <w:keepNext/>
              <w:rPr>
                <w:rFonts w:eastAsiaTheme="majorEastAsia"/>
                <w:sz w:val="21"/>
                <w:szCs w:val="21"/>
              </w:rPr>
            </w:pPr>
            <w:r w:rsidRPr="00EA6045">
              <w:rPr>
                <w:rFonts w:eastAsiaTheme="majorEastAsia"/>
                <w:sz w:val="21"/>
                <w:szCs w:val="21"/>
              </w:rPr>
              <w:t>If not, why not?</w:t>
            </w:r>
          </w:p>
          <w:p w14:paraId="59ABE18B" w14:textId="77777777" w:rsidR="005B073E" w:rsidRPr="00EA6045" w:rsidRDefault="005B073E" w:rsidP="005B073E">
            <w:pPr>
              <w:pStyle w:val="ListBullet2"/>
              <w:keepNext/>
              <w:rPr>
                <w:rFonts w:eastAsiaTheme="majorEastAsia"/>
                <w:sz w:val="21"/>
                <w:szCs w:val="21"/>
              </w:rPr>
            </w:pPr>
            <w:r w:rsidRPr="00EA6045">
              <w:rPr>
                <w:rFonts w:eastAsiaTheme="majorEastAsia"/>
                <w:sz w:val="21"/>
                <w:szCs w:val="21"/>
              </w:rPr>
              <w:t>If so, do you think that this should be given effect through a provision in the NGL and NGR, or is it a matter for the facilities to negotiate with users?</w:t>
            </w:r>
          </w:p>
          <w:p w14:paraId="31F87AFF" w14:textId="77777777" w:rsidR="005B073E" w:rsidRPr="00EA6045" w:rsidRDefault="005B073E" w:rsidP="005B073E">
            <w:pPr>
              <w:pStyle w:val="ListNumber"/>
              <w:keepNext/>
              <w:numPr>
                <w:ilvl w:val="0"/>
                <w:numId w:val="23"/>
              </w:numPr>
              <w:rPr>
                <w:rFonts w:eastAsiaTheme="majorEastAsia"/>
                <w:sz w:val="21"/>
                <w:szCs w:val="21"/>
              </w:rPr>
            </w:pPr>
            <w:r w:rsidRPr="00EA6045">
              <w:rPr>
                <w:rFonts w:eastAsiaTheme="majorEastAsia"/>
                <w:sz w:val="21"/>
                <w:szCs w:val="21"/>
              </w:rPr>
              <w:t xml:space="preserve">Do you think there is merit in harmonising nomination cut-off times across pipelines and other facilities that will be </w:t>
            </w:r>
            <w:r w:rsidRPr="00EA6045">
              <w:rPr>
                <w:sz w:val="21"/>
                <w:szCs w:val="21"/>
              </w:rPr>
              <w:t>subject to the capacity trading reforms (e.g. compressors)</w:t>
            </w:r>
            <w:r w:rsidRPr="00EA6045">
              <w:rPr>
                <w:rFonts w:eastAsiaTheme="majorEastAsia"/>
                <w:sz w:val="21"/>
                <w:szCs w:val="21"/>
              </w:rPr>
              <w:t>?</w:t>
            </w:r>
          </w:p>
          <w:p w14:paraId="249358E3" w14:textId="77777777" w:rsidR="005B073E" w:rsidRPr="00EA6045" w:rsidRDefault="005B073E" w:rsidP="005B073E">
            <w:pPr>
              <w:pStyle w:val="ListBullet2"/>
              <w:keepNext/>
              <w:rPr>
                <w:rFonts w:eastAsiaTheme="majorEastAsia"/>
                <w:sz w:val="21"/>
                <w:szCs w:val="21"/>
              </w:rPr>
            </w:pPr>
            <w:r w:rsidRPr="00EA6045">
              <w:rPr>
                <w:rFonts w:eastAsiaTheme="majorEastAsia"/>
                <w:sz w:val="21"/>
                <w:szCs w:val="21"/>
              </w:rPr>
              <w:t>If not, why not?</w:t>
            </w:r>
          </w:p>
          <w:p w14:paraId="43C5C48C" w14:textId="77777777" w:rsidR="005B073E" w:rsidRPr="00EA6045" w:rsidRDefault="005B073E" w:rsidP="005B073E">
            <w:pPr>
              <w:pStyle w:val="ListBullet2"/>
              <w:keepNext/>
              <w:rPr>
                <w:rFonts w:eastAsiaTheme="majorEastAsia"/>
                <w:sz w:val="21"/>
                <w:szCs w:val="21"/>
              </w:rPr>
            </w:pPr>
            <w:r w:rsidRPr="00EA6045">
              <w:rPr>
                <w:rFonts w:eastAsiaTheme="majorEastAsia"/>
                <w:sz w:val="21"/>
                <w:szCs w:val="21"/>
              </w:rPr>
              <w:t xml:space="preserve">If so: </w:t>
            </w:r>
          </w:p>
          <w:p w14:paraId="1511FEA9" w14:textId="77777777" w:rsidR="005B073E" w:rsidRPr="00EA6045" w:rsidRDefault="005B073E" w:rsidP="005B073E">
            <w:pPr>
              <w:pStyle w:val="ListBullet3"/>
              <w:keepNext/>
              <w:numPr>
                <w:ilvl w:val="0"/>
                <w:numId w:val="25"/>
              </w:numPr>
              <w:rPr>
                <w:rFonts w:eastAsiaTheme="majorEastAsia"/>
                <w:sz w:val="21"/>
                <w:szCs w:val="21"/>
              </w:rPr>
            </w:pPr>
            <w:r w:rsidRPr="00EA6045">
              <w:rPr>
                <w:rFonts w:eastAsiaTheme="majorEastAsia"/>
                <w:sz w:val="21"/>
                <w:szCs w:val="21"/>
              </w:rPr>
              <w:t>Do you think it should be harmonised to 3 pm (AEST) or another time?</w:t>
            </w:r>
          </w:p>
          <w:p w14:paraId="6E635E07" w14:textId="77777777" w:rsidR="005B073E" w:rsidRPr="00EA6045" w:rsidRDefault="005B073E" w:rsidP="005B073E">
            <w:pPr>
              <w:pStyle w:val="ListBullet3"/>
              <w:keepNext/>
              <w:numPr>
                <w:ilvl w:val="0"/>
                <w:numId w:val="25"/>
              </w:numPr>
              <w:rPr>
                <w:rFonts w:eastAsiaTheme="majorEastAsia"/>
                <w:sz w:val="21"/>
                <w:szCs w:val="21"/>
              </w:rPr>
            </w:pPr>
            <w:r w:rsidRPr="00EA6045">
              <w:rPr>
                <w:rFonts w:eastAsiaTheme="majorEastAsia"/>
                <w:sz w:val="21"/>
                <w:szCs w:val="21"/>
              </w:rPr>
              <w:t xml:space="preserve">Do you think that it should be given effect through a provision in the NGL and NGR, or is it a matter for the facilities to negotiate with users? </w:t>
            </w:r>
          </w:p>
          <w:p w14:paraId="783710A6" w14:textId="77777777" w:rsidR="005B073E" w:rsidRDefault="005B073E" w:rsidP="005B073E">
            <w:pPr>
              <w:pStyle w:val="ListNumber"/>
              <w:keepNext/>
              <w:numPr>
                <w:ilvl w:val="0"/>
                <w:numId w:val="23"/>
              </w:numPr>
              <w:rPr>
                <w:rFonts w:eastAsiaTheme="majorEastAsia"/>
                <w:sz w:val="21"/>
                <w:szCs w:val="21"/>
              </w:rPr>
            </w:pPr>
            <w:r w:rsidRPr="00EA6045">
              <w:rPr>
                <w:rFonts w:eastAsiaTheme="majorEastAsia"/>
                <w:sz w:val="21"/>
                <w:szCs w:val="21"/>
              </w:rPr>
              <w:t xml:space="preserve">Are there </w:t>
            </w:r>
            <w:r w:rsidRPr="00B576E8">
              <w:rPr>
                <w:rFonts w:eastAsiaTheme="majorEastAsia"/>
                <w:sz w:val="21"/>
                <w:szCs w:val="21"/>
              </w:rPr>
              <w:t>any other costs or benefits associated with the harmonisation of gas day start times and nomination cut-off times that you think the GMRG should take into account?</w:t>
            </w:r>
          </w:p>
          <w:p w14:paraId="1065A7B9" w14:textId="7386B0BB" w:rsidR="005B073E" w:rsidRPr="005B073E" w:rsidRDefault="005B073E" w:rsidP="005B073E">
            <w:pPr>
              <w:pStyle w:val="ListNumber"/>
              <w:keepNext/>
              <w:numPr>
                <w:ilvl w:val="0"/>
                <w:numId w:val="23"/>
              </w:numPr>
              <w:rPr>
                <w:rFonts w:eastAsiaTheme="majorEastAsia"/>
                <w:sz w:val="21"/>
                <w:szCs w:val="21"/>
              </w:rPr>
            </w:pPr>
            <w:r w:rsidRPr="005B073E">
              <w:rPr>
                <w:rFonts w:eastAsiaTheme="majorEastAsia"/>
                <w:sz w:val="21"/>
                <w:szCs w:val="21"/>
              </w:rPr>
              <w:t xml:space="preserve">Do you agree that </w:t>
            </w:r>
            <w:r w:rsidRPr="005B073E">
              <w:rPr>
                <w:sz w:val="21"/>
                <w:szCs w:val="21"/>
              </w:rPr>
              <w:t>provisions should be included in the standardised operational GTA to require service providers operating at the interface of markets to accommodate the differences in gas days? If so, how do you suggest that this obligation be drafted?</w:t>
            </w:r>
          </w:p>
        </w:tc>
      </w:tr>
    </w:tbl>
    <w:p w14:paraId="46E159FD" w14:textId="77777777" w:rsidR="00377EC4" w:rsidRDefault="00377EC4" w:rsidP="00377EC4">
      <w:pPr>
        <w:pStyle w:val="Heading2"/>
      </w:pPr>
      <w:bookmarkStart w:id="121" w:name="_Ref490307070"/>
      <w:bookmarkStart w:id="122" w:name="_Toc492524751"/>
      <w:r>
        <w:t>Contractual limitations on capacity trading in primary GTAs</w:t>
      </w:r>
      <w:bookmarkEnd w:id="121"/>
      <w:bookmarkEnd w:id="122"/>
    </w:p>
    <w:p w14:paraId="4E46092A" w14:textId="77777777" w:rsidR="00A156CD" w:rsidRPr="00D73CE9" w:rsidRDefault="004469F5" w:rsidP="008200C8">
      <w:pPr>
        <w:pStyle w:val="BodyText"/>
      </w:pPr>
      <w:bookmarkStart w:id="123" w:name="_Hlk490580347"/>
      <w:r w:rsidRPr="00D73CE9">
        <w:t xml:space="preserve">The GMRG understands from discussions with </w:t>
      </w:r>
      <w:r w:rsidR="003B038E" w:rsidRPr="00D73CE9">
        <w:t xml:space="preserve">a number of </w:t>
      </w:r>
      <w:r w:rsidRPr="00D73CE9">
        <w:t xml:space="preserve">stakeholders </w:t>
      </w:r>
      <w:r w:rsidR="00DD33FF" w:rsidRPr="00D73CE9">
        <w:t xml:space="preserve">and </w:t>
      </w:r>
      <w:r w:rsidR="000834AE" w:rsidRPr="00D73CE9">
        <w:t xml:space="preserve">the feedback stakeholders provided in the </w:t>
      </w:r>
      <w:r w:rsidR="005E3347" w:rsidRPr="005E3347">
        <w:rPr>
          <w:i/>
        </w:rPr>
        <w:t>East Coast Review</w:t>
      </w:r>
      <w:r w:rsidR="000834AE" w:rsidRPr="00D73CE9">
        <w:rPr>
          <w:rStyle w:val="FootnoteReference"/>
        </w:rPr>
        <w:footnoteReference w:id="66"/>
      </w:r>
      <w:r w:rsidR="000834AE" w:rsidRPr="00D73CE9">
        <w:t xml:space="preserve"> </w:t>
      </w:r>
      <w:r w:rsidRPr="00D73CE9">
        <w:t xml:space="preserve">that </w:t>
      </w:r>
      <w:r w:rsidR="003B038E" w:rsidRPr="00D73CE9">
        <w:t>there may be provisions in some primary GTAs that limit</w:t>
      </w:r>
      <w:r w:rsidR="000834AE" w:rsidRPr="00D73CE9">
        <w:t xml:space="preserve"> the ability of shippers to trade capacity</w:t>
      </w:r>
      <w:r w:rsidR="00836AD5" w:rsidRPr="00D73CE9">
        <w:t>, or otherwise discourage or impede trade</w:t>
      </w:r>
      <w:r w:rsidR="003B038E" w:rsidRPr="00D73CE9">
        <w:t>.</w:t>
      </w:r>
      <w:r w:rsidR="00DF6F93">
        <w:rPr>
          <w:rStyle w:val="FootnoteReference"/>
        </w:rPr>
        <w:footnoteReference w:id="67"/>
      </w:r>
      <w:r w:rsidR="003B038E" w:rsidRPr="00D73CE9">
        <w:t xml:space="preserve"> </w:t>
      </w:r>
    </w:p>
    <w:p w14:paraId="6FDA6A52" w14:textId="77777777" w:rsidR="003B038E" w:rsidRPr="00D73CE9" w:rsidRDefault="000834AE" w:rsidP="008200C8">
      <w:pPr>
        <w:pStyle w:val="BodyText"/>
      </w:pPr>
      <w:r w:rsidRPr="00D73CE9">
        <w:t xml:space="preserve">Some of the examples that </w:t>
      </w:r>
      <w:r w:rsidR="00A156CD" w:rsidRPr="00D73CE9">
        <w:t xml:space="preserve">stakeholders </w:t>
      </w:r>
      <w:r w:rsidRPr="00D73CE9">
        <w:t>cited in this context include</w:t>
      </w:r>
      <w:r w:rsidR="00A156CD" w:rsidRPr="00D73CE9">
        <w:t xml:space="preserve"> provisions that</w:t>
      </w:r>
      <w:r w:rsidRPr="00D73CE9">
        <w:t>:</w:t>
      </w:r>
    </w:p>
    <w:p w14:paraId="292DB25E" w14:textId="77777777" w:rsidR="000834AE" w:rsidRPr="00D73CE9" w:rsidRDefault="000834AE" w:rsidP="00E00CFC">
      <w:pPr>
        <w:pStyle w:val="ListBullet"/>
        <w:numPr>
          <w:ilvl w:val="0"/>
          <w:numId w:val="24"/>
        </w:numPr>
        <w:ind w:left="357" w:hanging="357"/>
      </w:pPr>
      <w:r w:rsidRPr="00D73CE9">
        <w:t xml:space="preserve">prohibit the </w:t>
      </w:r>
      <w:r w:rsidR="005D15AB" w:rsidRPr="00D73CE9">
        <w:t xml:space="preserve">primary </w:t>
      </w:r>
      <w:r w:rsidRPr="00D73CE9">
        <w:t>shipper from trading its</w:t>
      </w:r>
      <w:r w:rsidR="00836AD5" w:rsidRPr="00D73CE9">
        <w:t xml:space="preserve"> capacity</w:t>
      </w:r>
      <w:r w:rsidR="005D15AB" w:rsidRPr="00D73CE9">
        <w:t>,</w:t>
      </w:r>
      <w:r w:rsidR="00836AD5" w:rsidRPr="00D73CE9">
        <w:t xml:space="preserve"> or </w:t>
      </w:r>
      <w:r w:rsidRPr="00D73CE9">
        <w:t xml:space="preserve">require </w:t>
      </w:r>
      <w:r w:rsidR="005D15AB" w:rsidRPr="00D73CE9">
        <w:t xml:space="preserve">it </w:t>
      </w:r>
      <w:r w:rsidRPr="00D73CE9">
        <w:t xml:space="preserve">to obtain the service provider’s consent before </w:t>
      </w:r>
      <w:r w:rsidR="00836AD5" w:rsidRPr="00D73CE9">
        <w:t xml:space="preserve">it can trade </w:t>
      </w:r>
      <w:r w:rsidRPr="00D73CE9">
        <w:t>its capacity</w:t>
      </w:r>
      <w:r w:rsidR="00A156CD" w:rsidRPr="00D73CE9">
        <w:t>;</w:t>
      </w:r>
      <w:r w:rsidR="00CB24DB">
        <w:t xml:space="preserve"> </w:t>
      </w:r>
    </w:p>
    <w:p w14:paraId="59208D40" w14:textId="3061A722" w:rsidR="006676B1" w:rsidRDefault="00CB24DB" w:rsidP="00E00CFC">
      <w:pPr>
        <w:pStyle w:val="ListBullet"/>
        <w:numPr>
          <w:ilvl w:val="0"/>
          <w:numId w:val="24"/>
        </w:numPr>
        <w:ind w:left="357" w:hanging="357"/>
      </w:pPr>
      <w:r>
        <w:t>prohibit</w:t>
      </w:r>
      <w:r w:rsidR="0069409B">
        <w:t xml:space="preserve"> the shipper from </w:t>
      </w:r>
      <w:r w:rsidR="00BB2B28">
        <w:t xml:space="preserve">requesting a change to </w:t>
      </w:r>
      <w:r w:rsidR="0069409B">
        <w:t xml:space="preserve">their receipt and delivery points, or </w:t>
      </w:r>
      <w:r w:rsidR="00A156CD" w:rsidRPr="00D73CE9">
        <w:t xml:space="preserve">limit the number of changes a shipper can </w:t>
      </w:r>
      <w:r w:rsidR="00BB2B28">
        <w:t xml:space="preserve">request </w:t>
      </w:r>
      <w:r w:rsidR="00D73CE9" w:rsidRPr="00D73CE9">
        <w:t>(see sect</w:t>
      </w:r>
      <w:r w:rsidR="00D73CE9" w:rsidRPr="00431B3C">
        <w:t xml:space="preserve">ion </w:t>
      </w:r>
      <w:r w:rsidR="006676B1">
        <w:rPr>
          <w:highlight w:val="yellow"/>
        </w:rPr>
        <w:fldChar w:fldCharType="begin"/>
      </w:r>
      <w:r w:rsidR="006676B1">
        <w:instrText xml:space="preserve"> REF _Ref491665542 \r \h </w:instrText>
      </w:r>
      <w:r w:rsidR="006676B1">
        <w:rPr>
          <w:highlight w:val="yellow"/>
        </w:rPr>
      </w:r>
      <w:r w:rsidR="006676B1">
        <w:rPr>
          <w:highlight w:val="yellow"/>
        </w:rPr>
        <w:fldChar w:fldCharType="separate"/>
      </w:r>
      <w:r w:rsidR="00947034">
        <w:t>4.3</w:t>
      </w:r>
      <w:r w:rsidR="006676B1">
        <w:rPr>
          <w:highlight w:val="yellow"/>
        </w:rPr>
        <w:fldChar w:fldCharType="end"/>
      </w:r>
      <w:r w:rsidR="00D73CE9" w:rsidRPr="00D73CE9">
        <w:t>)</w:t>
      </w:r>
      <w:r w:rsidR="006676B1">
        <w:t>; and</w:t>
      </w:r>
    </w:p>
    <w:p w14:paraId="50D7A691" w14:textId="77777777" w:rsidR="006676B1" w:rsidRPr="00855477" w:rsidRDefault="00D146BC" w:rsidP="00E00CFC">
      <w:pPr>
        <w:pStyle w:val="ListBullet"/>
        <w:numPr>
          <w:ilvl w:val="0"/>
          <w:numId w:val="24"/>
        </w:numPr>
        <w:ind w:left="357" w:hanging="357"/>
      </w:pPr>
      <w:r>
        <w:t xml:space="preserve"> </w:t>
      </w:r>
      <w:proofErr w:type="gramStart"/>
      <w:r w:rsidR="006676B1">
        <w:t>impose</w:t>
      </w:r>
      <w:proofErr w:type="gramEnd"/>
      <w:r w:rsidR="006676B1">
        <w:t xml:space="preserve"> fees on primary shippers that trade their capacity and/or change their receipt and delive</w:t>
      </w:r>
      <w:r w:rsidR="006676B1" w:rsidRPr="00855477">
        <w:t>ry points</w:t>
      </w:r>
      <w:r w:rsidR="006676B1">
        <w:t xml:space="preserve"> that </w:t>
      </w:r>
      <w:r w:rsidR="006676B1" w:rsidRPr="00855477">
        <w:t>are in excess of the cost of providing such services.</w:t>
      </w:r>
    </w:p>
    <w:p w14:paraId="7C1DEC1A" w14:textId="07882693" w:rsidR="006676B1" w:rsidRDefault="006676B1" w:rsidP="008200C8">
      <w:pPr>
        <w:pStyle w:val="BodyText"/>
      </w:pPr>
      <w:r>
        <w:lastRenderedPageBreak/>
        <w:t xml:space="preserve">The way in which the limitations posed by the provisions in (b) and (c) could be dealt is set out in sections </w:t>
      </w:r>
      <w:r>
        <w:fldChar w:fldCharType="begin"/>
      </w:r>
      <w:r>
        <w:instrText xml:space="preserve"> REF _Ref491430422 \r \h </w:instrText>
      </w:r>
      <w:r>
        <w:fldChar w:fldCharType="separate"/>
      </w:r>
      <w:r w:rsidR="00947034">
        <w:t>3.6</w:t>
      </w:r>
      <w:r>
        <w:fldChar w:fldCharType="end"/>
      </w:r>
      <w:r>
        <w:t xml:space="preserve"> and </w:t>
      </w:r>
      <w:r>
        <w:rPr>
          <w:highlight w:val="yellow"/>
        </w:rPr>
        <w:fldChar w:fldCharType="begin"/>
      </w:r>
      <w:r>
        <w:instrText xml:space="preserve"> REF _Ref491665542 \r \h </w:instrText>
      </w:r>
      <w:r>
        <w:rPr>
          <w:highlight w:val="yellow"/>
        </w:rPr>
      </w:r>
      <w:r>
        <w:rPr>
          <w:highlight w:val="yellow"/>
        </w:rPr>
        <w:fldChar w:fldCharType="separate"/>
      </w:r>
      <w:r w:rsidR="00947034">
        <w:t>4.3</w:t>
      </w:r>
      <w:r>
        <w:rPr>
          <w:highlight w:val="yellow"/>
        </w:rPr>
        <w:fldChar w:fldCharType="end"/>
      </w:r>
      <w:r>
        <w:t>.</w:t>
      </w:r>
    </w:p>
    <w:p w14:paraId="22F7A313" w14:textId="3A29AFE2" w:rsidR="006676B1" w:rsidRDefault="006324DB" w:rsidP="008200C8">
      <w:pPr>
        <w:pStyle w:val="BodyText"/>
      </w:pPr>
      <w:r w:rsidRPr="00855477">
        <w:t xml:space="preserve">On </w:t>
      </w:r>
      <w:r w:rsidR="0069409B" w:rsidRPr="00855477">
        <w:t>scheme</w:t>
      </w:r>
      <w:r w:rsidRPr="00855477">
        <w:t xml:space="preserve"> </w:t>
      </w:r>
      <w:r w:rsidR="0069409B" w:rsidRPr="00855477">
        <w:t xml:space="preserve">(regulated) </w:t>
      </w:r>
      <w:r w:rsidRPr="00855477">
        <w:t xml:space="preserve">pipelines, the </w:t>
      </w:r>
      <w:r w:rsidR="0069409B" w:rsidRPr="00855477">
        <w:t xml:space="preserve">contractual </w:t>
      </w:r>
      <w:r w:rsidRPr="00855477">
        <w:t xml:space="preserve">limitations </w:t>
      </w:r>
      <w:r w:rsidR="00BB2B28" w:rsidRPr="00855477">
        <w:t xml:space="preserve">in (a) have </w:t>
      </w:r>
      <w:r w:rsidRPr="00855477">
        <w:t xml:space="preserve">been </w:t>
      </w:r>
      <w:r w:rsidR="00BB2B28" w:rsidRPr="00855477">
        <w:t>addressed through rule</w:t>
      </w:r>
      <w:r w:rsidRPr="00855477">
        <w:t xml:space="preserve"> 105(2)</w:t>
      </w:r>
      <w:r w:rsidR="006676B1">
        <w:t xml:space="preserve"> in the NGR. This rule </w:t>
      </w:r>
      <w:r w:rsidRPr="00855477">
        <w:t>states that a user may, without the service provider’s consent, transfer all or any of its contracted capacity to another party if its rights against, and obligations to, the service provider are unaffected</w:t>
      </w:r>
      <w:r w:rsidR="00BB2B28" w:rsidRPr="00855477">
        <w:t xml:space="preserve"> by the transfer</w:t>
      </w:r>
      <w:r w:rsidR="006676B1">
        <w:t>. This provision</w:t>
      </w:r>
      <w:r w:rsidR="00BB2B28" w:rsidRPr="00855477">
        <w:t xml:space="preserve"> </w:t>
      </w:r>
      <w:r w:rsidR="006676B1">
        <w:t xml:space="preserve">does </w:t>
      </w:r>
      <w:r w:rsidR="00BB2B28" w:rsidRPr="00855477">
        <w:t xml:space="preserve">not, however, currently extend to non-scheme pipelines. </w:t>
      </w:r>
    </w:p>
    <w:p w14:paraId="1137CCAC" w14:textId="75F84A6E" w:rsidR="002E0FB3" w:rsidRPr="00855477" w:rsidRDefault="00855477" w:rsidP="008200C8">
      <w:pPr>
        <w:pStyle w:val="BodyText"/>
      </w:pPr>
      <w:r w:rsidRPr="00855477">
        <w:t>O</w:t>
      </w:r>
      <w:r w:rsidR="0069409B" w:rsidRPr="00855477">
        <w:t xml:space="preserve">ne potential </w:t>
      </w:r>
      <w:r w:rsidR="00BB2B28" w:rsidRPr="00855477">
        <w:t>way</w:t>
      </w:r>
      <w:r w:rsidR="0069409B" w:rsidRPr="00855477">
        <w:t xml:space="preserve"> </w:t>
      </w:r>
      <w:r w:rsidR="006676B1">
        <w:t>this limitation</w:t>
      </w:r>
      <w:r w:rsidR="00BB2B28" w:rsidRPr="00855477">
        <w:t xml:space="preserve"> could be overcome </w:t>
      </w:r>
      <w:r w:rsidRPr="00855477">
        <w:t xml:space="preserve">is </w:t>
      </w:r>
      <w:r w:rsidR="0069409B" w:rsidRPr="00855477">
        <w:t xml:space="preserve">to include an equivalent provision in the rules </w:t>
      </w:r>
      <w:r w:rsidR="00CA5A1D">
        <w:t>that would apply to</w:t>
      </w:r>
      <w:r w:rsidR="0069409B" w:rsidRPr="00855477">
        <w:t xml:space="preserve"> non-scheme pipelines</w:t>
      </w:r>
      <w:r w:rsidR="001B4907">
        <w:t>, although it may, as one project team member noted, need to be modified to recognise the right of a service provider to reject a transfer if the shipper’s GTA has been suspended or terminated or the shipper has sold more capacity than the MDQ specified in its GTA</w:t>
      </w:r>
      <w:r w:rsidR="0069409B" w:rsidRPr="00855477">
        <w:t xml:space="preserve">.  </w:t>
      </w:r>
      <w:r w:rsidR="00CA5A1D">
        <w:t xml:space="preserve">Adopting an equivalent provision in the NGR for non-scheme pipelines is likely to be </w:t>
      </w:r>
      <w:r w:rsidR="005E3347">
        <w:t xml:space="preserve">simpler </w:t>
      </w:r>
      <w:r w:rsidR="00CA5A1D">
        <w:t xml:space="preserve">than re-opening primary GTAs to remove </w:t>
      </w:r>
      <w:r w:rsidR="006676B1">
        <w:t>this type of limitation</w:t>
      </w:r>
      <w:r w:rsidR="00CA5A1D">
        <w:t>. The GMRG is, however, interested in hearing from stakeholders about these two options and if there are any other matters the GMRG should consider in this context.</w:t>
      </w:r>
      <w:r w:rsidR="001B4907">
        <w:t xml:space="preserve"> </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5.4: Questions on contractual limitations "/>
        <w:tblDescription w:val="Questions on contractual limitations "/>
      </w:tblPr>
      <w:tblGrid>
        <w:gridCol w:w="8788"/>
      </w:tblGrid>
      <w:tr w:rsidR="00D73CE9" w:rsidRPr="00674898" w14:paraId="7C2C4FB7" w14:textId="77777777" w:rsidTr="005B073E">
        <w:trPr>
          <w:tblHeader/>
        </w:trPr>
        <w:tc>
          <w:tcPr>
            <w:tcW w:w="5000" w:type="pct"/>
            <w:shd w:val="clear" w:color="auto" w:fill="auto"/>
          </w:tcPr>
          <w:bookmarkEnd w:id="123"/>
          <w:p w14:paraId="1478DFBF" w14:textId="29AAC420" w:rsidR="00D73CE9" w:rsidRPr="005B073E" w:rsidRDefault="005B073E" w:rsidP="005B073E">
            <w:pPr>
              <w:pStyle w:val="ListBullet2"/>
              <w:numPr>
                <w:ilvl w:val="0"/>
                <w:numId w:val="0"/>
              </w:numPr>
              <w:tabs>
                <w:tab w:val="left" w:pos="5175"/>
              </w:tabs>
              <w:spacing w:after="0"/>
              <w:rPr>
                <w:rFonts w:eastAsiaTheme="majorEastAsia"/>
                <w:b/>
                <w:sz w:val="21"/>
                <w:szCs w:val="21"/>
              </w:rPr>
            </w:pPr>
            <w:r w:rsidRPr="005B073E">
              <w:rPr>
                <w:b/>
              </w:rPr>
              <w:t xml:space="preserve">Box </w:t>
            </w:r>
            <w:r w:rsidRPr="005B073E">
              <w:rPr>
                <w:b/>
              </w:rPr>
              <w:fldChar w:fldCharType="begin"/>
            </w:r>
            <w:r w:rsidRPr="005B073E">
              <w:rPr>
                <w:b/>
              </w:rPr>
              <w:instrText xml:space="preserve"> STYLEREF 1 \s </w:instrText>
            </w:r>
            <w:r w:rsidRPr="005B073E">
              <w:rPr>
                <w:b/>
              </w:rPr>
              <w:fldChar w:fldCharType="separate"/>
            </w:r>
            <w:r w:rsidRPr="005B073E">
              <w:rPr>
                <w:b/>
                <w:noProof/>
              </w:rPr>
              <w:t>5</w:t>
            </w:r>
            <w:r w:rsidRPr="005B073E">
              <w:rPr>
                <w:b/>
                <w:noProof/>
              </w:rPr>
              <w:fldChar w:fldCharType="end"/>
            </w:r>
            <w:r w:rsidRPr="005B073E">
              <w:rPr>
                <w:b/>
              </w:rPr>
              <w:t>.</w:t>
            </w:r>
            <w:r w:rsidRPr="005B073E">
              <w:rPr>
                <w:b/>
              </w:rPr>
              <w:fldChar w:fldCharType="begin"/>
            </w:r>
            <w:r w:rsidRPr="005B073E">
              <w:rPr>
                <w:b/>
              </w:rPr>
              <w:instrText xml:space="preserve"> SEQ Box \* ARABIC \s 1 </w:instrText>
            </w:r>
            <w:r w:rsidRPr="005B073E">
              <w:rPr>
                <w:b/>
              </w:rPr>
              <w:fldChar w:fldCharType="separate"/>
            </w:r>
            <w:r w:rsidRPr="005B073E">
              <w:rPr>
                <w:b/>
                <w:noProof/>
              </w:rPr>
              <w:t>4</w:t>
            </w:r>
            <w:r w:rsidRPr="005B073E">
              <w:rPr>
                <w:b/>
                <w:noProof/>
              </w:rPr>
              <w:fldChar w:fldCharType="end"/>
            </w:r>
            <w:r w:rsidRPr="005B073E">
              <w:rPr>
                <w:b/>
              </w:rPr>
              <w:t xml:space="preserve">: </w:t>
            </w:r>
            <w:r w:rsidRPr="005B073E">
              <w:rPr>
                <w:b/>
                <w:bCs/>
              </w:rPr>
              <w:t>Questions on contractual limitations</w:t>
            </w:r>
            <w:r>
              <w:rPr>
                <w:b/>
                <w:bCs/>
              </w:rPr>
              <w:tab/>
            </w:r>
          </w:p>
        </w:tc>
      </w:tr>
      <w:tr w:rsidR="005B073E" w:rsidRPr="00674898" w14:paraId="223D3803" w14:textId="77777777" w:rsidTr="005B073E">
        <w:trPr>
          <w:tblHeader/>
        </w:trPr>
        <w:tc>
          <w:tcPr>
            <w:tcW w:w="5000" w:type="pct"/>
            <w:shd w:val="clear" w:color="auto" w:fill="B7E7FF"/>
          </w:tcPr>
          <w:p w14:paraId="136E2DE4" w14:textId="77777777" w:rsidR="005B073E" w:rsidRPr="00674898" w:rsidRDefault="005B073E" w:rsidP="005B073E">
            <w:pPr>
              <w:pStyle w:val="ListNumber"/>
              <w:numPr>
                <w:ilvl w:val="0"/>
                <w:numId w:val="23"/>
              </w:numPr>
              <w:rPr>
                <w:rFonts w:eastAsiaTheme="majorEastAsia"/>
                <w:sz w:val="21"/>
                <w:szCs w:val="21"/>
              </w:rPr>
            </w:pPr>
            <w:r w:rsidRPr="00674898">
              <w:rPr>
                <w:rFonts w:eastAsiaTheme="majorEastAsia"/>
                <w:sz w:val="21"/>
                <w:szCs w:val="21"/>
              </w:rPr>
              <w:t>Are there any other provisions in primary GTAs that may limit a shipper’s ability to trade capacity? If so, please provide an overview of the provisions and the effect they have on a primary shipper’s ability to trade.</w:t>
            </w:r>
          </w:p>
          <w:p w14:paraId="04E3502F" w14:textId="77777777" w:rsidR="005B073E" w:rsidRPr="00674898" w:rsidRDefault="005B073E" w:rsidP="005B073E">
            <w:pPr>
              <w:pStyle w:val="ListNumber"/>
              <w:numPr>
                <w:ilvl w:val="0"/>
                <w:numId w:val="23"/>
              </w:numPr>
              <w:rPr>
                <w:rFonts w:eastAsiaTheme="majorEastAsia"/>
                <w:sz w:val="21"/>
                <w:szCs w:val="21"/>
              </w:rPr>
            </w:pPr>
            <w:r w:rsidRPr="00674898">
              <w:rPr>
                <w:rFonts w:eastAsiaTheme="majorEastAsia"/>
                <w:sz w:val="21"/>
                <w:szCs w:val="21"/>
              </w:rPr>
              <w:t>How prevalent do you think these types of contractual limitations are?</w:t>
            </w:r>
          </w:p>
          <w:p w14:paraId="1F87D213" w14:textId="77777777" w:rsidR="005B073E" w:rsidRPr="00674898" w:rsidRDefault="005B073E" w:rsidP="005B073E">
            <w:pPr>
              <w:pStyle w:val="ListNumber"/>
              <w:numPr>
                <w:ilvl w:val="0"/>
                <w:numId w:val="23"/>
              </w:numPr>
              <w:rPr>
                <w:rFonts w:eastAsiaTheme="majorEastAsia"/>
                <w:sz w:val="21"/>
                <w:szCs w:val="21"/>
              </w:rPr>
            </w:pPr>
            <w:r w:rsidRPr="00674898">
              <w:rPr>
                <w:rFonts w:eastAsiaTheme="majorEastAsia"/>
                <w:sz w:val="21"/>
                <w:szCs w:val="21"/>
              </w:rPr>
              <w:t xml:space="preserve">Do you think </w:t>
            </w:r>
            <w:r>
              <w:rPr>
                <w:rFonts w:eastAsiaTheme="majorEastAsia"/>
                <w:sz w:val="21"/>
                <w:szCs w:val="21"/>
              </w:rPr>
              <w:t xml:space="preserve">the contractual </w:t>
            </w:r>
            <w:r w:rsidRPr="00674898">
              <w:rPr>
                <w:rFonts w:eastAsiaTheme="majorEastAsia"/>
                <w:sz w:val="21"/>
                <w:szCs w:val="21"/>
              </w:rPr>
              <w:t xml:space="preserve">limitations </w:t>
            </w:r>
            <w:r>
              <w:rPr>
                <w:rFonts w:eastAsiaTheme="majorEastAsia"/>
                <w:sz w:val="21"/>
                <w:szCs w:val="21"/>
              </w:rPr>
              <w:t xml:space="preserve">on capacity trading </w:t>
            </w:r>
            <w:r w:rsidRPr="00674898">
              <w:rPr>
                <w:rFonts w:eastAsiaTheme="majorEastAsia"/>
                <w:sz w:val="21"/>
                <w:szCs w:val="21"/>
              </w:rPr>
              <w:t xml:space="preserve">need to be addressed? </w:t>
            </w:r>
          </w:p>
          <w:p w14:paraId="5AB052A3" w14:textId="77777777" w:rsidR="005B073E" w:rsidRDefault="005B073E" w:rsidP="005B073E">
            <w:pPr>
              <w:pStyle w:val="ListBullet2"/>
              <w:rPr>
                <w:rFonts w:eastAsiaTheme="majorEastAsia"/>
                <w:sz w:val="21"/>
                <w:szCs w:val="21"/>
              </w:rPr>
            </w:pPr>
            <w:r w:rsidRPr="00674898">
              <w:rPr>
                <w:rFonts w:eastAsiaTheme="majorEastAsia"/>
                <w:sz w:val="21"/>
                <w:szCs w:val="21"/>
              </w:rPr>
              <w:t>If so, should they be addressed through amendments to the NGR, or should</w:t>
            </w:r>
            <w:r>
              <w:rPr>
                <w:rFonts w:eastAsiaTheme="majorEastAsia"/>
                <w:sz w:val="21"/>
                <w:szCs w:val="21"/>
              </w:rPr>
              <w:t xml:space="preserve"> the primary GTAs be re-opened?</w:t>
            </w:r>
          </w:p>
          <w:p w14:paraId="1AB80FA7" w14:textId="395F2E80" w:rsidR="005B073E" w:rsidRPr="005B073E" w:rsidRDefault="005B073E" w:rsidP="005B073E">
            <w:pPr>
              <w:pStyle w:val="ListBullet2"/>
              <w:rPr>
                <w:rFonts w:eastAsiaTheme="majorEastAsia"/>
                <w:sz w:val="21"/>
                <w:szCs w:val="21"/>
              </w:rPr>
            </w:pPr>
            <w:r w:rsidRPr="005B073E">
              <w:rPr>
                <w:rFonts w:eastAsiaTheme="majorEastAsia"/>
                <w:sz w:val="21"/>
                <w:szCs w:val="21"/>
              </w:rPr>
              <w:t>If not, please explain why.</w:t>
            </w:r>
          </w:p>
        </w:tc>
      </w:tr>
    </w:tbl>
    <w:p w14:paraId="4AFB1B90" w14:textId="7C8E5D36" w:rsidR="00C02BE5" w:rsidRDefault="00C02BE5" w:rsidP="00C02BE5">
      <w:pPr>
        <w:pStyle w:val="ListNumber"/>
        <w:numPr>
          <w:ilvl w:val="0"/>
          <w:numId w:val="0"/>
        </w:numPr>
        <w:ind w:left="360" w:hanging="360"/>
      </w:pPr>
    </w:p>
    <w:p w14:paraId="7C9AD188" w14:textId="5171A6B3" w:rsidR="008C28EE" w:rsidRDefault="008C28EE" w:rsidP="00C02BE5">
      <w:pPr>
        <w:pStyle w:val="ListNumber"/>
        <w:numPr>
          <w:ilvl w:val="0"/>
          <w:numId w:val="0"/>
        </w:numPr>
        <w:ind w:left="360" w:hanging="360"/>
      </w:pPr>
      <w:r>
        <w:br w:type="page"/>
      </w:r>
    </w:p>
    <w:p w14:paraId="39A4308E" w14:textId="73A2CC4E" w:rsidR="008C28EE" w:rsidRDefault="008C28EE" w:rsidP="008C28EE">
      <w:pPr>
        <w:pStyle w:val="ExecSummHeading1"/>
        <w:spacing w:after="0"/>
      </w:pPr>
      <w:bookmarkStart w:id="124" w:name="_Toc492524752"/>
      <w:r>
        <w:lastRenderedPageBreak/>
        <w:t>Part B: Capacity Trading Platform</w:t>
      </w:r>
      <w:bookmarkEnd w:id="124"/>
    </w:p>
    <w:p w14:paraId="3A4A4246" w14:textId="52378E5F" w:rsidR="00CE12E4" w:rsidRDefault="00CE12E4" w:rsidP="00AC48D8">
      <w:pPr>
        <w:pStyle w:val="BodyText"/>
      </w:pPr>
      <w:r>
        <w:t xml:space="preserve">In the </w:t>
      </w:r>
      <w:r>
        <w:rPr>
          <w:i/>
        </w:rPr>
        <w:t xml:space="preserve">East Coast Review, </w:t>
      </w:r>
      <w:r>
        <w:t>the AEMC recognised that steps had been taken by some pipelines to facilitate more capacity trading but noted that the following factors were limiting the ability of shippers to access competitively priced secondary capacity:</w:t>
      </w:r>
      <w:r w:rsidR="00B0008C">
        <w:rPr>
          <w:rStyle w:val="FootnoteReference"/>
        </w:rPr>
        <w:footnoteReference w:id="68"/>
      </w:r>
    </w:p>
    <w:p w14:paraId="4DDD40DC" w14:textId="69A69BDE" w:rsidR="00CE12E4" w:rsidRDefault="00CE12E4" w:rsidP="00CE12E4">
      <w:pPr>
        <w:pStyle w:val="ListBullet"/>
        <w:tabs>
          <w:tab w:val="num" w:pos="357"/>
        </w:tabs>
      </w:pPr>
      <w:r>
        <w:t>a lack of information on the existence of prospective buyers and sellers of capacity, which the AEMC noted may be resulting in high search and transaction costs, particularly for short-term trades; and</w:t>
      </w:r>
    </w:p>
    <w:p w14:paraId="3C0E1210" w14:textId="16E55A3C" w:rsidR="00CE12E4" w:rsidRDefault="00CE12E4" w:rsidP="00CE12E4">
      <w:pPr>
        <w:pStyle w:val="ListBullet"/>
        <w:tabs>
          <w:tab w:val="num" w:pos="357"/>
        </w:tabs>
      </w:pPr>
      <w:r>
        <w:t>limited information on the market, which the AEMC noted may lead to additional transaction costs as parties try to determine the value of capacity.</w:t>
      </w:r>
    </w:p>
    <w:p w14:paraId="28941D8B" w14:textId="1B0E58E9" w:rsidR="00CE12E4" w:rsidRDefault="00CE12E4" w:rsidP="00CE12E4">
      <w:pPr>
        <w:pStyle w:val="BodyText"/>
      </w:pPr>
      <w:r>
        <w:t xml:space="preserve">To address these issues, the AEMC recommended the development of </w:t>
      </w:r>
      <w:r w:rsidR="00507206">
        <w:t xml:space="preserve">a </w:t>
      </w:r>
      <w:r>
        <w:t>capacity trading platform that would provide for both:</w:t>
      </w:r>
      <w:r w:rsidRPr="00CE12E4">
        <w:rPr>
          <w:rStyle w:val="FootnoteReference"/>
        </w:rPr>
        <w:t xml:space="preserve"> </w:t>
      </w:r>
      <w:r>
        <w:rPr>
          <w:rStyle w:val="FootnoteReference"/>
        </w:rPr>
        <w:footnoteReference w:id="69"/>
      </w:r>
    </w:p>
    <w:p w14:paraId="16DB02FE" w14:textId="24FE784C" w:rsidR="00CE12E4" w:rsidRPr="00C06892" w:rsidRDefault="00CE12E4" w:rsidP="00CE12E4">
      <w:pPr>
        <w:pStyle w:val="ListBullet"/>
      </w:pPr>
      <w:r w:rsidRPr="00DB66D2">
        <w:t>an anonymous exchange mechanism that shippers can use to buy or sell com</w:t>
      </w:r>
      <w:r w:rsidRPr="00C06892">
        <w:t xml:space="preserve">monly traded transportation products; and </w:t>
      </w:r>
    </w:p>
    <w:p w14:paraId="6B0E9ABE" w14:textId="77777777" w:rsidR="00CE12E4" w:rsidRPr="00C06892" w:rsidRDefault="00CE12E4" w:rsidP="00CE12E4">
      <w:pPr>
        <w:pStyle w:val="ListBullet"/>
      </w:pPr>
      <w:r w:rsidRPr="00C06892">
        <w:t xml:space="preserve">a listing service that shippers can use to buy or sell more bespoke products. </w:t>
      </w:r>
    </w:p>
    <w:p w14:paraId="440FF5AC" w14:textId="350B1ABE" w:rsidR="00B0008C" w:rsidRDefault="00CE12E4" w:rsidP="00B0008C">
      <w:pPr>
        <w:pStyle w:val="BodyText"/>
      </w:pPr>
      <w:r>
        <w:t xml:space="preserve">The AEMC also suggested that the trading platform provide for as many services as possible to be traded </w:t>
      </w:r>
      <w:r w:rsidR="00B0008C">
        <w:t xml:space="preserve">through the exchange </w:t>
      </w:r>
      <w:r>
        <w:t xml:space="preserve">and that trades conducted outside the trading platform </w:t>
      </w:r>
      <w:r w:rsidR="003E7774">
        <w:t xml:space="preserve">should </w:t>
      </w:r>
      <w:r>
        <w:t>be advertised ahead of time through the listing service.</w:t>
      </w:r>
      <w:r w:rsidR="00B0008C">
        <w:rPr>
          <w:rStyle w:val="FootnoteReference"/>
        </w:rPr>
        <w:footnoteReference w:id="70"/>
      </w:r>
      <w:r w:rsidR="00B0008C">
        <w:t xml:space="preserve"> While the AEMC expected the platform to principally be used by shippers, it noted the potential for service providers to also use the platform to sell any spare primary capacity they may</w:t>
      </w:r>
      <w:r w:rsidR="003E7774">
        <w:t xml:space="preserve"> </w:t>
      </w:r>
      <w:r w:rsidR="00994623">
        <w:t>hold</w:t>
      </w:r>
      <w:r w:rsidR="00B0008C">
        <w:t xml:space="preserve">.  </w:t>
      </w:r>
    </w:p>
    <w:p w14:paraId="4FC01FE8" w14:textId="42D9AE6C" w:rsidR="008C28EE" w:rsidRPr="006E7180" w:rsidRDefault="008C28EE" w:rsidP="00AC48D8">
      <w:pPr>
        <w:pStyle w:val="BodyText"/>
      </w:pPr>
      <w:r w:rsidRPr="006E7180">
        <w:t xml:space="preserve">Together, these reforms </w:t>
      </w:r>
      <w:r w:rsidR="00B0008C">
        <w:t xml:space="preserve">are expected </w:t>
      </w:r>
      <w:r w:rsidRPr="006E7180">
        <w:t>to facilitate a greater level of secondary capacity trading by:</w:t>
      </w:r>
      <w:r w:rsidRPr="006E7180">
        <w:rPr>
          <w:rStyle w:val="FootnoteReference"/>
        </w:rPr>
        <w:footnoteReference w:id="71"/>
      </w:r>
    </w:p>
    <w:p w14:paraId="2653087B" w14:textId="6B997560" w:rsidR="008C28EE" w:rsidRPr="006E7180" w:rsidRDefault="008C28EE" w:rsidP="008C28EE">
      <w:pPr>
        <w:pStyle w:val="ListBullet"/>
        <w:spacing w:after="60"/>
      </w:pPr>
      <w:r w:rsidRPr="006E7180">
        <w:t xml:space="preserve">reducing search and transaction costs; </w:t>
      </w:r>
      <w:r w:rsidR="00AC48D8" w:rsidRPr="006E7180">
        <w:t>and</w:t>
      </w:r>
    </w:p>
    <w:p w14:paraId="39A9C59E" w14:textId="688F6C21" w:rsidR="00AC48D8" w:rsidRPr="006E7180" w:rsidRDefault="00AC48D8" w:rsidP="008C28EE">
      <w:pPr>
        <w:pStyle w:val="ListBullet"/>
        <w:spacing w:after="60"/>
      </w:pPr>
      <w:r w:rsidRPr="006E7180">
        <w:t>providing shippers with confidence that secondary trades are non-discriminatory (i.e. by requiring trades conducted through the exchange to be anonymous and requiring shippers to advertise products ahead of time on the listing service).</w:t>
      </w:r>
    </w:p>
    <w:p w14:paraId="3DA0480B" w14:textId="58E068CE" w:rsidR="008C28EE" w:rsidRDefault="00F42B92" w:rsidP="008C28EE">
      <w:pPr>
        <w:pStyle w:val="BodyText"/>
        <w:spacing w:before="120" w:after="60" w:line="252" w:lineRule="auto"/>
      </w:pPr>
      <w:r>
        <w:t xml:space="preserve">Table B.1 </w:t>
      </w:r>
      <w:r w:rsidR="008C28EE">
        <w:t xml:space="preserve">provides further detail on the </w:t>
      </w:r>
      <w:r>
        <w:t xml:space="preserve">AEMC’s </w:t>
      </w:r>
      <w:r w:rsidR="00AC48D8">
        <w:t>recommendations</w:t>
      </w:r>
      <w:r w:rsidR="00312218">
        <w:t>, which were classified as either required or preferred outcomes</w:t>
      </w:r>
      <w:r w:rsidR="00AC48D8">
        <w:t xml:space="preserve">. </w:t>
      </w:r>
    </w:p>
    <w:p w14:paraId="277FDD30" w14:textId="1BF50836" w:rsidR="00B0008C" w:rsidRDefault="00B0008C" w:rsidP="00B0008C">
      <w:pPr>
        <w:pStyle w:val="BodyText"/>
      </w:pPr>
      <w:r>
        <w:t xml:space="preserve">In the </w:t>
      </w:r>
      <w:r>
        <w:rPr>
          <w:i/>
        </w:rPr>
        <w:t xml:space="preserve">East Coast Review, </w:t>
      </w:r>
      <w:r>
        <w:t>the AEMC identified a number of organisations that could operate and administer the capacity trading platform, but did not reach a concluded position on this issue. It instead recommended that the GMRG consider the options in further detail.  The GMRG’s recommendations on this issue were presented to the Energy Council in July</w:t>
      </w:r>
      <w:r w:rsidR="003E7774">
        <w:t xml:space="preserve"> 2017</w:t>
      </w:r>
      <w:r>
        <w:t>. In short, the GMRG recommended that AEMO be accorded responsibility for the operation and administration of a single capacity trading platform that would form part of the GSH trading exchange, which is currently used by participants in the east coast to trade gas and compression services at Wallumbilla. This recommendation was endorsed by the Energy Council at its 14 July 2017 meeting.</w:t>
      </w:r>
      <w:r>
        <w:rPr>
          <w:rStyle w:val="FootnoteReference"/>
        </w:rPr>
        <w:footnoteReference w:id="72"/>
      </w:r>
      <w:r>
        <w:t xml:space="preserve"> </w:t>
      </w:r>
    </w:p>
    <w:p w14:paraId="3421864C" w14:textId="77777777" w:rsidR="00B0008C" w:rsidRDefault="00B0008C" w:rsidP="008C28EE">
      <w:pPr>
        <w:pStyle w:val="BodyText"/>
        <w:spacing w:before="120" w:after="60" w:line="252" w:lineRule="auto"/>
      </w:pPr>
    </w:p>
    <w:tbl>
      <w:tblPr>
        <w:tblStyle w:val="TableGrid"/>
        <w:tblW w:w="4920" w:type="pct"/>
        <w:tblLayout w:type="fixed"/>
        <w:tblLook w:val="0480" w:firstRow="0" w:lastRow="0" w:firstColumn="1" w:lastColumn="0" w:noHBand="0" w:noVBand="1"/>
        <w:tblCaption w:val="Table B.1: AEMC’s Recommendations: Capacity trading platform reforms"/>
        <w:tblDescription w:val="AEMC’s Recommendations: Capacity trading platform reforms"/>
      </w:tblPr>
      <w:tblGrid>
        <w:gridCol w:w="8647"/>
      </w:tblGrid>
      <w:tr w:rsidR="00F6238C" w:rsidRPr="007A3DFE" w14:paraId="0B5B225A" w14:textId="77777777" w:rsidTr="00F6238C">
        <w:trPr>
          <w:cnfStyle w:val="000000010000" w:firstRow="0" w:lastRow="0" w:firstColumn="0" w:lastColumn="0" w:oddVBand="0" w:evenVBand="0" w:oddHBand="0" w:evenHBand="1" w:firstRowFirstColumn="0" w:firstRowLastColumn="0" w:lastRowFirstColumn="0" w:lastRowLastColumn="0"/>
          <w:tblHeader/>
        </w:trPr>
        <w:tc>
          <w:tcPr>
            <w:tcW w:w="8647" w:type="dxa"/>
            <w:tcBorders>
              <w:top w:val="nil"/>
              <w:bottom w:val="single" w:sz="4" w:space="0" w:color="auto"/>
            </w:tcBorders>
            <w:shd w:val="clear" w:color="auto" w:fill="auto"/>
          </w:tcPr>
          <w:p w14:paraId="15BCE99E" w14:textId="7C32E309" w:rsidR="00F6238C" w:rsidRPr="007A3DFE" w:rsidRDefault="00F6238C" w:rsidP="00F6238C">
            <w:pPr>
              <w:pStyle w:val="TableBodyText"/>
              <w:keepNext/>
              <w:spacing w:before="20" w:after="20"/>
              <w:rPr>
                <w:b/>
                <w:color w:val="FFFFFF" w:themeColor="background1"/>
                <w:sz w:val="20"/>
                <w:szCs w:val="20"/>
              </w:rPr>
            </w:pPr>
            <w:r w:rsidRPr="00F6238C">
              <w:rPr>
                <w:b/>
                <w:sz w:val="20"/>
              </w:rPr>
              <w:t>Table B.1: AEMC’s Recommendations: Capacity trading platform reforms</w:t>
            </w:r>
          </w:p>
        </w:tc>
      </w:tr>
      <w:tr w:rsidR="00F6238C" w:rsidRPr="007A3DFE" w14:paraId="3F9577FF" w14:textId="77777777" w:rsidTr="00F6238C">
        <w:trPr>
          <w:cnfStyle w:val="000000010000" w:firstRow="0" w:lastRow="0" w:firstColumn="0" w:lastColumn="0" w:oddVBand="0" w:evenVBand="0" w:oddHBand="0" w:evenHBand="1" w:firstRowFirstColumn="0" w:firstRowLastColumn="0" w:lastRowFirstColumn="0" w:lastRowLastColumn="0"/>
          <w:tblHeader/>
        </w:trPr>
        <w:tc>
          <w:tcPr>
            <w:tcW w:w="8647" w:type="dxa"/>
            <w:tcBorders>
              <w:top w:val="single" w:sz="4" w:space="0" w:color="auto"/>
              <w:bottom w:val="single" w:sz="4" w:space="0" w:color="auto"/>
            </w:tcBorders>
            <w:shd w:val="clear" w:color="auto" w:fill="0099CC"/>
          </w:tcPr>
          <w:p w14:paraId="48354B45" w14:textId="222225FE" w:rsidR="00F6238C" w:rsidRPr="00F6238C" w:rsidRDefault="00F6238C" w:rsidP="00F6238C">
            <w:pPr>
              <w:pStyle w:val="TableBodyText"/>
              <w:keepNext/>
              <w:spacing w:before="20" w:after="20"/>
              <w:jc w:val="center"/>
              <w:rPr>
                <w:b/>
                <w:sz w:val="20"/>
              </w:rPr>
            </w:pPr>
            <w:r w:rsidRPr="007A3DFE">
              <w:rPr>
                <w:b/>
                <w:color w:val="FFFFFF" w:themeColor="background1"/>
                <w:sz w:val="20"/>
                <w:szCs w:val="20"/>
              </w:rPr>
              <w:t>Required Outcomes</w:t>
            </w:r>
          </w:p>
        </w:tc>
      </w:tr>
      <w:tr w:rsidR="00F6238C" w:rsidRPr="007A3DFE" w14:paraId="3D3468B8" w14:textId="77777777" w:rsidTr="00F6238C">
        <w:tc>
          <w:tcPr>
            <w:tcW w:w="8647" w:type="dxa"/>
            <w:tcBorders>
              <w:top w:val="single" w:sz="4" w:space="0" w:color="auto"/>
              <w:bottom w:val="single" w:sz="4" w:space="0" w:color="auto"/>
            </w:tcBorders>
            <w:shd w:val="clear" w:color="auto" w:fill="auto"/>
          </w:tcPr>
          <w:p w14:paraId="3C9A456B" w14:textId="77777777" w:rsidR="00F6238C" w:rsidRDefault="00F6238C" w:rsidP="00F6238C">
            <w:pPr>
              <w:pStyle w:val="TableBullet1"/>
              <w:keepNext/>
              <w:rPr>
                <w:sz w:val="20"/>
                <w:szCs w:val="20"/>
              </w:rPr>
            </w:pPr>
            <w:r w:rsidRPr="00CE12E4">
              <w:rPr>
                <w:sz w:val="20"/>
                <w:szCs w:val="20"/>
              </w:rPr>
              <w:t xml:space="preserve">Creation of capacity trading platform(s) which include electronic anonymous exchange based trading for commonly traded products in addition to a capacity listing service typical on current capacity trading platforms. </w:t>
            </w:r>
          </w:p>
          <w:p w14:paraId="1842293B" w14:textId="0565DCC8" w:rsidR="00F6238C" w:rsidRPr="00F6238C" w:rsidRDefault="00F6238C" w:rsidP="00F6238C">
            <w:pPr>
              <w:pStyle w:val="TableBullet1"/>
              <w:keepNext/>
              <w:rPr>
                <w:sz w:val="20"/>
                <w:szCs w:val="20"/>
              </w:rPr>
            </w:pPr>
            <w:r w:rsidRPr="00F6238C">
              <w:rPr>
                <w:sz w:val="20"/>
                <w:szCs w:val="20"/>
              </w:rPr>
              <w:t>Trades carried out through trading platform to be given effect through an operational transfer</w:t>
            </w:r>
          </w:p>
        </w:tc>
      </w:tr>
      <w:tr w:rsidR="00F6238C" w:rsidRPr="00F6238C" w14:paraId="2EC4AE19" w14:textId="77777777" w:rsidTr="00F6238C">
        <w:trPr>
          <w:cnfStyle w:val="000000010000" w:firstRow="0" w:lastRow="0" w:firstColumn="0" w:lastColumn="0" w:oddVBand="0" w:evenVBand="0" w:oddHBand="0" w:evenHBand="1" w:firstRowFirstColumn="0" w:firstRowLastColumn="0" w:lastRowFirstColumn="0" w:lastRowLastColumn="0"/>
        </w:trPr>
        <w:tc>
          <w:tcPr>
            <w:tcW w:w="8647" w:type="dxa"/>
            <w:tcBorders>
              <w:bottom w:val="single" w:sz="4" w:space="0" w:color="auto"/>
            </w:tcBorders>
            <w:shd w:val="clear" w:color="auto" w:fill="0099CC"/>
          </w:tcPr>
          <w:p w14:paraId="7589490F" w14:textId="4CADDF82" w:rsidR="00F6238C" w:rsidRPr="00F6238C" w:rsidRDefault="00F6238C" w:rsidP="00F6238C">
            <w:pPr>
              <w:pStyle w:val="TableBodyText"/>
              <w:keepNext/>
              <w:spacing w:before="20" w:after="20"/>
              <w:jc w:val="center"/>
              <w:rPr>
                <w:b/>
                <w:color w:val="FFFFFF" w:themeColor="background1"/>
                <w:sz w:val="20"/>
                <w:szCs w:val="20"/>
              </w:rPr>
            </w:pPr>
            <w:r>
              <w:rPr>
                <w:b/>
                <w:color w:val="FFFFFF" w:themeColor="background1"/>
                <w:sz w:val="20"/>
                <w:szCs w:val="20"/>
              </w:rPr>
              <w:t>Preferred O</w:t>
            </w:r>
            <w:r w:rsidRPr="00CE12E4">
              <w:rPr>
                <w:b/>
                <w:color w:val="FFFFFF" w:themeColor="background1"/>
                <w:sz w:val="20"/>
                <w:szCs w:val="20"/>
              </w:rPr>
              <w:t>utcomes</w:t>
            </w:r>
          </w:p>
        </w:tc>
      </w:tr>
      <w:tr w:rsidR="008C28EE" w:rsidRPr="00CE12E4" w14:paraId="59893F18" w14:textId="77777777" w:rsidTr="00F6238C">
        <w:tblPrEx>
          <w:tblLook w:val="04A0" w:firstRow="1" w:lastRow="0" w:firstColumn="1" w:lastColumn="0" w:noHBand="0" w:noVBand="1"/>
        </w:tblPrEx>
        <w:tc>
          <w:tcPr>
            <w:tcW w:w="8647" w:type="dxa"/>
            <w:tcBorders>
              <w:bottom w:val="single" w:sz="4" w:space="0" w:color="auto"/>
            </w:tcBorders>
            <w:shd w:val="clear" w:color="auto" w:fill="auto"/>
          </w:tcPr>
          <w:p w14:paraId="27956A1E" w14:textId="77777777" w:rsidR="00F6238C" w:rsidRPr="00CE12E4" w:rsidRDefault="00F6238C" w:rsidP="00F6238C">
            <w:pPr>
              <w:pStyle w:val="TableBullet1"/>
              <w:keepNext/>
              <w:spacing w:before="40" w:after="40"/>
              <w:rPr>
                <w:sz w:val="20"/>
                <w:szCs w:val="20"/>
              </w:rPr>
            </w:pPr>
            <w:r w:rsidRPr="00CE12E4">
              <w:rPr>
                <w:sz w:val="20"/>
                <w:szCs w:val="20"/>
              </w:rPr>
              <w:t xml:space="preserve">Single capacity trading platform operating across the east coast. </w:t>
            </w:r>
          </w:p>
          <w:p w14:paraId="7B08121C" w14:textId="77777777" w:rsidR="00F6238C" w:rsidRDefault="00F6238C" w:rsidP="00F6238C">
            <w:pPr>
              <w:pStyle w:val="TableBullet1"/>
              <w:keepNext/>
              <w:spacing w:before="40" w:after="40"/>
              <w:rPr>
                <w:sz w:val="20"/>
                <w:szCs w:val="20"/>
              </w:rPr>
            </w:pPr>
            <w:r w:rsidRPr="00CE12E4">
              <w:rPr>
                <w:sz w:val="20"/>
                <w:szCs w:val="20"/>
              </w:rPr>
              <w:t xml:space="preserve">As many services as possible capable of being traded on the platform (e.g., transportation, hub (compression) and pipeline storage services), recognising the need to avoid unnecessary complexities. </w:t>
            </w:r>
          </w:p>
          <w:p w14:paraId="3D113E21" w14:textId="7FABABD0" w:rsidR="008C28EE" w:rsidRPr="00F6238C" w:rsidRDefault="00F6238C" w:rsidP="00F6238C">
            <w:pPr>
              <w:pStyle w:val="TableBullet1"/>
              <w:keepNext/>
              <w:spacing w:before="40" w:after="40"/>
              <w:rPr>
                <w:sz w:val="20"/>
                <w:szCs w:val="20"/>
              </w:rPr>
            </w:pPr>
            <w:r w:rsidRPr="00F6238C">
              <w:rPr>
                <w:sz w:val="20"/>
                <w:szCs w:val="20"/>
              </w:rPr>
              <w:t>Trades conducted outside the capacity trading platform to be advertised ahead of time on the capacity trading platform listing service.</w:t>
            </w:r>
          </w:p>
        </w:tc>
      </w:tr>
    </w:tbl>
    <w:p w14:paraId="13AAD0C6" w14:textId="0B8836CD" w:rsidR="00AC48D8" w:rsidRDefault="008C28EE" w:rsidP="006E7180">
      <w:pPr>
        <w:pStyle w:val="BodyText"/>
        <w:widowControl w:val="0"/>
        <w:spacing w:before="0" w:after="0"/>
        <w:rPr>
          <w:sz w:val="18"/>
          <w:szCs w:val="18"/>
        </w:rPr>
      </w:pPr>
      <w:r w:rsidRPr="00095979">
        <w:rPr>
          <w:sz w:val="18"/>
          <w:szCs w:val="18"/>
        </w:rPr>
        <w:t xml:space="preserve">Source: AEMC, Stage 2 Final Report: </w:t>
      </w:r>
      <w:r w:rsidRPr="005E3347">
        <w:rPr>
          <w:rFonts w:cs="Arial"/>
          <w:i/>
          <w:iCs/>
          <w:sz w:val="18"/>
          <w:szCs w:val="18"/>
        </w:rPr>
        <w:t>East Coast Review</w:t>
      </w:r>
      <w:r w:rsidRPr="00095979">
        <w:rPr>
          <w:rFonts w:cs="Arial"/>
          <w:iCs/>
          <w:sz w:val="18"/>
          <w:szCs w:val="18"/>
        </w:rPr>
        <w:t>, 23 May 2016,</w:t>
      </w:r>
      <w:r w:rsidRPr="00095979">
        <w:rPr>
          <w:sz w:val="18"/>
          <w:szCs w:val="18"/>
        </w:rPr>
        <w:t xml:space="preserve"> p. 17.</w:t>
      </w:r>
      <w:r w:rsidR="006E7180">
        <w:rPr>
          <w:sz w:val="18"/>
          <w:szCs w:val="18"/>
        </w:rPr>
        <w:t xml:space="preserve"> </w:t>
      </w:r>
    </w:p>
    <w:p w14:paraId="39F4A530" w14:textId="32AC0D1A" w:rsidR="00FF367C" w:rsidRDefault="00FF367C" w:rsidP="00FF367C">
      <w:pPr>
        <w:pStyle w:val="BodyText"/>
      </w:pPr>
      <w:r>
        <w:t xml:space="preserve">Following </w:t>
      </w:r>
      <w:r w:rsidR="00B0008C">
        <w:t>the Energy Council’s</w:t>
      </w:r>
      <w:r>
        <w:t xml:space="preserve"> decision, the GMRG </w:t>
      </w:r>
      <w:r w:rsidR="00312218">
        <w:t xml:space="preserve">has worked closely with AEMO </w:t>
      </w:r>
      <w:r>
        <w:t>and the Capacity Trading Platform project team on the development of the end-to-end design of the capacity trading platform, which will comprise</w:t>
      </w:r>
      <w:r w:rsidR="009D1CE0">
        <w:t>:</w:t>
      </w:r>
    </w:p>
    <w:p w14:paraId="59ED0DBB" w14:textId="77777777" w:rsidR="00FF367C" w:rsidRDefault="00FF367C" w:rsidP="00FF367C">
      <w:pPr>
        <w:pStyle w:val="ListBullet"/>
      </w:pPr>
      <w:r>
        <w:rPr>
          <w:b/>
        </w:rPr>
        <w:t xml:space="preserve">an </w:t>
      </w:r>
      <w:r w:rsidRPr="00F5362D">
        <w:rPr>
          <w:b/>
        </w:rPr>
        <w:t xml:space="preserve">exchange </w:t>
      </w:r>
      <w:r w:rsidRPr="009D1CE0">
        <w:t>that</w:t>
      </w:r>
      <w:r>
        <w:rPr>
          <w:b/>
        </w:rPr>
        <w:t xml:space="preserve"> </w:t>
      </w:r>
      <w:r>
        <w:t xml:space="preserve">will be used to facilitate the trade of standardised transportation products (e.g. day-ahead, daily, weekly, monthly and quarterly firm forward haul, compression and park products) through either: </w:t>
      </w:r>
    </w:p>
    <w:p w14:paraId="25F89809" w14:textId="5D952859" w:rsidR="00FF367C" w:rsidRDefault="00FF367C" w:rsidP="00FF367C">
      <w:pPr>
        <w:pStyle w:val="ListBullet2"/>
      </w:pPr>
      <w:r w:rsidRPr="009D1CE0">
        <w:rPr>
          <w:b/>
        </w:rPr>
        <w:t>the screen trade service</w:t>
      </w:r>
      <w:r>
        <w:t xml:space="preserve"> – this ser</w:t>
      </w:r>
      <w:r w:rsidR="009D1CE0">
        <w:t xml:space="preserve">vice allows participants to place anonymous offers to sell or bids to buy a specified quantity </w:t>
      </w:r>
      <w:r w:rsidR="00312218">
        <w:t xml:space="preserve">of capacity (measured </w:t>
      </w:r>
      <w:r w:rsidR="003E7774">
        <w:t xml:space="preserve">using the </w:t>
      </w:r>
      <w:r w:rsidR="00312218">
        <w:t xml:space="preserve">MDQ </w:t>
      </w:r>
      <w:r w:rsidR="003E7774">
        <w:t>metric</w:t>
      </w:r>
      <w:r w:rsidR="00312218">
        <w:t xml:space="preserve">) </w:t>
      </w:r>
      <w:r w:rsidR="009D1CE0">
        <w:t>at a specified price, which are automatically matched by the exchange</w:t>
      </w:r>
      <w:r>
        <w:t xml:space="preserve">; or </w:t>
      </w:r>
    </w:p>
    <w:p w14:paraId="70315E85" w14:textId="1E29005F" w:rsidR="00FF367C" w:rsidRDefault="00FF367C" w:rsidP="00FF367C">
      <w:pPr>
        <w:pStyle w:val="ListBullet2"/>
      </w:pPr>
      <w:r w:rsidRPr="009D1CE0">
        <w:rPr>
          <w:b/>
        </w:rPr>
        <w:t>the pre-matched trade service</w:t>
      </w:r>
      <w:r>
        <w:t xml:space="preserve"> – this service allows participants to </w:t>
      </w:r>
      <w:r w:rsidR="00BC56DD">
        <w:t xml:space="preserve">bring a bilateral trade in one of the GSH products </w:t>
      </w:r>
      <w:r>
        <w:t>to the exchange for settlement;</w:t>
      </w:r>
      <w:r w:rsidRPr="00ED6275">
        <w:rPr>
          <w:rStyle w:val="FootnoteReference"/>
        </w:rPr>
        <w:t xml:space="preserve"> </w:t>
      </w:r>
      <w:r>
        <w:t xml:space="preserve">or </w:t>
      </w:r>
    </w:p>
    <w:p w14:paraId="3103FCEB" w14:textId="5128197B" w:rsidR="00FF367C" w:rsidRDefault="00FF367C" w:rsidP="00FF367C">
      <w:pPr>
        <w:pStyle w:val="ListBullet"/>
      </w:pPr>
      <w:r>
        <w:rPr>
          <w:b/>
        </w:rPr>
        <w:t xml:space="preserve">a </w:t>
      </w:r>
      <w:r w:rsidRPr="00F5362D">
        <w:rPr>
          <w:b/>
        </w:rPr>
        <w:t xml:space="preserve">listing service </w:t>
      </w:r>
      <w:r w:rsidRPr="009D1CE0">
        <w:t>that</w:t>
      </w:r>
      <w:r>
        <w:rPr>
          <w:b/>
        </w:rPr>
        <w:t xml:space="preserve"> </w:t>
      </w:r>
      <w:r>
        <w:t>will allow market participants to list more bespoke transportation products (including locational swaps)</w:t>
      </w:r>
      <w:r w:rsidR="009D1CE0">
        <w:t xml:space="preserve"> </w:t>
      </w:r>
      <w:r>
        <w:t xml:space="preserve">that can be traded on a bilateral basis. </w:t>
      </w:r>
    </w:p>
    <w:p w14:paraId="62D2E32C" w14:textId="2B8ECB76" w:rsidR="00A0111F" w:rsidRDefault="00D30EB7" w:rsidP="009D1CE0">
      <w:pPr>
        <w:pStyle w:val="BodyText"/>
      </w:pPr>
      <w:r>
        <w:t xml:space="preserve">While the </w:t>
      </w:r>
      <w:r w:rsidR="00326B06">
        <w:t xml:space="preserve">design of the capacity trading platform will share many of the same </w:t>
      </w:r>
      <w:r w:rsidR="00235905">
        <w:t xml:space="preserve">operational, </w:t>
      </w:r>
      <w:r w:rsidR="00621D3C">
        <w:t xml:space="preserve">market, </w:t>
      </w:r>
      <w:r w:rsidR="00235905">
        <w:t xml:space="preserve">financial, contractual and governance features of the GSH, further </w:t>
      </w:r>
      <w:r>
        <w:t xml:space="preserve">consideration </w:t>
      </w:r>
      <w:r w:rsidR="00235905">
        <w:t>need to be given to:</w:t>
      </w:r>
    </w:p>
    <w:p w14:paraId="11539574" w14:textId="3B602035" w:rsidR="009D1CE0" w:rsidRPr="00235905" w:rsidRDefault="00A0111F" w:rsidP="009D1CE0">
      <w:pPr>
        <w:pStyle w:val="ListBullet"/>
      </w:pPr>
      <w:r w:rsidRPr="00235905">
        <w:t xml:space="preserve">the </w:t>
      </w:r>
      <w:r w:rsidR="00235905" w:rsidRPr="00235905">
        <w:t xml:space="preserve">transportation </w:t>
      </w:r>
      <w:r w:rsidR="009D1CE0" w:rsidRPr="00235905">
        <w:t xml:space="preserve">products </w:t>
      </w:r>
      <w:r w:rsidRPr="00235905">
        <w:t xml:space="preserve">that could be sold </w:t>
      </w:r>
      <w:r w:rsidR="00235905" w:rsidRPr="00235905">
        <w:t xml:space="preserve">through the </w:t>
      </w:r>
      <w:r w:rsidR="007447D4">
        <w:t xml:space="preserve">capacity </w:t>
      </w:r>
      <w:r w:rsidR="00235905" w:rsidRPr="00235905">
        <w:t>trading platform</w:t>
      </w:r>
      <w:r w:rsidRPr="00235905">
        <w:t>;</w:t>
      </w:r>
    </w:p>
    <w:p w14:paraId="1DD859CD" w14:textId="5CBB450E" w:rsidR="00A0111F" w:rsidRPr="00235905" w:rsidRDefault="00A0111F" w:rsidP="00F3580C">
      <w:pPr>
        <w:pStyle w:val="ListBullet"/>
      </w:pPr>
      <w:r w:rsidRPr="00235905">
        <w:t xml:space="preserve">the </w:t>
      </w:r>
      <w:r w:rsidR="00F3580C" w:rsidRPr="00235905">
        <w:t>delivery process</w:t>
      </w:r>
      <w:r w:rsidRPr="00235905">
        <w:t xml:space="preserve"> </w:t>
      </w:r>
      <w:r w:rsidR="00235905" w:rsidRPr="00235905">
        <w:t>that will give effect to trades conducted through the exchange</w:t>
      </w:r>
      <w:r w:rsidRPr="00235905">
        <w:t>;</w:t>
      </w:r>
    </w:p>
    <w:p w14:paraId="57D6F27C" w14:textId="32E299AE" w:rsidR="00583B4E" w:rsidRPr="00235905" w:rsidRDefault="009D1CE0" w:rsidP="00776D4B">
      <w:pPr>
        <w:pStyle w:val="ListBullet"/>
      </w:pPr>
      <w:r w:rsidRPr="00235905">
        <w:t xml:space="preserve">the arrangements to manage and allocate </w:t>
      </w:r>
      <w:r w:rsidR="00D3269E" w:rsidRPr="00235905">
        <w:t xml:space="preserve">the </w:t>
      </w:r>
      <w:r w:rsidRPr="00235905">
        <w:t>risks associated with secondary trading</w:t>
      </w:r>
      <w:r w:rsidR="00776D4B" w:rsidRPr="00235905">
        <w:t xml:space="preserve"> through the capacity trading platform; and</w:t>
      </w:r>
    </w:p>
    <w:p w14:paraId="3A55798D" w14:textId="46603A02" w:rsidR="00235905" w:rsidRPr="00235905" w:rsidRDefault="00235905" w:rsidP="00776D4B">
      <w:pPr>
        <w:pStyle w:val="ListBullet"/>
      </w:pPr>
      <w:r w:rsidRPr="00235905">
        <w:t>whether any changes need to be made to the NGL, NGR or other subordinate instruments to implement the capacity trading platform.</w:t>
      </w:r>
    </w:p>
    <w:p w14:paraId="262588F3" w14:textId="58698389" w:rsidR="00235905" w:rsidRPr="005243E4" w:rsidRDefault="00235905" w:rsidP="00235905">
      <w:pPr>
        <w:pStyle w:val="BodyText"/>
      </w:pPr>
      <w:r>
        <w:t xml:space="preserve">These issues are discussed in further detail in the </w:t>
      </w:r>
      <w:r w:rsidR="00FF367C">
        <w:t xml:space="preserve">remainder of this part of the consultation paper, which has been prepared </w:t>
      </w:r>
      <w:r w:rsidR="006A5405">
        <w:t>with the assistance of AEMO</w:t>
      </w:r>
      <w:r>
        <w:t>.</w:t>
      </w:r>
    </w:p>
    <w:p w14:paraId="7B27D2AD" w14:textId="1A5F369F" w:rsidR="00C34E9D" w:rsidRDefault="00235905" w:rsidP="00F65A13">
      <w:pPr>
        <w:pStyle w:val="Heading1"/>
      </w:pPr>
      <w:bookmarkStart w:id="125" w:name="_Toc489464932"/>
      <w:bookmarkStart w:id="126" w:name="_Toc492524753"/>
      <w:r>
        <w:lastRenderedPageBreak/>
        <w:t xml:space="preserve">Overview of </w:t>
      </w:r>
      <w:r w:rsidR="00F65A13">
        <w:t xml:space="preserve">the </w:t>
      </w:r>
      <w:bookmarkEnd w:id="125"/>
      <w:r w:rsidR="00381626">
        <w:t>GSH</w:t>
      </w:r>
      <w:bookmarkEnd w:id="126"/>
    </w:p>
    <w:p w14:paraId="03AFBB16" w14:textId="67EBF825" w:rsidR="00621D3C" w:rsidRDefault="00235905" w:rsidP="00235905">
      <w:pPr>
        <w:pStyle w:val="BodyText"/>
      </w:pPr>
      <w:r>
        <w:t xml:space="preserve">The GSH is a centralised trading, settlement and clearing facility that </w:t>
      </w:r>
      <w:r w:rsidR="00C11726">
        <w:t xml:space="preserve">is operated by AEMO and </w:t>
      </w:r>
      <w:r w:rsidR="00621D3C">
        <w:t xml:space="preserve">can </w:t>
      </w:r>
      <w:r>
        <w:t xml:space="preserve">currently </w:t>
      </w:r>
      <w:r w:rsidR="00621D3C">
        <w:t xml:space="preserve">be </w:t>
      </w:r>
      <w:r>
        <w:t xml:space="preserve">used by </w:t>
      </w:r>
      <w:r w:rsidR="00C11726">
        <w:t xml:space="preserve">market </w:t>
      </w:r>
      <w:r>
        <w:t>participants in the east coast to</w:t>
      </w:r>
      <w:r w:rsidR="00621D3C">
        <w:t>:</w:t>
      </w:r>
      <w:r>
        <w:t xml:space="preserve"> </w:t>
      </w:r>
    </w:p>
    <w:p w14:paraId="1448855C" w14:textId="53414621" w:rsidR="00621D3C" w:rsidRDefault="00235905" w:rsidP="00621D3C">
      <w:pPr>
        <w:pStyle w:val="ListBullet"/>
      </w:pPr>
      <w:r>
        <w:t xml:space="preserve">trade gas and </w:t>
      </w:r>
      <w:r w:rsidR="00F43B42">
        <w:t>Wallumbilla hub (</w:t>
      </w:r>
      <w:r>
        <w:t>compression</w:t>
      </w:r>
      <w:r w:rsidR="00F43B42">
        <w:t>)</w:t>
      </w:r>
      <w:r>
        <w:t xml:space="preserve"> services</w:t>
      </w:r>
      <w:r w:rsidR="00F43B42">
        <w:t xml:space="preserve"> </w:t>
      </w:r>
      <w:r w:rsidR="00621D3C">
        <w:t>through the exchange; or</w:t>
      </w:r>
    </w:p>
    <w:p w14:paraId="6D6D0906" w14:textId="1369F49F" w:rsidR="00621D3C" w:rsidRDefault="00621D3C" w:rsidP="00621D3C">
      <w:pPr>
        <w:pStyle w:val="ListBullet"/>
      </w:pPr>
      <w:r>
        <w:t xml:space="preserve">advertise </w:t>
      </w:r>
      <w:r w:rsidR="00F43B42">
        <w:t>transportation products</w:t>
      </w:r>
      <w:r>
        <w:t xml:space="preserve"> through the pipeline capacity listing service</w:t>
      </w:r>
      <w:r w:rsidR="00235905">
        <w:t xml:space="preserve">.  </w:t>
      </w:r>
    </w:p>
    <w:p w14:paraId="1E69DF1C" w14:textId="7BC6B30B" w:rsidR="00C11726" w:rsidRDefault="00C11726" w:rsidP="00C11726">
      <w:pPr>
        <w:pStyle w:val="BodyText"/>
        <w:rPr>
          <w:lang w:eastAsia="fr-CA"/>
        </w:rPr>
      </w:pPr>
      <w:r>
        <w:t>The remainder of this chapter provides a brief overview of the exchange and capacity listing service elements of the GSH</w:t>
      </w:r>
      <w:r w:rsidR="00707D68">
        <w:t>,</w:t>
      </w:r>
      <w:r>
        <w:t xml:space="preserve"> </w:t>
      </w:r>
      <w:r w:rsidR="00032892">
        <w:t>the steps that market participants have to take to be able to use the GSH</w:t>
      </w:r>
      <w:r w:rsidR="00707D68">
        <w:t xml:space="preserve"> and the governance framework that underpins the GSH</w:t>
      </w:r>
      <w:r w:rsidR="00032892">
        <w:t xml:space="preserve">. </w:t>
      </w:r>
      <w:r w:rsidR="00F626E0">
        <w:t xml:space="preserve"> Further detail on the GSH can be found in the Gas Supply Hub Industry Guide that AEMO has </w:t>
      </w:r>
      <w:r w:rsidR="00F626E0" w:rsidRPr="008B1B73">
        <w:t>published.</w:t>
      </w:r>
      <w:r w:rsidR="00F626E0" w:rsidRPr="008B1B73">
        <w:rPr>
          <w:rStyle w:val="FootnoteReference"/>
          <w:rFonts w:eastAsia="Cambria"/>
        </w:rPr>
        <w:footnoteReference w:id="73"/>
      </w:r>
    </w:p>
    <w:p w14:paraId="07A08174" w14:textId="22202633" w:rsidR="00C11726" w:rsidRDefault="00C11726" w:rsidP="00707D68">
      <w:pPr>
        <w:pStyle w:val="Heading2"/>
      </w:pPr>
      <w:bookmarkStart w:id="127" w:name="_Toc492524754"/>
      <w:r>
        <w:t>Exchange</w:t>
      </w:r>
      <w:bookmarkEnd w:id="127"/>
    </w:p>
    <w:p w14:paraId="23B8D00E" w14:textId="7A3D0E7E" w:rsidR="00BC5A63" w:rsidRDefault="00235905" w:rsidP="00235905">
      <w:pPr>
        <w:pStyle w:val="BodyText"/>
      </w:pPr>
      <w:r>
        <w:t xml:space="preserve">The </w:t>
      </w:r>
      <w:r w:rsidR="00621D3C">
        <w:t xml:space="preserve">exchange component of the </w:t>
      </w:r>
      <w:r>
        <w:t xml:space="preserve">GSH is operated using the </w:t>
      </w:r>
      <w:proofErr w:type="spellStart"/>
      <w:r>
        <w:t>Trayport</w:t>
      </w:r>
      <w:proofErr w:type="spellEnd"/>
      <w:r>
        <w:t xml:space="preserve"> </w:t>
      </w:r>
      <w:r w:rsidR="00BC5A63">
        <w:t>Exchange Trading System (ETS), which is integrated with the market registration, settlement, prudential management and reporting systems that have been established for the GSH. The ETS includes:</w:t>
      </w:r>
    </w:p>
    <w:p w14:paraId="2E1C7949" w14:textId="7E3A5265" w:rsidR="00BC5A63" w:rsidRPr="00BC5A63" w:rsidRDefault="00BC5A63" w:rsidP="00BC5A63">
      <w:pPr>
        <w:pStyle w:val="ListBullet"/>
      </w:pPr>
      <w:r>
        <w:t>a</w:t>
      </w:r>
      <w:r w:rsidRPr="00BC5A63">
        <w:t xml:space="preserve"> screen trading </w:t>
      </w:r>
      <w:r w:rsidR="00F85F7D">
        <w:t xml:space="preserve">service (see </w:t>
      </w:r>
      <w:r w:rsidR="00F85F7D">
        <w:fldChar w:fldCharType="begin"/>
      </w:r>
      <w:r w:rsidR="00F85F7D">
        <w:instrText xml:space="preserve"> REF _Ref492107594 \h </w:instrText>
      </w:r>
      <w:r w:rsidR="00F85F7D">
        <w:fldChar w:fldCharType="separate"/>
      </w:r>
      <w:r w:rsidR="00947034">
        <w:t xml:space="preserve">Figure </w:t>
      </w:r>
      <w:r w:rsidR="00947034">
        <w:rPr>
          <w:noProof/>
        </w:rPr>
        <w:t>6</w:t>
      </w:r>
      <w:r w:rsidR="00947034">
        <w:t>.</w:t>
      </w:r>
      <w:r w:rsidR="00947034">
        <w:rPr>
          <w:noProof/>
        </w:rPr>
        <w:t>1</w:t>
      </w:r>
      <w:r w:rsidR="00F85F7D">
        <w:fldChar w:fldCharType="end"/>
      </w:r>
      <w:r w:rsidR="00F85F7D">
        <w:t>)</w:t>
      </w:r>
      <w:r w:rsidRPr="00BC5A63">
        <w:t>, which allows participants to place anonymous bids and offers</w:t>
      </w:r>
      <w:r>
        <w:t xml:space="preserve"> for standardised products</w:t>
      </w:r>
      <w:r w:rsidRPr="00BC5A63">
        <w:t>, which are automatically matched by the exchange</w:t>
      </w:r>
      <w:r w:rsidR="00B21AEE">
        <w:t xml:space="preserve"> (see </w:t>
      </w:r>
      <w:r w:rsidR="00B21AEE">
        <w:fldChar w:fldCharType="begin"/>
      </w:r>
      <w:r w:rsidR="00B21AEE">
        <w:instrText xml:space="preserve"> REF _Ref492112736 \h </w:instrText>
      </w:r>
      <w:r w:rsidR="00B21AEE">
        <w:fldChar w:fldCharType="separate"/>
      </w:r>
      <w:r w:rsidR="00947034">
        <w:t xml:space="preserve">Box </w:t>
      </w:r>
      <w:r w:rsidR="00947034">
        <w:rPr>
          <w:noProof/>
        </w:rPr>
        <w:t>6</w:t>
      </w:r>
      <w:r w:rsidR="00947034">
        <w:t>.</w:t>
      </w:r>
      <w:r w:rsidR="00947034">
        <w:rPr>
          <w:noProof/>
        </w:rPr>
        <w:t>1</w:t>
      </w:r>
      <w:r w:rsidR="00B21AEE">
        <w:fldChar w:fldCharType="end"/>
      </w:r>
      <w:r w:rsidR="00B21AEE">
        <w:t>)</w:t>
      </w:r>
      <w:r w:rsidRPr="00BC5A63">
        <w:t xml:space="preserve">; or </w:t>
      </w:r>
    </w:p>
    <w:p w14:paraId="1565B446" w14:textId="0CA5F6DF" w:rsidR="00BC5A63" w:rsidRPr="00BC5A63" w:rsidRDefault="00BC5A63" w:rsidP="00BC5A63">
      <w:pPr>
        <w:pStyle w:val="ListBullet"/>
      </w:pPr>
      <w:r>
        <w:t>a</w:t>
      </w:r>
      <w:r w:rsidRPr="00BC5A63">
        <w:t xml:space="preserve"> pre-matched trade service, which allows participants to </w:t>
      </w:r>
      <w:r>
        <w:t xml:space="preserve">bring </w:t>
      </w:r>
      <w:r w:rsidR="00BC56DD">
        <w:t xml:space="preserve">a bilateral trade in one of the GSH products to the </w:t>
      </w:r>
      <w:r w:rsidRPr="00BC5A63">
        <w:t>exchange for settlement.</w:t>
      </w:r>
    </w:p>
    <w:tbl>
      <w:tblPr>
        <w:tblStyle w:val="PullOutBoxTable"/>
        <w:tblW w:w="5000" w:type="pct"/>
        <w:tblLook w:val="0600" w:firstRow="0" w:lastRow="0" w:firstColumn="0" w:lastColumn="0" w:noHBand="1" w:noVBand="1"/>
        <w:tblCaption w:val="Box 6.1: Exchange trading process"/>
        <w:tblDescription w:val="Exchange trading process"/>
      </w:tblPr>
      <w:tblGrid>
        <w:gridCol w:w="8788"/>
      </w:tblGrid>
      <w:tr w:rsidR="00F6238C" w:rsidRPr="00B21AEE" w14:paraId="66E80B39" w14:textId="77777777" w:rsidTr="006E1AEC">
        <w:trPr>
          <w:tblHeader/>
        </w:trPr>
        <w:tc>
          <w:tcPr>
            <w:tcW w:w="5000" w:type="pct"/>
            <w:shd w:val="clear" w:color="auto" w:fill="auto"/>
          </w:tcPr>
          <w:p w14:paraId="5ECFD9EC" w14:textId="598E7FAE" w:rsidR="00F6238C" w:rsidRPr="00F6238C" w:rsidRDefault="00F6238C" w:rsidP="00F6238C">
            <w:pPr>
              <w:autoSpaceDE w:val="0"/>
              <w:autoSpaceDN w:val="0"/>
              <w:adjustRightInd w:val="0"/>
              <w:spacing w:before="120"/>
              <w:rPr>
                <w:rFonts w:cs="Arial"/>
                <w:b/>
                <w:color w:val="000000"/>
                <w:sz w:val="20"/>
                <w:szCs w:val="20"/>
              </w:rPr>
            </w:pPr>
            <w:bookmarkStart w:id="128" w:name="_Ref492112736"/>
            <w:r w:rsidRPr="00F6238C">
              <w:rPr>
                <w:b/>
              </w:rPr>
              <w:t xml:space="preserve">Box </w:t>
            </w:r>
            <w:r w:rsidRPr="00F6238C">
              <w:rPr>
                <w:b/>
              </w:rPr>
              <w:fldChar w:fldCharType="begin"/>
            </w:r>
            <w:r w:rsidRPr="00F6238C">
              <w:rPr>
                <w:b/>
              </w:rPr>
              <w:instrText xml:space="preserve"> STYLEREF 1 \s </w:instrText>
            </w:r>
            <w:r w:rsidRPr="00F6238C">
              <w:rPr>
                <w:b/>
              </w:rPr>
              <w:fldChar w:fldCharType="separate"/>
            </w:r>
            <w:r w:rsidRPr="00F6238C">
              <w:rPr>
                <w:b/>
                <w:noProof/>
              </w:rPr>
              <w:t>6</w:t>
            </w:r>
            <w:r w:rsidRPr="00F6238C">
              <w:rPr>
                <w:b/>
                <w:noProof/>
              </w:rPr>
              <w:fldChar w:fldCharType="end"/>
            </w:r>
            <w:r w:rsidRPr="00F6238C">
              <w:rPr>
                <w:b/>
              </w:rPr>
              <w:t>.</w:t>
            </w:r>
            <w:r w:rsidRPr="00F6238C">
              <w:rPr>
                <w:b/>
              </w:rPr>
              <w:fldChar w:fldCharType="begin"/>
            </w:r>
            <w:r w:rsidRPr="00F6238C">
              <w:rPr>
                <w:b/>
              </w:rPr>
              <w:instrText xml:space="preserve"> SEQ Box \* ARABIC \s 1 </w:instrText>
            </w:r>
            <w:r w:rsidRPr="00F6238C">
              <w:rPr>
                <w:b/>
              </w:rPr>
              <w:fldChar w:fldCharType="separate"/>
            </w:r>
            <w:r w:rsidRPr="00F6238C">
              <w:rPr>
                <w:b/>
                <w:noProof/>
              </w:rPr>
              <w:t>1</w:t>
            </w:r>
            <w:r w:rsidRPr="00F6238C">
              <w:rPr>
                <w:b/>
                <w:noProof/>
              </w:rPr>
              <w:fldChar w:fldCharType="end"/>
            </w:r>
            <w:bookmarkEnd w:id="128"/>
            <w:r w:rsidRPr="00F6238C">
              <w:rPr>
                <w:b/>
              </w:rPr>
              <w:t>: Exchange trading process</w:t>
            </w:r>
          </w:p>
        </w:tc>
      </w:tr>
      <w:tr w:rsidR="006E1AEC" w:rsidRPr="00B21AEE" w14:paraId="0515318F" w14:textId="77777777" w:rsidTr="006E1AEC">
        <w:trPr>
          <w:tblHeader/>
        </w:trPr>
        <w:tc>
          <w:tcPr>
            <w:tcW w:w="5000" w:type="pct"/>
          </w:tcPr>
          <w:p w14:paraId="14770941" w14:textId="77777777" w:rsidR="006E1AEC" w:rsidRPr="00B21AEE" w:rsidRDefault="006E1AEC" w:rsidP="006E1AEC">
            <w:pPr>
              <w:autoSpaceDE w:val="0"/>
              <w:autoSpaceDN w:val="0"/>
              <w:adjustRightInd w:val="0"/>
              <w:spacing w:before="120" w:after="120"/>
              <w:rPr>
                <w:rFonts w:cs="Arial"/>
                <w:color w:val="000000"/>
                <w:sz w:val="20"/>
                <w:szCs w:val="20"/>
              </w:rPr>
            </w:pPr>
            <w:r w:rsidRPr="00B21AEE">
              <w:rPr>
                <w:rFonts w:cs="Arial"/>
                <w:color w:val="000000"/>
                <w:sz w:val="20"/>
                <w:szCs w:val="20"/>
              </w:rPr>
              <w:t>Trades conducted through the exchange involve the following steps:</w:t>
            </w:r>
          </w:p>
          <w:p w14:paraId="35AAD051" w14:textId="77777777" w:rsidR="006E1AEC" w:rsidRPr="00B21AEE" w:rsidRDefault="006E1AEC" w:rsidP="006E1AEC">
            <w:pPr>
              <w:pStyle w:val="BodyText"/>
              <w:numPr>
                <w:ilvl w:val="6"/>
                <w:numId w:val="39"/>
              </w:numPr>
              <w:spacing w:before="60" w:after="60"/>
              <w:ind w:left="442" w:hanging="357"/>
              <w:rPr>
                <w:sz w:val="20"/>
                <w:szCs w:val="20"/>
              </w:rPr>
            </w:pPr>
            <w:r w:rsidRPr="00B21AEE">
              <w:rPr>
                <w:sz w:val="20"/>
                <w:szCs w:val="20"/>
              </w:rPr>
              <w:t xml:space="preserve">Trading Participants select the product they would like to trade and then complete the required information. </w:t>
            </w:r>
          </w:p>
          <w:p w14:paraId="750674C3" w14:textId="77777777" w:rsidR="006E1AEC" w:rsidRPr="00B21AEE" w:rsidRDefault="006E1AEC" w:rsidP="006E1AEC">
            <w:pPr>
              <w:pStyle w:val="BodyText"/>
              <w:numPr>
                <w:ilvl w:val="6"/>
                <w:numId w:val="39"/>
              </w:numPr>
              <w:spacing w:before="60" w:after="60"/>
              <w:ind w:left="442" w:hanging="357"/>
              <w:rPr>
                <w:sz w:val="20"/>
                <w:szCs w:val="20"/>
              </w:rPr>
            </w:pPr>
            <w:r w:rsidRPr="00B21AEE">
              <w:rPr>
                <w:sz w:val="20"/>
                <w:szCs w:val="20"/>
              </w:rPr>
              <w:t>The order is validated by the trading systems.</w:t>
            </w:r>
          </w:p>
          <w:p w14:paraId="13BA45AB" w14:textId="77777777" w:rsidR="006E1AEC" w:rsidRPr="00B21AEE" w:rsidRDefault="006E1AEC" w:rsidP="006E1AEC">
            <w:pPr>
              <w:pStyle w:val="BodyText"/>
              <w:numPr>
                <w:ilvl w:val="6"/>
                <w:numId w:val="39"/>
              </w:numPr>
              <w:spacing w:before="60" w:after="60"/>
              <w:ind w:left="442" w:hanging="357"/>
              <w:rPr>
                <w:sz w:val="20"/>
                <w:szCs w:val="20"/>
              </w:rPr>
            </w:pPr>
            <w:r w:rsidRPr="00B21AEE">
              <w:rPr>
                <w:sz w:val="20"/>
                <w:szCs w:val="20"/>
              </w:rPr>
              <w:t xml:space="preserve">Confirmation of order submission is provided on screen and through a market report. </w:t>
            </w:r>
          </w:p>
          <w:p w14:paraId="6C0F6917" w14:textId="77777777" w:rsidR="006E1AEC" w:rsidRPr="00B21AEE" w:rsidRDefault="006E1AEC" w:rsidP="006E1AEC">
            <w:pPr>
              <w:pStyle w:val="ListNumber"/>
              <w:numPr>
                <w:ilvl w:val="0"/>
                <w:numId w:val="0"/>
              </w:numPr>
              <w:rPr>
                <w:sz w:val="20"/>
                <w:szCs w:val="20"/>
              </w:rPr>
            </w:pPr>
            <w:r w:rsidRPr="00B21AEE">
              <w:rPr>
                <w:rFonts w:cs="Arial"/>
                <w:sz w:val="20"/>
                <w:szCs w:val="20"/>
              </w:rPr>
              <w:t>The trading system validates orders on submission to ensure:</w:t>
            </w:r>
          </w:p>
          <w:p w14:paraId="263F8B7F" w14:textId="77777777" w:rsidR="006E1AEC" w:rsidRPr="00B21AEE" w:rsidRDefault="006E1AEC" w:rsidP="006E1AEC">
            <w:pPr>
              <w:pStyle w:val="ListBullet"/>
              <w:numPr>
                <w:ilvl w:val="0"/>
                <w:numId w:val="58"/>
              </w:numPr>
              <w:rPr>
                <w:sz w:val="20"/>
                <w:szCs w:val="20"/>
              </w:rPr>
            </w:pPr>
            <w:r>
              <w:rPr>
                <w:sz w:val="20"/>
                <w:szCs w:val="20"/>
              </w:rPr>
              <w:t xml:space="preserve">the </w:t>
            </w:r>
            <w:r w:rsidRPr="00B21AEE">
              <w:rPr>
                <w:sz w:val="20"/>
                <w:szCs w:val="20"/>
              </w:rPr>
              <w:t>order contains all of the required order components in the correct format;</w:t>
            </w:r>
          </w:p>
          <w:p w14:paraId="7E0B74DF" w14:textId="77777777" w:rsidR="006E1AEC" w:rsidRDefault="006E1AEC" w:rsidP="006E1AEC">
            <w:pPr>
              <w:pStyle w:val="ListBullet"/>
              <w:numPr>
                <w:ilvl w:val="0"/>
                <w:numId w:val="57"/>
              </w:numPr>
              <w:rPr>
                <w:sz w:val="20"/>
                <w:szCs w:val="20"/>
              </w:rPr>
            </w:pPr>
            <w:r>
              <w:rPr>
                <w:sz w:val="20"/>
                <w:szCs w:val="20"/>
              </w:rPr>
              <w:t xml:space="preserve">the </w:t>
            </w:r>
            <w:r w:rsidRPr="00B21AEE">
              <w:rPr>
                <w:sz w:val="20"/>
                <w:szCs w:val="20"/>
              </w:rPr>
              <w:t>order quantity and price adheres to minimum, maximum and parcel size rules; and</w:t>
            </w:r>
          </w:p>
          <w:p w14:paraId="120C8349" w14:textId="188F8CF8" w:rsidR="006E1AEC" w:rsidRPr="006E1AEC" w:rsidRDefault="006E1AEC" w:rsidP="006E1AEC">
            <w:pPr>
              <w:pStyle w:val="ListBullet"/>
              <w:numPr>
                <w:ilvl w:val="0"/>
                <w:numId w:val="57"/>
              </w:numPr>
              <w:rPr>
                <w:sz w:val="20"/>
                <w:szCs w:val="20"/>
              </w:rPr>
            </w:pPr>
            <w:r w:rsidRPr="006E1AEC">
              <w:rPr>
                <w:sz w:val="20"/>
                <w:szCs w:val="20"/>
              </w:rPr>
              <w:t>Trading Participants have adequate trading margin available to effect the transaction.</w:t>
            </w:r>
          </w:p>
        </w:tc>
      </w:tr>
    </w:tbl>
    <w:p w14:paraId="7481FE21" w14:textId="4D4B20DC" w:rsidR="00B21AEE" w:rsidRDefault="00B21AEE" w:rsidP="00B21AEE">
      <w:pPr>
        <w:pStyle w:val="Caption"/>
        <w:keepLines w:val="0"/>
        <w:spacing w:after="0"/>
        <w:rPr>
          <w:rStyle w:val="Bold"/>
          <w:b/>
        </w:rPr>
      </w:pPr>
      <w:bookmarkStart w:id="129" w:name="_Ref492107594"/>
      <w:r>
        <w:lastRenderedPageBreak/>
        <w:t xml:space="preserve">Figure </w:t>
      </w:r>
      <w:r w:rsidR="00926D7E">
        <w:fldChar w:fldCharType="begin"/>
      </w:r>
      <w:r w:rsidR="00926D7E">
        <w:instrText xml:space="preserve"> STYLEREF 1 \s </w:instrText>
      </w:r>
      <w:r w:rsidR="00926D7E">
        <w:fldChar w:fldCharType="separate"/>
      </w:r>
      <w:r w:rsidR="00947034">
        <w:rPr>
          <w:noProof/>
        </w:rPr>
        <w:t>6</w:t>
      </w:r>
      <w:r w:rsidR="00926D7E">
        <w:rPr>
          <w:noProof/>
        </w:rPr>
        <w:fldChar w:fldCharType="end"/>
      </w:r>
      <w:r>
        <w:t>.</w:t>
      </w:r>
      <w:r w:rsidR="00926D7E">
        <w:fldChar w:fldCharType="begin"/>
      </w:r>
      <w:r w:rsidR="00926D7E">
        <w:instrText xml:space="preserve"> SEQ Figure \* ARABIC \s 1 </w:instrText>
      </w:r>
      <w:r w:rsidR="00926D7E">
        <w:fldChar w:fldCharType="separate"/>
      </w:r>
      <w:r w:rsidR="00947034">
        <w:rPr>
          <w:noProof/>
        </w:rPr>
        <w:t>1</w:t>
      </w:r>
      <w:r w:rsidR="00926D7E">
        <w:rPr>
          <w:noProof/>
        </w:rPr>
        <w:fldChar w:fldCharType="end"/>
      </w:r>
      <w:bookmarkEnd w:id="129"/>
      <w:r>
        <w:t>:</w:t>
      </w:r>
      <w:r w:rsidRPr="008B1B73">
        <w:rPr>
          <w:rStyle w:val="Bold"/>
          <w:b/>
        </w:rPr>
        <w:t xml:space="preserve"> </w:t>
      </w:r>
      <w:r>
        <w:rPr>
          <w:rStyle w:val="Bold"/>
          <w:b/>
        </w:rPr>
        <w:t xml:space="preserve">GSH screen trading </w:t>
      </w:r>
      <w:r w:rsidRPr="008B1B73">
        <w:rPr>
          <w:rStyle w:val="Bold"/>
          <w:b/>
        </w:rPr>
        <w:t>screenshot</w:t>
      </w:r>
    </w:p>
    <w:p w14:paraId="39FF27A2" w14:textId="77777777" w:rsidR="00B21AEE" w:rsidRDefault="00B21AEE" w:rsidP="00B21AEE">
      <w:pPr>
        <w:pStyle w:val="BodyText"/>
        <w:spacing w:before="0" w:after="0"/>
        <w:rPr>
          <w:rFonts w:eastAsiaTheme="minorEastAsia"/>
          <w:lang w:eastAsia="fr-CA"/>
        </w:rPr>
      </w:pPr>
      <w:r>
        <w:rPr>
          <w:rFonts w:eastAsiaTheme="minorEastAsia"/>
          <w:noProof/>
        </w:rPr>
        <w:drawing>
          <wp:inline distT="0" distB="0" distL="0" distR="0" wp14:anchorId="0CA03E35" wp14:editId="051996DE">
            <wp:extent cx="5359400" cy="2906514"/>
            <wp:effectExtent l="0" t="0" r="0" b="8255"/>
            <wp:docPr id="8" name="Picture 8" descr="GSH screen trading screenshot" title="Figure 6.1: GSH screen trading 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66793" cy="2910523"/>
                    </a:xfrm>
                    <a:prstGeom prst="rect">
                      <a:avLst/>
                    </a:prstGeom>
                    <a:noFill/>
                  </pic:spPr>
                </pic:pic>
              </a:graphicData>
            </a:graphic>
          </wp:inline>
        </w:drawing>
      </w:r>
    </w:p>
    <w:p w14:paraId="248B1D6E" w14:textId="77777777" w:rsidR="00B21AEE" w:rsidRPr="00BC5A63" w:rsidRDefault="00B21AEE" w:rsidP="00B21AEE">
      <w:pPr>
        <w:pStyle w:val="BodyText"/>
        <w:rPr>
          <w:rFonts w:cs="Arial"/>
          <w:color w:val="000000"/>
        </w:rPr>
      </w:pPr>
      <w:r>
        <w:t xml:space="preserve">The screen trading service </w:t>
      </w:r>
      <w:r>
        <w:rPr>
          <w:lang w:eastAsia="fr-CA"/>
        </w:rPr>
        <w:t xml:space="preserve">operates on a </w:t>
      </w:r>
      <w:r w:rsidRPr="008B1B73">
        <w:rPr>
          <w:rFonts w:cs="Arial"/>
        </w:rPr>
        <w:t>continuous</w:t>
      </w:r>
      <w:r>
        <w:rPr>
          <w:rFonts w:cs="Arial"/>
        </w:rPr>
        <w:t xml:space="preserve"> basis</w:t>
      </w:r>
      <w:r w:rsidRPr="008B1B73">
        <w:rPr>
          <w:rFonts w:cs="Arial"/>
        </w:rPr>
        <w:t>, with bids and offers matched on price throughout the trading day</w:t>
      </w:r>
      <w:r w:rsidRPr="00BC5A63">
        <w:rPr>
          <w:rFonts w:cs="Arial"/>
          <w:color w:val="000000"/>
        </w:rPr>
        <w:t xml:space="preserve"> </w:t>
      </w:r>
      <w:r>
        <w:rPr>
          <w:rFonts w:cs="Arial"/>
          <w:color w:val="000000"/>
        </w:rPr>
        <w:t>using the following rules</w:t>
      </w:r>
      <w:r w:rsidRPr="00BC5A63">
        <w:rPr>
          <w:rFonts w:cs="Arial"/>
          <w:color w:val="000000"/>
        </w:rPr>
        <w:t>:</w:t>
      </w:r>
      <w:r>
        <w:rPr>
          <w:rStyle w:val="FootnoteReference"/>
          <w:rFonts w:cs="Arial"/>
          <w:color w:val="000000"/>
        </w:rPr>
        <w:footnoteReference w:id="74"/>
      </w:r>
      <w:r w:rsidRPr="00BC5A63">
        <w:rPr>
          <w:rFonts w:cs="Arial"/>
          <w:color w:val="000000"/>
        </w:rPr>
        <w:t xml:space="preserve"> </w:t>
      </w:r>
    </w:p>
    <w:p w14:paraId="07F4C062" w14:textId="77777777" w:rsidR="00B21AEE" w:rsidRPr="00BC5A63" w:rsidRDefault="00B21AEE" w:rsidP="00B21AEE">
      <w:pPr>
        <w:pStyle w:val="ListBullet"/>
      </w:pPr>
      <w:r>
        <w:t>o</w:t>
      </w:r>
      <w:r w:rsidRPr="00BC5A63">
        <w:t>rders are in the first instance matched based on price, with new offers matched against the highest price bid, and new bids matched against the lowest price offer</w:t>
      </w:r>
      <w:r>
        <w:t>; and</w:t>
      </w:r>
    </w:p>
    <w:p w14:paraId="538524A6" w14:textId="77777777" w:rsidR="00B21AEE" w:rsidRDefault="00B21AEE" w:rsidP="00B21AEE">
      <w:pPr>
        <w:pStyle w:val="ListBullet"/>
      </w:pPr>
      <w:proofErr w:type="gramStart"/>
      <w:r>
        <w:t>w</w:t>
      </w:r>
      <w:r w:rsidRPr="00BC5A63">
        <w:t>here</w:t>
      </w:r>
      <w:proofErr w:type="gramEnd"/>
      <w:r w:rsidRPr="00BC5A63">
        <w:t xml:space="preserve"> two or more orders share the sam</w:t>
      </w:r>
      <w:r>
        <w:t xml:space="preserve">e price and are </w:t>
      </w:r>
      <w:r w:rsidRPr="00BC5A63">
        <w:t>capable of being executed</w:t>
      </w:r>
      <w:r>
        <w:t>,</w:t>
      </w:r>
      <w:r w:rsidRPr="00BC5A63">
        <w:t xml:space="preserve"> the order with the earlier submission time is matched first. </w:t>
      </w:r>
    </w:p>
    <w:p w14:paraId="25905CBC" w14:textId="247F3B45" w:rsidR="00790A24" w:rsidRPr="008B1B73" w:rsidRDefault="00110A2C" w:rsidP="00790A24">
      <w:pPr>
        <w:pStyle w:val="BodyText"/>
        <w:rPr>
          <w:highlight w:val="yellow"/>
        </w:rPr>
      </w:pPr>
      <w:r>
        <w:t xml:space="preserve">While the screen trading service provides participants a number of trading options, it does not currently enable participants to make an order to buy or sell </w:t>
      </w:r>
      <w:r w:rsidR="00790A24" w:rsidRPr="008B1B73">
        <w:t>conditional on other orders being matched as well. A buyer or seller may wish to do this if</w:t>
      </w:r>
      <w:r>
        <w:t>, for example,</w:t>
      </w:r>
      <w:r w:rsidR="00790A24" w:rsidRPr="008B1B73">
        <w:t xml:space="preserve"> they want to </w:t>
      </w:r>
      <w:r>
        <w:t xml:space="preserve">transport gas from </w:t>
      </w:r>
      <w:r w:rsidR="00790A24" w:rsidRPr="008B1B73">
        <w:t xml:space="preserve">Wallumbilla to Adelaide, </w:t>
      </w:r>
      <w:r>
        <w:t>which requires the use of two pipelines</w:t>
      </w:r>
      <w:r w:rsidR="00790A24" w:rsidRPr="008B1B73">
        <w:t xml:space="preserve">. AEMO is </w:t>
      </w:r>
      <w:r>
        <w:t xml:space="preserve">currently </w:t>
      </w:r>
      <w:r w:rsidR="00790A24" w:rsidRPr="008B1B73">
        <w:t xml:space="preserve">discussing this functionality with </w:t>
      </w:r>
      <w:proofErr w:type="spellStart"/>
      <w:r w:rsidR="00790A24" w:rsidRPr="008B1B73">
        <w:t>Trayport</w:t>
      </w:r>
      <w:proofErr w:type="spellEnd"/>
      <w:r w:rsidR="00790A24" w:rsidRPr="008B1B73">
        <w:t xml:space="preserve"> and </w:t>
      </w:r>
      <w:r w:rsidR="00790A24">
        <w:t xml:space="preserve">expect that </w:t>
      </w:r>
      <w:r w:rsidR="003C187B">
        <w:t xml:space="preserve">conditional bidding </w:t>
      </w:r>
      <w:r w:rsidR="00790A24">
        <w:t xml:space="preserve">could </w:t>
      </w:r>
      <w:r w:rsidR="00790A24" w:rsidRPr="008B1B73">
        <w:t xml:space="preserve">be implemented. </w:t>
      </w:r>
    </w:p>
    <w:p w14:paraId="241C6CA4" w14:textId="604FFD56" w:rsidR="00D12A80" w:rsidRDefault="00D12A80" w:rsidP="00790A24">
      <w:pPr>
        <w:pStyle w:val="BodyText"/>
      </w:pPr>
      <w:r>
        <w:t xml:space="preserve">Trades carried out using the screen trading or pre-matched service are settled by AEMO, with settlement amounts calculated on a daily basis and statements issued to participants on a monthly basis. The prudential arrangements in the </w:t>
      </w:r>
      <w:r w:rsidR="00EA3234">
        <w:t xml:space="preserve">GSH </w:t>
      </w:r>
      <w:r>
        <w:t xml:space="preserve">require participants to post collateral to cover their potential settlement exposure. </w:t>
      </w:r>
      <w:r w:rsidR="00EA3234">
        <w:t xml:space="preserve">Prudential assessments are conducted each business day to determine whether sufficient collateral has been provided or if further collateral is required. Further detail on </w:t>
      </w:r>
      <w:r w:rsidR="00AE53CB">
        <w:t xml:space="preserve">how </w:t>
      </w:r>
      <w:r w:rsidR="00EA3234">
        <w:t xml:space="preserve">the settlement and prudential arrangements </w:t>
      </w:r>
      <w:r w:rsidR="00AE53CB">
        <w:t xml:space="preserve">are expected to be applied to capacity products </w:t>
      </w:r>
      <w:r w:rsidR="00EA3234">
        <w:t xml:space="preserve">is provided in Chapter </w:t>
      </w:r>
      <w:r w:rsidR="00EA3234">
        <w:fldChar w:fldCharType="begin"/>
      </w:r>
      <w:r w:rsidR="00EA3234">
        <w:instrText xml:space="preserve"> REF _Ref492099928 \r \h </w:instrText>
      </w:r>
      <w:r w:rsidR="00EA3234">
        <w:fldChar w:fldCharType="separate"/>
      </w:r>
      <w:r w:rsidR="00947034">
        <w:t>9</w:t>
      </w:r>
      <w:r w:rsidR="00EA3234">
        <w:fldChar w:fldCharType="end"/>
      </w:r>
      <w:r w:rsidR="00EA3234">
        <w:t>.</w:t>
      </w:r>
    </w:p>
    <w:p w14:paraId="087C82C8" w14:textId="4E442413" w:rsidR="00C11726" w:rsidRDefault="00C11726" w:rsidP="00F626E0">
      <w:pPr>
        <w:pStyle w:val="Heading2"/>
        <w:spacing w:before="240" w:after="120"/>
      </w:pPr>
      <w:bookmarkStart w:id="130" w:name="_Toc492524755"/>
      <w:r>
        <w:t>Capacity listing service</w:t>
      </w:r>
      <w:bookmarkEnd w:id="130"/>
    </w:p>
    <w:p w14:paraId="14204BDA" w14:textId="4C747610" w:rsidR="00C11726" w:rsidRDefault="00032892" w:rsidP="00F626E0">
      <w:pPr>
        <w:pStyle w:val="BodyText"/>
        <w:spacing w:before="0"/>
      </w:pPr>
      <w:r>
        <w:t xml:space="preserve">The capacity listing service </w:t>
      </w:r>
      <w:r w:rsidR="0021309A">
        <w:t xml:space="preserve">is also operated using </w:t>
      </w:r>
      <w:proofErr w:type="spellStart"/>
      <w:r w:rsidR="0021309A">
        <w:t>Trayport’s</w:t>
      </w:r>
      <w:proofErr w:type="spellEnd"/>
      <w:r w:rsidR="0021309A">
        <w:t xml:space="preserve"> ETS. The listing service </w:t>
      </w:r>
      <w:r>
        <w:t xml:space="preserve">enables participants to advertise an interest to buy or sell transportation, compression and storage services through a bilateral trade. When listing these services, </w:t>
      </w:r>
      <w:r w:rsidR="0021309A">
        <w:t xml:space="preserve">participants must provide information on the service and capacity being offered or sought, the term of the trade, the receipt and delivery points between which the service </w:t>
      </w:r>
      <w:r w:rsidR="006A5405">
        <w:t xml:space="preserve">can </w:t>
      </w:r>
      <w:r w:rsidR="0021309A">
        <w:t xml:space="preserve">be provided and the </w:t>
      </w:r>
      <w:r w:rsidR="0021309A">
        <w:lastRenderedPageBreak/>
        <w:t>listing party’s name and contact details</w:t>
      </w:r>
      <w:r>
        <w:t>.</w:t>
      </w:r>
      <w:r w:rsidR="0021309A">
        <w:t xml:space="preserve"> This information is then published on the GSH and the </w:t>
      </w:r>
      <w:r w:rsidR="00D30EB7">
        <w:t>BB</w:t>
      </w:r>
      <w:r w:rsidR="0021309A">
        <w:t xml:space="preserve"> (see </w:t>
      </w:r>
      <w:r w:rsidR="0021309A">
        <w:fldChar w:fldCharType="begin"/>
      </w:r>
      <w:r w:rsidR="0021309A">
        <w:instrText xml:space="preserve"> REF _Ref492096923 \h </w:instrText>
      </w:r>
      <w:r w:rsidR="0021309A">
        <w:fldChar w:fldCharType="separate"/>
      </w:r>
      <w:r w:rsidR="00947034">
        <w:t xml:space="preserve">Figure </w:t>
      </w:r>
      <w:r w:rsidR="00947034">
        <w:rPr>
          <w:noProof/>
        </w:rPr>
        <w:t>6</w:t>
      </w:r>
      <w:r w:rsidR="00947034">
        <w:t>.</w:t>
      </w:r>
      <w:r w:rsidR="00947034">
        <w:rPr>
          <w:noProof/>
        </w:rPr>
        <w:t>2</w:t>
      </w:r>
      <w:r w:rsidR="0021309A">
        <w:fldChar w:fldCharType="end"/>
      </w:r>
      <w:r w:rsidR="0021309A">
        <w:t>). If another party decides that it wants to enter into a trade with the listing party, then it can contact the listing party directly and negotiate the terms of that trade</w:t>
      </w:r>
      <w:r w:rsidR="00110A2C">
        <w:t xml:space="preserve"> bilaterally</w:t>
      </w:r>
      <w:r w:rsidR="0021309A">
        <w:t>.</w:t>
      </w:r>
      <w:r w:rsidR="0021309A">
        <w:rPr>
          <w:rStyle w:val="FootnoteReference"/>
        </w:rPr>
        <w:footnoteReference w:id="75"/>
      </w:r>
    </w:p>
    <w:p w14:paraId="5E41A951" w14:textId="07E10679" w:rsidR="00032892" w:rsidRDefault="00032892" w:rsidP="00032892">
      <w:pPr>
        <w:pStyle w:val="Caption"/>
        <w:keepLines w:val="0"/>
        <w:spacing w:after="0"/>
        <w:rPr>
          <w:rStyle w:val="Bold"/>
          <w:b/>
        </w:rPr>
      </w:pPr>
      <w:bookmarkStart w:id="131" w:name="_Ref492096923"/>
      <w:r>
        <w:t xml:space="preserve">Figure </w:t>
      </w:r>
      <w:r w:rsidR="00926D7E">
        <w:fldChar w:fldCharType="begin"/>
      </w:r>
      <w:r w:rsidR="00926D7E">
        <w:instrText xml:space="preserve"> STYLEREF 1 \s </w:instrText>
      </w:r>
      <w:r w:rsidR="00926D7E">
        <w:fldChar w:fldCharType="separate"/>
      </w:r>
      <w:r w:rsidR="00947034">
        <w:rPr>
          <w:noProof/>
        </w:rPr>
        <w:t>6</w:t>
      </w:r>
      <w:r w:rsidR="00926D7E">
        <w:rPr>
          <w:noProof/>
        </w:rPr>
        <w:fldChar w:fldCharType="end"/>
      </w:r>
      <w:r>
        <w:t>.</w:t>
      </w:r>
      <w:r w:rsidR="00926D7E">
        <w:fldChar w:fldCharType="begin"/>
      </w:r>
      <w:r w:rsidR="00926D7E">
        <w:instrText xml:space="preserve"> SEQ Figure \* ARABIC \s 1 </w:instrText>
      </w:r>
      <w:r w:rsidR="00926D7E">
        <w:fldChar w:fldCharType="separate"/>
      </w:r>
      <w:r w:rsidR="00947034">
        <w:rPr>
          <w:noProof/>
        </w:rPr>
        <w:t>2</w:t>
      </w:r>
      <w:r w:rsidR="00926D7E">
        <w:rPr>
          <w:noProof/>
        </w:rPr>
        <w:fldChar w:fldCharType="end"/>
      </w:r>
      <w:bookmarkEnd w:id="131"/>
      <w:r>
        <w:t>:</w:t>
      </w:r>
      <w:r w:rsidRPr="008B1B73">
        <w:rPr>
          <w:rStyle w:val="Bold"/>
          <w:b/>
        </w:rPr>
        <w:t xml:space="preserve"> </w:t>
      </w:r>
      <w:r w:rsidR="00F85F7D">
        <w:rPr>
          <w:rStyle w:val="Bold"/>
          <w:b/>
        </w:rPr>
        <w:t xml:space="preserve">GSH </w:t>
      </w:r>
      <w:r>
        <w:rPr>
          <w:rStyle w:val="Bold"/>
          <w:b/>
        </w:rPr>
        <w:t>listing service</w:t>
      </w:r>
      <w:r w:rsidR="00F85F7D">
        <w:rPr>
          <w:rStyle w:val="Bold"/>
          <w:b/>
        </w:rPr>
        <w:t xml:space="preserve"> screenshot</w:t>
      </w:r>
    </w:p>
    <w:p w14:paraId="252737FB" w14:textId="22BDBAB1" w:rsidR="00C11726" w:rsidRDefault="00C11726" w:rsidP="00032892">
      <w:pPr>
        <w:pStyle w:val="BodyText"/>
        <w:spacing w:before="0" w:after="0"/>
      </w:pPr>
      <w:r>
        <w:rPr>
          <w:noProof/>
        </w:rPr>
        <w:drawing>
          <wp:inline distT="0" distB="0" distL="0" distR="0" wp14:anchorId="037BEFCF" wp14:editId="3B65590F">
            <wp:extent cx="5530850" cy="2368550"/>
            <wp:effectExtent l="0" t="0" r="0" b="0"/>
            <wp:docPr id="19" name="Picture 19" descr="GSH listing service screenshot" title="Figure 6.2: GSH listing service 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Listing.PNG"/>
                    <pic:cNvPicPr/>
                  </pic:nvPicPr>
                  <pic:blipFill rotWithShape="1">
                    <a:blip r:embed="rId34">
                      <a:extLst>
                        <a:ext uri="{28A0092B-C50C-407E-A947-70E740481C1C}">
                          <a14:useLocalDpi xmlns:a14="http://schemas.microsoft.com/office/drawing/2010/main" val="0"/>
                        </a:ext>
                      </a:extLst>
                    </a:blip>
                    <a:srcRect t="3073" r="1674" b="1434"/>
                    <a:stretch/>
                  </pic:blipFill>
                  <pic:spPr bwMode="auto">
                    <a:xfrm>
                      <a:off x="0" y="0"/>
                      <a:ext cx="5538452" cy="2371806"/>
                    </a:xfrm>
                    <a:prstGeom prst="rect">
                      <a:avLst/>
                    </a:prstGeom>
                    <a:ln>
                      <a:noFill/>
                    </a:ln>
                    <a:extLst>
                      <a:ext uri="{53640926-AAD7-44D8-BBD7-CCE9431645EC}">
                        <a14:shadowObscured xmlns:a14="http://schemas.microsoft.com/office/drawing/2010/main"/>
                      </a:ext>
                    </a:extLst>
                  </pic:spPr>
                </pic:pic>
              </a:graphicData>
            </a:graphic>
          </wp:inline>
        </w:drawing>
      </w:r>
    </w:p>
    <w:p w14:paraId="63AFD045" w14:textId="1DF0D1D5" w:rsidR="00B73860" w:rsidRPr="00B73860" w:rsidRDefault="00B73860" w:rsidP="00032892">
      <w:pPr>
        <w:pStyle w:val="BodyText"/>
        <w:spacing w:before="0" w:after="0"/>
        <w:rPr>
          <w:sz w:val="16"/>
          <w:szCs w:val="16"/>
        </w:rPr>
      </w:pPr>
      <w:r w:rsidRPr="00B73860">
        <w:rPr>
          <w:sz w:val="16"/>
          <w:szCs w:val="16"/>
        </w:rPr>
        <w:t>Source: AEMO, Gas Supply Hub Industry Guide, October 2016, p. 45.</w:t>
      </w:r>
    </w:p>
    <w:p w14:paraId="5DEBF17E" w14:textId="153163BE" w:rsidR="00235905" w:rsidRDefault="00235905" w:rsidP="00235905">
      <w:pPr>
        <w:pStyle w:val="Heading2"/>
      </w:pPr>
      <w:bookmarkStart w:id="132" w:name="_Toc489442932"/>
      <w:bookmarkStart w:id="133" w:name="_Toc489443032"/>
      <w:bookmarkStart w:id="134" w:name="_Toc489443133"/>
      <w:bookmarkStart w:id="135" w:name="_Toc489443227"/>
      <w:bookmarkStart w:id="136" w:name="_Toc489443321"/>
      <w:bookmarkStart w:id="137" w:name="_Toc489464840"/>
      <w:bookmarkStart w:id="138" w:name="_Toc492524756"/>
      <w:bookmarkEnd w:id="132"/>
      <w:bookmarkEnd w:id="133"/>
      <w:bookmarkEnd w:id="134"/>
      <w:bookmarkEnd w:id="135"/>
      <w:bookmarkEnd w:id="136"/>
      <w:bookmarkEnd w:id="137"/>
      <w:r>
        <w:t>Use of the GSH</w:t>
      </w:r>
      <w:bookmarkEnd w:id="138"/>
    </w:p>
    <w:p w14:paraId="4D5C63FC" w14:textId="2D9A23F1" w:rsidR="00381626" w:rsidRDefault="00F65A13" w:rsidP="00381626">
      <w:pPr>
        <w:pStyle w:val="BodyText"/>
        <w:rPr>
          <w:rFonts w:cs="Arial"/>
        </w:rPr>
      </w:pPr>
      <w:r>
        <w:t xml:space="preserve">To utilise the GSH, </w:t>
      </w:r>
      <w:r w:rsidR="00C11726">
        <w:t xml:space="preserve">market participants must be </w:t>
      </w:r>
      <w:r w:rsidR="00C34E9D" w:rsidRPr="008B1B73">
        <w:t xml:space="preserve">registered </w:t>
      </w:r>
      <w:r w:rsidR="003C187B">
        <w:t xml:space="preserve">as </w:t>
      </w:r>
      <w:r w:rsidR="00C34E9D" w:rsidRPr="008B1B73">
        <w:t xml:space="preserve">GSH </w:t>
      </w:r>
      <w:r w:rsidR="00381626">
        <w:t>members</w:t>
      </w:r>
      <w:r w:rsidR="00C34E9D" w:rsidRPr="008B1B73">
        <w:t xml:space="preserve"> and agree to be bound by the Exchange Agreement</w:t>
      </w:r>
      <w:r w:rsidR="00854182">
        <w:t xml:space="preserve">, which </w:t>
      </w:r>
      <w:r w:rsidR="00381626" w:rsidRPr="008B1B73">
        <w:rPr>
          <w:rFonts w:cs="Arial"/>
        </w:rPr>
        <w:t xml:space="preserve">sets out the terms of participation in the </w:t>
      </w:r>
      <w:r w:rsidR="00381626">
        <w:rPr>
          <w:rFonts w:cs="Arial"/>
        </w:rPr>
        <w:t xml:space="preserve">GSH </w:t>
      </w:r>
      <w:r w:rsidR="00381626" w:rsidRPr="008B1B73">
        <w:rPr>
          <w:rFonts w:cs="Arial"/>
        </w:rPr>
        <w:t xml:space="preserve">and the terms governing transactions entered into through the exchange. </w:t>
      </w:r>
      <w:r w:rsidR="00F626E0">
        <w:rPr>
          <w:rFonts w:cs="Arial"/>
        </w:rPr>
        <w:t xml:space="preserve">They must also pay a fixed participation fee and depending on the membership class, a variable transaction fee. </w:t>
      </w:r>
    </w:p>
    <w:p w14:paraId="57E9F17C" w14:textId="26D896C9" w:rsidR="00C34E9D" w:rsidRPr="008B1B73" w:rsidRDefault="00381626" w:rsidP="008D1E56">
      <w:pPr>
        <w:pStyle w:val="BodyText"/>
      </w:pPr>
      <w:r>
        <w:t>There are t</w:t>
      </w:r>
      <w:r w:rsidR="00C34E9D" w:rsidRPr="008B1B73">
        <w:t xml:space="preserve">hree classes of GSH </w:t>
      </w:r>
      <w:r>
        <w:t>members</w:t>
      </w:r>
      <w:r w:rsidR="00C34E9D" w:rsidRPr="008B1B73">
        <w:t>:</w:t>
      </w:r>
    </w:p>
    <w:p w14:paraId="5D0D0122" w14:textId="5F0E3BB8" w:rsidR="00F626E0" w:rsidRDefault="00C34E9D" w:rsidP="0026795F">
      <w:pPr>
        <w:pStyle w:val="ListBullet"/>
        <w:numPr>
          <w:ilvl w:val="0"/>
          <w:numId w:val="15"/>
        </w:numPr>
      </w:pPr>
      <w:r w:rsidRPr="008B1B73">
        <w:rPr>
          <w:rStyle w:val="Bold"/>
        </w:rPr>
        <w:t>Trading Participant</w:t>
      </w:r>
      <w:r w:rsidR="00381626">
        <w:rPr>
          <w:rStyle w:val="Bold"/>
        </w:rPr>
        <w:t>s</w:t>
      </w:r>
      <w:r w:rsidRPr="008B1B73">
        <w:t xml:space="preserve"> </w:t>
      </w:r>
      <w:r w:rsidR="00381626">
        <w:t>are m</w:t>
      </w:r>
      <w:r w:rsidRPr="008B1B73">
        <w:t>ember</w:t>
      </w:r>
      <w:r w:rsidR="00381626">
        <w:t>s</w:t>
      </w:r>
      <w:r w:rsidRPr="008B1B73">
        <w:t xml:space="preserve"> </w:t>
      </w:r>
      <w:r w:rsidR="00381626">
        <w:t xml:space="preserve">that </w:t>
      </w:r>
      <w:r w:rsidR="00B73860">
        <w:t xml:space="preserve">have </w:t>
      </w:r>
      <w:r w:rsidRPr="008B1B73">
        <w:t xml:space="preserve">access to the </w:t>
      </w:r>
      <w:r w:rsidR="00381626">
        <w:t>t</w:t>
      </w:r>
      <w:r w:rsidRPr="008B1B73">
        <w:t xml:space="preserve">rading </w:t>
      </w:r>
      <w:r w:rsidR="00381626">
        <w:t>s</w:t>
      </w:r>
      <w:r w:rsidRPr="008B1B73">
        <w:t xml:space="preserve">ystem to the extent required </w:t>
      </w:r>
      <w:r w:rsidR="00B73860">
        <w:t xml:space="preserve">to participate </w:t>
      </w:r>
      <w:r w:rsidRPr="008B1B73">
        <w:t>in exchange trading.</w:t>
      </w:r>
      <w:r w:rsidR="00734F1F">
        <w:t xml:space="preserve"> </w:t>
      </w:r>
      <w:r w:rsidR="00F626E0">
        <w:t>Trading Participants are currently required to pay a fixed annual fee of $14,500 for a single licence and variable transaction fees of $0.01-$0.03/GJ depending on the tenor of the product purchased. AEMO is, however, considering whether to reduce the fixed fee to $12,000 p.a. and to offer a rebate if</w:t>
      </w:r>
      <w:r w:rsidR="00DA6B67">
        <w:t>,</w:t>
      </w:r>
      <w:r w:rsidR="00F626E0">
        <w:t xml:space="preserve"> within a billing period</w:t>
      </w:r>
      <w:r w:rsidR="00DA6B67">
        <w:t>,</w:t>
      </w:r>
      <w:r w:rsidR="00F626E0">
        <w:t xml:space="preserve"> variable transaction fees are $7,000 or more.</w:t>
      </w:r>
      <w:r w:rsidR="00F626E0" w:rsidRPr="00F626E0">
        <w:rPr>
          <w:rStyle w:val="FootnoteReference"/>
        </w:rPr>
        <w:t xml:space="preserve"> </w:t>
      </w:r>
      <w:r w:rsidR="00F626E0">
        <w:rPr>
          <w:rStyle w:val="FootnoteReference"/>
        </w:rPr>
        <w:footnoteReference w:id="76"/>
      </w:r>
    </w:p>
    <w:p w14:paraId="2F4F0532" w14:textId="7B56DADC" w:rsidR="00C34E9D" w:rsidRPr="008B1B73" w:rsidRDefault="00C34E9D" w:rsidP="00C34E9D">
      <w:pPr>
        <w:pStyle w:val="ListBullet"/>
        <w:numPr>
          <w:ilvl w:val="0"/>
          <w:numId w:val="15"/>
        </w:numPr>
      </w:pPr>
      <w:r w:rsidRPr="008B1B73">
        <w:rPr>
          <w:rStyle w:val="Bold"/>
        </w:rPr>
        <w:t>Viewing Participant</w:t>
      </w:r>
      <w:r w:rsidR="00381626">
        <w:rPr>
          <w:rStyle w:val="Bold"/>
        </w:rPr>
        <w:t>s</w:t>
      </w:r>
      <w:r w:rsidRPr="008B1B73">
        <w:t xml:space="preserve"> </w:t>
      </w:r>
      <w:r w:rsidR="00381626">
        <w:t>are m</w:t>
      </w:r>
      <w:r w:rsidRPr="008B1B73">
        <w:t>ember</w:t>
      </w:r>
      <w:r w:rsidR="00381626">
        <w:t>s</w:t>
      </w:r>
      <w:r w:rsidRPr="008B1B73">
        <w:t xml:space="preserve"> </w:t>
      </w:r>
      <w:r w:rsidR="00381626">
        <w:t xml:space="preserve">that have </w:t>
      </w:r>
      <w:r w:rsidRPr="008B1B73">
        <w:t xml:space="preserve">access to the </w:t>
      </w:r>
      <w:r w:rsidR="00381626">
        <w:t>t</w:t>
      </w:r>
      <w:r w:rsidRPr="008B1B73">
        <w:t xml:space="preserve">rading </w:t>
      </w:r>
      <w:r w:rsidR="00381626">
        <w:t>s</w:t>
      </w:r>
      <w:r w:rsidRPr="008B1B73">
        <w:t xml:space="preserve">ystem to the extent required </w:t>
      </w:r>
      <w:r w:rsidR="00B73860">
        <w:t xml:space="preserve">to view </w:t>
      </w:r>
      <w:r w:rsidRPr="008B1B73">
        <w:t>information about product trading.</w:t>
      </w:r>
      <w:r w:rsidR="00F626E0" w:rsidRPr="00F626E0">
        <w:t xml:space="preserve"> </w:t>
      </w:r>
      <w:r w:rsidR="00F626E0">
        <w:t xml:space="preserve">Viewing Participants are currently required to pay a fixed annual fee of $5,500 per licence, but AEMO is currently considering whether to reduce this </w:t>
      </w:r>
      <w:r w:rsidR="003C187B">
        <w:t xml:space="preserve">to an annual </w:t>
      </w:r>
      <w:r w:rsidR="00F626E0">
        <w:t xml:space="preserve">fee </w:t>
      </w:r>
      <w:r w:rsidR="003C187B">
        <w:t xml:space="preserve">of </w:t>
      </w:r>
      <w:r w:rsidR="006A5405">
        <w:t>$3,600</w:t>
      </w:r>
      <w:r w:rsidR="00F626E0">
        <w:t>.</w:t>
      </w:r>
      <w:r w:rsidR="00F626E0">
        <w:rPr>
          <w:rStyle w:val="FootnoteReference"/>
        </w:rPr>
        <w:footnoteReference w:id="77"/>
      </w:r>
    </w:p>
    <w:p w14:paraId="0587141A" w14:textId="2BC68293" w:rsidR="00C34E9D" w:rsidRPr="008B1B73" w:rsidRDefault="00C34E9D" w:rsidP="00C34E9D">
      <w:pPr>
        <w:pStyle w:val="ListBullet"/>
        <w:numPr>
          <w:ilvl w:val="0"/>
          <w:numId w:val="15"/>
        </w:numPr>
      </w:pPr>
      <w:r w:rsidRPr="008B1B73">
        <w:rPr>
          <w:rStyle w:val="Bold"/>
        </w:rPr>
        <w:t>Reallocation Participant</w:t>
      </w:r>
      <w:r w:rsidR="00381626">
        <w:rPr>
          <w:rStyle w:val="Bold"/>
        </w:rPr>
        <w:t>s</w:t>
      </w:r>
      <w:r w:rsidRPr="008B1B73">
        <w:t xml:space="preserve"> </w:t>
      </w:r>
      <w:r w:rsidR="00381626">
        <w:t>are m</w:t>
      </w:r>
      <w:r w:rsidRPr="008B1B73">
        <w:t>ember</w:t>
      </w:r>
      <w:r w:rsidR="00381626">
        <w:t>s</w:t>
      </w:r>
      <w:r w:rsidRPr="008B1B73">
        <w:t xml:space="preserve"> </w:t>
      </w:r>
      <w:r w:rsidR="00381626">
        <w:t xml:space="preserve">that have </w:t>
      </w:r>
      <w:r w:rsidRPr="008B1B73">
        <w:t>access to the Trading System to the extent required to participate in reallocations.</w:t>
      </w:r>
      <w:r w:rsidRPr="008B1B73">
        <w:rPr>
          <w:rStyle w:val="FootnoteReference"/>
          <w:rFonts w:eastAsia="Cambria"/>
        </w:rPr>
        <w:footnoteReference w:id="78"/>
      </w:r>
      <w:r w:rsidR="00F626E0">
        <w:t xml:space="preserve"> Reallocation Participants are currently required to pay a fixed annual fee of $9,000.</w:t>
      </w:r>
    </w:p>
    <w:p w14:paraId="4A56D514" w14:textId="044B9916" w:rsidR="00381626" w:rsidRDefault="00C11726" w:rsidP="00C34E9D">
      <w:pPr>
        <w:pStyle w:val="BodyText"/>
      </w:pPr>
      <w:r>
        <w:lastRenderedPageBreak/>
        <w:t>Market participants</w:t>
      </w:r>
      <w:r w:rsidR="00381626">
        <w:t xml:space="preserve"> </w:t>
      </w:r>
      <w:r w:rsidR="008D1E56">
        <w:t xml:space="preserve">that want to trade transportation capacity products </w:t>
      </w:r>
      <w:r w:rsidR="00F43B42">
        <w:t xml:space="preserve">using </w:t>
      </w:r>
      <w:r w:rsidR="008D1E56">
        <w:t xml:space="preserve">the exchange will </w:t>
      </w:r>
      <w:r w:rsidR="00CA280C">
        <w:t xml:space="preserve">need to </w:t>
      </w:r>
      <w:r w:rsidR="008D1E56">
        <w:t xml:space="preserve">be </w:t>
      </w:r>
      <w:r w:rsidR="00C34E9D" w:rsidRPr="008B1B73">
        <w:t>register</w:t>
      </w:r>
      <w:r w:rsidR="008D1E56">
        <w:t>ed</w:t>
      </w:r>
      <w:r w:rsidR="00C34E9D" w:rsidRPr="008B1B73">
        <w:t xml:space="preserve"> as a Trading Participant</w:t>
      </w:r>
      <w:r w:rsidR="00F43B42">
        <w:t xml:space="preserve">, while </w:t>
      </w:r>
      <w:r>
        <w:t xml:space="preserve">participants </w:t>
      </w:r>
      <w:r w:rsidR="00F43B42">
        <w:t>that only want to use the listing service can just be registered as a Viewing Participant</w:t>
      </w:r>
      <w:r w:rsidR="00C34E9D" w:rsidRPr="008B1B73">
        <w:t xml:space="preserve">. </w:t>
      </w:r>
      <w:r>
        <w:t>If a</w:t>
      </w:r>
      <w:r w:rsidR="00CA280C">
        <w:t xml:space="preserve"> </w:t>
      </w:r>
      <w:r>
        <w:t xml:space="preserve">market participant </w:t>
      </w:r>
      <w:r w:rsidR="00CA280C">
        <w:t xml:space="preserve">is an existing GSH Trading Participant, then it will not need </w:t>
      </w:r>
      <w:r w:rsidR="00CA280C" w:rsidRPr="008B1B73">
        <w:rPr>
          <w:rFonts w:cs="Arial"/>
        </w:rPr>
        <w:t xml:space="preserve">to complete another registration to trade </w:t>
      </w:r>
      <w:r w:rsidR="00CA280C">
        <w:rPr>
          <w:rFonts w:cs="Arial"/>
        </w:rPr>
        <w:t xml:space="preserve">these </w:t>
      </w:r>
      <w:r w:rsidR="00CA280C" w:rsidRPr="008B1B73">
        <w:rPr>
          <w:rFonts w:cs="Arial"/>
        </w:rPr>
        <w:t>products.</w:t>
      </w:r>
      <w:r w:rsidR="00CA280C">
        <w:rPr>
          <w:rFonts w:cs="Arial"/>
        </w:rPr>
        <w:t xml:space="preserve"> If, however, </w:t>
      </w:r>
      <w:r>
        <w:rPr>
          <w:rFonts w:cs="Arial"/>
        </w:rPr>
        <w:t xml:space="preserve">a market participant </w:t>
      </w:r>
      <w:r w:rsidR="00CA280C">
        <w:rPr>
          <w:rFonts w:cs="Arial"/>
        </w:rPr>
        <w:t>is not already registered</w:t>
      </w:r>
      <w:r w:rsidR="00381626">
        <w:rPr>
          <w:rFonts w:cs="Arial"/>
        </w:rPr>
        <w:t>,</w:t>
      </w:r>
      <w:r w:rsidR="00CA280C">
        <w:rPr>
          <w:rFonts w:cs="Arial"/>
        </w:rPr>
        <w:t xml:space="preserve"> it will </w:t>
      </w:r>
      <w:r w:rsidR="008D1E56">
        <w:rPr>
          <w:rFonts w:cs="Arial"/>
        </w:rPr>
        <w:t>need</w:t>
      </w:r>
      <w:r w:rsidR="008D1E56" w:rsidRPr="008B1B73">
        <w:rPr>
          <w:rFonts w:cs="Arial"/>
        </w:rPr>
        <w:t xml:space="preserve"> to </w:t>
      </w:r>
      <w:r w:rsidR="00CA280C">
        <w:rPr>
          <w:rFonts w:cs="Arial"/>
        </w:rPr>
        <w:t xml:space="preserve">register to become a Trading Participant and </w:t>
      </w:r>
      <w:r w:rsidR="008D1E56" w:rsidRPr="008B1B73">
        <w:rPr>
          <w:rFonts w:cs="Arial"/>
        </w:rPr>
        <w:t xml:space="preserve">provide AEMO with organisational and financial information, pay the fixed participation fee </w:t>
      </w:r>
      <w:r w:rsidR="006A5405">
        <w:rPr>
          <w:rFonts w:cs="Arial"/>
        </w:rPr>
        <w:t xml:space="preserve">(on a monthly basis) </w:t>
      </w:r>
      <w:r w:rsidR="008D1E56" w:rsidRPr="008B1B73">
        <w:rPr>
          <w:rFonts w:cs="Arial"/>
        </w:rPr>
        <w:t>and post collateral with AEMO to be granted a financial trading limit on the exchange.</w:t>
      </w:r>
      <w:r w:rsidR="00CA280C">
        <w:rPr>
          <w:rStyle w:val="FootnoteReference"/>
          <w:rFonts w:cs="Arial"/>
        </w:rPr>
        <w:footnoteReference w:id="79"/>
      </w:r>
      <w:r w:rsidR="00CA280C">
        <w:t xml:space="preserve"> </w:t>
      </w:r>
      <w:r w:rsidR="00F85F7D">
        <w:t xml:space="preserve"> As outlined in </w:t>
      </w:r>
      <w:r w:rsidR="00F85F7D">
        <w:fldChar w:fldCharType="begin"/>
      </w:r>
      <w:r w:rsidR="00F85F7D">
        <w:instrText xml:space="preserve"> REF _Ref491414461 \h </w:instrText>
      </w:r>
      <w:r w:rsidR="00F85F7D">
        <w:fldChar w:fldCharType="separate"/>
      </w:r>
      <w:r w:rsidR="00947034">
        <w:t xml:space="preserve">Table </w:t>
      </w:r>
      <w:r w:rsidR="00947034">
        <w:rPr>
          <w:noProof/>
        </w:rPr>
        <w:t>2</w:t>
      </w:r>
      <w:r w:rsidR="00947034">
        <w:t>.</w:t>
      </w:r>
      <w:r w:rsidR="00947034">
        <w:rPr>
          <w:noProof/>
        </w:rPr>
        <w:t>1</w:t>
      </w:r>
      <w:r w:rsidR="00F85F7D">
        <w:fldChar w:fldCharType="end"/>
      </w:r>
      <w:r w:rsidR="00F85F7D">
        <w:t xml:space="preserve">, shippers </w:t>
      </w:r>
      <w:r w:rsidR="00D30EB7">
        <w:t xml:space="preserve">wishing </w:t>
      </w:r>
      <w:r w:rsidR="00F85F7D">
        <w:t>to procure capacity from the exchange will also need to enter into an operational GTA with the relevant service provider(s).</w:t>
      </w:r>
      <w:r w:rsidR="00F85F7D">
        <w:rPr>
          <w:rStyle w:val="FootnoteReference"/>
        </w:rPr>
        <w:footnoteReference w:id="80"/>
      </w:r>
    </w:p>
    <w:p w14:paraId="116025B0" w14:textId="670175DE" w:rsidR="00B21AEE" w:rsidRPr="008B1B73" w:rsidRDefault="00B21AEE" w:rsidP="00B21AEE">
      <w:pPr>
        <w:pStyle w:val="BodyText"/>
      </w:pPr>
      <w:r w:rsidRPr="008B1B73">
        <w:rPr>
          <w:rFonts w:cs="Arial"/>
        </w:rPr>
        <w:t xml:space="preserve">The Exchange Agreement </w:t>
      </w:r>
      <w:r>
        <w:rPr>
          <w:rFonts w:cs="Arial"/>
        </w:rPr>
        <w:t xml:space="preserve">provides Trading Participants </w:t>
      </w:r>
      <w:r w:rsidR="00D30EB7">
        <w:rPr>
          <w:rFonts w:cs="Arial"/>
        </w:rPr>
        <w:t xml:space="preserve">with </w:t>
      </w:r>
      <w:r w:rsidRPr="008B1B73">
        <w:rPr>
          <w:rFonts w:cs="Arial"/>
        </w:rPr>
        <w:t xml:space="preserve">two types of access to products: automatic or requested. </w:t>
      </w:r>
      <w:r w:rsidRPr="008B1B73">
        <w:t xml:space="preserve">Participants currently have access to all trading products on the GSH when they become a Trading Participant, </w:t>
      </w:r>
      <w:r w:rsidR="00110A2C">
        <w:t>but</w:t>
      </w:r>
      <w:r w:rsidRPr="008B1B73">
        <w:t xml:space="preserve"> they can ask AEMO to </w:t>
      </w:r>
      <w:r>
        <w:t xml:space="preserve">limit their </w:t>
      </w:r>
      <w:r w:rsidRPr="008B1B73">
        <w:t>access</w:t>
      </w:r>
      <w:r>
        <w:t xml:space="preserve"> </w:t>
      </w:r>
      <w:r w:rsidRPr="008B1B73">
        <w:t xml:space="preserve">to </w:t>
      </w:r>
      <w:r>
        <w:t>particular products</w:t>
      </w:r>
      <w:r w:rsidRPr="008B1B73">
        <w:t>.</w:t>
      </w:r>
      <w:r>
        <w:rPr>
          <w:rStyle w:val="FootnoteReference"/>
        </w:rPr>
        <w:footnoteReference w:id="81"/>
      </w:r>
      <w:r w:rsidRPr="008B1B73">
        <w:t xml:space="preserve"> </w:t>
      </w:r>
    </w:p>
    <w:p w14:paraId="74BF9F30" w14:textId="0044D885" w:rsidR="002A4B4E" w:rsidRPr="008B1B73" w:rsidRDefault="00381626" w:rsidP="002A4B4E">
      <w:pPr>
        <w:pStyle w:val="BodyText"/>
      </w:pPr>
      <w:r>
        <w:rPr>
          <w:rFonts w:cs="Arial"/>
        </w:rPr>
        <w:t xml:space="preserve">Under the terms of the </w:t>
      </w:r>
      <w:r w:rsidRPr="008B1B73">
        <w:rPr>
          <w:rFonts w:cs="Arial"/>
        </w:rPr>
        <w:t xml:space="preserve">Exchange Agreement, </w:t>
      </w:r>
      <w:r>
        <w:rPr>
          <w:rFonts w:cs="Arial"/>
        </w:rPr>
        <w:t>AEMO may</w:t>
      </w:r>
      <w:r w:rsidR="002A4B4E">
        <w:rPr>
          <w:rFonts w:cs="Arial"/>
        </w:rPr>
        <w:t xml:space="preserve"> restrict a </w:t>
      </w:r>
      <w:r w:rsidR="00674C00">
        <w:rPr>
          <w:rFonts w:cs="Arial"/>
        </w:rPr>
        <w:t>p</w:t>
      </w:r>
      <w:r w:rsidR="002A4B4E">
        <w:rPr>
          <w:rFonts w:cs="Arial"/>
        </w:rPr>
        <w:t xml:space="preserve">articipant from access to, or use of, the GSH in whole or part if a </w:t>
      </w:r>
      <w:r w:rsidRPr="008B1B73">
        <w:rPr>
          <w:rFonts w:cs="Arial"/>
        </w:rPr>
        <w:t xml:space="preserve">suspension event occurs. </w:t>
      </w:r>
      <w:r w:rsidR="00D30EB7">
        <w:rPr>
          <w:rFonts w:cs="Arial"/>
        </w:rPr>
        <w:t xml:space="preserve">A </w:t>
      </w:r>
      <w:r w:rsidR="002A4B4E">
        <w:t>s</w:t>
      </w:r>
      <w:r w:rsidR="00D30EB7">
        <w:t>uspension event</w:t>
      </w:r>
      <w:r w:rsidR="002A4B4E" w:rsidRPr="008B1B73">
        <w:t xml:space="preserve"> include</w:t>
      </w:r>
      <w:r w:rsidR="00D30EB7">
        <w:t>s</w:t>
      </w:r>
      <w:r w:rsidR="002A4B4E" w:rsidRPr="008B1B73">
        <w:t>:</w:t>
      </w:r>
    </w:p>
    <w:p w14:paraId="764AD937" w14:textId="7AB6F10B" w:rsidR="002A4B4E" w:rsidRPr="008B1B73" w:rsidRDefault="00674C00" w:rsidP="005C4789">
      <w:pPr>
        <w:pStyle w:val="ListBullet"/>
        <w:numPr>
          <w:ilvl w:val="0"/>
          <w:numId w:val="60"/>
        </w:numPr>
      </w:pPr>
      <w:r>
        <w:t xml:space="preserve">the </w:t>
      </w:r>
      <w:r w:rsidR="002A4B4E">
        <w:t>f</w:t>
      </w:r>
      <w:r w:rsidR="002A4B4E" w:rsidRPr="008B1B73">
        <w:t xml:space="preserve">ailure </w:t>
      </w:r>
      <w:r>
        <w:t xml:space="preserve">of the participant </w:t>
      </w:r>
      <w:r w:rsidR="002A4B4E" w:rsidRPr="008B1B73">
        <w:t>to meet a margin call;</w:t>
      </w:r>
    </w:p>
    <w:p w14:paraId="307C0433" w14:textId="7CE73C28" w:rsidR="002A4B4E" w:rsidRPr="008B1B73" w:rsidRDefault="002A4B4E" w:rsidP="005C4789">
      <w:pPr>
        <w:pStyle w:val="ListBullet"/>
        <w:numPr>
          <w:ilvl w:val="0"/>
          <w:numId w:val="59"/>
        </w:numPr>
      </w:pPr>
      <w:r w:rsidRPr="008B1B73">
        <w:t xml:space="preserve">AEMO </w:t>
      </w:r>
      <w:r w:rsidR="00B73860">
        <w:t xml:space="preserve">having </w:t>
      </w:r>
      <w:r w:rsidRPr="008B1B73">
        <w:t xml:space="preserve">reasonable grounds to believe the </w:t>
      </w:r>
      <w:r w:rsidR="00674C00">
        <w:t>p</w:t>
      </w:r>
      <w:r>
        <w:t xml:space="preserve">articipant </w:t>
      </w:r>
      <w:r w:rsidR="003C187B">
        <w:t xml:space="preserve">is no longer eligible to </w:t>
      </w:r>
      <w:r w:rsidRPr="008B1B73">
        <w:t xml:space="preserve">trade in a product and the </w:t>
      </w:r>
      <w:r w:rsidR="00674C00">
        <w:t>p</w:t>
      </w:r>
      <w:r>
        <w:t xml:space="preserve">articipant </w:t>
      </w:r>
      <w:r w:rsidR="00B73860">
        <w:t xml:space="preserve">not providing </w:t>
      </w:r>
      <w:r w:rsidRPr="008B1B73">
        <w:t xml:space="preserve">sufficient evidence to verify its eligibility; </w:t>
      </w:r>
      <w:r w:rsidR="00D30EB7">
        <w:t>or</w:t>
      </w:r>
    </w:p>
    <w:p w14:paraId="20B9DDB0" w14:textId="640746A8" w:rsidR="002A4B4E" w:rsidRPr="008B1B73" w:rsidRDefault="002A4B4E" w:rsidP="005C4789">
      <w:pPr>
        <w:pStyle w:val="ListBullet"/>
        <w:numPr>
          <w:ilvl w:val="0"/>
          <w:numId w:val="59"/>
        </w:numPr>
      </w:pPr>
      <w:r>
        <w:t>t</w:t>
      </w:r>
      <w:r w:rsidRPr="008B1B73">
        <w:t xml:space="preserve">he </w:t>
      </w:r>
      <w:r w:rsidR="00B73860">
        <w:t xml:space="preserve">Trading Participant’s </w:t>
      </w:r>
      <w:r w:rsidR="00674C00">
        <w:t>d</w:t>
      </w:r>
      <w:r w:rsidRPr="008B1B73">
        <w:t xml:space="preserve">elivery </w:t>
      </w:r>
      <w:r w:rsidR="00674C00">
        <w:t>v</w:t>
      </w:r>
      <w:r w:rsidRPr="008B1B73">
        <w:t xml:space="preserve">ariance </w:t>
      </w:r>
      <w:r w:rsidR="00674C00">
        <w:t>q</w:t>
      </w:r>
      <w:r w:rsidRPr="008B1B73">
        <w:t xml:space="preserve">uantity </w:t>
      </w:r>
      <w:r>
        <w:t xml:space="preserve">(i.e. the difference between the quantity </w:t>
      </w:r>
      <w:r w:rsidR="00B73860">
        <w:t xml:space="preserve">it </w:t>
      </w:r>
      <w:r w:rsidR="00674C00">
        <w:t xml:space="preserve">was obligated to deliver </w:t>
      </w:r>
      <w:r>
        <w:t>and the actual quantity</w:t>
      </w:r>
      <w:r w:rsidR="00674C00">
        <w:t xml:space="preserve"> </w:t>
      </w:r>
      <w:r w:rsidR="00B73860">
        <w:t xml:space="preserve">it </w:t>
      </w:r>
      <w:r w:rsidR="00674C00">
        <w:t>delivered</w:t>
      </w:r>
      <w:r>
        <w:t xml:space="preserve">) </w:t>
      </w:r>
      <w:r w:rsidRPr="008B1B73">
        <w:t xml:space="preserve">is greater than 25% of the </w:t>
      </w:r>
      <w:r w:rsidR="00674C00">
        <w:t>d</w:t>
      </w:r>
      <w:r w:rsidRPr="008B1B73">
        <w:t xml:space="preserve">elivery </w:t>
      </w:r>
      <w:r w:rsidR="00674C00">
        <w:t>q</w:t>
      </w:r>
      <w:r w:rsidRPr="008B1B73">
        <w:t>uantity</w:t>
      </w:r>
      <w:r w:rsidR="00B73860">
        <w:t xml:space="preserve"> </w:t>
      </w:r>
      <w:r w:rsidRPr="008B1B73">
        <w:t>on three or more occasions in a rolling six</w:t>
      </w:r>
      <w:r w:rsidR="00854182">
        <w:t>-</w:t>
      </w:r>
      <w:r w:rsidRPr="008B1B73">
        <w:t>month period without a reasonable explanation.</w:t>
      </w:r>
    </w:p>
    <w:p w14:paraId="4D5203AA" w14:textId="609750EC" w:rsidR="00C8573E" w:rsidRPr="00F232EA" w:rsidRDefault="00381626" w:rsidP="00C8573E">
      <w:pPr>
        <w:pStyle w:val="BodyText"/>
        <w:rPr>
          <w:lang w:eastAsia="fr-CA"/>
        </w:rPr>
      </w:pPr>
      <w:r w:rsidRPr="008B1B73">
        <w:rPr>
          <w:rFonts w:cs="Arial"/>
        </w:rPr>
        <w:t xml:space="preserve">AEMO may also suspend a </w:t>
      </w:r>
      <w:r w:rsidR="003C187B">
        <w:rPr>
          <w:rFonts w:cs="Arial"/>
        </w:rPr>
        <w:t xml:space="preserve">Trading Participant from trading </w:t>
      </w:r>
      <w:r w:rsidRPr="008B1B73">
        <w:rPr>
          <w:rFonts w:cs="Arial"/>
        </w:rPr>
        <w:t>at the request of the AER</w:t>
      </w:r>
      <w:r w:rsidR="002A4B4E">
        <w:rPr>
          <w:rFonts w:cs="Arial"/>
        </w:rPr>
        <w:t xml:space="preserve"> </w:t>
      </w:r>
      <w:r w:rsidR="003C187B">
        <w:rPr>
          <w:rFonts w:cs="Arial"/>
        </w:rPr>
        <w:t xml:space="preserve">in connection with an investigation of </w:t>
      </w:r>
      <w:r w:rsidR="002A4B4E">
        <w:rPr>
          <w:rFonts w:cs="Arial"/>
        </w:rPr>
        <w:t>breaches of the market conduct provisions in Part 22 of the NGR</w:t>
      </w:r>
      <w:r w:rsidRPr="008B1B73">
        <w:rPr>
          <w:rFonts w:cs="Arial"/>
        </w:rPr>
        <w:t xml:space="preserve">. </w:t>
      </w:r>
      <w:r w:rsidR="002A4B4E">
        <w:rPr>
          <w:rFonts w:cs="Arial"/>
        </w:rPr>
        <w:t xml:space="preserve">Under the terms of the Exchange Agreement, the suspension </w:t>
      </w:r>
      <w:r w:rsidR="002A4B4E">
        <w:t xml:space="preserve">can only be </w:t>
      </w:r>
      <w:r w:rsidRPr="008B1B73">
        <w:t xml:space="preserve">lifted </w:t>
      </w:r>
      <w:r w:rsidR="002A4B4E">
        <w:t xml:space="preserve">if AEMO is satisfied </w:t>
      </w:r>
      <w:r w:rsidRPr="008B1B73">
        <w:t>that the reason for the suspension no longer applies, or the act giving rise to the suspension no longer warrants continued suspension.</w:t>
      </w:r>
      <w:r w:rsidR="00C8573E" w:rsidRPr="00C8573E">
        <w:t xml:space="preserve"> </w:t>
      </w:r>
      <w:r w:rsidR="00C8573E" w:rsidRPr="008B1B73">
        <w:t xml:space="preserve">If a participant fails to respond to a default notice AEMO </w:t>
      </w:r>
      <w:r w:rsidR="00C8573E">
        <w:t xml:space="preserve">can </w:t>
      </w:r>
      <w:r w:rsidR="00C8573E" w:rsidRPr="008B1B73">
        <w:t xml:space="preserve">suspend the </w:t>
      </w:r>
      <w:r w:rsidR="00C8573E">
        <w:t xml:space="preserve">participant’s membership </w:t>
      </w:r>
      <w:r w:rsidR="00C8573E" w:rsidRPr="008B1B73">
        <w:t xml:space="preserve">and </w:t>
      </w:r>
      <w:r w:rsidR="00994623">
        <w:t xml:space="preserve">close out </w:t>
      </w:r>
      <w:r w:rsidR="00C8573E" w:rsidRPr="008B1B73">
        <w:t xml:space="preserve">any net long or net short transactions </w:t>
      </w:r>
      <w:r w:rsidR="00C8573E">
        <w:t xml:space="preserve">using the </w:t>
      </w:r>
      <w:r w:rsidR="00C8573E" w:rsidRPr="008B1B73">
        <w:t>GSH Close Out and Offset Procedure</w:t>
      </w:r>
      <w:r w:rsidR="00C8573E">
        <w:t xml:space="preserve"> (see </w:t>
      </w:r>
      <w:r w:rsidR="00C8573E">
        <w:fldChar w:fldCharType="begin"/>
      </w:r>
      <w:r w:rsidR="00C8573E">
        <w:instrText xml:space="preserve"> REF _Ref492137828 \h </w:instrText>
      </w:r>
      <w:r w:rsidR="00C8573E">
        <w:fldChar w:fldCharType="separate"/>
      </w:r>
      <w:r w:rsidR="00947034">
        <w:t xml:space="preserve">Box </w:t>
      </w:r>
      <w:r w:rsidR="00947034">
        <w:rPr>
          <w:noProof/>
        </w:rPr>
        <w:t>10</w:t>
      </w:r>
      <w:r w:rsidR="00947034">
        <w:t>.</w:t>
      </w:r>
      <w:r w:rsidR="00947034">
        <w:rPr>
          <w:noProof/>
        </w:rPr>
        <w:t>1</w:t>
      </w:r>
      <w:r w:rsidR="00C8573E">
        <w:fldChar w:fldCharType="end"/>
      </w:r>
      <w:r w:rsidR="00C8573E">
        <w:t xml:space="preserve">). </w:t>
      </w:r>
    </w:p>
    <w:p w14:paraId="59002B16" w14:textId="392ADACF" w:rsidR="00381626" w:rsidRPr="008B1B73" w:rsidRDefault="002A4B4E" w:rsidP="00381626">
      <w:pPr>
        <w:pStyle w:val="BodyText"/>
      </w:pPr>
      <w:r>
        <w:rPr>
          <w:rFonts w:cs="Arial"/>
        </w:rPr>
        <w:t xml:space="preserve">The Exchange Agreement also allows AEMO to terminate a </w:t>
      </w:r>
      <w:r w:rsidR="00674C00">
        <w:rPr>
          <w:rFonts w:cs="Arial"/>
        </w:rPr>
        <w:t>p</w:t>
      </w:r>
      <w:r>
        <w:rPr>
          <w:rFonts w:cs="Arial"/>
        </w:rPr>
        <w:t xml:space="preserve">articipant’s membership if </w:t>
      </w:r>
      <w:r w:rsidR="00381626" w:rsidRPr="008B1B73">
        <w:rPr>
          <w:rFonts w:cs="Arial"/>
        </w:rPr>
        <w:t xml:space="preserve">a default event </w:t>
      </w:r>
      <w:r>
        <w:rPr>
          <w:rFonts w:cs="Arial"/>
        </w:rPr>
        <w:t>occurs.</w:t>
      </w:r>
      <w:r w:rsidR="00381626" w:rsidRPr="008B1B73">
        <w:rPr>
          <w:rFonts w:cs="Arial"/>
        </w:rPr>
        <w:t xml:space="preserve"> </w:t>
      </w:r>
      <w:r w:rsidR="00D30EB7">
        <w:rPr>
          <w:rFonts w:cs="Arial"/>
        </w:rPr>
        <w:t xml:space="preserve">A </w:t>
      </w:r>
      <w:r w:rsidR="00674C00">
        <w:rPr>
          <w:rFonts w:cs="Arial"/>
        </w:rPr>
        <w:t>d</w:t>
      </w:r>
      <w:r w:rsidR="00D30EB7">
        <w:rPr>
          <w:rFonts w:cs="Arial"/>
        </w:rPr>
        <w:t>efault event</w:t>
      </w:r>
      <w:r w:rsidR="00381626" w:rsidRPr="008B1B73">
        <w:rPr>
          <w:rFonts w:cs="Arial"/>
        </w:rPr>
        <w:t xml:space="preserve"> include</w:t>
      </w:r>
      <w:r w:rsidR="00D30EB7">
        <w:rPr>
          <w:rFonts w:cs="Arial"/>
        </w:rPr>
        <w:t>s</w:t>
      </w:r>
      <w:r w:rsidR="00381626" w:rsidRPr="008B1B73">
        <w:rPr>
          <w:rFonts w:cs="Arial"/>
        </w:rPr>
        <w:t>:</w:t>
      </w:r>
    </w:p>
    <w:p w14:paraId="7681DF94" w14:textId="4F709D67" w:rsidR="00381626" w:rsidRPr="008B1B73" w:rsidRDefault="00674C00" w:rsidP="005C4789">
      <w:pPr>
        <w:pStyle w:val="ListBullet"/>
        <w:numPr>
          <w:ilvl w:val="0"/>
          <w:numId w:val="59"/>
        </w:numPr>
      </w:pPr>
      <w:r>
        <w:t>the f</w:t>
      </w:r>
      <w:r w:rsidR="00381626" w:rsidRPr="008B1B73">
        <w:t xml:space="preserve">ailure </w:t>
      </w:r>
      <w:r>
        <w:t xml:space="preserve">of the participant </w:t>
      </w:r>
      <w:r w:rsidR="00381626" w:rsidRPr="008B1B73">
        <w:t>to pay an amount due</w:t>
      </w:r>
      <w:r>
        <w:t>;</w:t>
      </w:r>
    </w:p>
    <w:p w14:paraId="6F6B22E1" w14:textId="578FA67C" w:rsidR="00381626" w:rsidRPr="008B1B73" w:rsidRDefault="00674C00" w:rsidP="005C4789">
      <w:pPr>
        <w:pStyle w:val="ListBullet"/>
        <w:numPr>
          <w:ilvl w:val="0"/>
          <w:numId w:val="51"/>
        </w:numPr>
      </w:pPr>
      <w:r>
        <w:t>t</w:t>
      </w:r>
      <w:r w:rsidR="00381626" w:rsidRPr="008B1B73">
        <w:t xml:space="preserve">he </w:t>
      </w:r>
      <w:r>
        <w:t>p</w:t>
      </w:r>
      <w:r w:rsidR="00381626" w:rsidRPr="008B1B73">
        <w:t xml:space="preserve">articipant </w:t>
      </w:r>
      <w:r>
        <w:t xml:space="preserve">breaches </w:t>
      </w:r>
      <w:r w:rsidR="00381626" w:rsidRPr="008B1B73">
        <w:t xml:space="preserve">the </w:t>
      </w:r>
      <w:r>
        <w:t>m</w:t>
      </w:r>
      <w:r w:rsidR="00381626" w:rsidRPr="008B1B73">
        <w:t xml:space="preserve">arket </w:t>
      </w:r>
      <w:r>
        <w:t>c</w:t>
      </w:r>
      <w:r w:rsidR="00381626" w:rsidRPr="008B1B73">
        <w:t xml:space="preserve">onduct </w:t>
      </w:r>
      <w:r>
        <w:t>r</w:t>
      </w:r>
      <w:r w:rsidR="00381626" w:rsidRPr="008B1B73">
        <w:t>ules</w:t>
      </w:r>
      <w:r>
        <w:t xml:space="preserve"> in the NGR (see </w:t>
      </w:r>
      <w:r w:rsidR="00137D02">
        <w:fldChar w:fldCharType="begin"/>
      </w:r>
      <w:r w:rsidR="00137D02">
        <w:instrText xml:space="preserve"> REF _Ref492057223 \h </w:instrText>
      </w:r>
      <w:r w:rsidR="00137D02">
        <w:fldChar w:fldCharType="separate"/>
      </w:r>
      <w:r w:rsidR="00947034">
        <w:t xml:space="preserve">Box </w:t>
      </w:r>
      <w:r w:rsidR="00947034">
        <w:rPr>
          <w:noProof/>
        </w:rPr>
        <w:t>6</w:t>
      </w:r>
      <w:r w:rsidR="00947034">
        <w:t>.</w:t>
      </w:r>
      <w:r w:rsidR="00947034">
        <w:rPr>
          <w:noProof/>
        </w:rPr>
        <w:t>2</w:t>
      </w:r>
      <w:r w:rsidR="00137D02">
        <w:fldChar w:fldCharType="end"/>
      </w:r>
      <w:r>
        <w:t>)</w:t>
      </w:r>
      <w:r w:rsidR="00381626" w:rsidRPr="008B1B73">
        <w:t xml:space="preserve">; </w:t>
      </w:r>
      <w:r w:rsidR="00D30EB7">
        <w:t>or</w:t>
      </w:r>
    </w:p>
    <w:p w14:paraId="7C260427" w14:textId="38341CF7" w:rsidR="00381626" w:rsidRDefault="00674C00" w:rsidP="005C4789">
      <w:pPr>
        <w:pStyle w:val="ListBullet"/>
        <w:numPr>
          <w:ilvl w:val="0"/>
          <w:numId w:val="51"/>
        </w:numPr>
      </w:pPr>
      <w:r>
        <w:lastRenderedPageBreak/>
        <w:t>the p</w:t>
      </w:r>
      <w:r w:rsidR="00381626" w:rsidRPr="008B1B73">
        <w:t xml:space="preserve">articipant no longer meets the criteria for registration in the relevant category. </w:t>
      </w:r>
    </w:p>
    <w:p w14:paraId="7CB2D177" w14:textId="77777777" w:rsidR="00F232EA" w:rsidRPr="00F232EA" w:rsidRDefault="00F232EA" w:rsidP="00F232EA">
      <w:pPr>
        <w:pStyle w:val="BodyText"/>
        <w:spacing w:before="0"/>
        <w:rPr>
          <w:sz w:val="2"/>
          <w:szCs w:val="2"/>
        </w:rPr>
      </w:pPr>
      <w:bookmarkStart w:id="139" w:name="_Ref492057658"/>
    </w:p>
    <w:p w14:paraId="33893115" w14:textId="73DF9668" w:rsidR="00707D68" w:rsidRDefault="00707D68" w:rsidP="00707D68">
      <w:pPr>
        <w:pStyle w:val="Heading2"/>
        <w:spacing w:before="240" w:after="120"/>
      </w:pPr>
      <w:bookmarkStart w:id="140" w:name="_Toc492524757"/>
      <w:bookmarkEnd w:id="139"/>
      <w:r>
        <w:t>Current governance framework</w:t>
      </w:r>
      <w:bookmarkEnd w:id="140"/>
    </w:p>
    <w:p w14:paraId="19B32C70" w14:textId="184234BD" w:rsidR="00110A2C" w:rsidRDefault="00707D68" w:rsidP="00110A2C">
      <w:pPr>
        <w:pStyle w:val="BodyText"/>
        <w:rPr>
          <w:rFonts w:eastAsiaTheme="majorEastAsia"/>
        </w:rPr>
      </w:pPr>
      <w:r w:rsidRPr="0057020B">
        <w:rPr>
          <w:rFonts w:eastAsiaTheme="majorEastAsia"/>
        </w:rPr>
        <w:t xml:space="preserve">The </w:t>
      </w:r>
      <w:r>
        <w:rPr>
          <w:rFonts w:eastAsiaTheme="majorEastAsia"/>
        </w:rPr>
        <w:t xml:space="preserve">governance framework for the GSH is set out in the NGL, Part 22 of the NGR, the Exchange Agreement and a number of procedures. </w:t>
      </w:r>
      <w:r w:rsidR="007D23DD">
        <w:rPr>
          <w:rFonts w:eastAsiaTheme="majorEastAsia"/>
        </w:rPr>
        <w:fldChar w:fldCharType="begin"/>
      </w:r>
      <w:r w:rsidR="007D23DD">
        <w:rPr>
          <w:rFonts w:eastAsiaTheme="majorEastAsia"/>
        </w:rPr>
        <w:instrText xml:space="preserve"> REF _Ref492108712 \h </w:instrText>
      </w:r>
      <w:r w:rsidR="007D23DD">
        <w:rPr>
          <w:rFonts w:eastAsiaTheme="majorEastAsia"/>
        </w:rPr>
      </w:r>
      <w:r w:rsidR="007D23DD">
        <w:rPr>
          <w:rFonts w:eastAsiaTheme="majorEastAsia"/>
        </w:rPr>
        <w:fldChar w:fldCharType="separate"/>
      </w:r>
      <w:r w:rsidR="00947034">
        <w:t xml:space="preserve">Table </w:t>
      </w:r>
      <w:r w:rsidR="00947034">
        <w:rPr>
          <w:noProof/>
        </w:rPr>
        <w:t>6</w:t>
      </w:r>
      <w:r w:rsidR="00947034">
        <w:t>.</w:t>
      </w:r>
      <w:r w:rsidR="00947034">
        <w:rPr>
          <w:noProof/>
        </w:rPr>
        <w:t>1</w:t>
      </w:r>
      <w:r w:rsidR="007D23DD">
        <w:rPr>
          <w:rFonts w:eastAsiaTheme="majorEastAsia"/>
        </w:rPr>
        <w:fldChar w:fldCharType="end"/>
      </w:r>
      <w:r w:rsidR="007D23DD">
        <w:rPr>
          <w:rFonts w:eastAsiaTheme="majorEastAsia"/>
        </w:rPr>
        <w:t xml:space="preserve"> provides an overview of the key elements of this framework</w:t>
      </w:r>
      <w:r w:rsidR="00110A2C">
        <w:rPr>
          <w:rFonts w:eastAsiaTheme="majorEastAsia"/>
        </w:rPr>
        <w:t xml:space="preserve">, while </w:t>
      </w:r>
      <w:r w:rsidR="00110A2C">
        <w:fldChar w:fldCharType="begin"/>
      </w:r>
      <w:r w:rsidR="00110A2C">
        <w:instrText xml:space="preserve"> REF _Ref492057223 \h </w:instrText>
      </w:r>
      <w:r w:rsidR="00110A2C">
        <w:fldChar w:fldCharType="separate"/>
      </w:r>
      <w:r w:rsidR="00947034">
        <w:t xml:space="preserve">Box </w:t>
      </w:r>
      <w:r w:rsidR="00947034">
        <w:rPr>
          <w:noProof/>
        </w:rPr>
        <w:t>6</w:t>
      </w:r>
      <w:r w:rsidR="00947034">
        <w:t>.</w:t>
      </w:r>
      <w:r w:rsidR="00947034">
        <w:rPr>
          <w:noProof/>
        </w:rPr>
        <w:t>2</w:t>
      </w:r>
      <w:r w:rsidR="00110A2C">
        <w:fldChar w:fldCharType="end"/>
      </w:r>
      <w:r w:rsidR="00110A2C">
        <w:t xml:space="preserve"> sets out the GSH market conduct rules, which are a key element of the GSH governance framework that is overseen by the AER. </w:t>
      </w:r>
    </w:p>
    <w:p w14:paraId="44A70D91" w14:textId="3956DEB3" w:rsidR="00707D68" w:rsidRDefault="00707D68" w:rsidP="00110A2C">
      <w:pPr>
        <w:pStyle w:val="Caption"/>
        <w:spacing w:after="0"/>
      </w:pPr>
      <w:bookmarkStart w:id="141" w:name="_Ref492108712"/>
      <w:r>
        <w:t xml:space="preserve">Table </w:t>
      </w:r>
      <w:r w:rsidR="00926D7E">
        <w:fldChar w:fldCharType="begin"/>
      </w:r>
      <w:r w:rsidR="00926D7E">
        <w:instrText xml:space="preserve"> STYLEREF 1 \s </w:instrText>
      </w:r>
      <w:r w:rsidR="00926D7E">
        <w:fldChar w:fldCharType="separate"/>
      </w:r>
      <w:r w:rsidR="00947034">
        <w:rPr>
          <w:noProof/>
        </w:rPr>
        <w:t>6</w:t>
      </w:r>
      <w:r w:rsidR="00926D7E">
        <w:rPr>
          <w:noProof/>
        </w:rPr>
        <w:fldChar w:fldCharType="end"/>
      </w:r>
      <w:r w:rsidR="001C4739">
        <w:t>.</w:t>
      </w:r>
      <w:r w:rsidR="00926D7E">
        <w:fldChar w:fldCharType="begin"/>
      </w:r>
      <w:r w:rsidR="00926D7E">
        <w:instrText xml:space="preserve"> SEQ Table \* ARABIC \s 1 </w:instrText>
      </w:r>
      <w:r w:rsidR="00926D7E">
        <w:fldChar w:fldCharType="separate"/>
      </w:r>
      <w:r w:rsidR="00947034">
        <w:rPr>
          <w:noProof/>
        </w:rPr>
        <w:t>1</w:t>
      </w:r>
      <w:r w:rsidR="00926D7E">
        <w:rPr>
          <w:noProof/>
        </w:rPr>
        <w:fldChar w:fldCharType="end"/>
      </w:r>
      <w:bookmarkEnd w:id="141"/>
      <w:r>
        <w:t xml:space="preserve">: </w:t>
      </w:r>
      <w:r w:rsidR="007D23DD">
        <w:t>Current GSH g</w:t>
      </w:r>
      <w:r>
        <w:t xml:space="preserve">overnance framework </w:t>
      </w:r>
    </w:p>
    <w:tbl>
      <w:tblPr>
        <w:tblStyle w:val="TableGrid"/>
        <w:tblW w:w="5000" w:type="pct"/>
        <w:tblLayout w:type="fixed"/>
        <w:tblLook w:val="0420" w:firstRow="1" w:lastRow="0" w:firstColumn="0" w:lastColumn="0" w:noHBand="0" w:noVBand="1"/>
        <w:tblCaption w:val="Table 6.1: Current GSH governance framework "/>
        <w:tblDescription w:val="Current GSH governance framework "/>
      </w:tblPr>
      <w:tblGrid>
        <w:gridCol w:w="1276"/>
        <w:gridCol w:w="7512"/>
      </w:tblGrid>
      <w:tr w:rsidR="00707D68" w:rsidRPr="00790A24" w14:paraId="5F929798" w14:textId="77777777" w:rsidTr="001968DC">
        <w:trPr>
          <w:cnfStyle w:val="100000000000" w:firstRow="1" w:lastRow="0" w:firstColumn="0" w:lastColumn="0" w:oddVBand="0" w:evenVBand="0" w:oddHBand="0" w:evenHBand="0" w:firstRowFirstColumn="0" w:firstRowLastColumn="0" w:lastRowFirstColumn="0" w:lastRowLastColumn="0"/>
          <w:cantSplit/>
          <w:tblHeader/>
        </w:trPr>
        <w:tc>
          <w:tcPr>
            <w:tcW w:w="726" w:type="pct"/>
            <w:shd w:val="clear" w:color="auto" w:fill="0099CC"/>
          </w:tcPr>
          <w:p w14:paraId="12E39866" w14:textId="22514951" w:rsidR="00707D68" w:rsidRPr="00790A24" w:rsidRDefault="00707D68" w:rsidP="00110A2C">
            <w:pPr>
              <w:pStyle w:val="TableHeading"/>
              <w:keepNext/>
              <w:rPr>
                <w:sz w:val="20"/>
                <w:szCs w:val="20"/>
                <w:lang w:eastAsia="fr-CA"/>
              </w:rPr>
            </w:pPr>
            <w:r w:rsidRPr="00790A24">
              <w:rPr>
                <w:sz w:val="20"/>
                <w:szCs w:val="20"/>
                <w:lang w:eastAsia="fr-CA"/>
              </w:rPr>
              <w:t>Instrument</w:t>
            </w:r>
          </w:p>
        </w:tc>
        <w:tc>
          <w:tcPr>
            <w:tcW w:w="4274" w:type="pct"/>
            <w:shd w:val="clear" w:color="auto" w:fill="0099CC"/>
          </w:tcPr>
          <w:p w14:paraId="405A343B" w14:textId="5356A060" w:rsidR="00707D68" w:rsidRPr="00790A24" w:rsidRDefault="00707D68" w:rsidP="00110A2C">
            <w:pPr>
              <w:pStyle w:val="TableHeading"/>
              <w:keepNext/>
              <w:rPr>
                <w:sz w:val="20"/>
                <w:szCs w:val="20"/>
                <w:lang w:eastAsia="fr-CA"/>
              </w:rPr>
            </w:pPr>
            <w:r w:rsidRPr="00790A24">
              <w:rPr>
                <w:sz w:val="20"/>
                <w:szCs w:val="20"/>
                <w:lang w:eastAsia="fr-CA"/>
              </w:rPr>
              <w:t>Description</w:t>
            </w:r>
          </w:p>
        </w:tc>
      </w:tr>
      <w:tr w:rsidR="00707D68" w:rsidRPr="00790A24" w14:paraId="6F988C40" w14:textId="77777777" w:rsidTr="007D23DD">
        <w:trPr>
          <w:cantSplit/>
        </w:trPr>
        <w:tc>
          <w:tcPr>
            <w:tcW w:w="726" w:type="pct"/>
          </w:tcPr>
          <w:p w14:paraId="15CE8C18" w14:textId="1596A43F" w:rsidR="00707D68" w:rsidRPr="00790A24" w:rsidRDefault="00707D68" w:rsidP="00110A2C">
            <w:pPr>
              <w:pStyle w:val="TableBodyText"/>
              <w:keepNext/>
              <w:rPr>
                <w:sz w:val="20"/>
                <w:szCs w:val="20"/>
                <w:lang w:eastAsia="fr-CA"/>
              </w:rPr>
            </w:pPr>
            <w:r w:rsidRPr="00790A24">
              <w:rPr>
                <w:sz w:val="20"/>
                <w:szCs w:val="20"/>
                <w:lang w:eastAsia="fr-CA"/>
              </w:rPr>
              <w:t>NGL</w:t>
            </w:r>
          </w:p>
        </w:tc>
        <w:tc>
          <w:tcPr>
            <w:tcW w:w="4274" w:type="pct"/>
          </w:tcPr>
          <w:p w14:paraId="0A8050C4" w14:textId="77777777" w:rsidR="007D23DD" w:rsidRPr="00790A24" w:rsidRDefault="00707D68" w:rsidP="00110A2C">
            <w:pPr>
              <w:pStyle w:val="TableBodyText"/>
              <w:keepNext/>
              <w:rPr>
                <w:sz w:val="20"/>
                <w:szCs w:val="20"/>
                <w:lang w:eastAsia="fr-CA"/>
              </w:rPr>
            </w:pPr>
            <w:r w:rsidRPr="00790A24">
              <w:rPr>
                <w:sz w:val="20"/>
                <w:szCs w:val="20"/>
              </w:rPr>
              <w:t xml:space="preserve">AEMO operates the GSH as one of its statutory functions under section 91BRK of the NGL. This section of the NGL </w:t>
            </w:r>
            <w:r w:rsidRPr="00790A24">
              <w:rPr>
                <w:sz w:val="20"/>
                <w:szCs w:val="20"/>
                <w:lang w:eastAsia="fr-CA"/>
              </w:rPr>
              <w:t xml:space="preserve">provides for AEMO to establish, operate and administer ‘gas trading exchanges’, which are defined as a facility through which persons may elect to buy and sell natural gas or related goods or services, including pipeline capacity. </w:t>
            </w:r>
          </w:p>
          <w:p w14:paraId="2FE14172" w14:textId="7162C5D7" w:rsidR="00707D68" w:rsidRPr="00790A24" w:rsidRDefault="00707D68" w:rsidP="00110A2C">
            <w:pPr>
              <w:pStyle w:val="TableBodyText"/>
              <w:keepNext/>
              <w:rPr>
                <w:sz w:val="20"/>
                <w:szCs w:val="20"/>
                <w:lang w:eastAsia="fr-CA"/>
              </w:rPr>
            </w:pPr>
            <w:r w:rsidRPr="00790A24">
              <w:rPr>
                <w:sz w:val="20"/>
                <w:szCs w:val="20"/>
                <w:lang w:eastAsia="fr-CA"/>
              </w:rPr>
              <w:t xml:space="preserve">This section </w:t>
            </w:r>
            <w:r w:rsidR="007D23DD" w:rsidRPr="00790A24">
              <w:rPr>
                <w:sz w:val="20"/>
                <w:szCs w:val="20"/>
                <w:lang w:eastAsia="fr-CA"/>
              </w:rPr>
              <w:t xml:space="preserve">of the NGL </w:t>
            </w:r>
            <w:r w:rsidRPr="00790A24">
              <w:rPr>
                <w:sz w:val="20"/>
                <w:szCs w:val="20"/>
                <w:lang w:eastAsia="fr-CA"/>
              </w:rPr>
              <w:t xml:space="preserve">also allows </w:t>
            </w:r>
            <w:r w:rsidRPr="00790A24">
              <w:rPr>
                <w:rFonts w:eastAsiaTheme="majorEastAsia"/>
                <w:sz w:val="20"/>
                <w:szCs w:val="20"/>
              </w:rPr>
              <w:t>AEMO to make and administe</w:t>
            </w:r>
            <w:r w:rsidR="00110A2C">
              <w:rPr>
                <w:rFonts w:eastAsiaTheme="majorEastAsia"/>
                <w:sz w:val="20"/>
                <w:szCs w:val="20"/>
              </w:rPr>
              <w:t>r</w:t>
            </w:r>
            <w:r w:rsidRPr="00790A24">
              <w:rPr>
                <w:rFonts w:eastAsiaTheme="majorEastAsia"/>
                <w:sz w:val="20"/>
                <w:szCs w:val="20"/>
              </w:rPr>
              <w:t xml:space="preserve"> a gas trading </w:t>
            </w:r>
            <w:r w:rsidR="007447D4">
              <w:rPr>
                <w:rFonts w:eastAsiaTheme="majorEastAsia"/>
                <w:sz w:val="20"/>
                <w:szCs w:val="20"/>
              </w:rPr>
              <w:t>E</w:t>
            </w:r>
            <w:r w:rsidRPr="00790A24">
              <w:rPr>
                <w:rFonts w:eastAsiaTheme="majorEastAsia"/>
                <w:sz w:val="20"/>
                <w:szCs w:val="20"/>
              </w:rPr>
              <w:t xml:space="preserve">xchange </w:t>
            </w:r>
            <w:r w:rsidR="007447D4">
              <w:rPr>
                <w:rFonts w:eastAsiaTheme="majorEastAsia"/>
                <w:sz w:val="20"/>
                <w:szCs w:val="20"/>
              </w:rPr>
              <w:t>A</w:t>
            </w:r>
            <w:r w:rsidRPr="00790A24">
              <w:rPr>
                <w:rFonts w:eastAsiaTheme="majorEastAsia"/>
                <w:sz w:val="20"/>
                <w:szCs w:val="20"/>
              </w:rPr>
              <w:t>greement for the purposes of the exchange.  AEMO’s gas trading exchange functions and the operation of the gas trading exchange are included as subjects for the NGR (section 74(1</w:t>
            </w:r>
            <w:proofErr w:type="gramStart"/>
            <w:r w:rsidRPr="00790A24">
              <w:rPr>
                <w:rFonts w:eastAsiaTheme="majorEastAsia"/>
                <w:sz w:val="20"/>
                <w:szCs w:val="20"/>
              </w:rPr>
              <w:t>)(</w:t>
            </w:r>
            <w:proofErr w:type="spellStart"/>
            <w:proofErr w:type="gramEnd"/>
            <w:r w:rsidRPr="00790A24">
              <w:rPr>
                <w:rFonts w:eastAsiaTheme="majorEastAsia"/>
                <w:sz w:val="20"/>
                <w:szCs w:val="20"/>
              </w:rPr>
              <w:t>aaa</w:t>
            </w:r>
            <w:proofErr w:type="spellEnd"/>
            <w:r w:rsidRPr="00790A24">
              <w:rPr>
                <w:rFonts w:eastAsiaTheme="majorEastAsia"/>
                <w:sz w:val="20"/>
                <w:szCs w:val="20"/>
              </w:rPr>
              <w:t>)).</w:t>
            </w:r>
          </w:p>
        </w:tc>
      </w:tr>
      <w:tr w:rsidR="00707D68" w:rsidRPr="00790A24" w14:paraId="5753809C" w14:textId="77777777" w:rsidTr="007D23DD">
        <w:trPr>
          <w:cnfStyle w:val="000000010000" w:firstRow="0" w:lastRow="0" w:firstColumn="0" w:lastColumn="0" w:oddVBand="0" w:evenVBand="0" w:oddHBand="0" w:evenHBand="1" w:firstRowFirstColumn="0" w:firstRowLastColumn="0" w:lastRowFirstColumn="0" w:lastRowLastColumn="0"/>
          <w:cantSplit/>
        </w:trPr>
        <w:tc>
          <w:tcPr>
            <w:tcW w:w="726" w:type="pct"/>
          </w:tcPr>
          <w:p w14:paraId="4A496B49" w14:textId="23A37DB2" w:rsidR="00707D68" w:rsidRPr="00790A24" w:rsidRDefault="00707D68" w:rsidP="00707D68">
            <w:pPr>
              <w:pStyle w:val="TableBodyText"/>
              <w:rPr>
                <w:sz w:val="20"/>
                <w:szCs w:val="20"/>
                <w:lang w:eastAsia="fr-CA"/>
              </w:rPr>
            </w:pPr>
            <w:bookmarkStart w:id="142" w:name="_Hlk492233680"/>
            <w:r w:rsidRPr="00790A24">
              <w:rPr>
                <w:sz w:val="20"/>
                <w:szCs w:val="20"/>
                <w:lang w:eastAsia="fr-CA"/>
              </w:rPr>
              <w:t>NGR</w:t>
            </w:r>
          </w:p>
        </w:tc>
        <w:tc>
          <w:tcPr>
            <w:tcW w:w="4274" w:type="pct"/>
          </w:tcPr>
          <w:p w14:paraId="45819A00" w14:textId="7132EC6E" w:rsidR="00707D68" w:rsidRPr="00790A24" w:rsidRDefault="00707D68" w:rsidP="00707D68">
            <w:pPr>
              <w:pStyle w:val="TableBodyText"/>
              <w:rPr>
                <w:rFonts w:eastAsiaTheme="majorEastAsia"/>
                <w:sz w:val="20"/>
                <w:szCs w:val="20"/>
              </w:rPr>
            </w:pPr>
            <w:r w:rsidRPr="00790A24">
              <w:rPr>
                <w:rFonts w:eastAsiaTheme="majorEastAsia"/>
                <w:sz w:val="20"/>
                <w:szCs w:val="20"/>
              </w:rPr>
              <w:t xml:space="preserve">Part 22 of the NGR contains rules applicable to the </w:t>
            </w:r>
            <w:r w:rsidR="00110A2C">
              <w:rPr>
                <w:rFonts w:eastAsiaTheme="majorEastAsia"/>
                <w:sz w:val="20"/>
                <w:szCs w:val="20"/>
              </w:rPr>
              <w:t>GSH</w:t>
            </w:r>
            <w:r w:rsidRPr="00790A24">
              <w:rPr>
                <w:rFonts w:eastAsiaTheme="majorEastAsia"/>
                <w:sz w:val="20"/>
                <w:szCs w:val="20"/>
              </w:rPr>
              <w:t xml:space="preserve">.  Matters covered in Part 22 include: </w:t>
            </w:r>
          </w:p>
          <w:p w14:paraId="780AB622" w14:textId="77777777" w:rsidR="00707D68" w:rsidRPr="00790A24" w:rsidRDefault="00707D68" w:rsidP="00707D68">
            <w:pPr>
              <w:pStyle w:val="TableBullet1"/>
              <w:rPr>
                <w:rFonts w:eastAsiaTheme="majorEastAsia"/>
                <w:sz w:val="20"/>
                <w:szCs w:val="20"/>
              </w:rPr>
            </w:pPr>
            <w:r w:rsidRPr="00790A24">
              <w:rPr>
                <w:rFonts w:eastAsiaTheme="majorEastAsia"/>
                <w:sz w:val="20"/>
                <w:szCs w:val="20"/>
              </w:rPr>
              <w:t>high level design parameters for the exchange;</w:t>
            </w:r>
          </w:p>
          <w:p w14:paraId="445A911F" w14:textId="77777777" w:rsidR="00707D68" w:rsidRPr="00790A24" w:rsidRDefault="00707D68" w:rsidP="00707D68">
            <w:pPr>
              <w:pStyle w:val="TableBullet1"/>
              <w:rPr>
                <w:rFonts w:eastAsiaTheme="majorEastAsia"/>
                <w:sz w:val="20"/>
                <w:szCs w:val="20"/>
              </w:rPr>
            </w:pPr>
            <w:r w:rsidRPr="00790A24">
              <w:rPr>
                <w:rFonts w:eastAsiaTheme="majorEastAsia"/>
                <w:sz w:val="20"/>
                <w:szCs w:val="20"/>
              </w:rPr>
              <w:t>arrangements for the determination of charges for delivery failures;</w:t>
            </w:r>
          </w:p>
          <w:p w14:paraId="3BB9CF33" w14:textId="726C2998" w:rsidR="00707D68" w:rsidRPr="00790A24" w:rsidRDefault="00707D68" w:rsidP="00707D68">
            <w:pPr>
              <w:pStyle w:val="TableBullet1"/>
              <w:rPr>
                <w:rFonts w:eastAsiaTheme="majorEastAsia"/>
                <w:sz w:val="20"/>
                <w:szCs w:val="20"/>
              </w:rPr>
            </w:pPr>
            <w:r w:rsidRPr="00790A24">
              <w:rPr>
                <w:rFonts w:eastAsiaTheme="majorEastAsia"/>
                <w:sz w:val="20"/>
                <w:szCs w:val="20"/>
              </w:rPr>
              <w:t xml:space="preserve">arrangements for becoming a member; </w:t>
            </w:r>
          </w:p>
          <w:p w14:paraId="580A9442" w14:textId="77777777" w:rsidR="00707D68" w:rsidRPr="00790A24" w:rsidRDefault="00707D68" w:rsidP="00707D68">
            <w:pPr>
              <w:pStyle w:val="TableBullet1"/>
              <w:rPr>
                <w:rFonts w:eastAsiaTheme="majorEastAsia"/>
                <w:sz w:val="20"/>
                <w:szCs w:val="20"/>
              </w:rPr>
            </w:pPr>
            <w:r w:rsidRPr="00790A24">
              <w:rPr>
                <w:rFonts w:eastAsiaTheme="majorEastAsia"/>
                <w:sz w:val="20"/>
                <w:szCs w:val="20"/>
              </w:rPr>
              <w:t>AEMO’s power to suspend a member;</w:t>
            </w:r>
          </w:p>
          <w:p w14:paraId="597EC94B" w14:textId="77777777" w:rsidR="00707D68" w:rsidRPr="00790A24" w:rsidRDefault="00707D68" w:rsidP="00707D68">
            <w:pPr>
              <w:pStyle w:val="TableBullet1"/>
              <w:rPr>
                <w:rFonts w:eastAsiaTheme="majorEastAsia"/>
                <w:sz w:val="20"/>
                <w:szCs w:val="20"/>
              </w:rPr>
            </w:pPr>
            <w:r w:rsidRPr="00790A24">
              <w:rPr>
                <w:rFonts w:eastAsiaTheme="majorEastAsia"/>
                <w:sz w:val="20"/>
                <w:szCs w:val="20"/>
              </w:rPr>
              <w:t xml:space="preserve">the subject matter for the exchange agreement; and </w:t>
            </w:r>
          </w:p>
          <w:p w14:paraId="12F164C6" w14:textId="4D9406BF" w:rsidR="00707D68" w:rsidRPr="00790A24" w:rsidRDefault="00707D68" w:rsidP="00707D68">
            <w:pPr>
              <w:pStyle w:val="TableBullet1"/>
              <w:rPr>
                <w:rFonts w:eastAsiaTheme="majorEastAsia"/>
                <w:sz w:val="20"/>
                <w:szCs w:val="20"/>
              </w:rPr>
            </w:pPr>
            <w:proofErr w:type="gramStart"/>
            <w:r w:rsidRPr="00790A24">
              <w:rPr>
                <w:rFonts w:eastAsiaTheme="majorEastAsia"/>
                <w:sz w:val="20"/>
                <w:szCs w:val="20"/>
              </w:rPr>
              <w:t>the</w:t>
            </w:r>
            <w:proofErr w:type="gramEnd"/>
            <w:r w:rsidRPr="00790A24">
              <w:rPr>
                <w:rFonts w:eastAsiaTheme="majorEastAsia"/>
                <w:sz w:val="20"/>
                <w:szCs w:val="20"/>
              </w:rPr>
              <w:t xml:space="preserve"> market conduct rules (see </w:t>
            </w:r>
            <w:r w:rsidRPr="00790A24">
              <w:rPr>
                <w:rFonts w:eastAsiaTheme="majorEastAsia"/>
                <w:sz w:val="20"/>
                <w:szCs w:val="20"/>
              </w:rPr>
              <w:fldChar w:fldCharType="begin"/>
            </w:r>
            <w:r w:rsidRPr="00790A24">
              <w:rPr>
                <w:rFonts w:eastAsiaTheme="majorEastAsia"/>
                <w:sz w:val="20"/>
                <w:szCs w:val="20"/>
              </w:rPr>
              <w:instrText xml:space="preserve"> REF _Ref492057223 \h  \* MERGEFORMAT </w:instrText>
            </w:r>
            <w:r w:rsidRPr="00790A24">
              <w:rPr>
                <w:rFonts w:eastAsiaTheme="majorEastAsia"/>
                <w:sz w:val="20"/>
                <w:szCs w:val="20"/>
              </w:rPr>
            </w:r>
            <w:r w:rsidRPr="00790A24">
              <w:rPr>
                <w:rFonts w:eastAsiaTheme="majorEastAsia"/>
                <w:sz w:val="20"/>
                <w:szCs w:val="20"/>
              </w:rPr>
              <w:fldChar w:fldCharType="separate"/>
            </w:r>
            <w:r w:rsidR="00947034" w:rsidRPr="00947034">
              <w:rPr>
                <w:sz w:val="20"/>
                <w:szCs w:val="20"/>
              </w:rPr>
              <w:t xml:space="preserve">Box </w:t>
            </w:r>
            <w:r w:rsidR="00947034" w:rsidRPr="00947034">
              <w:rPr>
                <w:noProof/>
                <w:sz w:val="20"/>
                <w:szCs w:val="20"/>
              </w:rPr>
              <w:t>6.2</w:t>
            </w:r>
            <w:r w:rsidRPr="00790A24">
              <w:rPr>
                <w:rFonts w:eastAsiaTheme="majorEastAsia"/>
                <w:sz w:val="20"/>
                <w:szCs w:val="20"/>
              </w:rPr>
              <w:fldChar w:fldCharType="end"/>
            </w:r>
            <w:r w:rsidRPr="00790A24">
              <w:rPr>
                <w:rFonts w:eastAsiaTheme="majorEastAsia"/>
                <w:sz w:val="20"/>
                <w:szCs w:val="20"/>
              </w:rPr>
              <w:t xml:space="preserve">). </w:t>
            </w:r>
          </w:p>
          <w:p w14:paraId="6F110FB1" w14:textId="77777777" w:rsidR="00707D68" w:rsidRPr="00790A24" w:rsidRDefault="00707D68" w:rsidP="00707D68">
            <w:pPr>
              <w:pStyle w:val="TableBodyText"/>
              <w:rPr>
                <w:rFonts w:eastAsiaTheme="majorEastAsia"/>
                <w:sz w:val="20"/>
                <w:szCs w:val="20"/>
              </w:rPr>
            </w:pPr>
            <w:r w:rsidRPr="00790A24">
              <w:rPr>
                <w:rFonts w:eastAsiaTheme="majorEastAsia"/>
                <w:sz w:val="20"/>
                <w:szCs w:val="20"/>
              </w:rPr>
              <w:t xml:space="preserve">Part 22 can be amended by the AEMC through the usual rule change process.  </w:t>
            </w:r>
          </w:p>
          <w:p w14:paraId="7DA5A90E" w14:textId="668668E3" w:rsidR="00707D68" w:rsidRPr="00790A24" w:rsidRDefault="00707D68" w:rsidP="00707D68">
            <w:pPr>
              <w:pStyle w:val="TableBodyText"/>
              <w:rPr>
                <w:rFonts w:eastAsiaTheme="majorEastAsia"/>
                <w:sz w:val="20"/>
                <w:szCs w:val="20"/>
              </w:rPr>
            </w:pPr>
            <w:r w:rsidRPr="00790A24">
              <w:rPr>
                <w:rFonts w:eastAsiaTheme="majorEastAsia"/>
                <w:sz w:val="20"/>
                <w:szCs w:val="20"/>
              </w:rPr>
              <w:t>The</w:t>
            </w:r>
            <w:r w:rsidRPr="00790A24">
              <w:rPr>
                <w:sz w:val="20"/>
                <w:szCs w:val="20"/>
              </w:rPr>
              <w:t xml:space="preserve"> AER monitors compliance and can investigate and enforce breaches under </w:t>
            </w:r>
            <w:r w:rsidR="00110A2C">
              <w:rPr>
                <w:sz w:val="20"/>
                <w:szCs w:val="20"/>
              </w:rPr>
              <w:t>its</w:t>
            </w:r>
            <w:r w:rsidR="00852D52">
              <w:rPr>
                <w:sz w:val="20"/>
                <w:szCs w:val="20"/>
              </w:rPr>
              <w:t xml:space="preserve"> </w:t>
            </w:r>
            <w:r w:rsidRPr="00790A24">
              <w:rPr>
                <w:sz w:val="20"/>
                <w:szCs w:val="20"/>
              </w:rPr>
              <w:t>ge</w:t>
            </w:r>
            <w:r w:rsidRPr="00790A24">
              <w:rPr>
                <w:rFonts w:eastAsiaTheme="majorEastAsia"/>
                <w:sz w:val="20"/>
                <w:szCs w:val="20"/>
              </w:rPr>
              <w:t>neral powers.  It also has a specific duty in Part 22 to monitor compliance with the market conduct rules.</w:t>
            </w:r>
          </w:p>
        </w:tc>
      </w:tr>
      <w:tr w:rsidR="00707D68" w:rsidRPr="00790A24" w14:paraId="17410D1E" w14:textId="77777777" w:rsidTr="007D23DD">
        <w:trPr>
          <w:cantSplit/>
        </w:trPr>
        <w:tc>
          <w:tcPr>
            <w:tcW w:w="726" w:type="pct"/>
          </w:tcPr>
          <w:p w14:paraId="3979CAB2" w14:textId="36B3057B" w:rsidR="00707D68" w:rsidRPr="00790A24" w:rsidRDefault="00707D68" w:rsidP="00707D68">
            <w:pPr>
              <w:pStyle w:val="TableBodyText"/>
              <w:rPr>
                <w:sz w:val="20"/>
                <w:szCs w:val="20"/>
                <w:lang w:eastAsia="fr-CA"/>
              </w:rPr>
            </w:pPr>
            <w:r w:rsidRPr="00790A24">
              <w:rPr>
                <w:sz w:val="20"/>
                <w:szCs w:val="20"/>
                <w:lang w:eastAsia="fr-CA"/>
              </w:rPr>
              <w:t>Exchange Agreement</w:t>
            </w:r>
          </w:p>
        </w:tc>
        <w:tc>
          <w:tcPr>
            <w:tcW w:w="4274" w:type="pct"/>
          </w:tcPr>
          <w:p w14:paraId="203EF52A" w14:textId="70233F31" w:rsidR="00707D68" w:rsidRPr="00790A24" w:rsidRDefault="00707D68" w:rsidP="00707D68">
            <w:pPr>
              <w:pStyle w:val="TableBodyText"/>
              <w:rPr>
                <w:rFonts w:eastAsiaTheme="majorEastAsia"/>
                <w:sz w:val="20"/>
                <w:szCs w:val="20"/>
              </w:rPr>
            </w:pPr>
            <w:r w:rsidRPr="00790A24">
              <w:rPr>
                <w:rFonts w:eastAsiaTheme="majorEastAsia"/>
                <w:sz w:val="20"/>
                <w:szCs w:val="20"/>
              </w:rPr>
              <w:t xml:space="preserve">The Exchange Agreement </w:t>
            </w:r>
            <w:r w:rsidR="00110A2C">
              <w:rPr>
                <w:rFonts w:eastAsiaTheme="majorEastAsia"/>
                <w:sz w:val="20"/>
                <w:szCs w:val="20"/>
              </w:rPr>
              <w:t xml:space="preserve">that has been developed by </w:t>
            </w:r>
            <w:r w:rsidRPr="00790A24">
              <w:rPr>
                <w:rFonts w:eastAsiaTheme="majorEastAsia"/>
                <w:sz w:val="20"/>
                <w:szCs w:val="20"/>
              </w:rPr>
              <w:t xml:space="preserve">AEMO </w:t>
            </w:r>
            <w:r w:rsidR="00110A2C">
              <w:rPr>
                <w:rFonts w:eastAsiaTheme="majorEastAsia"/>
                <w:sz w:val="20"/>
                <w:szCs w:val="20"/>
              </w:rPr>
              <w:t xml:space="preserve">in accordance with the NGR and NGL, </w:t>
            </w:r>
            <w:r w:rsidRPr="00790A24">
              <w:rPr>
                <w:rFonts w:eastAsiaTheme="majorEastAsia"/>
                <w:sz w:val="20"/>
                <w:szCs w:val="20"/>
              </w:rPr>
              <w:t xml:space="preserve">is a multilateral contract.  It covers admission to the exchange, prudential requirements, operation of the exchange, product definition, delivery obligations and settlement.  Some provisions (such as the </w:t>
            </w:r>
            <w:r w:rsidR="003C187B">
              <w:rPr>
                <w:rFonts w:eastAsiaTheme="majorEastAsia"/>
                <w:sz w:val="20"/>
                <w:szCs w:val="20"/>
              </w:rPr>
              <w:t>Settlements and Prudential Methodology</w:t>
            </w:r>
            <w:r w:rsidRPr="00790A24">
              <w:rPr>
                <w:rFonts w:eastAsiaTheme="majorEastAsia"/>
                <w:sz w:val="20"/>
                <w:szCs w:val="20"/>
              </w:rPr>
              <w:t xml:space="preserve">) are set out in </w:t>
            </w:r>
            <w:r w:rsidR="003C187B">
              <w:rPr>
                <w:rFonts w:eastAsiaTheme="majorEastAsia"/>
                <w:sz w:val="20"/>
                <w:szCs w:val="20"/>
              </w:rPr>
              <w:t>subsidiary documents</w:t>
            </w:r>
            <w:r w:rsidRPr="00790A24">
              <w:rPr>
                <w:rFonts w:eastAsiaTheme="majorEastAsia"/>
                <w:sz w:val="20"/>
                <w:szCs w:val="20"/>
              </w:rPr>
              <w:t xml:space="preserve">.  </w:t>
            </w:r>
          </w:p>
          <w:p w14:paraId="1061E955" w14:textId="5603131F" w:rsidR="00707D68" w:rsidRPr="00790A24" w:rsidRDefault="00707D68" w:rsidP="00707D68">
            <w:pPr>
              <w:pStyle w:val="TableBodyText"/>
              <w:rPr>
                <w:sz w:val="20"/>
                <w:szCs w:val="20"/>
                <w:lang w:eastAsia="fr-CA"/>
              </w:rPr>
            </w:pPr>
            <w:r w:rsidRPr="00790A24">
              <w:rPr>
                <w:rFonts w:eastAsiaTheme="majorEastAsia"/>
                <w:sz w:val="20"/>
                <w:szCs w:val="20"/>
              </w:rPr>
              <w:t>The Exchange Agreement can be amended by AEMO over time</w:t>
            </w:r>
            <w:r w:rsidR="00F25A5A">
              <w:rPr>
                <w:rFonts w:eastAsiaTheme="majorEastAsia"/>
                <w:sz w:val="20"/>
                <w:szCs w:val="20"/>
              </w:rPr>
              <w:t xml:space="preserve"> to, for example, add new products, remove redundant products, or make refinements to existing products</w:t>
            </w:r>
            <w:r w:rsidRPr="00790A24">
              <w:rPr>
                <w:rFonts w:eastAsiaTheme="majorEastAsia"/>
                <w:sz w:val="20"/>
                <w:szCs w:val="20"/>
              </w:rPr>
              <w:t>.</w:t>
            </w:r>
            <w:r w:rsidRPr="00790A24">
              <w:rPr>
                <w:sz w:val="20"/>
                <w:szCs w:val="20"/>
                <w:lang w:eastAsia="fr-CA"/>
              </w:rPr>
              <w:t xml:space="preserve"> Specifically, rule 540 allows any person to propose an amendment to the </w:t>
            </w:r>
            <w:r w:rsidR="00110A2C">
              <w:rPr>
                <w:sz w:val="20"/>
                <w:szCs w:val="20"/>
                <w:lang w:eastAsia="fr-CA"/>
              </w:rPr>
              <w:t>E</w:t>
            </w:r>
            <w:r w:rsidRPr="00790A24">
              <w:rPr>
                <w:sz w:val="20"/>
                <w:szCs w:val="20"/>
                <w:lang w:eastAsia="fr-CA"/>
              </w:rPr>
              <w:t xml:space="preserve">xchange </w:t>
            </w:r>
            <w:r w:rsidR="00110A2C">
              <w:rPr>
                <w:sz w:val="20"/>
                <w:szCs w:val="20"/>
                <w:lang w:eastAsia="fr-CA"/>
              </w:rPr>
              <w:t>A</w:t>
            </w:r>
            <w:r w:rsidRPr="00790A24">
              <w:rPr>
                <w:sz w:val="20"/>
                <w:szCs w:val="20"/>
                <w:lang w:eastAsia="fr-CA"/>
              </w:rPr>
              <w:t>greement and states that AEMO can approve the amendment if it is satisfied: (a) the amendment is consistent with the NGL and the NGR; and (b) the amendment is appropriate having regard to the NGO and the compliance costs likely to be incurred by AEMO and participants.</w:t>
            </w:r>
            <w:r w:rsidR="00F25A5A">
              <w:rPr>
                <w:sz w:val="20"/>
                <w:szCs w:val="20"/>
                <w:lang w:eastAsia="fr-CA"/>
              </w:rPr>
              <w:t xml:space="preserve"> Before making a change, AEMO must consult with gas trading exchange members and any other persons AEMO thinks would be affected by the proposed amendment. </w:t>
            </w:r>
          </w:p>
        </w:tc>
      </w:tr>
      <w:tr w:rsidR="00707D68" w:rsidRPr="00790A24" w14:paraId="16584813" w14:textId="77777777" w:rsidTr="007D23DD">
        <w:trPr>
          <w:cnfStyle w:val="000000010000" w:firstRow="0" w:lastRow="0" w:firstColumn="0" w:lastColumn="0" w:oddVBand="0" w:evenVBand="0" w:oddHBand="0" w:evenHBand="1" w:firstRowFirstColumn="0" w:firstRowLastColumn="0" w:lastRowFirstColumn="0" w:lastRowLastColumn="0"/>
          <w:cantSplit/>
        </w:trPr>
        <w:tc>
          <w:tcPr>
            <w:tcW w:w="726" w:type="pct"/>
          </w:tcPr>
          <w:p w14:paraId="35A0E3F5" w14:textId="064A5840" w:rsidR="00707D68" w:rsidRPr="00790A24" w:rsidRDefault="0082203A" w:rsidP="00707D68">
            <w:pPr>
              <w:pStyle w:val="TableBodyText"/>
              <w:rPr>
                <w:sz w:val="20"/>
                <w:szCs w:val="20"/>
                <w:lang w:eastAsia="fr-CA"/>
              </w:rPr>
            </w:pPr>
            <w:r>
              <w:rPr>
                <w:sz w:val="20"/>
                <w:szCs w:val="20"/>
                <w:lang w:eastAsia="fr-CA"/>
              </w:rPr>
              <w:lastRenderedPageBreak/>
              <w:t>GSH Subsidiary Documents</w:t>
            </w:r>
          </w:p>
        </w:tc>
        <w:tc>
          <w:tcPr>
            <w:tcW w:w="4274" w:type="pct"/>
          </w:tcPr>
          <w:p w14:paraId="7732C834" w14:textId="59088A1D" w:rsidR="00707D68" w:rsidRPr="00790A24" w:rsidRDefault="007D23DD" w:rsidP="007D23DD">
            <w:pPr>
              <w:pStyle w:val="TableBodyText"/>
              <w:rPr>
                <w:sz w:val="20"/>
                <w:szCs w:val="20"/>
              </w:rPr>
            </w:pPr>
            <w:r w:rsidRPr="00790A24">
              <w:rPr>
                <w:sz w:val="20"/>
                <w:szCs w:val="20"/>
              </w:rPr>
              <w:t>AEMO has the power to make procedures in accordance with t</w:t>
            </w:r>
            <w:r w:rsidR="00707D68" w:rsidRPr="00790A24">
              <w:rPr>
                <w:sz w:val="20"/>
                <w:szCs w:val="20"/>
              </w:rPr>
              <w:t>he Exchange Agreement</w:t>
            </w:r>
            <w:r w:rsidRPr="00790A24">
              <w:rPr>
                <w:sz w:val="20"/>
                <w:szCs w:val="20"/>
              </w:rPr>
              <w:t>. The procedures that AEMO has published to date include procedures on</w:t>
            </w:r>
            <w:r w:rsidR="00707D68" w:rsidRPr="00790A24">
              <w:rPr>
                <w:sz w:val="20"/>
                <w:szCs w:val="20"/>
              </w:rPr>
              <w:t>:</w:t>
            </w:r>
          </w:p>
          <w:p w14:paraId="7B25BAD8" w14:textId="2F6C10A6" w:rsidR="00707D68" w:rsidRPr="00790A24" w:rsidRDefault="007D23DD" w:rsidP="00707D68">
            <w:pPr>
              <w:pStyle w:val="TableBullet1"/>
              <w:rPr>
                <w:sz w:val="20"/>
                <w:szCs w:val="20"/>
              </w:rPr>
            </w:pPr>
            <w:r w:rsidRPr="00790A24">
              <w:rPr>
                <w:sz w:val="20"/>
                <w:szCs w:val="20"/>
              </w:rPr>
              <w:t>reallocation</w:t>
            </w:r>
            <w:r w:rsidR="003C187B">
              <w:rPr>
                <w:sz w:val="20"/>
                <w:szCs w:val="20"/>
              </w:rPr>
              <w:t xml:space="preserve"> (the Reallocation Procedure)</w:t>
            </w:r>
            <w:r w:rsidRPr="00790A24">
              <w:rPr>
                <w:sz w:val="20"/>
                <w:szCs w:val="20"/>
              </w:rPr>
              <w:t>;</w:t>
            </w:r>
          </w:p>
          <w:p w14:paraId="717DEF05" w14:textId="634B6EFC" w:rsidR="00707D68" w:rsidRPr="00790A24" w:rsidRDefault="007D23DD" w:rsidP="00707D68">
            <w:pPr>
              <w:pStyle w:val="TableBullet1"/>
              <w:rPr>
                <w:sz w:val="20"/>
                <w:szCs w:val="20"/>
              </w:rPr>
            </w:pPr>
            <w:r w:rsidRPr="00790A24">
              <w:rPr>
                <w:sz w:val="20"/>
                <w:szCs w:val="20"/>
              </w:rPr>
              <w:t xml:space="preserve">the </w:t>
            </w:r>
            <w:r w:rsidR="003C187B">
              <w:rPr>
                <w:sz w:val="20"/>
                <w:szCs w:val="20"/>
              </w:rPr>
              <w:t>interface between systems (the I</w:t>
            </w:r>
            <w:r w:rsidRPr="00790A24">
              <w:rPr>
                <w:sz w:val="20"/>
                <w:szCs w:val="20"/>
              </w:rPr>
              <w:t xml:space="preserve">nterface </w:t>
            </w:r>
            <w:r w:rsidR="003C187B">
              <w:rPr>
                <w:sz w:val="20"/>
                <w:szCs w:val="20"/>
              </w:rPr>
              <w:t>P</w:t>
            </w:r>
            <w:r w:rsidRPr="00790A24">
              <w:rPr>
                <w:sz w:val="20"/>
                <w:szCs w:val="20"/>
              </w:rPr>
              <w:t>rotocol</w:t>
            </w:r>
            <w:r w:rsidR="003C187B">
              <w:rPr>
                <w:sz w:val="20"/>
                <w:szCs w:val="20"/>
              </w:rPr>
              <w:t>)</w:t>
            </w:r>
            <w:r w:rsidRPr="00790A24">
              <w:rPr>
                <w:sz w:val="20"/>
                <w:szCs w:val="20"/>
              </w:rPr>
              <w:t>;</w:t>
            </w:r>
            <w:r w:rsidR="00707D68" w:rsidRPr="00790A24">
              <w:rPr>
                <w:sz w:val="20"/>
                <w:szCs w:val="20"/>
              </w:rPr>
              <w:t xml:space="preserve"> </w:t>
            </w:r>
          </w:p>
          <w:p w14:paraId="07478B15" w14:textId="2CE18E59" w:rsidR="00707D68" w:rsidRPr="00790A24" w:rsidRDefault="007D23DD" w:rsidP="00707D68">
            <w:pPr>
              <w:pStyle w:val="TableBullet1"/>
              <w:rPr>
                <w:sz w:val="20"/>
                <w:szCs w:val="20"/>
              </w:rPr>
            </w:pPr>
            <w:r w:rsidRPr="00790A24">
              <w:rPr>
                <w:sz w:val="20"/>
                <w:szCs w:val="20"/>
              </w:rPr>
              <w:t>exchange fees; and</w:t>
            </w:r>
          </w:p>
          <w:p w14:paraId="78560059" w14:textId="6316F2CA" w:rsidR="00707D68" w:rsidRPr="00790A24" w:rsidRDefault="00707D68" w:rsidP="00707D68">
            <w:pPr>
              <w:pStyle w:val="TableBullet1"/>
              <w:rPr>
                <w:sz w:val="20"/>
                <w:szCs w:val="20"/>
              </w:rPr>
            </w:pPr>
            <w:r w:rsidRPr="00790A24">
              <w:rPr>
                <w:sz w:val="20"/>
                <w:szCs w:val="20"/>
              </w:rPr>
              <w:t>security deposit</w:t>
            </w:r>
            <w:r w:rsidR="007D23DD" w:rsidRPr="00790A24">
              <w:rPr>
                <w:sz w:val="20"/>
                <w:szCs w:val="20"/>
              </w:rPr>
              <w:t>s</w:t>
            </w:r>
            <w:r w:rsidRPr="00790A24">
              <w:rPr>
                <w:sz w:val="20"/>
                <w:szCs w:val="20"/>
              </w:rPr>
              <w:t xml:space="preserve">. </w:t>
            </w:r>
          </w:p>
        </w:tc>
      </w:tr>
    </w:tbl>
    <w:p w14:paraId="7B0C0D73" w14:textId="6C0E3C0E" w:rsidR="00110A2C" w:rsidRDefault="00110A2C" w:rsidP="003C187B">
      <w:pPr>
        <w:pStyle w:val="Caption"/>
        <w:spacing w:after="0"/>
      </w:pPr>
      <w:bookmarkStart w:id="143" w:name="_Toc489464933"/>
      <w:bookmarkEnd w:id="142"/>
    </w:p>
    <w:tbl>
      <w:tblPr>
        <w:tblStyle w:val="PullOutBoxTable"/>
        <w:tblW w:w="5000" w:type="pct"/>
        <w:tblLook w:val="0600" w:firstRow="0" w:lastRow="0" w:firstColumn="0" w:lastColumn="0" w:noHBand="1" w:noVBand="1"/>
        <w:tblCaption w:val="Box 6.2: Market Conduct Rules"/>
        <w:tblDescription w:val="Market Conduct Rules"/>
      </w:tblPr>
      <w:tblGrid>
        <w:gridCol w:w="8788"/>
      </w:tblGrid>
      <w:tr w:rsidR="00110A2C" w:rsidRPr="00854182" w14:paraId="5CBB0E1C" w14:textId="77777777" w:rsidTr="006E1AEC">
        <w:trPr>
          <w:tblHeader/>
        </w:trPr>
        <w:tc>
          <w:tcPr>
            <w:tcW w:w="5000" w:type="pct"/>
            <w:shd w:val="clear" w:color="auto" w:fill="auto"/>
          </w:tcPr>
          <w:p w14:paraId="10EC851B" w14:textId="7922CA63" w:rsidR="00110A2C" w:rsidRPr="006E1AEC" w:rsidRDefault="006E1AEC" w:rsidP="006E1AEC">
            <w:pPr>
              <w:pStyle w:val="BodyText"/>
              <w:keepNext/>
              <w:spacing w:before="60" w:after="0"/>
              <w:rPr>
                <w:rFonts w:asciiTheme="majorHAnsi" w:hAnsiTheme="majorHAnsi" w:cstheme="majorHAnsi"/>
                <w:b/>
                <w:sz w:val="20"/>
                <w:szCs w:val="20"/>
              </w:rPr>
            </w:pPr>
            <w:bookmarkStart w:id="144" w:name="_Ref492057223"/>
            <w:r w:rsidRPr="006E1AEC">
              <w:rPr>
                <w:b/>
              </w:rPr>
              <w:t xml:space="preserve">Box </w:t>
            </w:r>
            <w:r w:rsidRPr="006E1AEC">
              <w:rPr>
                <w:b/>
              </w:rPr>
              <w:fldChar w:fldCharType="begin"/>
            </w:r>
            <w:r w:rsidRPr="006E1AEC">
              <w:rPr>
                <w:b/>
              </w:rPr>
              <w:instrText xml:space="preserve"> STYLEREF 1 \s </w:instrText>
            </w:r>
            <w:r w:rsidRPr="006E1AEC">
              <w:rPr>
                <w:b/>
              </w:rPr>
              <w:fldChar w:fldCharType="separate"/>
            </w:r>
            <w:r w:rsidRPr="006E1AEC">
              <w:rPr>
                <w:b/>
                <w:noProof/>
              </w:rPr>
              <w:t>6</w:t>
            </w:r>
            <w:r w:rsidRPr="006E1AEC">
              <w:rPr>
                <w:b/>
                <w:noProof/>
              </w:rPr>
              <w:fldChar w:fldCharType="end"/>
            </w:r>
            <w:r w:rsidRPr="006E1AEC">
              <w:rPr>
                <w:b/>
              </w:rPr>
              <w:t>.</w:t>
            </w:r>
            <w:r w:rsidRPr="006E1AEC">
              <w:rPr>
                <w:b/>
              </w:rPr>
              <w:fldChar w:fldCharType="begin"/>
            </w:r>
            <w:r w:rsidRPr="006E1AEC">
              <w:rPr>
                <w:b/>
              </w:rPr>
              <w:instrText xml:space="preserve"> SEQ Box \* ARABIC \s 1 </w:instrText>
            </w:r>
            <w:r w:rsidRPr="006E1AEC">
              <w:rPr>
                <w:b/>
              </w:rPr>
              <w:fldChar w:fldCharType="separate"/>
            </w:r>
            <w:r w:rsidRPr="006E1AEC">
              <w:rPr>
                <w:b/>
                <w:noProof/>
              </w:rPr>
              <w:t>2</w:t>
            </w:r>
            <w:r w:rsidRPr="006E1AEC">
              <w:rPr>
                <w:b/>
                <w:noProof/>
              </w:rPr>
              <w:fldChar w:fldCharType="end"/>
            </w:r>
            <w:bookmarkEnd w:id="144"/>
            <w:r w:rsidRPr="006E1AEC">
              <w:rPr>
                <w:b/>
              </w:rPr>
              <w:t>: Market Conduct Rules</w:t>
            </w:r>
          </w:p>
        </w:tc>
      </w:tr>
      <w:tr w:rsidR="006E1AEC" w:rsidRPr="00854182" w14:paraId="54E3A8C8" w14:textId="77777777" w:rsidTr="006E1AEC">
        <w:trPr>
          <w:tblHeader/>
        </w:trPr>
        <w:tc>
          <w:tcPr>
            <w:tcW w:w="5000" w:type="pct"/>
          </w:tcPr>
          <w:p w14:paraId="29EF52E2" w14:textId="77777777" w:rsidR="006E1AEC" w:rsidRPr="00854182" w:rsidRDefault="006E1AEC" w:rsidP="006E1AEC">
            <w:pPr>
              <w:pStyle w:val="BodyText"/>
              <w:keepNext/>
              <w:spacing w:before="60"/>
              <w:rPr>
                <w:rFonts w:asciiTheme="majorHAnsi" w:hAnsiTheme="majorHAnsi" w:cstheme="majorHAnsi"/>
                <w:sz w:val="20"/>
                <w:szCs w:val="20"/>
              </w:rPr>
            </w:pPr>
            <w:r w:rsidRPr="00854182">
              <w:rPr>
                <w:rFonts w:asciiTheme="majorHAnsi" w:hAnsiTheme="majorHAnsi" w:cstheme="majorHAnsi"/>
                <w:sz w:val="20"/>
                <w:szCs w:val="20"/>
              </w:rPr>
              <w:t>The market conduct rules are set out in rules 542-544 of Part 22 of the NGR.</w:t>
            </w:r>
          </w:p>
          <w:p w14:paraId="5D4B635E" w14:textId="77777777" w:rsidR="006E1AEC" w:rsidRPr="00854182" w:rsidRDefault="006E1AEC" w:rsidP="006E1AEC">
            <w:pPr>
              <w:pStyle w:val="BodyText"/>
              <w:keepNext/>
              <w:spacing w:before="60"/>
              <w:rPr>
                <w:rFonts w:asciiTheme="majorHAnsi" w:hAnsiTheme="majorHAnsi" w:cstheme="majorHAnsi"/>
                <w:color w:val="000000"/>
                <w:sz w:val="20"/>
                <w:szCs w:val="20"/>
              </w:rPr>
            </w:pPr>
            <w:r w:rsidRPr="00854182">
              <w:rPr>
                <w:rFonts w:asciiTheme="majorHAnsi" w:hAnsiTheme="majorHAnsi" w:cstheme="majorHAnsi"/>
                <w:sz w:val="20"/>
                <w:szCs w:val="20"/>
              </w:rPr>
              <w:t xml:space="preserve">Rule 542 states that </w:t>
            </w:r>
            <w:r w:rsidRPr="00854182">
              <w:rPr>
                <w:rFonts w:asciiTheme="majorHAnsi" w:hAnsiTheme="majorHAnsi" w:cstheme="majorHAnsi"/>
                <w:color w:val="000000"/>
                <w:sz w:val="20"/>
                <w:szCs w:val="20"/>
              </w:rPr>
              <w:t xml:space="preserve">a GSH member must, in relation to its activities in connection with the GSH or the products it trades on the GSH: </w:t>
            </w:r>
          </w:p>
          <w:p w14:paraId="303000FD" w14:textId="77777777" w:rsidR="006E1AEC" w:rsidRPr="00B73860" w:rsidRDefault="006E1AEC" w:rsidP="006E1AEC">
            <w:pPr>
              <w:pStyle w:val="ListParagraph"/>
              <w:keepNext/>
              <w:numPr>
                <w:ilvl w:val="4"/>
                <w:numId w:val="63"/>
              </w:numPr>
              <w:autoSpaceDE w:val="0"/>
              <w:autoSpaceDN w:val="0"/>
              <w:adjustRightInd w:val="0"/>
              <w:spacing w:before="60" w:after="120" w:line="240" w:lineRule="auto"/>
              <w:ind w:left="924" w:hanging="357"/>
              <w:contextualSpacing w:val="0"/>
              <w:rPr>
                <w:rFonts w:asciiTheme="majorHAnsi" w:hAnsiTheme="majorHAnsi" w:cstheme="majorHAnsi"/>
                <w:color w:val="000000"/>
                <w:sz w:val="19"/>
                <w:szCs w:val="19"/>
              </w:rPr>
            </w:pPr>
            <w:r w:rsidRPr="00B73860">
              <w:rPr>
                <w:rFonts w:asciiTheme="majorHAnsi" w:hAnsiTheme="majorHAnsi" w:cstheme="majorHAnsi"/>
                <w:color w:val="000000"/>
                <w:sz w:val="19"/>
                <w:szCs w:val="19"/>
              </w:rPr>
              <w:t xml:space="preserve">comply with all applicable laws relevant to the performance of its obligations; and </w:t>
            </w:r>
          </w:p>
          <w:p w14:paraId="3CA2BCB5" w14:textId="77777777" w:rsidR="006E1AEC" w:rsidRPr="00B73860" w:rsidRDefault="006E1AEC" w:rsidP="006E1AEC">
            <w:pPr>
              <w:pStyle w:val="ListParagraph"/>
              <w:keepNext/>
              <w:numPr>
                <w:ilvl w:val="4"/>
                <w:numId w:val="63"/>
              </w:numPr>
              <w:autoSpaceDE w:val="0"/>
              <w:autoSpaceDN w:val="0"/>
              <w:adjustRightInd w:val="0"/>
              <w:spacing w:before="60" w:after="120" w:line="240" w:lineRule="auto"/>
              <w:ind w:left="924" w:hanging="357"/>
              <w:contextualSpacing w:val="0"/>
              <w:rPr>
                <w:rFonts w:asciiTheme="majorHAnsi" w:hAnsiTheme="majorHAnsi" w:cstheme="majorHAnsi"/>
                <w:color w:val="000000"/>
                <w:sz w:val="19"/>
                <w:szCs w:val="19"/>
              </w:rPr>
            </w:pPr>
            <w:r w:rsidRPr="00B73860">
              <w:rPr>
                <w:rFonts w:asciiTheme="majorHAnsi" w:hAnsiTheme="majorHAnsi" w:cstheme="majorHAnsi"/>
                <w:color w:val="000000"/>
                <w:sz w:val="19"/>
                <w:szCs w:val="19"/>
              </w:rPr>
              <w:t xml:space="preserve">not act fraudulently, dishonestly or in bad faith; and </w:t>
            </w:r>
          </w:p>
          <w:p w14:paraId="4A2E3A94" w14:textId="77777777" w:rsidR="006E1AEC" w:rsidRPr="00B73860" w:rsidRDefault="006E1AEC" w:rsidP="006E1AEC">
            <w:pPr>
              <w:pStyle w:val="BodyText"/>
              <w:keepNext/>
              <w:numPr>
                <w:ilvl w:val="4"/>
                <w:numId w:val="63"/>
              </w:numPr>
              <w:spacing w:before="60"/>
              <w:ind w:left="924" w:hanging="357"/>
              <w:rPr>
                <w:rFonts w:asciiTheme="majorHAnsi" w:hAnsiTheme="majorHAnsi" w:cstheme="majorHAnsi"/>
                <w:sz w:val="19"/>
                <w:szCs w:val="19"/>
              </w:rPr>
            </w:pPr>
            <w:r w:rsidRPr="00B73860">
              <w:rPr>
                <w:rFonts w:asciiTheme="majorHAnsi" w:hAnsiTheme="majorHAnsi" w:cstheme="majorHAnsi"/>
                <w:color w:val="000000"/>
                <w:sz w:val="19"/>
                <w:szCs w:val="19"/>
              </w:rPr>
              <w:t>not engage in any conduct with the intent of distorting or manipulating prices (including reported prices) or misleading any person.</w:t>
            </w:r>
          </w:p>
          <w:p w14:paraId="6A8A1CE6" w14:textId="77777777" w:rsidR="006E1AEC" w:rsidRPr="00854182" w:rsidRDefault="006E1AEC" w:rsidP="006E1AEC">
            <w:pPr>
              <w:pStyle w:val="BodyText"/>
              <w:keepNext/>
              <w:spacing w:before="60"/>
              <w:rPr>
                <w:rFonts w:asciiTheme="majorHAnsi" w:hAnsiTheme="majorHAnsi" w:cstheme="majorHAnsi"/>
                <w:sz w:val="20"/>
                <w:szCs w:val="20"/>
              </w:rPr>
            </w:pPr>
            <w:r w:rsidRPr="00854182">
              <w:rPr>
                <w:rFonts w:asciiTheme="majorHAnsi" w:hAnsiTheme="majorHAnsi" w:cstheme="majorHAnsi"/>
                <w:sz w:val="20"/>
                <w:szCs w:val="20"/>
              </w:rPr>
              <w:t xml:space="preserve">Rule 543 sets out a number of specific conduct rules relating to the trade of products on the GSH and states that: </w:t>
            </w:r>
          </w:p>
          <w:p w14:paraId="4F839B4A" w14:textId="77777777" w:rsidR="006E1AEC" w:rsidRPr="00B73860" w:rsidRDefault="006E1AEC" w:rsidP="006E1AEC">
            <w:pPr>
              <w:keepNext/>
              <w:tabs>
                <w:tab w:val="left" w:pos="964"/>
              </w:tabs>
              <w:autoSpaceDE w:val="0"/>
              <w:autoSpaceDN w:val="0"/>
              <w:adjustRightInd w:val="0"/>
              <w:spacing w:before="60" w:after="120"/>
              <w:ind w:left="924" w:hanging="357"/>
              <w:rPr>
                <w:rFonts w:asciiTheme="majorHAnsi" w:hAnsiTheme="majorHAnsi" w:cstheme="majorHAnsi"/>
                <w:color w:val="000000"/>
                <w:sz w:val="19"/>
                <w:szCs w:val="19"/>
              </w:rPr>
            </w:pPr>
            <w:r w:rsidRPr="00B73860">
              <w:rPr>
                <w:rFonts w:asciiTheme="majorHAnsi" w:hAnsiTheme="majorHAnsi" w:cstheme="majorHAnsi"/>
                <w:color w:val="000000"/>
                <w:sz w:val="19"/>
                <w:szCs w:val="19"/>
              </w:rPr>
              <w:t xml:space="preserve">(1)  A GSH member must not submit offers to buy or sell products on the GSH: </w:t>
            </w:r>
          </w:p>
          <w:p w14:paraId="06E949C4" w14:textId="77777777" w:rsidR="006E1AEC" w:rsidRPr="00B73860" w:rsidRDefault="006E1AEC" w:rsidP="006E1AEC">
            <w:pPr>
              <w:keepNext/>
              <w:autoSpaceDE w:val="0"/>
              <w:autoSpaceDN w:val="0"/>
              <w:adjustRightInd w:val="0"/>
              <w:spacing w:before="60" w:after="120"/>
              <w:ind w:left="1283" w:hanging="357"/>
              <w:rPr>
                <w:rFonts w:asciiTheme="majorHAnsi" w:hAnsiTheme="majorHAnsi" w:cstheme="majorHAnsi"/>
                <w:color w:val="000000"/>
                <w:sz w:val="19"/>
                <w:szCs w:val="19"/>
              </w:rPr>
            </w:pPr>
            <w:r w:rsidRPr="00B73860">
              <w:rPr>
                <w:rFonts w:asciiTheme="majorHAnsi" w:hAnsiTheme="majorHAnsi" w:cstheme="majorHAnsi"/>
                <w:color w:val="000000"/>
                <w:sz w:val="19"/>
                <w:szCs w:val="19"/>
              </w:rPr>
              <w:t xml:space="preserve">(a) if the member knows, or ought to know, that it will not be able to perform its obligations under a resulting transaction; </w:t>
            </w:r>
          </w:p>
          <w:p w14:paraId="3EBF9C8D" w14:textId="77777777" w:rsidR="006E1AEC" w:rsidRPr="00B73860" w:rsidRDefault="006E1AEC" w:rsidP="006E1AEC">
            <w:pPr>
              <w:keepNext/>
              <w:autoSpaceDE w:val="0"/>
              <w:autoSpaceDN w:val="0"/>
              <w:adjustRightInd w:val="0"/>
              <w:spacing w:before="60" w:after="120"/>
              <w:ind w:left="1283" w:hanging="357"/>
              <w:rPr>
                <w:rFonts w:asciiTheme="majorHAnsi" w:hAnsiTheme="majorHAnsi" w:cstheme="majorHAnsi"/>
                <w:color w:val="000000"/>
                <w:sz w:val="19"/>
                <w:szCs w:val="19"/>
              </w:rPr>
            </w:pPr>
            <w:r w:rsidRPr="00B73860">
              <w:rPr>
                <w:rFonts w:asciiTheme="majorHAnsi" w:hAnsiTheme="majorHAnsi" w:cstheme="majorHAnsi"/>
                <w:color w:val="000000"/>
                <w:sz w:val="19"/>
                <w:szCs w:val="19"/>
              </w:rPr>
              <w:t xml:space="preserve">(b) with the intention of defaulting in its performance; </w:t>
            </w:r>
          </w:p>
          <w:p w14:paraId="57E5977A" w14:textId="77777777" w:rsidR="006E1AEC" w:rsidRPr="00B73860" w:rsidRDefault="006E1AEC" w:rsidP="006E1AEC">
            <w:pPr>
              <w:keepNext/>
              <w:autoSpaceDE w:val="0"/>
              <w:autoSpaceDN w:val="0"/>
              <w:adjustRightInd w:val="0"/>
              <w:spacing w:before="60" w:after="120"/>
              <w:ind w:left="1283" w:hanging="357"/>
              <w:rPr>
                <w:rFonts w:asciiTheme="majorHAnsi" w:hAnsiTheme="majorHAnsi" w:cstheme="majorHAnsi"/>
                <w:color w:val="000000"/>
                <w:sz w:val="19"/>
                <w:szCs w:val="19"/>
              </w:rPr>
            </w:pPr>
            <w:r w:rsidRPr="00B73860">
              <w:rPr>
                <w:rFonts w:asciiTheme="majorHAnsi" w:hAnsiTheme="majorHAnsi" w:cstheme="majorHAnsi"/>
                <w:color w:val="000000"/>
                <w:sz w:val="19"/>
                <w:szCs w:val="19"/>
              </w:rPr>
              <w:t xml:space="preserve">(c) with the intention of causing a transaction with itself; or </w:t>
            </w:r>
          </w:p>
          <w:p w14:paraId="1DF0FD63" w14:textId="77777777" w:rsidR="006E1AEC" w:rsidRPr="00B73860" w:rsidRDefault="006E1AEC" w:rsidP="006E1AEC">
            <w:pPr>
              <w:keepNext/>
              <w:autoSpaceDE w:val="0"/>
              <w:autoSpaceDN w:val="0"/>
              <w:adjustRightInd w:val="0"/>
              <w:spacing w:before="60" w:after="120"/>
              <w:ind w:left="1283" w:hanging="357"/>
              <w:rPr>
                <w:rFonts w:asciiTheme="majorHAnsi" w:hAnsiTheme="majorHAnsi" w:cstheme="majorHAnsi"/>
                <w:color w:val="000000"/>
                <w:sz w:val="19"/>
                <w:szCs w:val="19"/>
              </w:rPr>
            </w:pPr>
            <w:r w:rsidRPr="00B73860">
              <w:rPr>
                <w:rFonts w:asciiTheme="majorHAnsi" w:hAnsiTheme="majorHAnsi" w:cstheme="majorHAnsi"/>
                <w:color w:val="000000"/>
                <w:sz w:val="19"/>
                <w:szCs w:val="19"/>
              </w:rPr>
              <w:t xml:space="preserve">(d) with the intention of causing a transaction with an associate, in circumstances where the terms of that transaction may be varied on terms that would not reasonably be agreed with a separate unrelated party. </w:t>
            </w:r>
          </w:p>
          <w:p w14:paraId="41357F2E" w14:textId="77777777" w:rsidR="006E1AEC" w:rsidRPr="00B73860" w:rsidRDefault="006E1AEC" w:rsidP="006E1AEC">
            <w:pPr>
              <w:keepNext/>
              <w:autoSpaceDE w:val="0"/>
              <w:autoSpaceDN w:val="0"/>
              <w:adjustRightInd w:val="0"/>
              <w:spacing w:before="60" w:after="120"/>
              <w:ind w:left="924" w:hanging="357"/>
              <w:rPr>
                <w:rFonts w:asciiTheme="majorHAnsi" w:hAnsiTheme="majorHAnsi" w:cstheme="majorHAnsi"/>
                <w:color w:val="000000"/>
                <w:sz w:val="19"/>
                <w:szCs w:val="19"/>
              </w:rPr>
            </w:pPr>
            <w:r w:rsidRPr="00B73860">
              <w:rPr>
                <w:rFonts w:asciiTheme="majorHAnsi" w:hAnsiTheme="majorHAnsi" w:cstheme="majorHAnsi"/>
                <w:color w:val="000000"/>
                <w:sz w:val="19"/>
                <w:szCs w:val="19"/>
              </w:rPr>
              <w:t xml:space="preserve">(2)  A GSH member must not intentionally or recklessly default in the performance of its obligations under any transaction arising on the GSH. </w:t>
            </w:r>
          </w:p>
          <w:p w14:paraId="3C5CD4BD" w14:textId="77777777" w:rsidR="006E1AEC" w:rsidRPr="00B73860" w:rsidRDefault="006E1AEC" w:rsidP="006E1AEC">
            <w:pPr>
              <w:pStyle w:val="BodyText"/>
              <w:keepNext/>
              <w:spacing w:before="60"/>
              <w:ind w:left="924" w:hanging="357"/>
              <w:rPr>
                <w:rFonts w:asciiTheme="majorHAnsi" w:hAnsiTheme="majorHAnsi" w:cstheme="majorHAnsi"/>
                <w:color w:val="000000"/>
                <w:sz w:val="19"/>
                <w:szCs w:val="19"/>
              </w:rPr>
            </w:pPr>
            <w:r w:rsidRPr="00B73860">
              <w:rPr>
                <w:rFonts w:asciiTheme="majorHAnsi" w:hAnsiTheme="majorHAnsi" w:cstheme="majorHAnsi"/>
                <w:color w:val="000000"/>
                <w:sz w:val="19"/>
                <w:szCs w:val="19"/>
              </w:rPr>
              <w:t xml:space="preserve">(3)  A GSH member must not manipulate or attempt to manipulate the price of products traded on the gas trading exchange. </w:t>
            </w:r>
          </w:p>
          <w:p w14:paraId="505A2602" w14:textId="77777777" w:rsidR="006E1AEC" w:rsidRPr="00854182" w:rsidRDefault="006E1AEC" w:rsidP="006E1AEC">
            <w:pPr>
              <w:pStyle w:val="BodyText"/>
              <w:keepNext/>
              <w:spacing w:before="60"/>
              <w:rPr>
                <w:rFonts w:asciiTheme="majorHAnsi" w:hAnsiTheme="majorHAnsi" w:cstheme="majorHAnsi"/>
                <w:sz w:val="20"/>
                <w:szCs w:val="20"/>
              </w:rPr>
            </w:pPr>
            <w:r w:rsidRPr="00854182">
              <w:rPr>
                <w:rFonts w:asciiTheme="majorHAnsi" w:hAnsiTheme="majorHAnsi" w:cstheme="majorHAnsi"/>
                <w:sz w:val="20"/>
                <w:szCs w:val="20"/>
              </w:rPr>
              <w:t xml:space="preserve">Rule 544 sets out a number of specific conduct rules relating to the provision of information and states that: </w:t>
            </w:r>
          </w:p>
          <w:p w14:paraId="2D710247" w14:textId="77777777" w:rsidR="006E1AEC" w:rsidRPr="00B73860" w:rsidRDefault="006E1AEC" w:rsidP="006E1AEC">
            <w:pPr>
              <w:pStyle w:val="BodyText"/>
              <w:keepNext/>
              <w:spacing w:before="60"/>
              <w:ind w:left="924" w:hanging="357"/>
              <w:rPr>
                <w:rFonts w:asciiTheme="majorHAnsi" w:hAnsiTheme="majorHAnsi" w:cstheme="majorHAnsi"/>
                <w:sz w:val="19"/>
                <w:szCs w:val="19"/>
              </w:rPr>
            </w:pPr>
            <w:r w:rsidRPr="00B73860">
              <w:rPr>
                <w:rFonts w:asciiTheme="majorHAnsi" w:hAnsiTheme="majorHAnsi" w:cstheme="majorHAnsi"/>
                <w:sz w:val="19"/>
                <w:szCs w:val="19"/>
              </w:rPr>
              <w:t xml:space="preserve">(1) A GSH member must take all reasonable steps to ensure that all data and information given to AEMO or another member in accordance with the </w:t>
            </w:r>
            <w:r>
              <w:rPr>
                <w:rFonts w:asciiTheme="majorHAnsi" w:hAnsiTheme="majorHAnsi" w:cstheme="majorHAnsi"/>
                <w:sz w:val="19"/>
                <w:szCs w:val="19"/>
              </w:rPr>
              <w:t>E</w:t>
            </w:r>
            <w:r w:rsidRPr="00B73860">
              <w:rPr>
                <w:rFonts w:asciiTheme="majorHAnsi" w:hAnsiTheme="majorHAnsi" w:cstheme="majorHAnsi"/>
                <w:sz w:val="19"/>
                <w:szCs w:val="19"/>
              </w:rPr>
              <w:t xml:space="preserve">xchange </w:t>
            </w:r>
            <w:r>
              <w:rPr>
                <w:rFonts w:asciiTheme="majorHAnsi" w:hAnsiTheme="majorHAnsi" w:cstheme="majorHAnsi"/>
                <w:sz w:val="19"/>
                <w:szCs w:val="19"/>
              </w:rPr>
              <w:t>A</w:t>
            </w:r>
            <w:r w:rsidRPr="00B73860">
              <w:rPr>
                <w:rFonts w:asciiTheme="majorHAnsi" w:hAnsiTheme="majorHAnsi" w:cstheme="majorHAnsi"/>
                <w:sz w:val="19"/>
                <w:szCs w:val="19"/>
              </w:rPr>
              <w:t xml:space="preserve">greement is correct. </w:t>
            </w:r>
          </w:p>
          <w:p w14:paraId="637138AE" w14:textId="77777777" w:rsidR="006E1AEC" w:rsidRPr="00B73860" w:rsidRDefault="006E1AEC" w:rsidP="006E1AEC">
            <w:pPr>
              <w:pStyle w:val="BodyText"/>
              <w:keepNext/>
              <w:spacing w:before="60"/>
              <w:ind w:left="924" w:hanging="357"/>
              <w:rPr>
                <w:rFonts w:asciiTheme="majorHAnsi" w:hAnsiTheme="majorHAnsi" w:cstheme="majorHAnsi"/>
                <w:sz w:val="19"/>
                <w:szCs w:val="19"/>
              </w:rPr>
            </w:pPr>
            <w:r w:rsidRPr="00B73860">
              <w:rPr>
                <w:rFonts w:asciiTheme="majorHAnsi" w:hAnsiTheme="majorHAnsi" w:cstheme="majorHAnsi"/>
                <w:sz w:val="19"/>
                <w:szCs w:val="19"/>
              </w:rPr>
              <w:t xml:space="preserve">(2) A GSH member must comply with its obligations under the </w:t>
            </w:r>
            <w:r>
              <w:rPr>
                <w:rFonts w:asciiTheme="majorHAnsi" w:hAnsiTheme="majorHAnsi" w:cstheme="majorHAnsi"/>
                <w:sz w:val="19"/>
                <w:szCs w:val="19"/>
              </w:rPr>
              <w:t>E</w:t>
            </w:r>
            <w:r w:rsidRPr="00B73860">
              <w:rPr>
                <w:rFonts w:asciiTheme="majorHAnsi" w:hAnsiTheme="majorHAnsi" w:cstheme="majorHAnsi"/>
                <w:sz w:val="19"/>
                <w:szCs w:val="19"/>
              </w:rPr>
              <w:t xml:space="preserve">xchange </w:t>
            </w:r>
            <w:r>
              <w:rPr>
                <w:rFonts w:asciiTheme="majorHAnsi" w:hAnsiTheme="majorHAnsi" w:cstheme="majorHAnsi"/>
                <w:sz w:val="19"/>
                <w:szCs w:val="19"/>
              </w:rPr>
              <w:t>A</w:t>
            </w:r>
            <w:r w:rsidRPr="00B73860">
              <w:rPr>
                <w:rFonts w:asciiTheme="majorHAnsi" w:hAnsiTheme="majorHAnsi" w:cstheme="majorHAnsi"/>
                <w:sz w:val="19"/>
                <w:szCs w:val="19"/>
              </w:rPr>
              <w:t>greement to keep information confidential.</w:t>
            </w:r>
          </w:p>
          <w:p w14:paraId="59CE280F" w14:textId="099851B7" w:rsidR="006E1AEC" w:rsidRPr="006E1AEC" w:rsidRDefault="006E1AEC" w:rsidP="006E1AEC">
            <w:pPr>
              <w:pStyle w:val="BodyText"/>
              <w:keepNext/>
              <w:spacing w:before="60"/>
              <w:rPr>
                <w:b/>
              </w:rPr>
            </w:pPr>
            <w:r>
              <w:rPr>
                <w:rFonts w:asciiTheme="majorHAnsi" w:hAnsiTheme="majorHAnsi" w:cstheme="majorHAnsi"/>
                <w:sz w:val="20"/>
                <w:szCs w:val="20"/>
              </w:rPr>
              <w:t xml:space="preserve">These rules are all </w:t>
            </w:r>
            <w:r w:rsidRPr="00854182">
              <w:rPr>
                <w:rFonts w:asciiTheme="majorHAnsi" w:hAnsiTheme="majorHAnsi" w:cstheme="majorHAnsi"/>
                <w:sz w:val="20"/>
                <w:szCs w:val="20"/>
              </w:rPr>
              <w:t xml:space="preserve">classified as conduct and civil penalty provisions </w:t>
            </w:r>
            <w:r>
              <w:rPr>
                <w:rFonts w:asciiTheme="majorHAnsi" w:hAnsiTheme="majorHAnsi" w:cstheme="majorHAnsi"/>
                <w:sz w:val="20"/>
                <w:szCs w:val="20"/>
              </w:rPr>
              <w:t>and compliance with the rules is overseen by the AER.</w:t>
            </w:r>
          </w:p>
        </w:tc>
      </w:tr>
    </w:tbl>
    <w:p w14:paraId="517A5779" w14:textId="77777777" w:rsidR="00110A2C" w:rsidRDefault="00110A2C" w:rsidP="00F626E0">
      <w:pPr>
        <w:pStyle w:val="BodyText"/>
        <w:spacing w:before="0" w:after="240"/>
      </w:pPr>
    </w:p>
    <w:p w14:paraId="135C5D6E" w14:textId="29E32C82" w:rsidR="00F65A13" w:rsidRPr="00F626E0" w:rsidRDefault="00F65A13" w:rsidP="00F626E0">
      <w:pPr>
        <w:pStyle w:val="BodyText"/>
        <w:spacing w:before="0" w:after="240"/>
        <w:rPr>
          <w:sz w:val="18"/>
          <w:szCs w:val="18"/>
        </w:rPr>
      </w:pPr>
      <w:r>
        <w:br w:type="page"/>
      </w:r>
    </w:p>
    <w:p w14:paraId="5A98F6DD" w14:textId="47C56AAD" w:rsidR="00C34E9D" w:rsidRPr="008B1B73" w:rsidRDefault="00C64740" w:rsidP="00F65A13">
      <w:pPr>
        <w:pStyle w:val="Heading1"/>
      </w:pPr>
      <w:bookmarkStart w:id="145" w:name="_Toc492524758"/>
      <w:r>
        <w:lastRenderedPageBreak/>
        <w:t xml:space="preserve">Capacity </w:t>
      </w:r>
      <w:r w:rsidR="00F626E0">
        <w:t xml:space="preserve">Products to be Sold on the </w:t>
      </w:r>
      <w:bookmarkEnd w:id="143"/>
      <w:r>
        <w:t>GSH</w:t>
      </w:r>
      <w:bookmarkEnd w:id="145"/>
    </w:p>
    <w:p w14:paraId="02D9A2F8" w14:textId="18F3A909" w:rsidR="000F2FC7" w:rsidRDefault="000F2FC7" w:rsidP="000F2FC7">
      <w:pPr>
        <w:pStyle w:val="BodyText"/>
      </w:pPr>
      <w:r>
        <w:t xml:space="preserve">In the </w:t>
      </w:r>
      <w:r w:rsidRPr="00023C9D">
        <w:rPr>
          <w:i/>
        </w:rPr>
        <w:t>East Coast Review</w:t>
      </w:r>
      <w:r>
        <w:t xml:space="preserve">, the AEMC noted that the capacity trading platform could be used to sell a range of services </w:t>
      </w:r>
      <w:r w:rsidR="00AC4740">
        <w:t xml:space="preserve">on a firm, as available or interruptible basis </w:t>
      </w:r>
      <w:r>
        <w:t>including:</w:t>
      </w:r>
      <w:r>
        <w:rPr>
          <w:rStyle w:val="FootnoteReference"/>
        </w:rPr>
        <w:footnoteReference w:id="82"/>
      </w:r>
      <w:r>
        <w:t xml:space="preserve"> </w:t>
      </w:r>
    </w:p>
    <w:p w14:paraId="724DAAC1" w14:textId="132CEC2E" w:rsidR="000F2FC7" w:rsidRDefault="000F2FC7" w:rsidP="000F2FC7">
      <w:pPr>
        <w:pStyle w:val="ListBullet"/>
      </w:pPr>
      <w:r>
        <w:t>transportation services</w:t>
      </w:r>
      <w:r w:rsidR="00F232EA">
        <w:t>, such as forward haul, backhaul or bi-directional services</w:t>
      </w:r>
      <w:r>
        <w:t>;</w:t>
      </w:r>
    </w:p>
    <w:p w14:paraId="1C45D435" w14:textId="2D37BE36" w:rsidR="000F2FC7" w:rsidRDefault="000F2FC7" w:rsidP="000F2FC7">
      <w:pPr>
        <w:pStyle w:val="ListBullet"/>
      </w:pPr>
      <w:r>
        <w:t>pipeline storage services</w:t>
      </w:r>
      <w:r w:rsidR="00F232EA">
        <w:t xml:space="preserve">, such as </w:t>
      </w:r>
      <w:r w:rsidR="001968DC">
        <w:t>park</w:t>
      </w:r>
      <w:r w:rsidR="00F232EA">
        <w:rPr>
          <w:rStyle w:val="FootnoteReference"/>
        </w:rPr>
        <w:footnoteReference w:id="83"/>
      </w:r>
      <w:r w:rsidR="001968DC">
        <w:t xml:space="preserve"> or park and loan</w:t>
      </w:r>
      <w:r w:rsidR="00F232EA">
        <w:rPr>
          <w:rStyle w:val="FootnoteReference"/>
        </w:rPr>
        <w:footnoteReference w:id="84"/>
      </w:r>
      <w:r w:rsidR="001968DC">
        <w:t xml:space="preserve"> services; and</w:t>
      </w:r>
    </w:p>
    <w:p w14:paraId="06ACC37D" w14:textId="28DAF7AA" w:rsidR="001968DC" w:rsidRDefault="00F232EA" w:rsidP="00305176">
      <w:pPr>
        <w:pStyle w:val="ListBullet"/>
      </w:pPr>
      <w:r>
        <w:t xml:space="preserve">hub </w:t>
      </w:r>
      <w:r w:rsidR="001968DC">
        <w:t xml:space="preserve">compression services. </w:t>
      </w:r>
    </w:p>
    <w:p w14:paraId="79AF7A8B" w14:textId="573578DD" w:rsidR="00024AC0" w:rsidRPr="004B308D" w:rsidRDefault="000F2FC7" w:rsidP="00024AC0">
      <w:pPr>
        <w:pStyle w:val="BodyText"/>
        <w:rPr>
          <w:rFonts w:asciiTheme="majorHAnsi" w:hAnsiTheme="majorHAnsi" w:cstheme="majorHAnsi"/>
          <w:color w:val="000000"/>
        </w:rPr>
      </w:pPr>
      <w:r>
        <w:t xml:space="preserve">While the AEMC was of the view that as many services </w:t>
      </w:r>
      <w:r w:rsidR="00AC4740">
        <w:t xml:space="preserve">as possible </w:t>
      </w:r>
      <w:r>
        <w:t xml:space="preserve">should be capable of being traded on the platform, it noted that </w:t>
      </w:r>
      <w:r w:rsidR="00553CC2">
        <w:t xml:space="preserve">in the initial stages of development </w:t>
      </w:r>
      <w:r>
        <w:t xml:space="preserve">there may </w:t>
      </w:r>
      <w:r w:rsidR="00AC4740">
        <w:t xml:space="preserve">be </w:t>
      </w:r>
      <w:r>
        <w:t xml:space="preserve">value </w:t>
      </w:r>
      <w:r w:rsidR="003C187B">
        <w:t xml:space="preserve">in </w:t>
      </w:r>
      <w:r>
        <w:t>avoiding any unnecessary complexity by, for example, limiting the services to be sold to the most popular trans</w:t>
      </w:r>
      <w:r w:rsidRPr="004B308D">
        <w:rPr>
          <w:rFonts w:asciiTheme="majorHAnsi" w:hAnsiTheme="majorHAnsi" w:cstheme="majorHAnsi"/>
        </w:rPr>
        <w:t xml:space="preserve">portation routes </w:t>
      </w:r>
      <w:r w:rsidR="00024AC0" w:rsidRPr="004B308D">
        <w:rPr>
          <w:rFonts w:asciiTheme="majorHAnsi" w:hAnsiTheme="majorHAnsi" w:cstheme="majorHAnsi"/>
        </w:rPr>
        <w:t>at market start</w:t>
      </w:r>
      <w:r w:rsidRPr="004B308D">
        <w:rPr>
          <w:rFonts w:asciiTheme="majorHAnsi" w:hAnsiTheme="majorHAnsi" w:cstheme="majorHAnsi"/>
        </w:rPr>
        <w:t>.</w:t>
      </w:r>
      <w:r w:rsidR="00024AC0" w:rsidRPr="004B308D">
        <w:rPr>
          <w:rStyle w:val="FootnoteReference"/>
          <w:rFonts w:asciiTheme="majorHAnsi" w:hAnsiTheme="majorHAnsi" w:cstheme="majorHAnsi"/>
        </w:rPr>
        <w:footnoteReference w:id="85"/>
      </w:r>
      <w:r w:rsidR="004B308D" w:rsidRPr="004B308D">
        <w:rPr>
          <w:rFonts w:asciiTheme="majorHAnsi" w:hAnsiTheme="majorHAnsi" w:cstheme="majorHAnsi"/>
        </w:rPr>
        <w:t xml:space="preserve"> </w:t>
      </w:r>
      <w:r w:rsidR="00024AC0" w:rsidRPr="004B308D">
        <w:rPr>
          <w:rFonts w:asciiTheme="majorHAnsi" w:hAnsiTheme="majorHAnsi" w:cstheme="majorHAnsi"/>
        </w:rPr>
        <w:t xml:space="preserve">The AEMC also noted that </w:t>
      </w:r>
      <w:r w:rsidR="00024AC0" w:rsidRPr="004B308D">
        <w:rPr>
          <w:rFonts w:asciiTheme="majorHAnsi" w:hAnsiTheme="majorHAnsi" w:cstheme="majorHAnsi"/>
          <w:color w:val="000000"/>
        </w:rPr>
        <w:t xml:space="preserve">to maximise the pool of </w:t>
      </w:r>
      <w:r w:rsidR="004B308D">
        <w:rPr>
          <w:rFonts w:asciiTheme="majorHAnsi" w:hAnsiTheme="majorHAnsi" w:cstheme="majorHAnsi"/>
          <w:color w:val="000000"/>
        </w:rPr>
        <w:t xml:space="preserve">potential </w:t>
      </w:r>
      <w:r w:rsidR="00024AC0" w:rsidRPr="004B308D">
        <w:rPr>
          <w:rFonts w:asciiTheme="majorHAnsi" w:hAnsiTheme="majorHAnsi" w:cstheme="majorHAnsi"/>
          <w:color w:val="000000"/>
        </w:rPr>
        <w:t xml:space="preserve">buyers and sellers of secondary capacity via the exchange, some degree of </w:t>
      </w:r>
      <w:r w:rsidR="004B308D" w:rsidRPr="004B308D">
        <w:rPr>
          <w:rFonts w:asciiTheme="majorHAnsi" w:hAnsiTheme="majorHAnsi" w:cstheme="majorHAnsi"/>
          <w:color w:val="000000"/>
        </w:rPr>
        <w:t xml:space="preserve">product </w:t>
      </w:r>
      <w:r w:rsidR="00024AC0" w:rsidRPr="004B308D">
        <w:rPr>
          <w:rFonts w:asciiTheme="majorHAnsi" w:hAnsiTheme="majorHAnsi" w:cstheme="majorHAnsi"/>
          <w:color w:val="000000"/>
        </w:rPr>
        <w:t>standardisation would be required</w:t>
      </w:r>
      <w:r w:rsidR="004B308D" w:rsidRPr="004B308D">
        <w:rPr>
          <w:rFonts w:asciiTheme="majorHAnsi" w:hAnsiTheme="majorHAnsi" w:cstheme="majorHAnsi"/>
          <w:color w:val="000000"/>
        </w:rPr>
        <w:t>.</w:t>
      </w:r>
    </w:p>
    <w:p w14:paraId="3C97D35B" w14:textId="22444911" w:rsidR="000F2FC7" w:rsidRDefault="000F2FC7" w:rsidP="000F2FC7">
      <w:pPr>
        <w:pStyle w:val="BodyText"/>
        <w:rPr>
          <w:rFonts w:eastAsiaTheme="majorEastAsia"/>
        </w:rPr>
      </w:pPr>
      <w:r>
        <w:rPr>
          <w:rFonts w:asciiTheme="majorHAnsi" w:eastAsiaTheme="majorEastAsia" w:hAnsiTheme="majorHAnsi" w:cstheme="majorBidi"/>
        </w:rPr>
        <w:t xml:space="preserve">These recommendations have been considered in some detail by the Capacity Trading Platform project team. In doing so, the project team considered </w:t>
      </w:r>
      <w:r>
        <w:rPr>
          <w:rFonts w:eastAsiaTheme="majorEastAsia"/>
        </w:rPr>
        <w:t>the types of products that should be available on the exchange</w:t>
      </w:r>
      <w:r w:rsidR="00024AC0">
        <w:rPr>
          <w:rFonts w:eastAsiaTheme="majorEastAsia"/>
        </w:rPr>
        <w:t xml:space="preserve"> at market start,</w:t>
      </w:r>
      <w:r>
        <w:rPr>
          <w:rFonts w:eastAsiaTheme="majorEastAsia"/>
        </w:rPr>
        <w:t xml:space="preserve"> how the exchange traded products should be standardised</w:t>
      </w:r>
      <w:r w:rsidR="00024AC0">
        <w:rPr>
          <w:rFonts w:eastAsiaTheme="majorEastAsia"/>
        </w:rPr>
        <w:t xml:space="preserve"> and the charging parameters that should be used for these products</w:t>
      </w:r>
      <w:r>
        <w:rPr>
          <w:rFonts w:eastAsiaTheme="majorEastAsia"/>
        </w:rPr>
        <w:t>.</w:t>
      </w:r>
    </w:p>
    <w:p w14:paraId="3DAE8BBA" w14:textId="326FFF4F" w:rsidR="000F2FC7" w:rsidRDefault="000F2FC7" w:rsidP="000F2FC7">
      <w:pPr>
        <w:pStyle w:val="BodyText"/>
      </w:pPr>
      <w:r>
        <w:t xml:space="preserve">Further detail on the position the Capacity Trading Platform project team reached on each of these issues and the GMRG’s preliminary views is provided in the remainder of this chapter.  </w:t>
      </w:r>
    </w:p>
    <w:p w14:paraId="1856EEBC" w14:textId="55CBF255" w:rsidR="000F2FC7" w:rsidRDefault="00024AC0" w:rsidP="00DC3071">
      <w:pPr>
        <w:pStyle w:val="Heading2"/>
      </w:pPr>
      <w:bookmarkStart w:id="146" w:name="_Toc492524759"/>
      <w:r>
        <w:t xml:space="preserve">Initial set of </w:t>
      </w:r>
      <w:r w:rsidR="00AC4740">
        <w:t>p</w:t>
      </w:r>
      <w:r w:rsidR="000F2FC7">
        <w:t xml:space="preserve">roducts to be sold on </w:t>
      </w:r>
      <w:r w:rsidR="00790A24">
        <w:t xml:space="preserve">the </w:t>
      </w:r>
      <w:r w:rsidR="000F2FC7">
        <w:t>exchange</w:t>
      </w:r>
      <w:bookmarkEnd w:id="146"/>
      <w:r w:rsidR="000F2FC7">
        <w:t xml:space="preserve"> </w:t>
      </w:r>
    </w:p>
    <w:p w14:paraId="43E38965" w14:textId="33022695" w:rsidR="00567FA5" w:rsidRDefault="00024AC0" w:rsidP="00F232EA">
      <w:r>
        <w:t xml:space="preserve">Transportation </w:t>
      </w:r>
      <w:r w:rsidR="00AC4740">
        <w:t>assets can</w:t>
      </w:r>
      <w:r>
        <w:t xml:space="preserve">, as the AEMC noted, </w:t>
      </w:r>
      <w:r w:rsidR="00F232EA">
        <w:t xml:space="preserve">be </w:t>
      </w:r>
      <w:r w:rsidR="001968DC">
        <w:t xml:space="preserve">used to provide a variety of </w:t>
      </w:r>
      <w:r>
        <w:t>transportation, storage and compression services on a firm, as available and interruptible basis</w:t>
      </w:r>
      <w:r w:rsidR="00F232EA">
        <w:t xml:space="preserve">. </w:t>
      </w:r>
      <w:r w:rsidR="00B6094E">
        <w:t xml:space="preserve">Like the AEMC, the project team </w:t>
      </w:r>
      <w:r w:rsidR="004B308D">
        <w:t xml:space="preserve">were of the view that </w:t>
      </w:r>
      <w:r w:rsidR="00B6094E">
        <w:t xml:space="preserve">the initial set of </w:t>
      </w:r>
      <w:r w:rsidR="004B308D">
        <w:t xml:space="preserve">exchange traded </w:t>
      </w:r>
      <w:r w:rsidR="00B6094E">
        <w:t xml:space="preserve">products should seek to maximise the level of trade and value to the market. </w:t>
      </w:r>
      <w:r w:rsidR="004B308D">
        <w:t xml:space="preserve">This view is reflected in </w:t>
      </w:r>
      <w:r w:rsidR="007215B5">
        <w:rPr>
          <w:highlight w:val="yellow"/>
        </w:rPr>
        <w:fldChar w:fldCharType="begin"/>
      </w:r>
      <w:r w:rsidR="007215B5">
        <w:instrText xml:space="preserve"> REF _Ref492128284 \h </w:instrText>
      </w:r>
      <w:r w:rsidR="007215B5">
        <w:rPr>
          <w:highlight w:val="yellow"/>
        </w:rPr>
      </w:r>
      <w:r w:rsidR="007215B5">
        <w:rPr>
          <w:highlight w:val="yellow"/>
        </w:rPr>
        <w:fldChar w:fldCharType="separate"/>
      </w:r>
      <w:r w:rsidR="00947034">
        <w:t xml:space="preserve">Table </w:t>
      </w:r>
      <w:r w:rsidR="00947034">
        <w:rPr>
          <w:noProof/>
        </w:rPr>
        <w:t>7</w:t>
      </w:r>
      <w:r w:rsidR="00947034">
        <w:t>.</w:t>
      </w:r>
      <w:r w:rsidR="00947034">
        <w:rPr>
          <w:noProof/>
        </w:rPr>
        <w:t>1</w:t>
      </w:r>
      <w:r w:rsidR="007215B5">
        <w:rPr>
          <w:highlight w:val="yellow"/>
        </w:rPr>
        <w:fldChar w:fldCharType="end"/>
      </w:r>
      <w:r w:rsidR="004B308D">
        <w:t xml:space="preserve">, which contains a </w:t>
      </w:r>
      <w:r w:rsidR="00B6094E">
        <w:t xml:space="preserve">summary of the </w:t>
      </w:r>
      <w:r w:rsidR="004B308D">
        <w:t xml:space="preserve">position the </w:t>
      </w:r>
      <w:r w:rsidR="00B6094E">
        <w:t>project team</w:t>
      </w:r>
      <w:r w:rsidR="00567FA5">
        <w:t xml:space="preserve"> reached on the transportation, storage and compression services that should be available on the capacity trading platform at market start.  </w:t>
      </w:r>
    </w:p>
    <w:p w14:paraId="7F7D25C0" w14:textId="77777777" w:rsidR="00D31293" w:rsidRDefault="00D31293" w:rsidP="00D31293">
      <w:pPr>
        <w:pStyle w:val="BodyText"/>
      </w:pPr>
      <w:r>
        <w:t xml:space="preserve">In short, the project team was of the view that the initial set of products should be limited to firm forward haul, park and compression services on the transportation assets connecting major supply and demand centres in the east coast.  </w:t>
      </w:r>
    </w:p>
    <w:p w14:paraId="7F1E30E2" w14:textId="567346F7" w:rsidR="00D31293" w:rsidRDefault="00D31293" w:rsidP="00D31293">
      <w:pPr>
        <w:pStyle w:val="BodyText"/>
      </w:pPr>
      <w:r>
        <w:lastRenderedPageBreak/>
        <w:t xml:space="preserve">The GMRG agrees with this view and notes that while the list of products may appear somewhat limited, shippers will be able to use the listing service to advertise their interest to buy or sell capacity products that are not listed on the exchange through a bilateral trade. Once the exchange is operating, shippers will also be able to request an amendment to the Exchange Agreement to add new products to the exchange, remove redundant products or refine existing products (see </w:t>
      </w:r>
      <w:r>
        <w:fldChar w:fldCharType="begin"/>
      </w:r>
      <w:r>
        <w:instrText xml:space="preserve"> REF _Ref492108712 \h </w:instrText>
      </w:r>
      <w:r>
        <w:fldChar w:fldCharType="separate"/>
      </w:r>
      <w:r w:rsidR="00947034">
        <w:t xml:space="preserve">Table </w:t>
      </w:r>
      <w:r w:rsidR="00947034">
        <w:rPr>
          <w:noProof/>
        </w:rPr>
        <w:t>6</w:t>
      </w:r>
      <w:r w:rsidR="00947034">
        <w:t>.</w:t>
      </w:r>
      <w:r w:rsidR="00947034">
        <w:rPr>
          <w:noProof/>
        </w:rPr>
        <w:t>1</w:t>
      </w:r>
      <w:r>
        <w:fldChar w:fldCharType="end"/>
      </w:r>
      <w:r>
        <w:t xml:space="preserve"> for more detail). </w:t>
      </w:r>
    </w:p>
    <w:p w14:paraId="1F06F762" w14:textId="065AB23A" w:rsidR="001968DC" w:rsidRDefault="001968DC" w:rsidP="007215B5">
      <w:pPr>
        <w:pStyle w:val="Caption"/>
        <w:spacing w:after="0"/>
      </w:pPr>
      <w:bookmarkStart w:id="147" w:name="_Ref492128284"/>
      <w:r>
        <w:t xml:space="preserve">Table </w:t>
      </w:r>
      <w:r w:rsidR="00926D7E">
        <w:fldChar w:fldCharType="begin"/>
      </w:r>
      <w:r w:rsidR="00926D7E">
        <w:instrText xml:space="preserve"> STYLEREF 1 \s </w:instrText>
      </w:r>
      <w:r w:rsidR="00926D7E">
        <w:fldChar w:fldCharType="separate"/>
      </w:r>
      <w:r w:rsidR="00947034">
        <w:rPr>
          <w:noProof/>
        </w:rPr>
        <w:t>7</w:t>
      </w:r>
      <w:r w:rsidR="00926D7E">
        <w:rPr>
          <w:noProof/>
        </w:rPr>
        <w:fldChar w:fldCharType="end"/>
      </w:r>
      <w:r w:rsidR="001C4739">
        <w:t>.</w:t>
      </w:r>
      <w:r w:rsidR="00926D7E">
        <w:fldChar w:fldCharType="begin"/>
      </w:r>
      <w:r w:rsidR="00926D7E">
        <w:instrText xml:space="preserve"> SEQ Table \* ARABIC \s 1 </w:instrText>
      </w:r>
      <w:r w:rsidR="00926D7E">
        <w:fldChar w:fldCharType="separate"/>
      </w:r>
      <w:r w:rsidR="00947034">
        <w:rPr>
          <w:noProof/>
        </w:rPr>
        <w:t>1</w:t>
      </w:r>
      <w:r w:rsidR="00926D7E">
        <w:rPr>
          <w:noProof/>
        </w:rPr>
        <w:fldChar w:fldCharType="end"/>
      </w:r>
      <w:bookmarkEnd w:id="147"/>
      <w:r>
        <w:t xml:space="preserve">: </w:t>
      </w:r>
      <w:r w:rsidR="007215B5">
        <w:t>Project team’s v</w:t>
      </w:r>
      <w:r>
        <w:t>iews on products to be listed on the exchange</w:t>
      </w:r>
    </w:p>
    <w:tbl>
      <w:tblPr>
        <w:tblStyle w:val="TableGrid"/>
        <w:tblW w:w="5242" w:type="pct"/>
        <w:tblLayout w:type="fixed"/>
        <w:tblLook w:val="0420" w:firstRow="1" w:lastRow="0" w:firstColumn="0" w:lastColumn="0" w:noHBand="0" w:noVBand="1"/>
        <w:tblCaption w:val="Table 7.1: Project team’s views on products to be listed on the exchange"/>
        <w:tblDescription w:val="Project team’s views on products to be listed on the exchange"/>
      </w:tblPr>
      <w:tblGrid>
        <w:gridCol w:w="1561"/>
        <w:gridCol w:w="7652"/>
      </w:tblGrid>
      <w:tr w:rsidR="00305176" w:rsidRPr="00151C85" w14:paraId="6AF51ACB" w14:textId="7E4CC36B" w:rsidTr="00567FA5">
        <w:trPr>
          <w:cnfStyle w:val="100000000000" w:firstRow="1" w:lastRow="0" w:firstColumn="0" w:lastColumn="0" w:oddVBand="0" w:evenVBand="0" w:oddHBand="0" w:evenHBand="0" w:firstRowFirstColumn="0" w:firstRowLastColumn="0" w:lastRowFirstColumn="0" w:lastRowLastColumn="0"/>
          <w:cantSplit/>
          <w:tblHeader/>
        </w:trPr>
        <w:tc>
          <w:tcPr>
            <w:tcW w:w="847" w:type="pct"/>
            <w:shd w:val="clear" w:color="auto" w:fill="0099CC"/>
          </w:tcPr>
          <w:p w14:paraId="694D1DED" w14:textId="12454016" w:rsidR="00305176" w:rsidRPr="00151C85" w:rsidRDefault="00305176" w:rsidP="00D31293">
            <w:pPr>
              <w:pStyle w:val="TableHeading"/>
              <w:spacing w:before="40" w:after="80" w:line="252" w:lineRule="auto"/>
              <w:rPr>
                <w:szCs w:val="18"/>
                <w:lang w:eastAsia="fr-CA"/>
              </w:rPr>
            </w:pPr>
            <w:r w:rsidRPr="00151C85">
              <w:rPr>
                <w:szCs w:val="18"/>
                <w:lang w:eastAsia="fr-CA"/>
              </w:rPr>
              <w:t>Product</w:t>
            </w:r>
          </w:p>
        </w:tc>
        <w:tc>
          <w:tcPr>
            <w:tcW w:w="4153" w:type="pct"/>
            <w:shd w:val="clear" w:color="auto" w:fill="0099CC"/>
          </w:tcPr>
          <w:p w14:paraId="61F1E551" w14:textId="7580331B" w:rsidR="00305176" w:rsidRPr="00151C85" w:rsidRDefault="00305176" w:rsidP="00D31293">
            <w:pPr>
              <w:pStyle w:val="TableHeading"/>
              <w:spacing w:before="40" w:after="80" w:line="252" w:lineRule="auto"/>
              <w:rPr>
                <w:szCs w:val="18"/>
                <w:lang w:eastAsia="fr-CA"/>
              </w:rPr>
            </w:pPr>
            <w:r w:rsidRPr="00151C85">
              <w:rPr>
                <w:szCs w:val="18"/>
                <w:lang w:eastAsia="fr-CA"/>
              </w:rPr>
              <w:t>View</w:t>
            </w:r>
          </w:p>
        </w:tc>
      </w:tr>
      <w:tr w:rsidR="00305176" w:rsidRPr="00151C85" w14:paraId="13928BAD" w14:textId="17F74199" w:rsidTr="00567FA5">
        <w:trPr>
          <w:cantSplit/>
          <w:trHeight w:val="1400"/>
        </w:trPr>
        <w:tc>
          <w:tcPr>
            <w:tcW w:w="847" w:type="pct"/>
          </w:tcPr>
          <w:p w14:paraId="5811D196" w14:textId="4F2991D9" w:rsidR="00305176" w:rsidRPr="00151C85" w:rsidRDefault="004B308D" w:rsidP="00D31293">
            <w:pPr>
              <w:pStyle w:val="TableBodyText"/>
              <w:spacing w:before="40" w:after="80" w:line="252" w:lineRule="auto"/>
              <w:rPr>
                <w:szCs w:val="18"/>
                <w:lang w:eastAsia="fr-CA"/>
              </w:rPr>
            </w:pPr>
            <w:r w:rsidRPr="00151C85">
              <w:rPr>
                <w:szCs w:val="18"/>
                <w:lang w:eastAsia="fr-CA"/>
              </w:rPr>
              <w:t>Transportation services (forward haul, bi</w:t>
            </w:r>
            <w:r w:rsidR="007447D4">
              <w:rPr>
                <w:szCs w:val="18"/>
                <w:lang w:eastAsia="fr-CA"/>
              </w:rPr>
              <w:t>-</w:t>
            </w:r>
            <w:r w:rsidRPr="00151C85">
              <w:rPr>
                <w:szCs w:val="18"/>
                <w:lang w:eastAsia="fr-CA"/>
              </w:rPr>
              <w:t>directional and backhaul)</w:t>
            </w:r>
          </w:p>
        </w:tc>
        <w:tc>
          <w:tcPr>
            <w:tcW w:w="4153" w:type="pct"/>
          </w:tcPr>
          <w:p w14:paraId="44BA76A6" w14:textId="5BBE1F58" w:rsidR="00305176" w:rsidRPr="00151C85" w:rsidRDefault="004B308D" w:rsidP="00D31293">
            <w:pPr>
              <w:pStyle w:val="TableBodyText"/>
              <w:spacing w:before="40" w:after="80" w:line="252" w:lineRule="auto"/>
              <w:rPr>
                <w:szCs w:val="18"/>
                <w:lang w:eastAsia="fr-CA"/>
              </w:rPr>
            </w:pPr>
            <w:r w:rsidRPr="00151C85">
              <w:rPr>
                <w:szCs w:val="18"/>
                <w:lang w:eastAsia="fr-CA"/>
              </w:rPr>
              <w:t>T</w:t>
            </w:r>
            <w:r w:rsidR="00305176" w:rsidRPr="00151C85">
              <w:rPr>
                <w:szCs w:val="18"/>
                <w:lang w:eastAsia="fr-CA"/>
              </w:rPr>
              <w:t xml:space="preserve">he project team </w:t>
            </w:r>
            <w:r w:rsidRPr="00151C85">
              <w:rPr>
                <w:szCs w:val="18"/>
                <w:lang w:eastAsia="fr-CA"/>
              </w:rPr>
              <w:t xml:space="preserve">agreed </w:t>
            </w:r>
            <w:r w:rsidR="00305176" w:rsidRPr="00151C85">
              <w:rPr>
                <w:szCs w:val="18"/>
                <w:lang w:eastAsia="fr-CA"/>
              </w:rPr>
              <w:t>that firm forward haul products should be included on the exchange</w:t>
            </w:r>
            <w:r w:rsidRPr="00151C85">
              <w:rPr>
                <w:szCs w:val="18"/>
                <w:lang w:eastAsia="fr-CA"/>
              </w:rPr>
              <w:t xml:space="preserve"> and be available in both directions on bi-directional pipelines. Questions were, however, raised about the value of </w:t>
            </w:r>
            <w:r w:rsidR="00305176" w:rsidRPr="00151C85">
              <w:rPr>
                <w:szCs w:val="18"/>
                <w:lang w:eastAsia="fr-CA"/>
              </w:rPr>
              <w:t xml:space="preserve">including as available or interruptible </w:t>
            </w:r>
            <w:r w:rsidRPr="00151C85">
              <w:rPr>
                <w:szCs w:val="18"/>
                <w:lang w:eastAsia="fr-CA"/>
              </w:rPr>
              <w:t xml:space="preserve">transportation </w:t>
            </w:r>
            <w:r w:rsidR="00305176" w:rsidRPr="00151C85">
              <w:rPr>
                <w:szCs w:val="18"/>
                <w:lang w:eastAsia="fr-CA"/>
              </w:rPr>
              <w:t xml:space="preserve">services (including backhaul services) </w:t>
            </w:r>
            <w:r w:rsidRPr="00151C85">
              <w:rPr>
                <w:szCs w:val="18"/>
                <w:lang w:eastAsia="fr-CA"/>
              </w:rPr>
              <w:t>on the exchange</w:t>
            </w:r>
            <w:r w:rsidR="00567FA5" w:rsidRPr="00151C85">
              <w:rPr>
                <w:szCs w:val="18"/>
                <w:lang w:eastAsia="fr-CA"/>
              </w:rPr>
              <w:t>, with project team members noting that</w:t>
            </w:r>
            <w:r w:rsidR="00305176" w:rsidRPr="00151C85">
              <w:rPr>
                <w:szCs w:val="18"/>
                <w:lang w:eastAsia="fr-CA"/>
              </w:rPr>
              <w:t>:</w:t>
            </w:r>
          </w:p>
          <w:p w14:paraId="406688A2" w14:textId="339A7B5B" w:rsidR="00305176" w:rsidRPr="00151C85" w:rsidRDefault="00305176" w:rsidP="00D31293">
            <w:pPr>
              <w:pStyle w:val="TableBullet1"/>
              <w:spacing w:before="40" w:after="80" w:line="252" w:lineRule="auto"/>
              <w:rPr>
                <w:szCs w:val="18"/>
                <w:lang w:eastAsia="fr-CA"/>
              </w:rPr>
            </w:pPr>
            <w:r w:rsidRPr="00151C85">
              <w:rPr>
                <w:szCs w:val="18"/>
                <w:lang w:eastAsia="fr-CA"/>
              </w:rPr>
              <w:t xml:space="preserve">there </w:t>
            </w:r>
            <w:r w:rsidR="00567FA5" w:rsidRPr="00151C85">
              <w:rPr>
                <w:szCs w:val="18"/>
                <w:lang w:eastAsia="fr-CA"/>
              </w:rPr>
              <w:t xml:space="preserve">was </w:t>
            </w:r>
            <w:r w:rsidRPr="00151C85">
              <w:rPr>
                <w:szCs w:val="18"/>
                <w:lang w:eastAsia="fr-CA"/>
              </w:rPr>
              <w:t xml:space="preserve">unlikely to be much demand for these services given the uncertainty surrounding deliverability; and </w:t>
            </w:r>
          </w:p>
          <w:p w14:paraId="039C5703" w14:textId="092B1D23" w:rsidR="00305176" w:rsidRPr="00151C85" w:rsidRDefault="00305176" w:rsidP="00D31293">
            <w:pPr>
              <w:pStyle w:val="TableBullet1"/>
              <w:spacing w:before="40" w:after="80" w:line="252" w:lineRule="auto"/>
              <w:rPr>
                <w:szCs w:val="18"/>
                <w:lang w:eastAsia="fr-CA"/>
              </w:rPr>
            </w:pPr>
            <w:r w:rsidRPr="00151C85">
              <w:rPr>
                <w:szCs w:val="18"/>
                <w:lang w:eastAsia="fr-CA"/>
              </w:rPr>
              <w:t xml:space="preserve">primary shippers usually only pay for these services when they use them and so do not have as strong an incentive to sell these services as firm forward haul products where </w:t>
            </w:r>
            <w:r w:rsidR="00567FA5" w:rsidRPr="00151C85">
              <w:rPr>
                <w:szCs w:val="18"/>
                <w:lang w:eastAsia="fr-CA"/>
              </w:rPr>
              <w:t xml:space="preserve">shippers usually </w:t>
            </w:r>
            <w:r w:rsidRPr="00151C85">
              <w:rPr>
                <w:szCs w:val="18"/>
                <w:lang w:eastAsia="fr-CA"/>
              </w:rPr>
              <w:t>have to pay for capacity irrespective of whether or not they use it.</w:t>
            </w:r>
          </w:p>
        </w:tc>
      </w:tr>
      <w:tr w:rsidR="00305176" w:rsidRPr="00151C85" w14:paraId="38E5116D" w14:textId="1D577D6B" w:rsidTr="00567FA5">
        <w:trPr>
          <w:cnfStyle w:val="000000010000" w:firstRow="0" w:lastRow="0" w:firstColumn="0" w:lastColumn="0" w:oddVBand="0" w:evenVBand="0" w:oddHBand="0" w:evenHBand="1" w:firstRowFirstColumn="0" w:firstRowLastColumn="0" w:lastRowFirstColumn="0" w:lastRowLastColumn="0"/>
          <w:cantSplit/>
          <w:trHeight w:val="1910"/>
        </w:trPr>
        <w:tc>
          <w:tcPr>
            <w:tcW w:w="847" w:type="pct"/>
          </w:tcPr>
          <w:p w14:paraId="5CADA2FC" w14:textId="7E5CCF57" w:rsidR="00305176" w:rsidRPr="00151C85" w:rsidRDefault="00305176" w:rsidP="00D31293">
            <w:pPr>
              <w:pStyle w:val="TableBodyText"/>
              <w:spacing w:before="40" w:after="80" w:line="252" w:lineRule="auto"/>
              <w:rPr>
                <w:szCs w:val="18"/>
                <w:lang w:eastAsia="fr-CA"/>
              </w:rPr>
            </w:pPr>
            <w:r w:rsidRPr="00151C85">
              <w:rPr>
                <w:szCs w:val="18"/>
                <w:lang w:eastAsia="fr-CA"/>
              </w:rPr>
              <w:t>Park, or park and loan services</w:t>
            </w:r>
          </w:p>
        </w:tc>
        <w:tc>
          <w:tcPr>
            <w:tcW w:w="4153" w:type="pct"/>
          </w:tcPr>
          <w:p w14:paraId="37B04A76" w14:textId="3A69EEF2" w:rsidR="00305176" w:rsidRPr="00151C85" w:rsidRDefault="00305176" w:rsidP="00D31293">
            <w:pPr>
              <w:pStyle w:val="TableBodyText"/>
              <w:spacing w:before="40" w:after="80" w:line="252" w:lineRule="auto"/>
              <w:rPr>
                <w:szCs w:val="18"/>
                <w:lang w:eastAsia="fr-CA"/>
              </w:rPr>
            </w:pPr>
            <w:r w:rsidRPr="00151C85">
              <w:rPr>
                <w:szCs w:val="18"/>
                <w:lang w:eastAsia="fr-CA"/>
              </w:rPr>
              <w:t xml:space="preserve">The project team thought there would be value </w:t>
            </w:r>
            <w:r w:rsidR="00994623">
              <w:rPr>
                <w:szCs w:val="18"/>
                <w:lang w:eastAsia="fr-CA"/>
              </w:rPr>
              <w:t xml:space="preserve">in </w:t>
            </w:r>
            <w:r w:rsidRPr="00151C85">
              <w:rPr>
                <w:szCs w:val="18"/>
                <w:lang w:eastAsia="fr-CA"/>
              </w:rPr>
              <w:t xml:space="preserve">including a firm park product on the exchange because it would: </w:t>
            </w:r>
          </w:p>
          <w:p w14:paraId="5EB72FDC" w14:textId="28366029" w:rsidR="00305176" w:rsidRPr="00151C85" w:rsidRDefault="00305176" w:rsidP="00D31293">
            <w:pPr>
              <w:pStyle w:val="TableBullet1"/>
              <w:spacing w:before="40" w:after="80" w:line="252" w:lineRule="auto"/>
              <w:rPr>
                <w:szCs w:val="18"/>
                <w:lang w:eastAsia="fr-CA"/>
              </w:rPr>
            </w:pPr>
            <w:r w:rsidRPr="00151C85">
              <w:rPr>
                <w:szCs w:val="18"/>
                <w:lang w:eastAsia="fr-CA"/>
              </w:rPr>
              <w:t>provide secondary shippers that have a</w:t>
            </w:r>
            <w:r w:rsidR="0000577C" w:rsidRPr="00151C85">
              <w:rPr>
                <w:szCs w:val="18"/>
                <w:lang w:eastAsia="fr-CA"/>
              </w:rPr>
              <w:t xml:space="preserve">n existing transportation </w:t>
            </w:r>
            <w:r w:rsidRPr="00151C85">
              <w:rPr>
                <w:szCs w:val="18"/>
                <w:lang w:eastAsia="fr-CA"/>
              </w:rPr>
              <w:t xml:space="preserve">service with greater flexibility to manage variations in demand; and </w:t>
            </w:r>
          </w:p>
          <w:p w14:paraId="2E5EA3A3" w14:textId="5B651F03" w:rsidR="00305176" w:rsidRPr="00151C85" w:rsidRDefault="00305176" w:rsidP="00D31293">
            <w:pPr>
              <w:pStyle w:val="TableBullet1"/>
              <w:spacing w:before="40" w:after="80" w:line="252" w:lineRule="auto"/>
              <w:rPr>
                <w:szCs w:val="18"/>
                <w:lang w:eastAsia="fr-CA"/>
              </w:rPr>
            </w:pPr>
            <w:proofErr w:type="gramStart"/>
            <w:r w:rsidRPr="00151C85">
              <w:rPr>
                <w:szCs w:val="18"/>
                <w:lang w:eastAsia="fr-CA"/>
              </w:rPr>
              <w:t>allow</w:t>
            </w:r>
            <w:proofErr w:type="gramEnd"/>
            <w:r w:rsidRPr="00151C85">
              <w:rPr>
                <w:szCs w:val="18"/>
                <w:lang w:eastAsia="fr-CA"/>
              </w:rPr>
              <w:t xml:space="preserve"> primary shippers that have to pay for this service irrespective of whether or not they use it, to recover some of the fixed costs for this service.</w:t>
            </w:r>
          </w:p>
          <w:p w14:paraId="4CA3768B" w14:textId="0B40EBE3" w:rsidR="00305176" w:rsidRPr="00151C85" w:rsidRDefault="003C1105" w:rsidP="00D31293">
            <w:pPr>
              <w:pStyle w:val="TableBodyText"/>
              <w:spacing w:before="40" w:after="80" w:line="252" w:lineRule="auto"/>
              <w:rPr>
                <w:szCs w:val="18"/>
              </w:rPr>
            </w:pPr>
            <w:r w:rsidRPr="00151C85">
              <w:rPr>
                <w:szCs w:val="18"/>
              </w:rPr>
              <w:t xml:space="preserve">When asked if </w:t>
            </w:r>
            <w:r w:rsidR="00567FA5" w:rsidRPr="00151C85">
              <w:rPr>
                <w:szCs w:val="18"/>
              </w:rPr>
              <w:t xml:space="preserve">a </w:t>
            </w:r>
            <w:r w:rsidRPr="00151C85">
              <w:rPr>
                <w:szCs w:val="18"/>
              </w:rPr>
              <w:t xml:space="preserve">park service could be sold on a separable basis, the project team stated </w:t>
            </w:r>
            <w:r w:rsidR="00567FA5" w:rsidRPr="00151C85">
              <w:rPr>
                <w:szCs w:val="18"/>
              </w:rPr>
              <w:t xml:space="preserve">that </w:t>
            </w:r>
            <w:r w:rsidRPr="00151C85">
              <w:rPr>
                <w:szCs w:val="18"/>
              </w:rPr>
              <w:t xml:space="preserve">it could but noted the buyer would need its own transportation service to utilise the park service (i.e. because gas must be supplied into the pipeline and ultimately transported to the end location). </w:t>
            </w:r>
            <w:r w:rsidR="00567FA5" w:rsidRPr="00151C85">
              <w:rPr>
                <w:szCs w:val="18"/>
              </w:rPr>
              <w:t>In a similar manner to transportation services, the project team did not think there would be value in including an as available or interruptible park product.</w:t>
            </w:r>
          </w:p>
          <w:p w14:paraId="407327D2" w14:textId="02FD8EE9" w:rsidR="00567FA5" w:rsidRPr="00151C85" w:rsidRDefault="00305176" w:rsidP="00D31293">
            <w:pPr>
              <w:pStyle w:val="TableBodyText"/>
              <w:spacing w:before="40" w:after="80" w:line="252" w:lineRule="auto"/>
              <w:rPr>
                <w:szCs w:val="18"/>
                <w:lang w:eastAsia="fr-CA"/>
              </w:rPr>
            </w:pPr>
            <w:r w:rsidRPr="00151C85">
              <w:rPr>
                <w:szCs w:val="18"/>
              </w:rPr>
              <w:t xml:space="preserve">The project team also considered whether a park and loan service could be traded on the exchange, but </w:t>
            </w:r>
            <w:r w:rsidR="0000577C" w:rsidRPr="00151C85">
              <w:rPr>
                <w:szCs w:val="18"/>
              </w:rPr>
              <w:t>concluded that</w:t>
            </w:r>
            <w:r w:rsidRPr="00151C85">
              <w:rPr>
                <w:szCs w:val="18"/>
              </w:rPr>
              <w:t xml:space="preserve"> the risk associated with </w:t>
            </w:r>
            <w:r w:rsidR="00994623">
              <w:rPr>
                <w:szCs w:val="18"/>
              </w:rPr>
              <w:t xml:space="preserve">the </w:t>
            </w:r>
            <w:r w:rsidRPr="00151C85">
              <w:rPr>
                <w:szCs w:val="18"/>
              </w:rPr>
              <w:t xml:space="preserve">loan component of this product may expose the service provider to too great a risk if the shipper did not ‘repay’ the gas it had taken at the end of the trade. </w:t>
            </w:r>
          </w:p>
        </w:tc>
      </w:tr>
      <w:tr w:rsidR="00305176" w:rsidRPr="00151C85" w14:paraId="011CEF65" w14:textId="1CCB74BD" w:rsidTr="00567FA5">
        <w:tblPrEx>
          <w:tblLook w:val="04A0" w:firstRow="1" w:lastRow="0" w:firstColumn="1" w:lastColumn="0" w:noHBand="0" w:noVBand="1"/>
        </w:tblPrEx>
        <w:trPr>
          <w:trHeight w:val="467"/>
        </w:trPr>
        <w:tc>
          <w:tcPr>
            <w:tcW w:w="847" w:type="pct"/>
          </w:tcPr>
          <w:p w14:paraId="4C9B3AE5" w14:textId="50DF9265" w:rsidR="00305176" w:rsidRPr="00151C85" w:rsidRDefault="00305176" w:rsidP="00D31293">
            <w:pPr>
              <w:pStyle w:val="TableBodyText"/>
              <w:spacing w:before="40" w:after="80" w:line="252" w:lineRule="auto"/>
              <w:rPr>
                <w:szCs w:val="18"/>
                <w:lang w:eastAsia="fr-CA"/>
              </w:rPr>
            </w:pPr>
            <w:r w:rsidRPr="00151C85">
              <w:rPr>
                <w:szCs w:val="18"/>
                <w:lang w:eastAsia="fr-CA"/>
              </w:rPr>
              <w:t>Compression services</w:t>
            </w:r>
            <w:r w:rsidR="00EA1C22" w:rsidRPr="00151C85">
              <w:rPr>
                <w:szCs w:val="18"/>
                <w:lang w:eastAsia="fr-CA"/>
              </w:rPr>
              <w:t xml:space="preserve"> between interconnecting pipelines</w:t>
            </w:r>
          </w:p>
        </w:tc>
        <w:tc>
          <w:tcPr>
            <w:tcW w:w="4153" w:type="pct"/>
          </w:tcPr>
          <w:p w14:paraId="4639B0F4" w14:textId="5F51752A" w:rsidR="007215B5" w:rsidRPr="00151C85" w:rsidRDefault="00EA1C22" w:rsidP="00D31293">
            <w:pPr>
              <w:pStyle w:val="TableBodyText"/>
              <w:spacing w:before="40" w:after="80" w:line="252" w:lineRule="auto"/>
              <w:rPr>
                <w:szCs w:val="18"/>
                <w:lang w:eastAsia="fr-CA"/>
              </w:rPr>
            </w:pPr>
            <w:r w:rsidRPr="00151C85">
              <w:rPr>
                <w:szCs w:val="18"/>
                <w:lang w:eastAsia="fr-CA"/>
              </w:rPr>
              <w:t xml:space="preserve">The project team noted that AEMO has already introduced a compression product on the GSH, which is available in the Wallumbilla Hub. </w:t>
            </w:r>
            <w:r w:rsidR="007215B5" w:rsidRPr="00151C85">
              <w:rPr>
                <w:szCs w:val="18"/>
                <w:lang w:eastAsia="fr-CA"/>
              </w:rPr>
              <w:t xml:space="preserve">Mixed views were expressed by the project team about </w:t>
            </w:r>
            <w:r w:rsidRPr="00151C85">
              <w:rPr>
                <w:szCs w:val="18"/>
                <w:lang w:eastAsia="fr-CA"/>
              </w:rPr>
              <w:t xml:space="preserve">whether the list of compression products should be expanded, </w:t>
            </w:r>
            <w:r w:rsidR="007215B5" w:rsidRPr="00151C85">
              <w:rPr>
                <w:szCs w:val="18"/>
                <w:lang w:eastAsia="fr-CA"/>
              </w:rPr>
              <w:t>with some questioning the value of including this service</w:t>
            </w:r>
            <w:r w:rsidRPr="00151C85">
              <w:rPr>
                <w:szCs w:val="18"/>
                <w:lang w:eastAsia="fr-CA"/>
              </w:rPr>
              <w:t xml:space="preserve"> on the </w:t>
            </w:r>
            <w:r w:rsidR="007447D4">
              <w:rPr>
                <w:szCs w:val="18"/>
                <w:lang w:eastAsia="fr-CA"/>
              </w:rPr>
              <w:t>e</w:t>
            </w:r>
            <w:r w:rsidRPr="00151C85">
              <w:rPr>
                <w:szCs w:val="18"/>
                <w:lang w:eastAsia="fr-CA"/>
              </w:rPr>
              <w:t>xchange</w:t>
            </w:r>
            <w:r w:rsidR="007215B5" w:rsidRPr="00151C85">
              <w:rPr>
                <w:szCs w:val="18"/>
                <w:lang w:eastAsia="fr-CA"/>
              </w:rPr>
              <w:t xml:space="preserve">, while others noted </w:t>
            </w:r>
            <w:r w:rsidRPr="00151C85">
              <w:rPr>
                <w:szCs w:val="18"/>
              </w:rPr>
              <w:t xml:space="preserve">that difficulties in getting access to </w:t>
            </w:r>
            <w:r w:rsidR="00151C85">
              <w:rPr>
                <w:szCs w:val="18"/>
              </w:rPr>
              <w:t xml:space="preserve">these </w:t>
            </w:r>
            <w:r w:rsidRPr="00151C85">
              <w:rPr>
                <w:szCs w:val="18"/>
              </w:rPr>
              <w:t>services could impede trading across the market.</w:t>
            </w:r>
            <w:r w:rsidR="002B4B9F" w:rsidRPr="00151C85">
              <w:rPr>
                <w:szCs w:val="18"/>
              </w:rPr>
              <w:t xml:space="preserve"> </w:t>
            </w:r>
          </w:p>
          <w:p w14:paraId="61C81D00" w14:textId="77777777" w:rsidR="00151C85" w:rsidRPr="00151C85" w:rsidRDefault="00151C85" w:rsidP="00D31293">
            <w:pPr>
              <w:pStyle w:val="TableBodyText"/>
              <w:spacing w:before="40" w:after="80" w:line="252" w:lineRule="auto"/>
              <w:rPr>
                <w:szCs w:val="18"/>
              </w:rPr>
            </w:pPr>
            <w:r w:rsidRPr="00151C85">
              <w:rPr>
                <w:szCs w:val="18"/>
              </w:rPr>
              <w:t>The two scenarios that the project team discussed in this context were:</w:t>
            </w:r>
          </w:p>
          <w:p w14:paraId="550D726C" w14:textId="77777777" w:rsidR="00151C85" w:rsidRPr="00151C85" w:rsidRDefault="00151C85" w:rsidP="00D31293">
            <w:pPr>
              <w:pStyle w:val="ListBullet"/>
              <w:numPr>
                <w:ilvl w:val="0"/>
                <w:numId w:val="66"/>
              </w:numPr>
              <w:spacing w:before="40" w:after="80" w:line="252" w:lineRule="auto"/>
              <w:ind w:left="442" w:hanging="357"/>
              <w:rPr>
                <w:szCs w:val="18"/>
              </w:rPr>
            </w:pPr>
            <w:r w:rsidRPr="00151C85">
              <w:rPr>
                <w:szCs w:val="18"/>
              </w:rPr>
              <w:t>Compression services provided in a GSH (i.e. Wallumbilla and Moomba), which members noted could be sold on a stand-alone basis.</w:t>
            </w:r>
          </w:p>
          <w:p w14:paraId="7FEB88E0" w14:textId="65C62700" w:rsidR="00151C85" w:rsidRPr="00151C85" w:rsidRDefault="00151C85" w:rsidP="00D31293">
            <w:pPr>
              <w:pStyle w:val="ListBullet"/>
              <w:numPr>
                <w:ilvl w:val="0"/>
                <w:numId w:val="66"/>
              </w:numPr>
              <w:spacing w:before="40" w:after="80" w:line="252" w:lineRule="auto"/>
              <w:ind w:left="442" w:hanging="357"/>
              <w:rPr>
                <w:szCs w:val="18"/>
              </w:rPr>
            </w:pPr>
            <w:r w:rsidRPr="00151C85">
              <w:rPr>
                <w:szCs w:val="18"/>
              </w:rPr>
              <w:t>Stand-alone compression services offered in other locations where the compression service is required to address pressure differentials between interconnecting pipelines and the operator of the compression facility differs from the pipeline operator (e.g</w:t>
            </w:r>
            <w:r w:rsidR="00817F19">
              <w:rPr>
                <w:szCs w:val="18"/>
              </w:rPr>
              <w:t>.</w:t>
            </w:r>
            <w:r w:rsidRPr="00151C85">
              <w:rPr>
                <w:szCs w:val="18"/>
              </w:rPr>
              <w:t xml:space="preserve"> the compressor </w:t>
            </w:r>
            <w:r>
              <w:rPr>
                <w:szCs w:val="18"/>
              </w:rPr>
              <w:t xml:space="preserve">Santos owns at </w:t>
            </w:r>
            <w:proofErr w:type="spellStart"/>
            <w:r>
              <w:rPr>
                <w:szCs w:val="18"/>
              </w:rPr>
              <w:t>Ballera</w:t>
            </w:r>
            <w:proofErr w:type="spellEnd"/>
            <w:r>
              <w:rPr>
                <w:szCs w:val="18"/>
              </w:rPr>
              <w:t xml:space="preserve">, which is required to access the </w:t>
            </w:r>
            <w:r w:rsidRPr="00151C85">
              <w:rPr>
                <w:szCs w:val="18"/>
              </w:rPr>
              <w:t xml:space="preserve">CGP and the compressor </w:t>
            </w:r>
            <w:proofErr w:type="spellStart"/>
            <w:r w:rsidRPr="00151C85">
              <w:rPr>
                <w:szCs w:val="18"/>
              </w:rPr>
              <w:t>Lochard</w:t>
            </w:r>
            <w:proofErr w:type="spellEnd"/>
            <w:r w:rsidRPr="00151C85">
              <w:rPr>
                <w:szCs w:val="18"/>
              </w:rPr>
              <w:t xml:space="preserve"> owns at Iona</w:t>
            </w:r>
            <w:r>
              <w:rPr>
                <w:szCs w:val="18"/>
              </w:rPr>
              <w:t xml:space="preserve">, which is used by </w:t>
            </w:r>
            <w:r w:rsidRPr="00151C85">
              <w:rPr>
                <w:szCs w:val="18"/>
              </w:rPr>
              <w:t xml:space="preserve">some shippers </w:t>
            </w:r>
            <w:r>
              <w:rPr>
                <w:szCs w:val="18"/>
              </w:rPr>
              <w:t xml:space="preserve">in conjunction with storage services, to access </w:t>
            </w:r>
            <w:r w:rsidRPr="00151C85">
              <w:rPr>
                <w:szCs w:val="18"/>
              </w:rPr>
              <w:t xml:space="preserve">the </w:t>
            </w:r>
            <w:proofErr w:type="spellStart"/>
            <w:r w:rsidRPr="00151C85">
              <w:rPr>
                <w:szCs w:val="18"/>
              </w:rPr>
              <w:t>SEAGas</w:t>
            </w:r>
            <w:proofErr w:type="spellEnd"/>
            <w:r w:rsidRPr="00151C85">
              <w:rPr>
                <w:szCs w:val="18"/>
              </w:rPr>
              <w:t xml:space="preserve"> Pipeline).</w:t>
            </w:r>
          </w:p>
          <w:p w14:paraId="09EEEBF2" w14:textId="0417759A" w:rsidR="00151C85" w:rsidRPr="00151C85" w:rsidRDefault="00151C85" w:rsidP="00D31293">
            <w:pPr>
              <w:pStyle w:val="TableBodyText"/>
              <w:spacing w:before="40" w:after="80" w:line="252" w:lineRule="auto"/>
              <w:rPr>
                <w:szCs w:val="18"/>
              </w:rPr>
            </w:pPr>
            <w:r w:rsidRPr="00151C85">
              <w:rPr>
                <w:szCs w:val="18"/>
              </w:rPr>
              <w:t xml:space="preserve">In the latter case, the project team thought that if compression was to be traded then the transportation product could be sold on a bundled basis through the exchange, although it was noted that the buyer would need to have operational GTAs in place with the service provider of both the pipeline and the compression facility to utilise both facilities. </w:t>
            </w:r>
          </w:p>
          <w:p w14:paraId="444A3B25" w14:textId="17FF5F33" w:rsidR="00151C85" w:rsidRPr="00151C85" w:rsidRDefault="00151C85" w:rsidP="00D31293">
            <w:pPr>
              <w:pStyle w:val="TableBodyText"/>
              <w:spacing w:before="40" w:after="80" w:line="252" w:lineRule="auto"/>
              <w:rPr>
                <w:szCs w:val="18"/>
              </w:rPr>
            </w:pPr>
            <w:r w:rsidRPr="00151C85">
              <w:rPr>
                <w:szCs w:val="18"/>
                <w:lang w:eastAsia="fr-CA"/>
              </w:rPr>
              <w:t>Like transportation and park services, the project team thought that if compression services were to be included on the exchange, it should be sold on a firm basis only.</w:t>
            </w:r>
          </w:p>
        </w:tc>
      </w:tr>
    </w:tbl>
    <w:p w14:paraId="360F5EEB" w14:textId="6EC2F556" w:rsidR="009A3C42" w:rsidRDefault="00F25A5A" w:rsidP="007215B5">
      <w:pPr>
        <w:pStyle w:val="BodyText"/>
      </w:pPr>
      <w:r>
        <w:lastRenderedPageBreak/>
        <w:t>In addition to the</w:t>
      </w:r>
      <w:r w:rsidR="005130B5">
        <w:t xml:space="preserve"> products</w:t>
      </w:r>
      <w:r>
        <w:t xml:space="preserve"> outlined above</w:t>
      </w:r>
      <w:r w:rsidR="005130B5">
        <w:t>, t</w:t>
      </w:r>
      <w:r w:rsidR="007215B5">
        <w:t xml:space="preserve">he project team also considered whether locational </w:t>
      </w:r>
      <w:r w:rsidR="005130B5">
        <w:t xml:space="preserve">gas </w:t>
      </w:r>
      <w:r w:rsidR="007215B5">
        <w:t>swaps</w:t>
      </w:r>
      <w:r w:rsidR="0012201F">
        <w:t xml:space="preserve"> </w:t>
      </w:r>
      <w:r w:rsidR="007215B5">
        <w:t>should be developed as part of this process</w:t>
      </w:r>
      <w:r w:rsidR="00E4625B">
        <w:t xml:space="preserve"> (see </w:t>
      </w:r>
      <w:r w:rsidR="009A3C42">
        <w:fldChar w:fldCharType="begin"/>
      </w:r>
      <w:r w:rsidR="009A3C42">
        <w:instrText xml:space="preserve"> REF _Ref492129312 \h </w:instrText>
      </w:r>
      <w:r w:rsidR="009A3C42">
        <w:fldChar w:fldCharType="separate"/>
      </w:r>
      <w:r w:rsidR="00947034">
        <w:t xml:space="preserve">Box </w:t>
      </w:r>
      <w:r w:rsidR="00947034">
        <w:rPr>
          <w:noProof/>
        </w:rPr>
        <w:t>7</w:t>
      </w:r>
      <w:r w:rsidR="00947034">
        <w:t>.</w:t>
      </w:r>
      <w:r w:rsidR="00947034">
        <w:rPr>
          <w:noProof/>
        </w:rPr>
        <w:t>1</w:t>
      </w:r>
      <w:r w:rsidR="009A3C42">
        <w:fldChar w:fldCharType="end"/>
      </w:r>
      <w:r w:rsidR="009A3C42">
        <w:t xml:space="preserve"> for more detail on swaps</w:t>
      </w:r>
      <w:r w:rsidR="00E4625B">
        <w:t>)</w:t>
      </w:r>
      <w:r w:rsidR="007215B5">
        <w:t xml:space="preserve">. </w:t>
      </w:r>
      <w:r w:rsidR="009A3C42">
        <w:t xml:space="preserve">Mixed views were expressed on this issue, with some team members noting that there would be value in developing locational swaps for trade through </w:t>
      </w:r>
      <w:r w:rsidR="003C187B">
        <w:t xml:space="preserve">the </w:t>
      </w:r>
      <w:r w:rsidR="009A3C42">
        <w:t>exchange</w:t>
      </w:r>
      <w:r>
        <w:t xml:space="preserve">. </w:t>
      </w:r>
      <w:r w:rsidR="009A3C42">
        <w:t xml:space="preserve"> </w:t>
      </w:r>
      <w:r>
        <w:t>O</w:t>
      </w:r>
      <w:r w:rsidR="009A3C42">
        <w:t>thers</w:t>
      </w:r>
      <w:r w:rsidR="003C187B">
        <w:t xml:space="preserve"> </w:t>
      </w:r>
      <w:r>
        <w:t xml:space="preserve">thought </w:t>
      </w:r>
      <w:r w:rsidR="009A3C42">
        <w:t xml:space="preserve">it went beyond the scope of the AEMC’s recommendations. It was also noted in this context that: </w:t>
      </w:r>
    </w:p>
    <w:p w14:paraId="64E76C48" w14:textId="4F3F932C" w:rsidR="009A3C42" w:rsidRDefault="009A3C42" w:rsidP="00F25A5A">
      <w:pPr>
        <w:pStyle w:val="ListBullet"/>
      </w:pPr>
      <w:r>
        <w:t>the delivery obligations are quite different under a locational gas swap</w:t>
      </w:r>
      <w:r w:rsidR="001D79A7">
        <w:t xml:space="preserve"> than they are under a secondary capacity trade</w:t>
      </w:r>
      <w:r>
        <w:t xml:space="preserve"> </w:t>
      </w:r>
      <w:r w:rsidR="00F25A5A">
        <w:t xml:space="preserve">because </w:t>
      </w:r>
      <w:r>
        <w:t>swap counterparties have an obligation to deliver gas to the relevant location</w:t>
      </w:r>
      <w:r w:rsidR="003371D4">
        <w:t xml:space="preserve">, </w:t>
      </w:r>
      <w:r w:rsidR="00F25A5A">
        <w:t xml:space="preserve">while the </w:t>
      </w:r>
      <w:r>
        <w:t xml:space="preserve">seller of </w:t>
      </w:r>
      <w:r w:rsidR="003371D4">
        <w:t xml:space="preserve">transportation </w:t>
      </w:r>
      <w:r>
        <w:t xml:space="preserve">capacity </w:t>
      </w:r>
      <w:r w:rsidR="00F25A5A">
        <w:t xml:space="preserve">only has to </w:t>
      </w:r>
      <w:r>
        <w:t>release capacity to another shipper to us</w:t>
      </w:r>
      <w:r w:rsidR="001D79A7">
        <w:t>e</w:t>
      </w:r>
      <w:r>
        <w:t xml:space="preserve">; and </w:t>
      </w:r>
    </w:p>
    <w:p w14:paraId="7ADC5EF0" w14:textId="41ABD4FA" w:rsidR="007215B5" w:rsidRDefault="009A3C42" w:rsidP="009A3C42">
      <w:pPr>
        <w:pStyle w:val="ListBullet"/>
      </w:pPr>
      <w:r>
        <w:t>the contractual arrangements required to underpin the swap would be quite different from the operational GTA that has been developed for capacity trades</w:t>
      </w:r>
      <w:r w:rsidR="00D30EB7">
        <w:t>,</w:t>
      </w:r>
      <w:r>
        <w:t xml:space="preserve"> </w:t>
      </w:r>
      <w:r w:rsidR="00D30EB7">
        <w:t xml:space="preserve">so further work </w:t>
      </w:r>
      <w:r>
        <w:t xml:space="preserve">would </w:t>
      </w:r>
      <w:r w:rsidR="00D30EB7">
        <w:t xml:space="preserve">be </w:t>
      </w:r>
      <w:r>
        <w:t>require</w:t>
      </w:r>
      <w:r w:rsidR="00D30EB7">
        <w:t>d to develop these arrangements</w:t>
      </w:r>
      <w:r>
        <w:t xml:space="preserve">. </w:t>
      </w:r>
    </w:p>
    <w:p w14:paraId="11FB1DF2" w14:textId="23764088" w:rsidR="00F25A5A" w:rsidRDefault="00F25A5A" w:rsidP="00F25A5A">
      <w:pPr>
        <w:pStyle w:val="BodyText"/>
      </w:pPr>
      <w:r>
        <w:t xml:space="preserve">Given these issues, the project team agreed that the initial focus </w:t>
      </w:r>
      <w:r w:rsidR="0083359F">
        <w:t xml:space="preserve">of the capacity trading platform </w:t>
      </w:r>
      <w:r>
        <w:t xml:space="preserve">should be on the </w:t>
      </w:r>
      <w:r w:rsidR="0083359F">
        <w:t xml:space="preserve">capacity products </w:t>
      </w:r>
      <w:r>
        <w:t xml:space="preserve">listed above and </w:t>
      </w:r>
      <w:r w:rsidR="0083359F">
        <w:t xml:space="preserve">consideration </w:t>
      </w:r>
      <w:r w:rsidR="00994623">
        <w:t xml:space="preserve">be </w:t>
      </w:r>
      <w:r w:rsidR="0083359F">
        <w:t xml:space="preserve">given to </w:t>
      </w:r>
      <w:r>
        <w:t xml:space="preserve">the inclusion of locational swaps at a later </w:t>
      </w:r>
      <w:r w:rsidR="00817F19">
        <w:t>date.</w:t>
      </w:r>
    </w:p>
    <w:p w14:paraId="69B880D6" w14:textId="740AD5AA" w:rsidR="00F25A5A" w:rsidRDefault="00F25A5A" w:rsidP="00F25A5A">
      <w:pPr>
        <w:pStyle w:val="BodyText"/>
      </w:pPr>
      <w:r>
        <w:t xml:space="preserve">While the GMRG understands that gas swaps are becoming more prevalent in the market, the nature of this product is quite different from the capacity products that the AEMC recommended be developed as part of the capacity trading reform package. The GMRG therefore agrees with the position the project team reached on this issue and notes that the decision to focus on capacity products at this stage will not prevent parties from entering into locational gas swaps, or advertising swaps on the listing service.  Nor will it prevent participants that think locational gas swaps should be added to the GSH from submitting a proposal to AEMO to include it as product in the future. </w:t>
      </w:r>
    </w:p>
    <w:p w14:paraId="45E3666C" w14:textId="59AA473C" w:rsidR="00D31293" w:rsidRDefault="00D30EB7" w:rsidP="00F25A5A">
      <w:pPr>
        <w:pStyle w:val="BodyText"/>
      </w:pPr>
      <w:r>
        <w:t>T</w:t>
      </w:r>
      <w:r w:rsidR="00F25A5A">
        <w:t>he GMRG is interested in hearing whether stakeholders agree with the position the project team reached on the initial list of products to be made available on the exchange</w:t>
      </w:r>
      <w:r w:rsidR="00D31293">
        <w:t>, or whether they think other products should also be included, such as:</w:t>
      </w:r>
    </w:p>
    <w:p w14:paraId="1019A8A5" w14:textId="088C65A6" w:rsidR="00D31293" w:rsidRDefault="00D31293" w:rsidP="00D31293">
      <w:pPr>
        <w:pStyle w:val="ListBullet"/>
      </w:pPr>
      <w:r>
        <w:t xml:space="preserve">backhaul services on those pipelines that are not operating on a bi-directional basis – while the project team raised some potential limitations with this product (see </w:t>
      </w:r>
      <w:r>
        <w:fldChar w:fldCharType="begin"/>
      </w:r>
      <w:r>
        <w:instrText xml:space="preserve"> REF _Ref492128284 \h </w:instrText>
      </w:r>
      <w:r>
        <w:fldChar w:fldCharType="separate"/>
      </w:r>
      <w:r w:rsidR="00947034">
        <w:t xml:space="preserve">Table </w:t>
      </w:r>
      <w:r w:rsidR="00947034">
        <w:rPr>
          <w:noProof/>
        </w:rPr>
        <w:t>7</w:t>
      </w:r>
      <w:r w:rsidR="00947034">
        <w:t>.</w:t>
      </w:r>
      <w:r w:rsidR="00947034">
        <w:rPr>
          <w:noProof/>
        </w:rPr>
        <w:t>1</w:t>
      </w:r>
      <w:r>
        <w:fldChar w:fldCharType="end"/>
      </w:r>
      <w:r>
        <w:t>) the GMRG is interested in other stakeholders’ views;</w:t>
      </w:r>
    </w:p>
    <w:p w14:paraId="5F355A28" w14:textId="45B9E3F2" w:rsidR="00D31293" w:rsidRPr="003C187B" w:rsidRDefault="00D31293" w:rsidP="00D31293">
      <w:pPr>
        <w:pStyle w:val="ListBullet"/>
        <w:rPr>
          <w:rFonts w:eastAsiaTheme="majorEastAsia"/>
        </w:rPr>
      </w:pPr>
      <w:r>
        <w:rPr>
          <w:rFonts w:eastAsiaTheme="majorEastAsia"/>
        </w:rPr>
        <w:t xml:space="preserve">an imbalance exchange traded product that parties could use to </w:t>
      </w:r>
      <w:r w:rsidRPr="00A04F4A">
        <w:rPr>
          <w:rFonts w:eastAsiaTheme="majorEastAsia"/>
          <w:sz w:val="21"/>
          <w:szCs w:val="21"/>
        </w:rPr>
        <w:t xml:space="preserve">clear imbalances (see section </w:t>
      </w:r>
      <w:r w:rsidRPr="00A04F4A">
        <w:rPr>
          <w:rFonts w:eastAsiaTheme="majorEastAsia"/>
          <w:sz w:val="21"/>
          <w:szCs w:val="21"/>
        </w:rPr>
        <w:fldChar w:fldCharType="begin"/>
      </w:r>
      <w:r w:rsidRPr="00A04F4A">
        <w:rPr>
          <w:rFonts w:eastAsiaTheme="majorEastAsia"/>
          <w:sz w:val="21"/>
          <w:szCs w:val="21"/>
        </w:rPr>
        <w:instrText xml:space="preserve"> REF _Ref492239512 \r \h </w:instrText>
      </w:r>
      <w:r>
        <w:rPr>
          <w:rFonts w:eastAsiaTheme="majorEastAsia"/>
          <w:sz w:val="21"/>
          <w:szCs w:val="21"/>
        </w:rPr>
        <w:instrText xml:space="preserve"> \* MERGEFORMAT </w:instrText>
      </w:r>
      <w:r w:rsidRPr="00A04F4A">
        <w:rPr>
          <w:rFonts w:eastAsiaTheme="majorEastAsia"/>
          <w:sz w:val="21"/>
          <w:szCs w:val="21"/>
        </w:rPr>
      </w:r>
      <w:r w:rsidRPr="00A04F4A">
        <w:rPr>
          <w:rFonts w:eastAsiaTheme="majorEastAsia"/>
          <w:sz w:val="21"/>
          <w:szCs w:val="21"/>
        </w:rPr>
        <w:fldChar w:fldCharType="separate"/>
      </w:r>
      <w:r w:rsidR="00947034">
        <w:rPr>
          <w:rFonts w:eastAsiaTheme="majorEastAsia"/>
          <w:sz w:val="21"/>
          <w:szCs w:val="21"/>
        </w:rPr>
        <w:t>5.2</w:t>
      </w:r>
      <w:r w:rsidRPr="00A04F4A">
        <w:rPr>
          <w:rFonts w:eastAsiaTheme="majorEastAsia"/>
          <w:sz w:val="21"/>
          <w:szCs w:val="21"/>
        </w:rPr>
        <w:fldChar w:fldCharType="end"/>
      </w:r>
      <w:r>
        <w:rPr>
          <w:rFonts w:eastAsiaTheme="majorEastAsia"/>
          <w:sz w:val="21"/>
          <w:szCs w:val="21"/>
        </w:rPr>
        <w:t>); and/or</w:t>
      </w:r>
    </w:p>
    <w:p w14:paraId="1CD092D7" w14:textId="71ADE670" w:rsidR="00D31293" w:rsidRPr="00A04F4A" w:rsidRDefault="00D31293" w:rsidP="00D31293">
      <w:pPr>
        <w:pStyle w:val="ListBullet"/>
        <w:rPr>
          <w:rFonts w:eastAsiaTheme="majorEastAsia"/>
        </w:rPr>
      </w:pPr>
      <w:r>
        <w:rPr>
          <w:rFonts w:eastAsiaTheme="majorEastAsia"/>
        </w:rPr>
        <w:t>other (</w:t>
      </w:r>
      <w:r w:rsidRPr="00A04F4A">
        <w:rPr>
          <w:rFonts w:eastAsiaTheme="majorEastAsia"/>
        </w:rPr>
        <w:t>non-pipeline) storage products</w:t>
      </w:r>
      <w:r>
        <w:rPr>
          <w:rFonts w:eastAsiaTheme="majorEastAsia"/>
        </w:rPr>
        <w:t xml:space="preserve"> (e.g. the Western Underground S</w:t>
      </w:r>
      <w:r w:rsidRPr="00A04F4A">
        <w:rPr>
          <w:rFonts w:eastAsiaTheme="majorEastAsia"/>
        </w:rPr>
        <w:t xml:space="preserve">torage </w:t>
      </w:r>
      <w:r>
        <w:rPr>
          <w:rFonts w:eastAsiaTheme="majorEastAsia"/>
        </w:rPr>
        <w:t>F</w:t>
      </w:r>
      <w:r w:rsidRPr="00A04F4A">
        <w:rPr>
          <w:rFonts w:eastAsiaTheme="majorEastAsia"/>
        </w:rPr>
        <w:t>acility</w:t>
      </w:r>
      <w:r>
        <w:rPr>
          <w:rFonts w:eastAsiaTheme="majorEastAsia"/>
        </w:rPr>
        <w:t xml:space="preserve">, the Dandenong LNG storage facility and other storage facilities providing third party access) – note that </w:t>
      </w:r>
      <w:r w:rsidR="003B1C54">
        <w:rPr>
          <w:rFonts w:eastAsiaTheme="majorEastAsia"/>
        </w:rPr>
        <w:t>the inclusion of this type of product goes beyond the AEMC’s recommendations but could be of some value to the market if users of these facilities are able to trade their capacity.</w:t>
      </w:r>
    </w:p>
    <w:p w14:paraId="66338D39" w14:textId="0738136D" w:rsidR="00F25A5A" w:rsidRDefault="003B1C54" w:rsidP="00F25A5A">
      <w:pPr>
        <w:pStyle w:val="BodyText"/>
      </w:pPr>
      <w:r>
        <w:t xml:space="preserve">The box below contains some specific </w:t>
      </w:r>
      <w:r w:rsidR="00F25A5A">
        <w:t xml:space="preserve">questions </w:t>
      </w:r>
      <w:r>
        <w:t>on these issues</w:t>
      </w:r>
      <w:r w:rsidR="00F25A5A">
        <w:t>.</w:t>
      </w:r>
    </w:p>
    <w:p w14:paraId="15C25EC6" w14:textId="77777777" w:rsidR="00F25A5A" w:rsidRDefault="00F25A5A" w:rsidP="00F25A5A">
      <w:pPr>
        <w:pStyle w:val="ListBullet"/>
        <w:numPr>
          <w:ilvl w:val="0"/>
          <w:numId w:val="0"/>
        </w:numPr>
        <w:ind w:left="357" w:hanging="357"/>
      </w:pPr>
    </w:p>
    <w:tbl>
      <w:tblPr>
        <w:tblStyle w:val="PullOutBoxTable"/>
        <w:tblW w:w="5000" w:type="pct"/>
        <w:tblCellMar>
          <w:top w:w="113" w:type="dxa"/>
          <w:bottom w:w="113" w:type="dxa"/>
        </w:tblCellMar>
        <w:tblLook w:val="0600" w:firstRow="0" w:lastRow="0" w:firstColumn="0" w:lastColumn="0" w:noHBand="1" w:noVBand="1"/>
        <w:tblCaption w:val="Box 7.1: Locational gas swaps "/>
        <w:tblDescription w:val="Locational gas swaps "/>
      </w:tblPr>
      <w:tblGrid>
        <w:gridCol w:w="8788"/>
      </w:tblGrid>
      <w:tr w:rsidR="005130B5" w:rsidRPr="00B73860" w14:paraId="17088B84" w14:textId="77777777" w:rsidTr="006E1AEC">
        <w:trPr>
          <w:tblHeader/>
        </w:trPr>
        <w:tc>
          <w:tcPr>
            <w:tcW w:w="5000" w:type="pct"/>
            <w:shd w:val="clear" w:color="auto" w:fill="auto"/>
          </w:tcPr>
          <w:p w14:paraId="72C1FCB4" w14:textId="227ABA95" w:rsidR="005130B5" w:rsidRPr="006E1AEC" w:rsidRDefault="006E1AEC" w:rsidP="00633144">
            <w:pPr>
              <w:pStyle w:val="ListBullet"/>
              <w:keepNext/>
              <w:numPr>
                <w:ilvl w:val="0"/>
                <w:numId w:val="0"/>
              </w:numPr>
              <w:spacing w:before="0" w:after="0"/>
              <w:ind w:left="357" w:hanging="357"/>
              <w:rPr>
                <w:b/>
              </w:rPr>
            </w:pPr>
            <w:bookmarkStart w:id="148" w:name="_Ref492129312"/>
            <w:r w:rsidRPr="006E1AEC">
              <w:rPr>
                <w:b/>
              </w:rPr>
              <w:lastRenderedPageBreak/>
              <w:t xml:space="preserve">Box </w:t>
            </w:r>
            <w:r w:rsidRPr="006E1AEC">
              <w:rPr>
                <w:b/>
              </w:rPr>
              <w:fldChar w:fldCharType="begin"/>
            </w:r>
            <w:r w:rsidRPr="006E1AEC">
              <w:rPr>
                <w:b/>
              </w:rPr>
              <w:instrText xml:space="preserve"> STYLEREF 1 \s </w:instrText>
            </w:r>
            <w:r w:rsidRPr="006E1AEC">
              <w:rPr>
                <w:b/>
              </w:rPr>
              <w:fldChar w:fldCharType="separate"/>
            </w:r>
            <w:r w:rsidRPr="006E1AEC">
              <w:rPr>
                <w:b/>
                <w:noProof/>
              </w:rPr>
              <w:t>7</w:t>
            </w:r>
            <w:r w:rsidRPr="006E1AEC">
              <w:rPr>
                <w:b/>
                <w:noProof/>
              </w:rPr>
              <w:fldChar w:fldCharType="end"/>
            </w:r>
            <w:r w:rsidRPr="006E1AEC">
              <w:rPr>
                <w:b/>
              </w:rPr>
              <w:t>.</w:t>
            </w:r>
            <w:r w:rsidRPr="006E1AEC">
              <w:rPr>
                <w:b/>
              </w:rPr>
              <w:fldChar w:fldCharType="begin"/>
            </w:r>
            <w:r w:rsidRPr="006E1AEC">
              <w:rPr>
                <w:b/>
              </w:rPr>
              <w:instrText xml:space="preserve"> SEQ Box \* ARABIC \s 1 </w:instrText>
            </w:r>
            <w:r w:rsidRPr="006E1AEC">
              <w:rPr>
                <w:b/>
              </w:rPr>
              <w:fldChar w:fldCharType="separate"/>
            </w:r>
            <w:r w:rsidRPr="006E1AEC">
              <w:rPr>
                <w:b/>
                <w:noProof/>
              </w:rPr>
              <w:t>1</w:t>
            </w:r>
            <w:r w:rsidRPr="006E1AEC">
              <w:rPr>
                <w:b/>
                <w:noProof/>
              </w:rPr>
              <w:fldChar w:fldCharType="end"/>
            </w:r>
            <w:bookmarkEnd w:id="148"/>
            <w:r w:rsidRPr="006E1AEC">
              <w:rPr>
                <w:b/>
              </w:rPr>
              <w:t>: Locational gas swaps</w:t>
            </w:r>
          </w:p>
        </w:tc>
      </w:tr>
      <w:tr w:rsidR="006E1AEC" w:rsidRPr="00B73860" w14:paraId="4057E5D9" w14:textId="77777777" w:rsidTr="006E1AEC">
        <w:trPr>
          <w:tblHeader/>
        </w:trPr>
        <w:tc>
          <w:tcPr>
            <w:tcW w:w="5000" w:type="pct"/>
          </w:tcPr>
          <w:p w14:paraId="18C8382C" w14:textId="77777777" w:rsidR="006E1AEC" w:rsidRDefault="006E1AEC" w:rsidP="006E1AEC">
            <w:pPr>
              <w:keepNext/>
              <w:spacing w:after="180"/>
            </w:pPr>
            <w:r>
              <w:t xml:space="preserve">A physical gas swap involves the exchange of gas at different locations.  Swaps may be entered into for a variety of reasons, including to overcome pipeline constraints, production constraints and geographic demand-supply imbalances.  They may also be used to reduce or avoid transportation costs.  </w:t>
            </w:r>
            <w:r>
              <w:rPr>
                <w:szCs w:val="24"/>
              </w:rPr>
              <w:t xml:space="preserve">The location at which gas is swapped will depend on the parties’ requirements but in general, the swap may occur at </w:t>
            </w:r>
            <w:r>
              <w:t>the point of production, a delivered location or a combination of the two.</w:t>
            </w:r>
          </w:p>
          <w:p w14:paraId="541FB9DD" w14:textId="77777777" w:rsidR="006E1AEC" w:rsidRDefault="006E1AEC" w:rsidP="006E1AEC">
            <w:pPr>
              <w:keepNext/>
              <w:spacing w:after="120"/>
              <w:rPr>
                <w:rFonts w:ascii="Times New Roman" w:hAnsi="Times New Roman"/>
                <w:szCs w:val="24"/>
              </w:rPr>
            </w:pPr>
            <w:r>
              <w:rPr>
                <w:szCs w:val="24"/>
              </w:rPr>
              <w:t>The way in which a swap can work can be seen in the following example, which assumes that:</w:t>
            </w:r>
          </w:p>
          <w:p w14:paraId="602A30DE" w14:textId="77777777" w:rsidR="006E1AEC" w:rsidRDefault="006E1AEC" w:rsidP="006E1AEC">
            <w:pPr>
              <w:pStyle w:val="ListBullet"/>
              <w:keepNext/>
              <w:spacing w:after="140"/>
              <w:rPr>
                <w:szCs w:val="20"/>
              </w:rPr>
            </w:pPr>
            <w:r>
              <w:t>Santos has 20 PJ p.a. of gas in the Gippsland Basin that it wants to supply to its LNG facility in Gladstone; and</w:t>
            </w:r>
          </w:p>
          <w:p w14:paraId="4DA1AFD4" w14:textId="77777777" w:rsidR="006E1AEC" w:rsidRDefault="006E1AEC" w:rsidP="006E1AEC">
            <w:pPr>
              <w:pStyle w:val="ListBullet"/>
              <w:keepNext/>
            </w:pPr>
            <w:r>
              <w:t>AGL has a 20 PJ p.a. gas supply contract in place with producers in the Bowen/Surat basins and takes delivery of that gas at Wallumbilla and then transports it to Sydney (via the SWQP and MSP) and Victoria (via the SWQP, MSP and the Declared Transmission System (DTS)).</w:t>
            </w:r>
          </w:p>
          <w:p w14:paraId="4EE34988" w14:textId="77777777" w:rsidR="006E1AEC" w:rsidRDefault="006E1AEC" w:rsidP="006E1AEC">
            <w:pPr>
              <w:keepNext/>
              <w:spacing w:after="180"/>
              <w:rPr>
                <w:szCs w:val="24"/>
              </w:rPr>
            </w:pPr>
            <w:r>
              <w:rPr>
                <w:szCs w:val="24"/>
              </w:rPr>
              <w:t>The alternative locations at which this gas could be exchanged are as follows:</w:t>
            </w:r>
          </w:p>
          <w:p w14:paraId="2521F39C" w14:textId="77777777" w:rsidR="006E1AEC" w:rsidRDefault="006E1AEC" w:rsidP="006E1AEC">
            <w:pPr>
              <w:pStyle w:val="ListBullet"/>
              <w:keepNext/>
              <w:spacing w:after="140"/>
            </w:pPr>
            <w:r>
              <w:t>Santos could take delivery of the gas at either Wallumbilla or Moomba and then transport the gas to Gladstone via the SWQP and the dedicated GLNG pipeline.  If the gas is taken at Moomba then AGL would have to transport the gas under its transportation contract on the SWQP from Wallumbilla to Moomba; and</w:t>
            </w:r>
          </w:p>
          <w:p w14:paraId="26E528B8" w14:textId="228B8017" w:rsidR="006E1AEC" w:rsidRPr="006E1AEC" w:rsidRDefault="006E1AEC" w:rsidP="006E1AEC">
            <w:pPr>
              <w:pStyle w:val="ListBullet"/>
              <w:keepNext/>
              <w:spacing w:after="140"/>
            </w:pPr>
            <w:r>
              <w:t>AGL could take delivery of the gas in Sydney and/or Victoria.  If the gas is supplied in Sydney, then Santos would require a GTA with either the EGP or the DTS and MSP to enable the gas to be delivered from the Gippsland Basin to Sydney.  If the gas is supplied to Victoria then Santos could just deliver the gas into the DTS.</w:t>
            </w:r>
          </w:p>
        </w:tc>
      </w:tr>
    </w:tbl>
    <w:p w14:paraId="4BAA2137" w14:textId="65786426" w:rsidR="0083359F" w:rsidRPr="00633144" w:rsidRDefault="0083359F" w:rsidP="00633144">
      <w:pPr>
        <w:keepNext/>
        <w:keepLines/>
        <w:spacing w:before="120" w:line="240" w:lineRule="auto"/>
        <w:rPr>
          <w:rFonts w:eastAsiaTheme="minorHAnsi" w:cstheme="minorBidi"/>
          <w:b/>
          <w:sz w:val="18"/>
          <w:lang w:eastAsia="fr-CA"/>
        </w:rPr>
      </w:pP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7.2: Questions on the initial set of exchange traded products "/>
        <w:tblDescription w:val="Questions on the initial set of exchange traded products "/>
      </w:tblPr>
      <w:tblGrid>
        <w:gridCol w:w="8788"/>
      </w:tblGrid>
      <w:tr w:rsidR="0083359F" w:rsidRPr="00A04F4A" w14:paraId="62A7BEA2" w14:textId="77777777" w:rsidTr="00633144">
        <w:trPr>
          <w:tblHeader/>
        </w:trPr>
        <w:tc>
          <w:tcPr>
            <w:tcW w:w="5000" w:type="pct"/>
            <w:shd w:val="clear" w:color="auto" w:fill="auto"/>
          </w:tcPr>
          <w:p w14:paraId="4E63B872" w14:textId="56A70315" w:rsidR="00151C85" w:rsidRPr="00E1033C" w:rsidRDefault="00633144" w:rsidP="00633144">
            <w:pPr>
              <w:pStyle w:val="ListBullet2"/>
              <w:numPr>
                <w:ilvl w:val="0"/>
                <w:numId w:val="0"/>
              </w:numPr>
              <w:spacing w:before="0" w:after="0"/>
              <w:rPr>
                <w:rFonts w:eastAsiaTheme="majorEastAsia"/>
                <w:sz w:val="21"/>
                <w:szCs w:val="21"/>
              </w:rPr>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7</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2</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the initial set of exchange traded products</w:t>
            </w:r>
          </w:p>
        </w:tc>
      </w:tr>
      <w:tr w:rsidR="00633144" w:rsidRPr="00A04F4A" w14:paraId="0F27B1BC" w14:textId="77777777" w:rsidTr="00633144">
        <w:tc>
          <w:tcPr>
            <w:tcW w:w="5000" w:type="pct"/>
            <w:shd w:val="clear" w:color="auto" w:fill="B7E7FF"/>
          </w:tcPr>
          <w:p w14:paraId="24EC0DE8" w14:textId="77777777" w:rsidR="00633144" w:rsidRPr="00A04F4A" w:rsidRDefault="00633144" w:rsidP="00633144">
            <w:pPr>
              <w:pStyle w:val="ListNumber"/>
              <w:numPr>
                <w:ilvl w:val="0"/>
                <w:numId w:val="23"/>
              </w:numPr>
              <w:rPr>
                <w:rFonts w:eastAsiaTheme="majorEastAsia"/>
                <w:sz w:val="21"/>
                <w:szCs w:val="21"/>
              </w:rPr>
            </w:pPr>
            <w:r w:rsidRPr="00A04F4A">
              <w:rPr>
                <w:rFonts w:eastAsiaTheme="majorEastAsia"/>
                <w:sz w:val="21"/>
                <w:szCs w:val="21"/>
              </w:rPr>
              <w:t xml:space="preserve">Do you agree with the project team’s view that the initial set of products should be limited to firm forward haul, </w:t>
            </w:r>
            <w:proofErr w:type="gramStart"/>
            <w:r>
              <w:rPr>
                <w:rFonts w:eastAsiaTheme="majorEastAsia"/>
                <w:sz w:val="21"/>
                <w:szCs w:val="21"/>
              </w:rPr>
              <w:t xml:space="preserve">firm </w:t>
            </w:r>
            <w:r w:rsidRPr="00A04F4A">
              <w:rPr>
                <w:rFonts w:eastAsiaTheme="majorEastAsia"/>
                <w:sz w:val="21"/>
                <w:szCs w:val="21"/>
              </w:rPr>
              <w:t>park</w:t>
            </w:r>
            <w:proofErr w:type="gramEnd"/>
            <w:r w:rsidRPr="00A04F4A">
              <w:rPr>
                <w:rFonts w:eastAsiaTheme="majorEastAsia"/>
                <w:sz w:val="21"/>
                <w:szCs w:val="21"/>
              </w:rPr>
              <w:t xml:space="preserve"> and </w:t>
            </w:r>
            <w:r>
              <w:rPr>
                <w:rFonts w:eastAsiaTheme="majorEastAsia"/>
                <w:sz w:val="21"/>
                <w:szCs w:val="21"/>
              </w:rPr>
              <w:t xml:space="preserve">firm </w:t>
            </w:r>
            <w:r w:rsidRPr="00A04F4A">
              <w:rPr>
                <w:rFonts w:eastAsiaTheme="majorEastAsia"/>
                <w:sz w:val="21"/>
                <w:szCs w:val="21"/>
              </w:rPr>
              <w:t xml:space="preserve">compression services on </w:t>
            </w:r>
            <w:r w:rsidRPr="00A04F4A">
              <w:rPr>
                <w:sz w:val="21"/>
                <w:szCs w:val="21"/>
              </w:rPr>
              <w:t>the transportation assets connecting major supply and demand centres in the east coast</w:t>
            </w:r>
            <w:r w:rsidRPr="00A04F4A">
              <w:rPr>
                <w:rFonts w:eastAsiaTheme="majorEastAsia"/>
                <w:sz w:val="21"/>
                <w:szCs w:val="21"/>
              </w:rPr>
              <w:t>? If not, what products do you think should be excluded from or added to the list?</w:t>
            </w:r>
          </w:p>
          <w:p w14:paraId="0EDE3568" w14:textId="77777777" w:rsidR="00633144" w:rsidRDefault="00633144" w:rsidP="00633144">
            <w:pPr>
              <w:pStyle w:val="ListNumber"/>
              <w:numPr>
                <w:ilvl w:val="0"/>
                <w:numId w:val="23"/>
              </w:numPr>
              <w:rPr>
                <w:rFonts w:eastAsiaTheme="majorEastAsia"/>
                <w:sz w:val="21"/>
                <w:szCs w:val="21"/>
              </w:rPr>
            </w:pPr>
            <w:r w:rsidRPr="00A04F4A">
              <w:rPr>
                <w:rFonts w:eastAsiaTheme="majorEastAsia"/>
                <w:sz w:val="21"/>
                <w:szCs w:val="21"/>
              </w:rPr>
              <w:t xml:space="preserve">Do you think </w:t>
            </w:r>
            <w:r>
              <w:rPr>
                <w:rFonts w:eastAsiaTheme="majorEastAsia"/>
                <w:sz w:val="21"/>
                <w:szCs w:val="21"/>
              </w:rPr>
              <w:t>there would be value in the GMRG developing the following services ahead of market start, or do you think they could be developed after market start:</w:t>
            </w:r>
          </w:p>
          <w:p w14:paraId="7DB38C20" w14:textId="77777777" w:rsidR="00633144" w:rsidRDefault="00633144" w:rsidP="00633144">
            <w:pPr>
              <w:pStyle w:val="ListBullet2"/>
              <w:rPr>
                <w:rFonts w:eastAsiaTheme="majorEastAsia"/>
              </w:rPr>
            </w:pPr>
            <w:r w:rsidRPr="00A04F4A">
              <w:rPr>
                <w:rFonts w:eastAsiaTheme="majorEastAsia"/>
              </w:rPr>
              <w:t>backhaul services</w:t>
            </w:r>
            <w:r>
              <w:rPr>
                <w:rFonts w:eastAsiaTheme="majorEastAsia"/>
              </w:rPr>
              <w:t xml:space="preserve"> on pipelines that are not bi-directional</w:t>
            </w:r>
            <w:r w:rsidRPr="00A04F4A">
              <w:rPr>
                <w:rFonts w:eastAsiaTheme="majorEastAsia"/>
              </w:rPr>
              <w:t xml:space="preserve">? </w:t>
            </w:r>
          </w:p>
          <w:p w14:paraId="6C13B46A" w14:textId="77777777" w:rsidR="00633144" w:rsidRDefault="00633144" w:rsidP="00633144">
            <w:pPr>
              <w:pStyle w:val="ListBullet2"/>
              <w:rPr>
                <w:rFonts w:eastAsiaTheme="majorEastAsia"/>
              </w:rPr>
            </w:pPr>
            <w:r>
              <w:rPr>
                <w:rFonts w:eastAsiaTheme="majorEastAsia"/>
              </w:rPr>
              <w:t>locational swaps?</w:t>
            </w:r>
          </w:p>
          <w:p w14:paraId="4AFD2C09" w14:textId="77777777" w:rsidR="00633144" w:rsidRPr="003C187B" w:rsidRDefault="00633144" w:rsidP="00633144">
            <w:pPr>
              <w:pStyle w:val="ListBullet2"/>
              <w:rPr>
                <w:rFonts w:eastAsiaTheme="majorEastAsia"/>
              </w:rPr>
            </w:pPr>
            <w:proofErr w:type="gramStart"/>
            <w:r>
              <w:rPr>
                <w:rFonts w:eastAsiaTheme="majorEastAsia"/>
              </w:rPr>
              <w:t>an</w:t>
            </w:r>
            <w:proofErr w:type="gramEnd"/>
            <w:r>
              <w:rPr>
                <w:rFonts w:eastAsiaTheme="majorEastAsia"/>
              </w:rPr>
              <w:t xml:space="preserve"> imbalance exchange traded product that parties could use to </w:t>
            </w:r>
            <w:r w:rsidRPr="00A04F4A">
              <w:rPr>
                <w:rFonts w:eastAsiaTheme="majorEastAsia"/>
                <w:sz w:val="21"/>
                <w:szCs w:val="21"/>
              </w:rPr>
              <w:t xml:space="preserve">clear imbalances (see section </w:t>
            </w:r>
            <w:r w:rsidRPr="00A04F4A">
              <w:rPr>
                <w:rFonts w:eastAsiaTheme="majorEastAsia"/>
                <w:sz w:val="21"/>
                <w:szCs w:val="21"/>
              </w:rPr>
              <w:fldChar w:fldCharType="begin"/>
            </w:r>
            <w:r w:rsidRPr="00A04F4A">
              <w:rPr>
                <w:rFonts w:eastAsiaTheme="majorEastAsia"/>
                <w:sz w:val="21"/>
                <w:szCs w:val="21"/>
              </w:rPr>
              <w:instrText xml:space="preserve"> REF _Ref492239512 \r \h </w:instrText>
            </w:r>
            <w:r>
              <w:rPr>
                <w:rFonts w:eastAsiaTheme="majorEastAsia"/>
                <w:sz w:val="21"/>
                <w:szCs w:val="21"/>
              </w:rPr>
              <w:instrText xml:space="preserve"> \* MERGEFORMAT </w:instrText>
            </w:r>
            <w:r w:rsidRPr="00A04F4A">
              <w:rPr>
                <w:rFonts w:eastAsiaTheme="majorEastAsia"/>
                <w:sz w:val="21"/>
                <w:szCs w:val="21"/>
              </w:rPr>
            </w:r>
            <w:r w:rsidRPr="00A04F4A">
              <w:rPr>
                <w:rFonts w:eastAsiaTheme="majorEastAsia"/>
                <w:sz w:val="21"/>
                <w:szCs w:val="21"/>
              </w:rPr>
              <w:fldChar w:fldCharType="separate"/>
            </w:r>
            <w:r>
              <w:rPr>
                <w:rFonts w:eastAsiaTheme="majorEastAsia"/>
                <w:sz w:val="21"/>
                <w:szCs w:val="21"/>
              </w:rPr>
              <w:t>5.2</w:t>
            </w:r>
            <w:r w:rsidRPr="00A04F4A">
              <w:rPr>
                <w:rFonts w:eastAsiaTheme="majorEastAsia"/>
                <w:sz w:val="21"/>
                <w:szCs w:val="21"/>
              </w:rPr>
              <w:fldChar w:fldCharType="end"/>
            </w:r>
            <w:r w:rsidRPr="00A04F4A">
              <w:rPr>
                <w:rFonts w:eastAsiaTheme="majorEastAsia"/>
                <w:sz w:val="21"/>
                <w:szCs w:val="21"/>
              </w:rPr>
              <w:t>)?</w:t>
            </w:r>
          </w:p>
          <w:p w14:paraId="6D8F33E7" w14:textId="77777777" w:rsidR="00633144" w:rsidRPr="00A04F4A" w:rsidRDefault="00633144" w:rsidP="00633144">
            <w:pPr>
              <w:pStyle w:val="ListBullet2"/>
              <w:rPr>
                <w:rFonts w:eastAsiaTheme="majorEastAsia"/>
              </w:rPr>
            </w:pPr>
            <w:r>
              <w:rPr>
                <w:rFonts w:eastAsiaTheme="majorEastAsia"/>
                <w:sz w:val="21"/>
                <w:szCs w:val="21"/>
              </w:rPr>
              <w:t>other (</w:t>
            </w:r>
            <w:r w:rsidRPr="00A04F4A">
              <w:rPr>
                <w:rFonts w:eastAsiaTheme="majorEastAsia"/>
                <w:sz w:val="21"/>
                <w:szCs w:val="21"/>
              </w:rPr>
              <w:t>non-pipeline) storage products</w:t>
            </w:r>
            <w:r>
              <w:rPr>
                <w:rFonts w:eastAsiaTheme="majorEastAsia"/>
                <w:sz w:val="21"/>
                <w:szCs w:val="21"/>
              </w:rPr>
              <w:t xml:space="preserve">, such as those offered by </w:t>
            </w:r>
            <w:proofErr w:type="spellStart"/>
            <w:r w:rsidRPr="00A04F4A">
              <w:rPr>
                <w:rFonts w:eastAsiaTheme="majorEastAsia"/>
                <w:sz w:val="21"/>
                <w:szCs w:val="21"/>
              </w:rPr>
              <w:t>Lochard’s</w:t>
            </w:r>
            <w:proofErr w:type="spellEnd"/>
            <w:r w:rsidRPr="00A04F4A">
              <w:rPr>
                <w:rFonts w:eastAsiaTheme="majorEastAsia"/>
                <w:sz w:val="21"/>
                <w:szCs w:val="21"/>
              </w:rPr>
              <w:t xml:space="preserve"> underground storage facility, APA’s Dandenong LNG storage facility?</w:t>
            </w:r>
          </w:p>
          <w:p w14:paraId="29C70E92" w14:textId="77777777" w:rsidR="00633144" w:rsidRPr="00A04F4A" w:rsidRDefault="00633144" w:rsidP="00633144">
            <w:pPr>
              <w:pStyle w:val="ListNumber"/>
              <w:numPr>
                <w:ilvl w:val="0"/>
                <w:numId w:val="23"/>
              </w:numPr>
              <w:rPr>
                <w:rFonts w:eastAsiaTheme="majorEastAsia"/>
                <w:sz w:val="21"/>
                <w:szCs w:val="21"/>
              </w:rPr>
            </w:pPr>
            <w:r>
              <w:rPr>
                <w:rFonts w:eastAsiaTheme="majorEastAsia"/>
                <w:sz w:val="21"/>
                <w:szCs w:val="21"/>
              </w:rPr>
              <w:t xml:space="preserve">If you </w:t>
            </w:r>
            <w:r w:rsidRPr="00A04F4A">
              <w:rPr>
                <w:rFonts w:eastAsiaTheme="majorEastAsia"/>
                <w:sz w:val="21"/>
                <w:szCs w:val="21"/>
              </w:rPr>
              <w:t xml:space="preserve">think locational swaps should be </w:t>
            </w:r>
            <w:r>
              <w:rPr>
                <w:rFonts w:eastAsiaTheme="majorEastAsia"/>
                <w:sz w:val="21"/>
                <w:szCs w:val="21"/>
              </w:rPr>
              <w:t>developed for market start</w:t>
            </w:r>
            <w:r w:rsidRPr="00A04F4A">
              <w:rPr>
                <w:rFonts w:eastAsiaTheme="majorEastAsia"/>
                <w:sz w:val="21"/>
                <w:szCs w:val="21"/>
              </w:rPr>
              <w:t>:</w:t>
            </w:r>
          </w:p>
          <w:p w14:paraId="5486AF02" w14:textId="77777777" w:rsidR="00633144" w:rsidRPr="00A04F4A" w:rsidRDefault="00633144" w:rsidP="00633144">
            <w:pPr>
              <w:pStyle w:val="ListBullet2"/>
              <w:rPr>
                <w:rFonts w:eastAsiaTheme="majorEastAsia"/>
                <w:sz w:val="21"/>
                <w:szCs w:val="21"/>
              </w:rPr>
            </w:pPr>
            <w:r w:rsidRPr="00A04F4A">
              <w:rPr>
                <w:rFonts w:eastAsiaTheme="majorEastAsia"/>
                <w:sz w:val="21"/>
                <w:szCs w:val="21"/>
              </w:rPr>
              <w:t>Do you think they are a substitute for capacity products, or a separate product?</w:t>
            </w:r>
            <w:r>
              <w:rPr>
                <w:rFonts w:eastAsiaTheme="majorEastAsia"/>
                <w:sz w:val="21"/>
                <w:szCs w:val="21"/>
              </w:rPr>
              <w:t xml:space="preserve"> </w:t>
            </w:r>
          </w:p>
          <w:p w14:paraId="52415A97" w14:textId="77777777" w:rsidR="00633144" w:rsidRDefault="00633144" w:rsidP="00633144">
            <w:pPr>
              <w:pStyle w:val="ListBullet2"/>
              <w:rPr>
                <w:rFonts w:eastAsiaTheme="majorEastAsia"/>
                <w:sz w:val="21"/>
                <w:szCs w:val="21"/>
              </w:rPr>
            </w:pPr>
            <w:r w:rsidRPr="00A04F4A">
              <w:rPr>
                <w:rFonts w:eastAsiaTheme="majorEastAsia"/>
                <w:sz w:val="21"/>
                <w:szCs w:val="21"/>
              </w:rPr>
              <w:t>Do you think swaps could be used in place of bac</w:t>
            </w:r>
            <w:r>
              <w:rPr>
                <w:rFonts w:eastAsiaTheme="majorEastAsia"/>
                <w:sz w:val="21"/>
                <w:szCs w:val="21"/>
              </w:rPr>
              <w:t>khaul services at market start?</w:t>
            </w:r>
          </w:p>
          <w:p w14:paraId="672B9CB5" w14:textId="303D267A" w:rsidR="00633144" w:rsidRPr="00633144" w:rsidRDefault="00633144" w:rsidP="00633144">
            <w:pPr>
              <w:pStyle w:val="ListBullet2"/>
              <w:rPr>
                <w:rFonts w:eastAsiaTheme="majorEastAsia"/>
                <w:sz w:val="21"/>
                <w:szCs w:val="21"/>
              </w:rPr>
            </w:pPr>
            <w:r w:rsidRPr="00633144">
              <w:rPr>
                <w:rFonts w:eastAsiaTheme="majorEastAsia"/>
                <w:sz w:val="21"/>
                <w:szCs w:val="21"/>
              </w:rPr>
              <w:t>What locational combinations do you think should be available?</w:t>
            </w:r>
          </w:p>
        </w:tc>
      </w:tr>
    </w:tbl>
    <w:p w14:paraId="3EB33BF0" w14:textId="5A3EF6B7" w:rsidR="000F2FC7" w:rsidRDefault="000F2FC7" w:rsidP="000F2FC7">
      <w:pPr>
        <w:pStyle w:val="Heading2"/>
      </w:pPr>
      <w:bookmarkStart w:id="149" w:name="_Toc492524760"/>
      <w:r>
        <w:lastRenderedPageBreak/>
        <w:t>Standardised products</w:t>
      </w:r>
      <w:r w:rsidR="00F00409">
        <w:t xml:space="preserve"> </w:t>
      </w:r>
      <w:r w:rsidR="00F376C6">
        <w:t xml:space="preserve">to be sold on </w:t>
      </w:r>
      <w:r w:rsidR="00F00409">
        <w:t>the exchange</w:t>
      </w:r>
      <w:bookmarkEnd w:id="149"/>
    </w:p>
    <w:p w14:paraId="747D95A8" w14:textId="652DCDF2" w:rsidR="00F00409" w:rsidRDefault="00B36899" w:rsidP="000F2FC7">
      <w:pPr>
        <w:pStyle w:val="BodyText"/>
      </w:pPr>
      <w:r>
        <w:t>As the AEMC noted, before the firm forward haul, park and compression products can be listed on the exchange, they will need to undergo some degree of standardisation across the following service dimensions</w:t>
      </w:r>
      <w:r w:rsidR="00F00409">
        <w:t>:</w:t>
      </w:r>
      <w:r w:rsidR="00BF290F">
        <w:t xml:space="preserve"> </w:t>
      </w:r>
    </w:p>
    <w:p w14:paraId="5F5C9B2C" w14:textId="0F86A826" w:rsidR="00F00409" w:rsidRDefault="00F00409" w:rsidP="00F00409">
      <w:pPr>
        <w:pStyle w:val="ListBullet"/>
      </w:pPr>
      <w:r>
        <w:t xml:space="preserve">contract path </w:t>
      </w:r>
      <w:r w:rsidR="00B36899">
        <w:t>(i.e. the zones between which capacity will be transported)</w:t>
      </w:r>
      <w:r w:rsidR="00F376C6">
        <w:t>;</w:t>
      </w:r>
    </w:p>
    <w:p w14:paraId="6BE77CE6" w14:textId="0500CC53" w:rsidR="00F00409" w:rsidRDefault="00F00409" w:rsidP="00F00409">
      <w:pPr>
        <w:pStyle w:val="ListBullet"/>
      </w:pPr>
      <w:r>
        <w:t>contract size</w:t>
      </w:r>
      <w:r w:rsidR="001479A5">
        <w:t xml:space="preserve"> (MDQ and Maximum Hourly Quantity (MHQ))</w:t>
      </w:r>
      <w:r>
        <w:t>; and</w:t>
      </w:r>
    </w:p>
    <w:p w14:paraId="2733145D" w14:textId="05A567AB" w:rsidR="00F00409" w:rsidRDefault="00F00409" w:rsidP="00F00409">
      <w:pPr>
        <w:pStyle w:val="ListBullet"/>
      </w:pPr>
      <w:r>
        <w:t>contract tenor.</w:t>
      </w:r>
    </w:p>
    <w:p w14:paraId="26830249" w14:textId="172B8AE7" w:rsidR="00F376C6" w:rsidRDefault="00E3153C" w:rsidP="000F2FC7">
      <w:pPr>
        <w:pStyle w:val="BodyText"/>
      </w:pPr>
      <w:r>
        <w:fldChar w:fldCharType="begin"/>
      </w:r>
      <w:r>
        <w:instrText xml:space="preserve"> REF _Ref492383571 \h </w:instrText>
      </w:r>
      <w:r>
        <w:fldChar w:fldCharType="separate"/>
      </w:r>
      <w:r w:rsidR="00947034">
        <w:t xml:space="preserve">Table </w:t>
      </w:r>
      <w:r w:rsidR="00947034">
        <w:rPr>
          <w:noProof/>
        </w:rPr>
        <w:t>7</w:t>
      </w:r>
      <w:r w:rsidR="00947034">
        <w:t>.</w:t>
      </w:r>
      <w:r w:rsidR="00947034">
        <w:rPr>
          <w:noProof/>
        </w:rPr>
        <w:t>2</w:t>
      </w:r>
      <w:r>
        <w:fldChar w:fldCharType="end"/>
      </w:r>
      <w:r w:rsidR="00B36899">
        <w:t xml:space="preserve"> provides a summary of the </w:t>
      </w:r>
      <w:r w:rsidR="00F376C6">
        <w:t>Capacity</w:t>
      </w:r>
      <w:r w:rsidR="00B36899">
        <w:t xml:space="preserve"> Trading Platform project team’s views on how these service dimensions should be standardised. These views have informed the development of an initial set of standardised forward haul, park and compression products that can be traded on the exchange, the details of which are set out below. </w:t>
      </w:r>
    </w:p>
    <w:p w14:paraId="10C5EA0D" w14:textId="1AEAAA95" w:rsidR="00BF290F" w:rsidRDefault="00BF290F" w:rsidP="00BF290F">
      <w:pPr>
        <w:pStyle w:val="Caption"/>
        <w:spacing w:before="0" w:after="0"/>
      </w:pPr>
      <w:bookmarkStart w:id="150" w:name="_Ref492383571"/>
      <w:r>
        <w:t xml:space="preserve">Table </w:t>
      </w:r>
      <w:r w:rsidR="00926D7E">
        <w:fldChar w:fldCharType="begin"/>
      </w:r>
      <w:r w:rsidR="00926D7E">
        <w:instrText xml:space="preserve"> STYLEREF 1 \s </w:instrText>
      </w:r>
      <w:r w:rsidR="00926D7E">
        <w:fldChar w:fldCharType="separate"/>
      </w:r>
      <w:r w:rsidR="00947034">
        <w:rPr>
          <w:noProof/>
        </w:rPr>
        <w:t>7</w:t>
      </w:r>
      <w:r w:rsidR="00926D7E">
        <w:rPr>
          <w:noProof/>
        </w:rPr>
        <w:fldChar w:fldCharType="end"/>
      </w:r>
      <w:r w:rsidR="001C4739">
        <w:t>.</w:t>
      </w:r>
      <w:r w:rsidR="00926D7E">
        <w:fldChar w:fldCharType="begin"/>
      </w:r>
      <w:r w:rsidR="00926D7E">
        <w:instrText xml:space="preserve"> SEQ Table \* ARABIC \s 1 </w:instrText>
      </w:r>
      <w:r w:rsidR="00926D7E">
        <w:fldChar w:fldCharType="separate"/>
      </w:r>
      <w:r w:rsidR="00947034">
        <w:rPr>
          <w:noProof/>
        </w:rPr>
        <w:t>2</w:t>
      </w:r>
      <w:r w:rsidR="00926D7E">
        <w:rPr>
          <w:noProof/>
        </w:rPr>
        <w:fldChar w:fldCharType="end"/>
      </w:r>
      <w:bookmarkEnd w:id="150"/>
      <w:r>
        <w:t>: Summary of views on standardised products</w:t>
      </w:r>
    </w:p>
    <w:tbl>
      <w:tblPr>
        <w:tblStyle w:val="TableGrid"/>
        <w:tblW w:w="8945" w:type="dxa"/>
        <w:tblLook w:val="04A0" w:firstRow="1" w:lastRow="0" w:firstColumn="1" w:lastColumn="0" w:noHBand="0" w:noVBand="1"/>
        <w:tblCaption w:val="Table 7.2: Summary of views on standardised products"/>
        <w:tblDescription w:val="Summary of views on standardised products"/>
      </w:tblPr>
      <w:tblGrid>
        <w:gridCol w:w="957"/>
        <w:gridCol w:w="804"/>
        <w:gridCol w:w="2528"/>
        <w:gridCol w:w="2538"/>
        <w:gridCol w:w="2118"/>
      </w:tblGrid>
      <w:tr w:rsidR="00BF290F" w:rsidRPr="00BF290F" w14:paraId="74A3E011" w14:textId="77777777" w:rsidTr="00BF290F">
        <w:trPr>
          <w:cnfStyle w:val="100000000000" w:firstRow="1" w:lastRow="0" w:firstColumn="0" w:lastColumn="0" w:oddVBand="0" w:evenVBand="0" w:oddHBand="0" w:evenHBand="0" w:firstRowFirstColumn="0" w:firstRowLastColumn="0" w:lastRowFirstColumn="0" w:lastRowLastColumn="0"/>
          <w:tblHeader/>
        </w:trPr>
        <w:tc>
          <w:tcPr>
            <w:tcW w:w="1701" w:type="dxa"/>
            <w:gridSpan w:val="2"/>
            <w:shd w:val="clear" w:color="auto" w:fill="0099CC"/>
          </w:tcPr>
          <w:p w14:paraId="13B09D69" w14:textId="77777777" w:rsidR="00BF290F" w:rsidRPr="00BF290F" w:rsidRDefault="00BF290F" w:rsidP="0028301E">
            <w:pPr>
              <w:pStyle w:val="BodyText"/>
              <w:spacing w:before="40" w:after="40" w:line="252" w:lineRule="auto"/>
              <w:rPr>
                <w:sz w:val="19"/>
                <w:szCs w:val="19"/>
              </w:rPr>
            </w:pPr>
          </w:p>
        </w:tc>
        <w:tc>
          <w:tcPr>
            <w:tcW w:w="2552" w:type="dxa"/>
            <w:shd w:val="clear" w:color="auto" w:fill="0099CC"/>
          </w:tcPr>
          <w:p w14:paraId="799390D2" w14:textId="77777777" w:rsidR="00BF290F" w:rsidRPr="00BF290F" w:rsidRDefault="00BF290F" w:rsidP="00BF290F">
            <w:pPr>
              <w:pStyle w:val="BodyText"/>
              <w:spacing w:before="40" w:after="40" w:line="252" w:lineRule="auto"/>
              <w:jc w:val="center"/>
              <w:rPr>
                <w:sz w:val="19"/>
                <w:szCs w:val="19"/>
              </w:rPr>
            </w:pPr>
            <w:r w:rsidRPr="00BF290F">
              <w:rPr>
                <w:sz w:val="19"/>
                <w:szCs w:val="19"/>
              </w:rPr>
              <w:t>Firm forward haul service</w:t>
            </w:r>
          </w:p>
        </w:tc>
        <w:tc>
          <w:tcPr>
            <w:tcW w:w="2555" w:type="dxa"/>
            <w:shd w:val="clear" w:color="auto" w:fill="0099CC"/>
          </w:tcPr>
          <w:p w14:paraId="2D27B3AA" w14:textId="77777777" w:rsidR="00BF290F" w:rsidRPr="00BF290F" w:rsidRDefault="00BF290F" w:rsidP="00BF290F">
            <w:pPr>
              <w:pStyle w:val="BodyText"/>
              <w:spacing w:before="40" w:after="40" w:line="252" w:lineRule="auto"/>
              <w:jc w:val="center"/>
              <w:rPr>
                <w:sz w:val="19"/>
                <w:szCs w:val="19"/>
              </w:rPr>
            </w:pPr>
            <w:r w:rsidRPr="00BF290F">
              <w:rPr>
                <w:sz w:val="19"/>
                <w:szCs w:val="19"/>
              </w:rPr>
              <w:t>Firm compression service</w:t>
            </w:r>
          </w:p>
        </w:tc>
        <w:tc>
          <w:tcPr>
            <w:tcW w:w="2134" w:type="dxa"/>
            <w:shd w:val="clear" w:color="auto" w:fill="0099CC"/>
          </w:tcPr>
          <w:p w14:paraId="67243F79" w14:textId="77777777" w:rsidR="00BF290F" w:rsidRPr="00BF290F" w:rsidRDefault="00BF290F" w:rsidP="00BF290F">
            <w:pPr>
              <w:pStyle w:val="BodyText"/>
              <w:spacing w:before="40" w:after="40" w:line="252" w:lineRule="auto"/>
              <w:jc w:val="center"/>
              <w:rPr>
                <w:sz w:val="19"/>
                <w:szCs w:val="19"/>
              </w:rPr>
            </w:pPr>
            <w:r w:rsidRPr="00BF290F">
              <w:rPr>
                <w:sz w:val="19"/>
                <w:szCs w:val="19"/>
              </w:rPr>
              <w:t>Firm park service</w:t>
            </w:r>
          </w:p>
        </w:tc>
      </w:tr>
      <w:tr w:rsidR="00BF290F" w:rsidRPr="00BF290F" w14:paraId="3D738938" w14:textId="77777777" w:rsidTr="00BF290F">
        <w:tc>
          <w:tcPr>
            <w:tcW w:w="1701" w:type="dxa"/>
            <w:gridSpan w:val="2"/>
          </w:tcPr>
          <w:p w14:paraId="4DD7E795" w14:textId="77777777" w:rsidR="00BF290F" w:rsidRPr="00BF290F" w:rsidRDefault="00BF290F" w:rsidP="0028301E">
            <w:pPr>
              <w:pStyle w:val="BodyText"/>
              <w:spacing w:before="40" w:after="40" w:line="252" w:lineRule="auto"/>
              <w:rPr>
                <w:b/>
                <w:sz w:val="19"/>
                <w:szCs w:val="19"/>
              </w:rPr>
            </w:pPr>
            <w:r w:rsidRPr="00BF290F">
              <w:rPr>
                <w:b/>
                <w:sz w:val="19"/>
                <w:szCs w:val="19"/>
              </w:rPr>
              <w:t xml:space="preserve">Contract paths or facility </w:t>
            </w:r>
          </w:p>
        </w:tc>
        <w:tc>
          <w:tcPr>
            <w:tcW w:w="2552" w:type="dxa"/>
          </w:tcPr>
          <w:p w14:paraId="6EDC1F42" w14:textId="77777777" w:rsidR="00BF290F" w:rsidRPr="00BF290F" w:rsidRDefault="00BF290F" w:rsidP="0028301E">
            <w:pPr>
              <w:pStyle w:val="TableBodyText"/>
              <w:spacing w:before="40" w:after="40" w:line="252" w:lineRule="auto"/>
              <w:rPr>
                <w:sz w:val="19"/>
                <w:szCs w:val="19"/>
              </w:rPr>
            </w:pPr>
            <w:r w:rsidRPr="00BF290F">
              <w:rPr>
                <w:sz w:val="19"/>
                <w:szCs w:val="19"/>
              </w:rPr>
              <w:t xml:space="preserve">The project team thought that standardised forward haul services should be available on all the major transmission pipelines in the east coast and the Northern Territory, once it is connected. The specific pipelines that were identified in this context include the RBP, QGP, SWQP, CGP, MSP, EGP, MAPS, </w:t>
            </w:r>
            <w:proofErr w:type="spellStart"/>
            <w:r w:rsidRPr="00BF290F">
              <w:rPr>
                <w:sz w:val="19"/>
                <w:szCs w:val="19"/>
              </w:rPr>
              <w:t>SEAGas</w:t>
            </w:r>
            <w:proofErr w:type="spellEnd"/>
            <w:r w:rsidRPr="00BF290F">
              <w:rPr>
                <w:sz w:val="19"/>
                <w:szCs w:val="19"/>
              </w:rPr>
              <w:t xml:space="preserve"> Pipeline, the Tasmanian Gas Pipeline (TGP), the NGP and Amadeus to Darwin Pipeline (ADP).</w:t>
            </w:r>
          </w:p>
        </w:tc>
        <w:tc>
          <w:tcPr>
            <w:tcW w:w="2555" w:type="dxa"/>
          </w:tcPr>
          <w:p w14:paraId="0DA828E8" w14:textId="0BB54DAA" w:rsidR="00BF290F" w:rsidRPr="00BF290F" w:rsidRDefault="00BF290F" w:rsidP="0028301E">
            <w:pPr>
              <w:pStyle w:val="BodyText"/>
              <w:spacing w:before="40" w:after="40" w:line="252" w:lineRule="auto"/>
              <w:rPr>
                <w:sz w:val="19"/>
                <w:szCs w:val="19"/>
              </w:rPr>
            </w:pPr>
            <w:r w:rsidRPr="00BF290F">
              <w:rPr>
                <w:sz w:val="19"/>
                <w:szCs w:val="19"/>
              </w:rPr>
              <w:t>The project team thought that if standardised compression services are to be offered on the exchange then they should be available at Wallumbilla and Moomba to facilitate trade through the hub. Some project team members also noted that there may be value in having either a stand</w:t>
            </w:r>
            <w:r w:rsidR="003B1C54">
              <w:rPr>
                <w:sz w:val="19"/>
                <w:szCs w:val="19"/>
              </w:rPr>
              <w:t>-</w:t>
            </w:r>
            <w:r w:rsidRPr="00BF290F">
              <w:rPr>
                <w:sz w:val="19"/>
                <w:szCs w:val="19"/>
              </w:rPr>
              <w:t xml:space="preserve">alone or bundled compression-transportation service at other facility interconnection points, such as </w:t>
            </w:r>
            <w:proofErr w:type="spellStart"/>
            <w:r w:rsidRPr="00BF290F">
              <w:rPr>
                <w:sz w:val="19"/>
                <w:szCs w:val="19"/>
              </w:rPr>
              <w:t>Ballera</w:t>
            </w:r>
            <w:proofErr w:type="spellEnd"/>
            <w:r w:rsidRPr="00BF290F">
              <w:rPr>
                <w:sz w:val="19"/>
                <w:szCs w:val="19"/>
              </w:rPr>
              <w:t xml:space="preserve">. </w:t>
            </w:r>
          </w:p>
        </w:tc>
        <w:tc>
          <w:tcPr>
            <w:tcW w:w="2134" w:type="dxa"/>
          </w:tcPr>
          <w:p w14:paraId="0735FE90" w14:textId="77777777" w:rsidR="00BF290F" w:rsidRPr="00BF290F" w:rsidRDefault="00BF290F" w:rsidP="0028301E">
            <w:pPr>
              <w:pStyle w:val="BodyText"/>
              <w:spacing w:before="40" w:after="40" w:line="252" w:lineRule="auto"/>
              <w:rPr>
                <w:sz w:val="19"/>
                <w:szCs w:val="19"/>
              </w:rPr>
            </w:pPr>
            <w:r w:rsidRPr="00BF290F">
              <w:rPr>
                <w:sz w:val="19"/>
                <w:szCs w:val="19"/>
              </w:rPr>
              <w:t>The project team thought that standardised park services should be available on all the pipelines that offer this as a firm service, which includes the RBP, SWQP, MSP, EGP, MAPS and TGP.</w:t>
            </w:r>
          </w:p>
        </w:tc>
      </w:tr>
      <w:tr w:rsidR="00BF290F" w:rsidRPr="00BF290F" w14:paraId="06649FB9" w14:textId="77777777" w:rsidTr="00BF290F">
        <w:trPr>
          <w:cnfStyle w:val="000000010000" w:firstRow="0" w:lastRow="0" w:firstColumn="0" w:lastColumn="0" w:oddVBand="0" w:evenVBand="0" w:oddHBand="0" w:evenHBand="1" w:firstRowFirstColumn="0" w:firstRowLastColumn="0" w:lastRowFirstColumn="0" w:lastRowLastColumn="0"/>
          <w:trHeight w:val="686"/>
        </w:trPr>
        <w:tc>
          <w:tcPr>
            <w:tcW w:w="894" w:type="dxa"/>
            <w:vMerge w:val="restart"/>
          </w:tcPr>
          <w:p w14:paraId="1463F7F2" w14:textId="77777777" w:rsidR="00BF290F" w:rsidRPr="00BF290F" w:rsidRDefault="00BF290F" w:rsidP="0028301E">
            <w:pPr>
              <w:pStyle w:val="BodyText"/>
              <w:spacing w:before="40" w:after="40" w:line="252" w:lineRule="auto"/>
              <w:rPr>
                <w:b/>
                <w:sz w:val="19"/>
                <w:szCs w:val="19"/>
              </w:rPr>
            </w:pPr>
            <w:r w:rsidRPr="00BF290F">
              <w:rPr>
                <w:b/>
                <w:sz w:val="19"/>
                <w:szCs w:val="19"/>
              </w:rPr>
              <w:t>Contract size</w:t>
            </w:r>
          </w:p>
        </w:tc>
        <w:tc>
          <w:tcPr>
            <w:tcW w:w="807" w:type="dxa"/>
          </w:tcPr>
          <w:p w14:paraId="5A2BC725" w14:textId="77777777" w:rsidR="00BF290F" w:rsidRPr="00BF290F" w:rsidRDefault="00BF290F" w:rsidP="0028301E">
            <w:pPr>
              <w:pStyle w:val="BodyText"/>
              <w:spacing w:before="40" w:after="40" w:line="252" w:lineRule="auto"/>
              <w:rPr>
                <w:b/>
                <w:sz w:val="19"/>
                <w:szCs w:val="19"/>
              </w:rPr>
            </w:pPr>
            <w:r w:rsidRPr="00BF290F">
              <w:rPr>
                <w:b/>
                <w:sz w:val="19"/>
                <w:szCs w:val="19"/>
              </w:rPr>
              <w:t>MDQ</w:t>
            </w:r>
          </w:p>
        </w:tc>
        <w:tc>
          <w:tcPr>
            <w:tcW w:w="7244" w:type="dxa"/>
            <w:gridSpan w:val="3"/>
          </w:tcPr>
          <w:p w14:paraId="5C83B42D" w14:textId="37491A75" w:rsidR="00BF290F" w:rsidRPr="00BF290F" w:rsidRDefault="00BF290F" w:rsidP="0028301E">
            <w:pPr>
              <w:pStyle w:val="TableBodyText"/>
              <w:spacing w:before="40" w:after="40" w:line="252" w:lineRule="auto"/>
              <w:rPr>
                <w:sz w:val="19"/>
                <w:szCs w:val="19"/>
              </w:rPr>
            </w:pPr>
            <w:r w:rsidRPr="00BF290F">
              <w:rPr>
                <w:sz w:val="19"/>
                <w:szCs w:val="19"/>
              </w:rPr>
              <w:t>A number of project team members noted that while the current minimum MDQ parcel size for the GSH is 1 TJ, there may be value in adopting a smaller contract size for capacity products. The two alternatives that the project team identified in this context were 100 GJ and 500 GJ. Of these two alternatives, the 500 GJ option was considered more appropriate</w:t>
            </w:r>
            <w:r w:rsidR="003906C9">
              <w:rPr>
                <w:sz w:val="19"/>
                <w:szCs w:val="19"/>
              </w:rPr>
              <w:t xml:space="preserve"> although there was still some support for the 1 TJ option</w:t>
            </w:r>
            <w:r w:rsidRPr="00BF290F">
              <w:rPr>
                <w:sz w:val="19"/>
                <w:szCs w:val="19"/>
              </w:rPr>
              <w:t xml:space="preserve">.  </w:t>
            </w:r>
          </w:p>
          <w:p w14:paraId="43A4051A" w14:textId="402594AD" w:rsidR="00BF290F" w:rsidRPr="00BF290F" w:rsidRDefault="00BF290F" w:rsidP="0028301E">
            <w:pPr>
              <w:pStyle w:val="TableBodyText"/>
              <w:spacing w:before="40" w:after="40" w:line="252" w:lineRule="auto"/>
              <w:rPr>
                <w:sz w:val="19"/>
                <w:szCs w:val="19"/>
              </w:rPr>
            </w:pPr>
            <w:r w:rsidRPr="00BF290F">
              <w:rPr>
                <w:sz w:val="19"/>
                <w:szCs w:val="19"/>
              </w:rPr>
              <w:t>The project team also agreed that these products should have a reasonable endeavours renomination right</w:t>
            </w:r>
            <w:r w:rsidR="00E3153C">
              <w:rPr>
                <w:sz w:val="19"/>
                <w:szCs w:val="19"/>
              </w:rPr>
              <w:t>, which is reflected in the draft standard terms (see Chapter 3)</w:t>
            </w:r>
            <w:r w:rsidRPr="00BF290F">
              <w:rPr>
                <w:sz w:val="19"/>
                <w:szCs w:val="19"/>
              </w:rPr>
              <w:t>.</w:t>
            </w:r>
          </w:p>
        </w:tc>
      </w:tr>
      <w:tr w:rsidR="00BF290F" w:rsidRPr="00BF290F" w14:paraId="7F52FB4F" w14:textId="77777777" w:rsidTr="00BF290F">
        <w:trPr>
          <w:trHeight w:val="686"/>
        </w:trPr>
        <w:tc>
          <w:tcPr>
            <w:tcW w:w="894" w:type="dxa"/>
            <w:vMerge/>
            <w:tcBorders>
              <w:bottom w:val="single" w:sz="4" w:space="0" w:color="auto"/>
            </w:tcBorders>
            <w:shd w:val="clear" w:color="auto" w:fill="E1E2E7" w:themeFill="background2"/>
          </w:tcPr>
          <w:p w14:paraId="5D50378C" w14:textId="77777777" w:rsidR="00BF290F" w:rsidRPr="00BF290F" w:rsidRDefault="00BF290F" w:rsidP="0028301E">
            <w:pPr>
              <w:pStyle w:val="BodyText"/>
              <w:spacing w:before="40" w:after="40" w:line="252" w:lineRule="auto"/>
              <w:rPr>
                <w:sz w:val="19"/>
                <w:szCs w:val="19"/>
              </w:rPr>
            </w:pPr>
          </w:p>
        </w:tc>
        <w:tc>
          <w:tcPr>
            <w:tcW w:w="807" w:type="dxa"/>
            <w:tcBorders>
              <w:bottom w:val="single" w:sz="4" w:space="0" w:color="auto"/>
            </w:tcBorders>
            <w:shd w:val="clear" w:color="auto" w:fill="E1E2E7" w:themeFill="background2"/>
          </w:tcPr>
          <w:p w14:paraId="696FF0AA" w14:textId="77777777" w:rsidR="00BF290F" w:rsidRPr="00BF290F" w:rsidRDefault="00BF290F" w:rsidP="0028301E">
            <w:pPr>
              <w:pStyle w:val="BodyText"/>
              <w:spacing w:before="40" w:after="40" w:line="252" w:lineRule="auto"/>
              <w:rPr>
                <w:b/>
                <w:sz w:val="19"/>
                <w:szCs w:val="19"/>
              </w:rPr>
            </w:pPr>
            <w:r w:rsidRPr="00BF290F">
              <w:rPr>
                <w:b/>
                <w:sz w:val="19"/>
                <w:szCs w:val="19"/>
              </w:rPr>
              <w:t>MHQ</w:t>
            </w:r>
          </w:p>
        </w:tc>
        <w:tc>
          <w:tcPr>
            <w:tcW w:w="5110" w:type="dxa"/>
            <w:gridSpan w:val="2"/>
            <w:tcBorders>
              <w:bottom w:val="single" w:sz="4" w:space="0" w:color="auto"/>
            </w:tcBorders>
            <w:shd w:val="clear" w:color="auto" w:fill="E1E2E7" w:themeFill="background2"/>
          </w:tcPr>
          <w:p w14:paraId="06709ECD" w14:textId="77777777" w:rsidR="00BF290F" w:rsidRPr="00BF290F" w:rsidRDefault="00BF290F" w:rsidP="0028301E">
            <w:pPr>
              <w:pStyle w:val="TableBodyText"/>
              <w:spacing w:before="40" w:after="40" w:line="252" w:lineRule="auto"/>
              <w:rPr>
                <w:sz w:val="19"/>
                <w:szCs w:val="19"/>
              </w:rPr>
            </w:pPr>
            <w:r w:rsidRPr="00BF290F">
              <w:rPr>
                <w:sz w:val="19"/>
                <w:szCs w:val="19"/>
              </w:rPr>
              <w:t xml:space="preserve">The project team noted that it may not be possible to have a standardised MHQ factor of more than 1 (i.e. MDQ/24) because not all pipelines offer MHQ flexibility. This was confirmed in the GMRG’s discussions with a number of service providers, with Epic, APA and Jemena advising that an MHQ factor of 1.1 would be possible on their respective pipelines, while TGP and </w:t>
            </w:r>
            <w:proofErr w:type="spellStart"/>
            <w:r w:rsidRPr="00BF290F">
              <w:rPr>
                <w:sz w:val="19"/>
                <w:szCs w:val="19"/>
              </w:rPr>
              <w:t>SEAGas</w:t>
            </w:r>
            <w:proofErr w:type="spellEnd"/>
            <w:r w:rsidRPr="00BF290F">
              <w:rPr>
                <w:sz w:val="19"/>
                <w:szCs w:val="19"/>
              </w:rPr>
              <w:t xml:space="preserve"> advised that they could only offer an MHQ factor of 1. </w:t>
            </w:r>
          </w:p>
        </w:tc>
        <w:tc>
          <w:tcPr>
            <w:tcW w:w="2134" w:type="dxa"/>
            <w:tcBorders>
              <w:bottom w:val="single" w:sz="4" w:space="0" w:color="auto"/>
            </w:tcBorders>
            <w:shd w:val="clear" w:color="auto" w:fill="E1E2E7" w:themeFill="background2"/>
          </w:tcPr>
          <w:p w14:paraId="2988C74F" w14:textId="77777777" w:rsidR="00BF290F" w:rsidRPr="00BF290F" w:rsidRDefault="00BF290F" w:rsidP="0028301E">
            <w:pPr>
              <w:pStyle w:val="TableBodyText"/>
              <w:spacing w:before="40" w:after="40" w:line="252" w:lineRule="auto"/>
              <w:rPr>
                <w:sz w:val="19"/>
                <w:szCs w:val="19"/>
              </w:rPr>
            </w:pPr>
            <w:proofErr w:type="spellStart"/>
            <w:r w:rsidRPr="00BF290F">
              <w:rPr>
                <w:sz w:val="19"/>
                <w:szCs w:val="19"/>
              </w:rPr>
              <w:t>n.a</w:t>
            </w:r>
            <w:proofErr w:type="spellEnd"/>
            <w:r w:rsidRPr="00BF290F">
              <w:rPr>
                <w:sz w:val="19"/>
                <w:szCs w:val="19"/>
              </w:rPr>
              <w:t>.</w:t>
            </w:r>
          </w:p>
        </w:tc>
      </w:tr>
      <w:tr w:rsidR="00BF290F" w:rsidRPr="00BF290F" w14:paraId="606F74F9" w14:textId="77777777" w:rsidTr="00BF290F">
        <w:trPr>
          <w:cnfStyle w:val="000000010000" w:firstRow="0" w:lastRow="0" w:firstColumn="0" w:lastColumn="0" w:oddVBand="0" w:evenVBand="0" w:oddHBand="0" w:evenHBand="1" w:firstRowFirstColumn="0" w:firstRowLastColumn="0" w:lastRowFirstColumn="0" w:lastRowLastColumn="0"/>
        </w:trPr>
        <w:tc>
          <w:tcPr>
            <w:tcW w:w="1701" w:type="dxa"/>
            <w:gridSpan w:val="2"/>
            <w:tcBorders>
              <w:bottom w:val="single" w:sz="4" w:space="0" w:color="auto"/>
            </w:tcBorders>
            <w:shd w:val="clear" w:color="auto" w:fill="auto"/>
          </w:tcPr>
          <w:p w14:paraId="2D800F32" w14:textId="77777777" w:rsidR="00BF290F" w:rsidRPr="00BF290F" w:rsidRDefault="00BF290F" w:rsidP="00BF290F">
            <w:pPr>
              <w:pStyle w:val="BodyText"/>
              <w:keepNext/>
              <w:spacing w:before="40" w:after="40" w:line="252" w:lineRule="auto"/>
              <w:rPr>
                <w:b/>
                <w:sz w:val="19"/>
                <w:szCs w:val="19"/>
              </w:rPr>
            </w:pPr>
            <w:r w:rsidRPr="00BF290F">
              <w:rPr>
                <w:b/>
                <w:sz w:val="19"/>
                <w:szCs w:val="19"/>
              </w:rPr>
              <w:lastRenderedPageBreak/>
              <w:t xml:space="preserve">Contract tenor </w:t>
            </w:r>
          </w:p>
        </w:tc>
        <w:tc>
          <w:tcPr>
            <w:tcW w:w="7244" w:type="dxa"/>
            <w:gridSpan w:val="3"/>
            <w:tcBorders>
              <w:bottom w:val="single" w:sz="4" w:space="0" w:color="auto"/>
            </w:tcBorders>
            <w:shd w:val="clear" w:color="auto" w:fill="auto"/>
          </w:tcPr>
          <w:p w14:paraId="24D3B0A1" w14:textId="77777777" w:rsidR="00BF290F" w:rsidRPr="00BF290F" w:rsidRDefault="00BF290F" w:rsidP="00BF290F">
            <w:pPr>
              <w:pStyle w:val="BodyText"/>
              <w:keepNext/>
              <w:spacing w:before="40" w:after="40" w:line="252" w:lineRule="auto"/>
              <w:rPr>
                <w:sz w:val="19"/>
                <w:szCs w:val="19"/>
              </w:rPr>
            </w:pPr>
            <w:r w:rsidRPr="00BF290F">
              <w:rPr>
                <w:sz w:val="19"/>
                <w:szCs w:val="19"/>
              </w:rPr>
              <w:t>The project team agreed that the term of the standardised products should, with the exception of the balance of day product,</w:t>
            </w:r>
            <w:r w:rsidRPr="00BF290F">
              <w:rPr>
                <w:rStyle w:val="FootnoteReference"/>
                <w:sz w:val="19"/>
                <w:szCs w:val="19"/>
              </w:rPr>
              <w:footnoteReference w:id="86"/>
            </w:r>
            <w:r w:rsidRPr="00BF290F">
              <w:rPr>
                <w:sz w:val="19"/>
                <w:szCs w:val="19"/>
              </w:rPr>
              <w:t xml:space="preserve"> be aligned with the GSH products, which currently include: </w:t>
            </w:r>
          </w:p>
          <w:p w14:paraId="682BE48E" w14:textId="1C3630E5" w:rsidR="00BF290F" w:rsidRPr="00BF290F" w:rsidRDefault="00BF290F" w:rsidP="00BF290F">
            <w:pPr>
              <w:pStyle w:val="TableBullet1"/>
              <w:keepNext/>
              <w:spacing w:before="40" w:after="40" w:line="252" w:lineRule="auto"/>
              <w:rPr>
                <w:sz w:val="19"/>
                <w:szCs w:val="19"/>
              </w:rPr>
            </w:pPr>
            <w:r w:rsidRPr="00BF290F">
              <w:rPr>
                <w:rStyle w:val="Bold"/>
                <w:sz w:val="19"/>
                <w:szCs w:val="19"/>
              </w:rPr>
              <w:t xml:space="preserve">a day-ahead product, </w:t>
            </w:r>
            <w:r w:rsidRPr="00BF290F">
              <w:rPr>
                <w:rStyle w:val="Bold"/>
                <w:b w:val="0"/>
                <w:sz w:val="19"/>
                <w:szCs w:val="19"/>
              </w:rPr>
              <w:t xml:space="preserve">which is </w:t>
            </w:r>
            <w:r w:rsidRPr="00BF290F">
              <w:rPr>
                <w:sz w:val="19"/>
                <w:szCs w:val="19"/>
              </w:rPr>
              <w:t xml:space="preserve">available at the start of trade on D-1 until close of </w:t>
            </w:r>
            <w:r w:rsidR="00E3153C">
              <w:rPr>
                <w:sz w:val="19"/>
                <w:szCs w:val="19"/>
              </w:rPr>
              <w:t xml:space="preserve">trade for the day-ahead </w:t>
            </w:r>
            <w:r w:rsidRPr="00BF290F">
              <w:rPr>
                <w:sz w:val="19"/>
                <w:szCs w:val="19"/>
              </w:rPr>
              <w:t>product</w:t>
            </w:r>
            <w:r w:rsidR="00E3153C">
              <w:rPr>
                <w:sz w:val="19"/>
                <w:szCs w:val="19"/>
              </w:rPr>
              <w:t xml:space="preserve"> on D-1</w:t>
            </w:r>
            <w:r w:rsidRPr="00BF290F">
              <w:rPr>
                <w:sz w:val="19"/>
                <w:szCs w:val="19"/>
              </w:rPr>
              <w:t xml:space="preserve">. </w:t>
            </w:r>
          </w:p>
          <w:p w14:paraId="76EC1424" w14:textId="77777777" w:rsidR="00BF290F" w:rsidRPr="00BF290F" w:rsidRDefault="00BF290F" w:rsidP="00BF290F">
            <w:pPr>
              <w:pStyle w:val="TableBullet1"/>
              <w:keepNext/>
              <w:spacing w:before="40" w:after="40" w:line="252" w:lineRule="auto"/>
              <w:rPr>
                <w:sz w:val="19"/>
                <w:szCs w:val="19"/>
              </w:rPr>
            </w:pPr>
            <w:r w:rsidRPr="00BF290F">
              <w:rPr>
                <w:rStyle w:val="Bold"/>
                <w:sz w:val="19"/>
                <w:szCs w:val="19"/>
              </w:rPr>
              <w:t xml:space="preserve">a daily product (6 days), </w:t>
            </w:r>
            <w:r w:rsidRPr="00BF290F">
              <w:rPr>
                <w:rStyle w:val="Bold"/>
                <w:b w:val="0"/>
                <w:sz w:val="19"/>
                <w:szCs w:val="19"/>
              </w:rPr>
              <w:t xml:space="preserve">which is </w:t>
            </w:r>
            <w:r w:rsidRPr="00BF290F">
              <w:rPr>
                <w:sz w:val="19"/>
                <w:szCs w:val="19"/>
              </w:rPr>
              <w:t>available at the start of trade on D-7 until close of trade on D-2.</w:t>
            </w:r>
          </w:p>
          <w:p w14:paraId="59CDB33F" w14:textId="77777777" w:rsidR="00BF290F" w:rsidRPr="00BF290F" w:rsidRDefault="00BF290F" w:rsidP="00BF290F">
            <w:pPr>
              <w:pStyle w:val="TableBullet1"/>
              <w:keepNext/>
              <w:spacing w:before="40" w:after="40" w:line="252" w:lineRule="auto"/>
              <w:rPr>
                <w:sz w:val="19"/>
                <w:szCs w:val="19"/>
              </w:rPr>
            </w:pPr>
            <w:r w:rsidRPr="00BF290F">
              <w:rPr>
                <w:rStyle w:val="Bold"/>
                <w:sz w:val="19"/>
                <w:szCs w:val="19"/>
              </w:rPr>
              <w:t>a weekly product (next 4 weeks)</w:t>
            </w:r>
            <w:r w:rsidRPr="00BF290F">
              <w:rPr>
                <w:sz w:val="19"/>
                <w:szCs w:val="19"/>
              </w:rPr>
              <w:t xml:space="preserve">, which is currently available from Sunday until Saturday with the trading window opening four weeks prior to gas day D and closes at the end of trade on D-2. </w:t>
            </w:r>
          </w:p>
          <w:p w14:paraId="43624FA1" w14:textId="77777777" w:rsidR="00BF290F" w:rsidRPr="00BF290F" w:rsidRDefault="00BF290F" w:rsidP="00BF290F">
            <w:pPr>
              <w:pStyle w:val="TableBullet1"/>
              <w:keepNext/>
              <w:spacing w:before="40" w:after="40" w:line="252" w:lineRule="auto"/>
              <w:rPr>
                <w:sz w:val="19"/>
                <w:szCs w:val="19"/>
              </w:rPr>
            </w:pPr>
            <w:r w:rsidRPr="00BF290F">
              <w:rPr>
                <w:rStyle w:val="Bold"/>
                <w:sz w:val="19"/>
                <w:szCs w:val="19"/>
              </w:rPr>
              <w:t>a monthly product (next 3 months),</w:t>
            </w:r>
            <w:r w:rsidRPr="00BF290F">
              <w:rPr>
                <w:rStyle w:val="Bold"/>
                <w:b w:val="0"/>
                <w:sz w:val="19"/>
                <w:szCs w:val="19"/>
              </w:rPr>
              <w:t xml:space="preserve"> which is currently </w:t>
            </w:r>
            <w:r w:rsidRPr="00BF290F">
              <w:rPr>
                <w:sz w:val="19"/>
                <w:szCs w:val="19"/>
              </w:rPr>
              <w:t xml:space="preserve">available three months prior to the gas day until close of trade on D-2.  </w:t>
            </w:r>
          </w:p>
          <w:p w14:paraId="2D95A1DD" w14:textId="77777777" w:rsidR="00BF290F" w:rsidRPr="00BF290F" w:rsidRDefault="00BF290F" w:rsidP="00BF290F">
            <w:pPr>
              <w:pStyle w:val="TableBullet1"/>
              <w:keepNext/>
              <w:numPr>
                <w:ilvl w:val="0"/>
                <w:numId w:val="0"/>
              </w:numPr>
              <w:spacing w:before="40" w:after="40" w:line="252" w:lineRule="auto"/>
              <w:ind w:left="85"/>
              <w:rPr>
                <w:sz w:val="19"/>
                <w:szCs w:val="19"/>
              </w:rPr>
            </w:pPr>
            <w:r w:rsidRPr="00BF290F">
              <w:rPr>
                <w:rStyle w:val="Bold"/>
                <w:b w:val="0"/>
                <w:sz w:val="19"/>
                <w:szCs w:val="19"/>
              </w:rPr>
              <w:t xml:space="preserve">Some members of the project team also suggested that there may be value in developing a quarterly product that could be traded out to </w:t>
            </w:r>
            <w:r w:rsidRPr="00BF290F">
              <w:rPr>
                <w:sz w:val="19"/>
                <w:szCs w:val="19"/>
              </w:rPr>
              <w:t xml:space="preserve">12 months on a rolling basis. This proposal was not, however, endorsed by all of the project team, with some members noting that it will increase the risk in terms of forward exposure, which will increase from three months to 12 months. It was also noted that the collateral required for up to 12 months was likely to be substantial and was likely to discourage anyone from using this product. </w:t>
            </w:r>
          </w:p>
        </w:tc>
      </w:tr>
    </w:tbl>
    <w:p w14:paraId="11604721" w14:textId="3CEDFE75" w:rsidR="00790A24" w:rsidRDefault="00790A24" w:rsidP="00790A24">
      <w:pPr>
        <w:pStyle w:val="Heading3"/>
      </w:pPr>
      <w:r>
        <w:t>Standardised firm forward haul services</w:t>
      </w:r>
    </w:p>
    <w:p w14:paraId="15BC2D04" w14:textId="79993E4C" w:rsidR="00BF290F" w:rsidRDefault="0051037F" w:rsidP="00BF290F">
      <w:pPr>
        <w:pStyle w:val="BodyText"/>
      </w:pPr>
      <w:r>
        <w:fldChar w:fldCharType="begin"/>
      </w:r>
      <w:r>
        <w:instrText xml:space="preserve"> REF _Ref491917541 \h </w:instrText>
      </w:r>
      <w:r>
        <w:fldChar w:fldCharType="separate"/>
      </w:r>
      <w:r w:rsidR="00947034" w:rsidRPr="00446B58">
        <w:t xml:space="preserve">Table </w:t>
      </w:r>
      <w:r w:rsidR="00947034">
        <w:rPr>
          <w:noProof/>
        </w:rPr>
        <w:t>7</w:t>
      </w:r>
      <w:r w:rsidR="00947034">
        <w:t>.</w:t>
      </w:r>
      <w:r w:rsidR="00947034">
        <w:rPr>
          <w:noProof/>
        </w:rPr>
        <w:t>3</w:t>
      </w:r>
      <w:r>
        <w:fldChar w:fldCharType="end"/>
      </w:r>
      <w:r w:rsidR="00B36899">
        <w:t xml:space="preserve"> sets out the GMRG’s preliminary view on the standardised firm forward haul products that should be available </w:t>
      </w:r>
      <w:r w:rsidR="0028301E">
        <w:t xml:space="preserve">for screen trading through </w:t>
      </w:r>
      <w:r w:rsidR="00B36899">
        <w:t>the exchange</w:t>
      </w:r>
      <w:r>
        <w:t xml:space="preserve"> at market start. </w:t>
      </w:r>
      <w:r w:rsidR="00BF290F">
        <w:t xml:space="preserve">As noted in section </w:t>
      </w:r>
      <w:r w:rsidR="00BF290F">
        <w:fldChar w:fldCharType="begin"/>
      </w:r>
      <w:r w:rsidR="00BF290F">
        <w:instrText xml:space="preserve"> REF _Ref491760149 \r \h </w:instrText>
      </w:r>
      <w:r w:rsidR="00BF290F">
        <w:fldChar w:fldCharType="separate"/>
      </w:r>
      <w:r w:rsidR="00947034">
        <w:t>4.2</w:t>
      </w:r>
      <w:r w:rsidR="00BF290F">
        <w:fldChar w:fldCharType="end"/>
      </w:r>
      <w:r w:rsidR="00BF290F">
        <w:t>, the Standardisation project team has recommended the use of the zonal model for trades carried out through the exchange, which means that:</w:t>
      </w:r>
    </w:p>
    <w:p w14:paraId="6F17AFBE" w14:textId="77777777" w:rsidR="00BF290F" w:rsidRDefault="00BF290F" w:rsidP="00BF290F">
      <w:pPr>
        <w:pStyle w:val="ListBullet"/>
      </w:pPr>
      <w:r>
        <w:t>primary shippers will be able to sell the point-to-point capacity they have specified in their primary GTAs on a zone-to-zone basis; and</w:t>
      </w:r>
    </w:p>
    <w:p w14:paraId="7ABDFC30" w14:textId="77777777" w:rsidR="00BF290F" w:rsidRDefault="00BF290F" w:rsidP="00BF290F">
      <w:pPr>
        <w:pStyle w:val="ListBullet"/>
      </w:pPr>
      <w:r>
        <w:t>secondary shippers will be able to acquire capacity on a zone-to-zone basis and to have secondary firm rights at all the receipt and delivery points within each zone (note that while shippers are purchasing a zonal product they will be required to nominate to use specific receipt and delivery points).</w:t>
      </w:r>
      <w:r>
        <w:rPr>
          <w:rStyle w:val="FootnoteReference"/>
        </w:rPr>
        <w:footnoteReference w:id="87"/>
      </w:r>
      <w:r>
        <w:t xml:space="preserve"> </w:t>
      </w:r>
    </w:p>
    <w:p w14:paraId="031ED778" w14:textId="42326895" w:rsidR="00BF290F" w:rsidRDefault="00BF290F" w:rsidP="00BF290F">
      <w:pPr>
        <w:pStyle w:val="BodyText"/>
      </w:pPr>
      <w:r>
        <w:t xml:space="preserve">The contract paths appearing in this table have therefore been developed having regard to the preliminary work that APA, Epic, Jemena and </w:t>
      </w:r>
      <w:proofErr w:type="spellStart"/>
      <w:r>
        <w:t>SEAGas</w:t>
      </w:r>
      <w:proofErr w:type="spellEnd"/>
      <w:r>
        <w:t xml:space="preserve"> have carried out on receipt and delivery point zones.  </w:t>
      </w:r>
    </w:p>
    <w:p w14:paraId="675D9CAF" w14:textId="3107F28C" w:rsidR="00BC56DD" w:rsidRPr="00633144" w:rsidRDefault="0028301E" w:rsidP="00633144">
      <w:pPr>
        <w:pStyle w:val="BodyText"/>
        <w:rPr>
          <w:rStyle w:val="Bold"/>
          <w:rFonts w:eastAsia="Times New Roman"/>
          <w:b w:val="0"/>
        </w:rPr>
      </w:pPr>
      <w:r>
        <w:t>As is currently the case for gas products, a</w:t>
      </w:r>
      <w:r w:rsidRPr="008B1B73">
        <w:t xml:space="preserve">ll screen-traded products will be available for pre-matched </w:t>
      </w:r>
      <w:r>
        <w:t>trades</w:t>
      </w:r>
      <w:r w:rsidRPr="008B1B73">
        <w:t xml:space="preserve">. </w:t>
      </w:r>
      <w:r>
        <w:t xml:space="preserve">Members of the Capacity Trading Platform project team noted that some additional pre-matched trade products may be required to enable primary shippers on smaller pipelines </w:t>
      </w:r>
      <w:r w:rsidR="00DE55D9">
        <w:t xml:space="preserve">or laterals </w:t>
      </w:r>
      <w:r>
        <w:t>that may be subject to the day-ahead auction to trade their capacity relatively easily</w:t>
      </w:r>
      <w:r w:rsidR="00DE55D9">
        <w:t xml:space="preserve"> (for example, the Angaston and Whyalla laterals)</w:t>
      </w:r>
      <w:r>
        <w:t xml:space="preserve">. </w:t>
      </w:r>
      <w:r w:rsidR="00DE55D9">
        <w:t>Some other project team members suggested that the pre-matched service should be available between all zones on a pipeline, or between all points on a pipeline.</w:t>
      </w:r>
      <w:r w:rsidR="00733365">
        <w:t xml:space="preserve"> There are, however, </w:t>
      </w:r>
      <w:r w:rsidR="00733365">
        <w:lastRenderedPageBreak/>
        <w:t>some regulatory limits on pre-matched products</w:t>
      </w:r>
      <w:r w:rsidR="000773DF">
        <w:t xml:space="preserve">. The listing of these types of </w:t>
      </w:r>
      <w:r w:rsidR="00733365">
        <w:t>pre-matched product</w:t>
      </w:r>
      <w:r w:rsidR="000773DF">
        <w:t>s</w:t>
      </w:r>
      <w:r w:rsidR="00733365">
        <w:t xml:space="preserve"> </w:t>
      </w:r>
      <w:r w:rsidR="000773DF">
        <w:rPr>
          <w:lang w:val="en-US"/>
        </w:rPr>
        <w:t>may therefore be limited by other regulatory requirements at market start.</w:t>
      </w:r>
    </w:p>
    <w:tbl>
      <w:tblPr>
        <w:tblStyle w:val="TableGrid"/>
        <w:tblW w:w="9227" w:type="dxa"/>
        <w:shd w:val="clear" w:color="000000" w:fill="000000"/>
        <w:tblLook w:val="04A0" w:firstRow="1" w:lastRow="0" w:firstColumn="1" w:lastColumn="0" w:noHBand="0" w:noVBand="1"/>
        <w:tblCaption w:val="Table 7.3: Standardised firm forward haul products – screen traded products"/>
        <w:tblDescription w:val="Standardised firm forward haul products – screen traded products"/>
      </w:tblPr>
      <w:tblGrid>
        <w:gridCol w:w="1106"/>
        <w:gridCol w:w="1380"/>
        <w:gridCol w:w="1909"/>
        <w:gridCol w:w="859"/>
        <w:gridCol w:w="3962"/>
        <w:gridCol w:w="11"/>
      </w:tblGrid>
      <w:tr w:rsidR="00633144" w:rsidRPr="00F365CD" w14:paraId="7A04B60B" w14:textId="77777777" w:rsidTr="00E16C5B">
        <w:trPr>
          <w:gridAfter w:val="1"/>
          <w:cnfStyle w:val="100000000000" w:firstRow="1" w:lastRow="0" w:firstColumn="0" w:lastColumn="0" w:oddVBand="0" w:evenVBand="0" w:oddHBand="0" w:evenHBand="0" w:firstRowFirstColumn="0" w:firstRowLastColumn="0" w:lastRowFirstColumn="0" w:lastRowLastColumn="0"/>
          <w:wAfter w:w="11" w:type="dxa"/>
          <w:tblHeader/>
        </w:trPr>
        <w:tc>
          <w:tcPr>
            <w:tcW w:w="9216" w:type="dxa"/>
            <w:gridSpan w:val="5"/>
            <w:tcBorders>
              <w:top w:val="nil"/>
              <w:bottom w:val="single" w:sz="4" w:space="0" w:color="auto"/>
            </w:tcBorders>
            <w:shd w:val="clear" w:color="auto" w:fill="auto"/>
          </w:tcPr>
          <w:p w14:paraId="4E359E3F" w14:textId="5C3F2B54" w:rsidR="00633144" w:rsidRPr="00633144" w:rsidRDefault="00633144" w:rsidP="00E16C5B">
            <w:pPr>
              <w:keepNext/>
              <w:spacing w:after="120"/>
              <w:rPr>
                <w:rFonts w:asciiTheme="majorHAnsi" w:hAnsiTheme="majorHAnsi" w:cstheme="majorHAnsi"/>
                <w:b w:val="0"/>
                <w:sz w:val="17"/>
                <w:szCs w:val="17"/>
              </w:rPr>
            </w:pPr>
            <w:bookmarkStart w:id="151" w:name="_Ref491917541"/>
            <w:r w:rsidRPr="00633144">
              <w:rPr>
                <w:color w:val="auto"/>
                <w:sz w:val="20"/>
              </w:rPr>
              <w:t xml:space="preserve">Table </w:t>
            </w:r>
            <w:r w:rsidRPr="00633144">
              <w:rPr>
                <w:sz w:val="20"/>
              </w:rPr>
              <w:fldChar w:fldCharType="begin"/>
            </w:r>
            <w:r w:rsidRPr="00633144">
              <w:rPr>
                <w:color w:val="auto"/>
                <w:sz w:val="20"/>
              </w:rPr>
              <w:instrText xml:space="preserve"> STYLEREF 1 \s </w:instrText>
            </w:r>
            <w:r w:rsidRPr="00633144">
              <w:rPr>
                <w:sz w:val="20"/>
              </w:rPr>
              <w:fldChar w:fldCharType="separate"/>
            </w:r>
            <w:r w:rsidRPr="00633144">
              <w:rPr>
                <w:noProof/>
                <w:color w:val="auto"/>
                <w:sz w:val="20"/>
              </w:rPr>
              <w:t>7</w:t>
            </w:r>
            <w:r w:rsidRPr="00633144">
              <w:rPr>
                <w:noProof/>
                <w:sz w:val="20"/>
              </w:rPr>
              <w:fldChar w:fldCharType="end"/>
            </w:r>
            <w:r w:rsidRPr="00633144">
              <w:rPr>
                <w:color w:val="auto"/>
                <w:sz w:val="20"/>
              </w:rPr>
              <w:t>.</w:t>
            </w:r>
            <w:r w:rsidRPr="00633144">
              <w:rPr>
                <w:sz w:val="20"/>
              </w:rPr>
              <w:fldChar w:fldCharType="begin"/>
            </w:r>
            <w:r w:rsidRPr="00633144">
              <w:rPr>
                <w:color w:val="auto"/>
                <w:sz w:val="20"/>
              </w:rPr>
              <w:instrText xml:space="preserve"> SEQ Table \* ARABIC \s 1 </w:instrText>
            </w:r>
            <w:r w:rsidRPr="00633144">
              <w:rPr>
                <w:sz w:val="20"/>
              </w:rPr>
              <w:fldChar w:fldCharType="separate"/>
            </w:r>
            <w:r w:rsidRPr="00633144">
              <w:rPr>
                <w:noProof/>
                <w:color w:val="auto"/>
                <w:sz w:val="20"/>
              </w:rPr>
              <w:t>3</w:t>
            </w:r>
            <w:r w:rsidRPr="00633144">
              <w:rPr>
                <w:noProof/>
                <w:sz w:val="20"/>
              </w:rPr>
              <w:fldChar w:fldCharType="end"/>
            </w:r>
            <w:bookmarkEnd w:id="151"/>
            <w:r w:rsidRPr="00633144">
              <w:rPr>
                <w:color w:val="auto"/>
                <w:sz w:val="20"/>
              </w:rPr>
              <w:t>:</w:t>
            </w:r>
            <w:r w:rsidRPr="00633144">
              <w:rPr>
                <w:b w:val="0"/>
                <w:color w:val="auto"/>
                <w:sz w:val="20"/>
              </w:rPr>
              <w:t xml:space="preserve"> </w:t>
            </w:r>
            <w:r w:rsidRPr="00633144">
              <w:rPr>
                <w:rStyle w:val="Bold"/>
                <w:b/>
                <w:color w:val="auto"/>
                <w:sz w:val="20"/>
              </w:rPr>
              <w:t>Standardised firm forward haul products – screen traded products</w:t>
            </w:r>
          </w:p>
        </w:tc>
      </w:tr>
      <w:tr w:rsidR="00E16C5B" w:rsidRPr="00F365CD" w14:paraId="45D44E57" w14:textId="77777777" w:rsidTr="00E16C5B">
        <w:trPr>
          <w:gridAfter w:val="1"/>
          <w:wAfter w:w="11" w:type="dxa"/>
        </w:trPr>
        <w:tc>
          <w:tcPr>
            <w:tcW w:w="9216" w:type="dxa"/>
            <w:gridSpan w:val="5"/>
            <w:tcBorders>
              <w:top w:val="single" w:sz="4" w:space="0" w:color="auto"/>
              <w:bottom w:val="single" w:sz="4" w:space="0" w:color="auto"/>
            </w:tcBorders>
            <w:shd w:val="clear" w:color="auto" w:fill="0099CC"/>
          </w:tcPr>
          <w:p w14:paraId="61E2689E" w14:textId="77777777" w:rsidR="00E16C5B" w:rsidRPr="00F365CD" w:rsidRDefault="00E16C5B" w:rsidP="009E6A8A">
            <w:pPr>
              <w:keepNext/>
              <w:spacing w:after="20"/>
              <w:jc w:val="center"/>
              <w:rPr>
                <w:rFonts w:asciiTheme="majorHAnsi" w:hAnsiTheme="majorHAnsi" w:cstheme="majorHAnsi"/>
                <w:b/>
                <w:sz w:val="17"/>
                <w:szCs w:val="17"/>
              </w:rPr>
            </w:pPr>
            <w:r w:rsidRPr="00633144">
              <w:rPr>
                <w:rFonts w:asciiTheme="majorHAnsi" w:hAnsiTheme="majorHAnsi" w:cstheme="majorHAnsi"/>
                <w:color w:val="FFFFFF" w:themeColor="background1"/>
                <w:sz w:val="17"/>
                <w:szCs w:val="17"/>
              </w:rPr>
              <w:t>Standardised Product</w:t>
            </w:r>
          </w:p>
        </w:tc>
      </w:tr>
      <w:tr w:rsidR="00E16C5B" w:rsidRPr="007339D7" w14:paraId="14EDAD70" w14:textId="77777777" w:rsidTr="00E16C5B">
        <w:trPr>
          <w:gridAfter w:val="1"/>
          <w:cnfStyle w:val="000000010000" w:firstRow="0" w:lastRow="0" w:firstColumn="0" w:lastColumn="0" w:oddVBand="0" w:evenVBand="0" w:oddHBand="0" w:evenHBand="1" w:firstRowFirstColumn="0" w:firstRowLastColumn="0" w:lastRowFirstColumn="0" w:lastRowLastColumn="0"/>
          <w:wAfter w:w="11" w:type="dxa"/>
        </w:trPr>
        <w:tc>
          <w:tcPr>
            <w:tcW w:w="4395" w:type="dxa"/>
            <w:gridSpan w:val="3"/>
            <w:shd w:val="clear" w:color="auto" w:fill="65697F" w:themeFill="background2" w:themeFillShade="80"/>
          </w:tcPr>
          <w:p w14:paraId="7CCE2A61" w14:textId="77777777" w:rsidR="00E16C5B" w:rsidRPr="007339D7" w:rsidRDefault="00E16C5B" w:rsidP="009E6A8A">
            <w:pPr>
              <w:keepNext/>
              <w:spacing w:after="20"/>
              <w:jc w:val="center"/>
              <w:rPr>
                <w:rFonts w:asciiTheme="majorHAnsi" w:hAnsiTheme="majorHAnsi" w:cstheme="majorHAnsi"/>
                <w:b/>
                <w:color w:val="FFFFFF" w:themeColor="background1"/>
                <w:sz w:val="17"/>
                <w:szCs w:val="17"/>
              </w:rPr>
            </w:pPr>
            <w:r w:rsidRPr="007339D7">
              <w:rPr>
                <w:rFonts w:asciiTheme="majorHAnsi" w:hAnsiTheme="majorHAnsi" w:cstheme="majorHAnsi"/>
                <w:b/>
                <w:color w:val="FFFFFF" w:themeColor="background1"/>
                <w:sz w:val="17"/>
                <w:szCs w:val="17"/>
              </w:rPr>
              <w:t>Contract Size</w:t>
            </w:r>
          </w:p>
        </w:tc>
        <w:tc>
          <w:tcPr>
            <w:tcW w:w="4821" w:type="dxa"/>
            <w:gridSpan w:val="2"/>
            <w:shd w:val="clear" w:color="auto" w:fill="65697F" w:themeFill="background2" w:themeFillShade="80"/>
          </w:tcPr>
          <w:p w14:paraId="0C3CD615" w14:textId="77777777" w:rsidR="00E16C5B" w:rsidRPr="007339D7" w:rsidRDefault="00E16C5B" w:rsidP="009E6A8A">
            <w:pPr>
              <w:keepNext/>
              <w:spacing w:after="20"/>
              <w:jc w:val="center"/>
              <w:rPr>
                <w:rFonts w:asciiTheme="majorHAnsi" w:hAnsiTheme="majorHAnsi" w:cstheme="majorHAnsi"/>
                <w:b/>
                <w:color w:val="FFFFFF" w:themeColor="background1"/>
                <w:sz w:val="17"/>
                <w:szCs w:val="17"/>
              </w:rPr>
            </w:pPr>
            <w:r>
              <w:rPr>
                <w:rFonts w:asciiTheme="majorHAnsi" w:hAnsiTheme="majorHAnsi" w:cstheme="majorHAnsi"/>
                <w:b/>
                <w:color w:val="FFFFFF" w:themeColor="background1"/>
                <w:sz w:val="17"/>
                <w:szCs w:val="17"/>
              </w:rPr>
              <w:t xml:space="preserve">Minimum </w:t>
            </w:r>
            <w:r w:rsidRPr="007339D7">
              <w:rPr>
                <w:rFonts w:asciiTheme="majorHAnsi" w:hAnsiTheme="majorHAnsi" w:cstheme="majorHAnsi"/>
                <w:b/>
                <w:color w:val="FFFFFF" w:themeColor="background1"/>
                <w:sz w:val="17"/>
                <w:szCs w:val="17"/>
              </w:rPr>
              <w:t>Contract Size</w:t>
            </w:r>
          </w:p>
        </w:tc>
      </w:tr>
      <w:tr w:rsidR="00E16C5B" w:rsidRPr="00F365CD" w14:paraId="02F4A3A1" w14:textId="77777777" w:rsidTr="00E16C5B">
        <w:trPr>
          <w:gridAfter w:val="1"/>
          <w:wAfter w:w="11" w:type="dxa"/>
        </w:trPr>
        <w:tc>
          <w:tcPr>
            <w:tcW w:w="4395" w:type="dxa"/>
            <w:gridSpan w:val="3"/>
            <w:shd w:val="clear" w:color="000000" w:fill="auto"/>
          </w:tcPr>
          <w:p w14:paraId="7D2351F0" w14:textId="77777777" w:rsidR="00E16C5B" w:rsidRPr="00F365CD" w:rsidRDefault="00E16C5B" w:rsidP="009E6A8A">
            <w:pPr>
              <w:keepNext/>
              <w:spacing w:after="20"/>
              <w:rPr>
                <w:rFonts w:asciiTheme="majorHAnsi" w:hAnsiTheme="majorHAnsi" w:cstheme="majorHAnsi"/>
                <w:sz w:val="17"/>
                <w:szCs w:val="17"/>
              </w:rPr>
            </w:pPr>
            <w:r w:rsidRPr="00F365CD">
              <w:rPr>
                <w:rFonts w:asciiTheme="majorHAnsi" w:hAnsiTheme="majorHAnsi" w:cstheme="majorHAnsi"/>
                <w:sz w:val="17"/>
                <w:szCs w:val="17"/>
              </w:rPr>
              <w:t xml:space="preserve">Day-ahead </w:t>
            </w:r>
            <w:r>
              <w:rPr>
                <w:rFonts w:asciiTheme="majorHAnsi" w:hAnsiTheme="majorHAnsi" w:cstheme="majorHAnsi"/>
                <w:sz w:val="17"/>
                <w:szCs w:val="17"/>
              </w:rPr>
              <w:t>product</w:t>
            </w:r>
          </w:p>
        </w:tc>
        <w:tc>
          <w:tcPr>
            <w:tcW w:w="4821" w:type="dxa"/>
            <w:gridSpan w:val="2"/>
            <w:vMerge w:val="restart"/>
            <w:shd w:val="clear" w:color="000000" w:fill="auto"/>
          </w:tcPr>
          <w:p w14:paraId="4F0B637D" w14:textId="77777777" w:rsidR="00E16C5B" w:rsidRPr="00F365CD" w:rsidRDefault="00E16C5B" w:rsidP="009E6A8A">
            <w:pPr>
              <w:keepNext/>
              <w:spacing w:after="20"/>
              <w:rPr>
                <w:rFonts w:asciiTheme="majorHAnsi" w:hAnsiTheme="majorHAnsi" w:cstheme="majorHAnsi"/>
                <w:sz w:val="17"/>
                <w:szCs w:val="17"/>
              </w:rPr>
            </w:pPr>
            <w:r>
              <w:rPr>
                <w:rFonts w:asciiTheme="majorHAnsi" w:hAnsiTheme="majorHAnsi" w:cstheme="majorHAnsi"/>
                <w:sz w:val="17"/>
                <w:szCs w:val="17"/>
              </w:rPr>
              <w:t>MDQ: 500 GJ</w:t>
            </w:r>
            <w:r>
              <w:rPr>
                <w:rFonts w:asciiTheme="majorHAnsi" w:hAnsiTheme="majorHAnsi" w:cstheme="majorHAnsi"/>
                <w:sz w:val="17"/>
                <w:szCs w:val="17"/>
              </w:rPr>
              <w:br/>
              <w:t xml:space="preserve">MHQ factor: 1 (i.e. MDQ/24) </w:t>
            </w:r>
          </w:p>
        </w:tc>
      </w:tr>
      <w:tr w:rsidR="00E16C5B" w:rsidRPr="00F365CD" w14:paraId="1047CF1F" w14:textId="77777777" w:rsidTr="00E16C5B">
        <w:trPr>
          <w:gridAfter w:val="1"/>
          <w:cnfStyle w:val="000000010000" w:firstRow="0" w:lastRow="0" w:firstColumn="0" w:lastColumn="0" w:oddVBand="0" w:evenVBand="0" w:oddHBand="0" w:evenHBand="1" w:firstRowFirstColumn="0" w:firstRowLastColumn="0" w:lastRowFirstColumn="0" w:lastRowLastColumn="0"/>
          <w:wAfter w:w="11" w:type="dxa"/>
        </w:trPr>
        <w:tc>
          <w:tcPr>
            <w:tcW w:w="4395" w:type="dxa"/>
            <w:gridSpan w:val="3"/>
            <w:shd w:val="clear" w:color="000000" w:fill="auto"/>
          </w:tcPr>
          <w:p w14:paraId="7E361C92" w14:textId="77777777" w:rsidR="00E16C5B" w:rsidRPr="00F365CD" w:rsidRDefault="00E16C5B" w:rsidP="009E6A8A">
            <w:pPr>
              <w:keepNext/>
              <w:spacing w:after="20"/>
              <w:rPr>
                <w:rFonts w:asciiTheme="majorHAnsi" w:hAnsiTheme="majorHAnsi" w:cstheme="majorHAnsi"/>
                <w:sz w:val="17"/>
                <w:szCs w:val="17"/>
              </w:rPr>
            </w:pPr>
            <w:r w:rsidRPr="00F365CD">
              <w:rPr>
                <w:rFonts w:asciiTheme="majorHAnsi" w:hAnsiTheme="majorHAnsi" w:cstheme="majorHAnsi"/>
                <w:sz w:val="17"/>
                <w:szCs w:val="17"/>
              </w:rPr>
              <w:t xml:space="preserve">Daily </w:t>
            </w:r>
            <w:r>
              <w:rPr>
                <w:rFonts w:asciiTheme="majorHAnsi" w:hAnsiTheme="majorHAnsi" w:cstheme="majorHAnsi"/>
                <w:sz w:val="17"/>
                <w:szCs w:val="17"/>
              </w:rPr>
              <w:t>product (available on a 6 day rolling basis)</w:t>
            </w:r>
            <w:r w:rsidRPr="00F365CD">
              <w:rPr>
                <w:rFonts w:asciiTheme="majorHAnsi" w:hAnsiTheme="majorHAnsi" w:cstheme="majorHAnsi"/>
                <w:sz w:val="17"/>
                <w:szCs w:val="17"/>
              </w:rPr>
              <w:t xml:space="preserve"> </w:t>
            </w:r>
          </w:p>
        </w:tc>
        <w:tc>
          <w:tcPr>
            <w:tcW w:w="4821" w:type="dxa"/>
            <w:gridSpan w:val="2"/>
            <w:vMerge/>
            <w:shd w:val="clear" w:color="000000" w:fill="auto"/>
          </w:tcPr>
          <w:p w14:paraId="7CF2F902" w14:textId="77777777" w:rsidR="00E16C5B" w:rsidRPr="00F365CD" w:rsidRDefault="00E16C5B" w:rsidP="009E6A8A">
            <w:pPr>
              <w:keepNext/>
              <w:spacing w:after="20"/>
              <w:rPr>
                <w:rFonts w:asciiTheme="majorHAnsi" w:hAnsiTheme="majorHAnsi" w:cstheme="majorHAnsi"/>
                <w:sz w:val="17"/>
                <w:szCs w:val="17"/>
              </w:rPr>
            </w:pPr>
          </w:p>
        </w:tc>
      </w:tr>
      <w:tr w:rsidR="00E16C5B" w:rsidRPr="00F365CD" w14:paraId="68FD82D3" w14:textId="77777777" w:rsidTr="00E16C5B">
        <w:trPr>
          <w:gridAfter w:val="1"/>
          <w:wAfter w:w="11" w:type="dxa"/>
        </w:trPr>
        <w:tc>
          <w:tcPr>
            <w:tcW w:w="4395" w:type="dxa"/>
            <w:gridSpan w:val="3"/>
            <w:shd w:val="clear" w:color="000000" w:fill="auto"/>
          </w:tcPr>
          <w:p w14:paraId="2DE18273" w14:textId="77777777" w:rsidR="00E16C5B" w:rsidRPr="00F365CD" w:rsidRDefault="00E16C5B" w:rsidP="009E6A8A">
            <w:pPr>
              <w:keepNext/>
              <w:spacing w:after="20"/>
              <w:rPr>
                <w:rFonts w:asciiTheme="majorHAnsi" w:hAnsiTheme="majorHAnsi" w:cstheme="majorHAnsi"/>
                <w:sz w:val="17"/>
                <w:szCs w:val="17"/>
              </w:rPr>
            </w:pPr>
            <w:r w:rsidRPr="00F365CD">
              <w:rPr>
                <w:rFonts w:asciiTheme="majorHAnsi" w:hAnsiTheme="majorHAnsi" w:cstheme="majorHAnsi"/>
                <w:sz w:val="17"/>
                <w:szCs w:val="17"/>
              </w:rPr>
              <w:t xml:space="preserve">Weekly </w:t>
            </w:r>
            <w:r>
              <w:rPr>
                <w:rFonts w:asciiTheme="majorHAnsi" w:hAnsiTheme="majorHAnsi" w:cstheme="majorHAnsi"/>
                <w:sz w:val="17"/>
                <w:szCs w:val="17"/>
              </w:rPr>
              <w:t>(available on a 4 week rolling basis)</w:t>
            </w:r>
          </w:p>
        </w:tc>
        <w:tc>
          <w:tcPr>
            <w:tcW w:w="4821" w:type="dxa"/>
            <w:gridSpan w:val="2"/>
            <w:vMerge/>
            <w:shd w:val="clear" w:color="000000" w:fill="auto"/>
          </w:tcPr>
          <w:p w14:paraId="3F56335E" w14:textId="77777777" w:rsidR="00E16C5B" w:rsidRPr="00F365CD" w:rsidRDefault="00E16C5B" w:rsidP="009E6A8A">
            <w:pPr>
              <w:keepNext/>
              <w:spacing w:after="20"/>
              <w:rPr>
                <w:rFonts w:asciiTheme="majorHAnsi" w:hAnsiTheme="majorHAnsi" w:cstheme="majorHAnsi"/>
                <w:sz w:val="17"/>
                <w:szCs w:val="17"/>
              </w:rPr>
            </w:pPr>
          </w:p>
        </w:tc>
      </w:tr>
      <w:tr w:rsidR="00E16C5B" w:rsidRPr="00F365CD" w14:paraId="5FB6B694" w14:textId="77777777" w:rsidTr="00E16C5B">
        <w:trPr>
          <w:gridAfter w:val="1"/>
          <w:cnfStyle w:val="000000010000" w:firstRow="0" w:lastRow="0" w:firstColumn="0" w:lastColumn="0" w:oddVBand="0" w:evenVBand="0" w:oddHBand="0" w:evenHBand="1" w:firstRowFirstColumn="0" w:firstRowLastColumn="0" w:lastRowFirstColumn="0" w:lastRowLastColumn="0"/>
          <w:wAfter w:w="11" w:type="dxa"/>
        </w:trPr>
        <w:tc>
          <w:tcPr>
            <w:tcW w:w="4395" w:type="dxa"/>
            <w:gridSpan w:val="3"/>
            <w:shd w:val="clear" w:color="000000" w:fill="auto"/>
          </w:tcPr>
          <w:p w14:paraId="6090C526" w14:textId="77777777" w:rsidR="00E16C5B" w:rsidRPr="00F365CD" w:rsidRDefault="00E16C5B" w:rsidP="009E6A8A">
            <w:pPr>
              <w:keepNext/>
              <w:spacing w:after="20"/>
              <w:rPr>
                <w:rFonts w:asciiTheme="majorHAnsi" w:hAnsiTheme="majorHAnsi" w:cstheme="majorHAnsi"/>
                <w:sz w:val="17"/>
                <w:szCs w:val="17"/>
              </w:rPr>
            </w:pPr>
            <w:r w:rsidRPr="00F365CD">
              <w:rPr>
                <w:rFonts w:asciiTheme="majorHAnsi" w:hAnsiTheme="majorHAnsi" w:cstheme="majorHAnsi"/>
                <w:sz w:val="17"/>
                <w:szCs w:val="17"/>
              </w:rPr>
              <w:t xml:space="preserve">Monthly </w:t>
            </w:r>
            <w:r>
              <w:rPr>
                <w:rFonts w:asciiTheme="majorHAnsi" w:hAnsiTheme="majorHAnsi" w:cstheme="majorHAnsi"/>
                <w:sz w:val="17"/>
                <w:szCs w:val="17"/>
              </w:rPr>
              <w:t>(available on a 3 month rolling basis)</w:t>
            </w:r>
          </w:p>
        </w:tc>
        <w:tc>
          <w:tcPr>
            <w:tcW w:w="4821" w:type="dxa"/>
            <w:gridSpan w:val="2"/>
            <w:vMerge/>
            <w:shd w:val="clear" w:color="000000" w:fill="auto"/>
          </w:tcPr>
          <w:p w14:paraId="2CE81D3F" w14:textId="77777777" w:rsidR="00E16C5B" w:rsidRPr="00F365CD" w:rsidRDefault="00E16C5B" w:rsidP="009E6A8A">
            <w:pPr>
              <w:keepNext/>
              <w:spacing w:after="20"/>
              <w:rPr>
                <w:rFonts w:asciiTheme="majorHAnsi" w:hAnsiTheme="majorHAnsi" w:cstheme="majorHAnsi"/>
                <w:sz w:val="17"/>
                <w:szCs w:val="17"/>
              </w:rPr>
            </w:pPr>
          </w:p>
        </w:tc>
      </w:tr>
      <w:tr w:rsidR="00E16C5B" w:rsidRPr="007339D7" w14:paraId="7F783471" w14:textId="77777777" w:rsidTr="00E16C5B">
        <w:trPr>
          <w:gridAfter w:val="1"/>
          <w:wAfter w:w="11" w:type="dxa"/>
        </w:trPr>
        <w:tc>
          <w:tcPr>
            <w:tcW w:w="9216" w:type="dxa"/>
            <w:gridSpan w:val="5"/>
            <w:shd w:val="clear" w:color="auto" w:fill="65697F" w:themeFill="background2" w:themeFillShade="80"/>
          </w:tcPr>
          <w:p w14:paraId="7F872A8C" w14:textId="77777777" w:rsidR="00E16C5B" w:rsidRPr="007339D7" w:rsidRDefault="00E16C5B" w:rsidP="009E6A8A">
            <w:pPr>
              <w:keepNext/>
              <w:spacing w:after="20"/>
              <w:jc w:val="center"/>
              <w:rPr>
                <w:rFonts w:asciiTheme="majorHAnsi" w:hAnsiTheme="majorHAnsi" w:cstheme="majorHAnsi"/>
                <w:b/>
                <w:color w:val="FFFFFF" w:themeColor="background1"/>
                <w:sz w:val="17"/>
                <w:szCs w:val="17"/>
              </w:rPr>
            </w:pPr>
            <w:r>
              <w:rPr>
                <w:rFonts w:asciiTheme="majorHAnsi" w:hAnsiTheme="majorHAnsi" w:cstheme="majorHAnsi"/>
                <w:b/>
                <w:color w:val="FFFFFF" w:themeColor="background1"/>
                <w:sz w:val="17"/>
                <w:szCs w:val="17"/>
              </w:rPr>
              <w:t>Contract paths</w:t>
            </w:r>
          </w:p>
        </w:tc>
      </w:tr>
      <w:tr w:rsidR="00E16C5B" w:rsidRPr="007339D7" w14:paraId="3AC07EC8" w14:textId="77777777" w:rsidTr="00E16C5B">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1106" w:type="dxa"/>
            <w:tcBorders>
              <w:bottom w:val="single" w:sz="4" w:space="0" w:color="auto"/>
            </w:tcBorders>
            <w:shd w:val="clear" w:color="auto" w:fill="0099CC"/>
          </w:tcPr>
          <w:p w14:paraId="4180CF5B" w14:textId="77777777" w:rsidR="00E16C5B" w:rsidRPr="007339D7" w:rsidRDefault="00E16C5B" w:rsidP="009E6A8A">
            <w:pPr>
              <w:pStyle w:val="TableHeading"/>
              <w:spacing w:before="40" w:after="20" w:line="240" w:lineRule="auto"/>
              <w:rPr>
                <w:b/>
                <w:szCs w:val="18"/>
              </w:rPr>
            </w:pPr>
            <w:r w:rsidRPr="007339D7">
              <w:rPr>
                <w:b/>
                <w:szCs w:val="18"/>
              </w:rPr>
              <w:t xml:space="preserve">Pipeline </w:t>
            </w:r>
          </w:p>
        </w:tc>
        <w:tc>
          <w:tcPr>
            <w:tcW w:w="1380" w:type="dxa"/>
            <w:tcBorders>
              <w:bottom w:val="single" w:sz="4" w:space="0" w:color="auto"/>
            </w:tcBorders>
            <w:shd w:val="clear" w:color="auto" w:fill="0099CC"/>
          </w:tcPr>
          <w:p w14:paraId="059FBD17" w14:textId="77777777" w:rsidR="00E16C5B" w:rsidRPr="007339D7" w:rsidRDefault="00E16C5B" w:rsidP="009E6A8A">
            <w:pPr>
              <w:pStyle w:val="TableHeading"/>
              <w:spacing w:before="40" w:after="20" w:line="240" w:lineRule="auto"/>
              <w:rPr>
                <w:b/>
                <w:szCs w:val="18"/>
              </w:rPr>
            </w:pPr>
            <w:r>
              <w:rPr>
                <w:b/>
                <w:szCs w:val="18"/>
              </w:rPr>
              <w:t>Service provider</w:t>
            </w:r>
          </w:p>
        </w:tc>
        <w:tc>
          <w:tcPr>
            <w:tcW w:w="2768" w:type="dxa"/>
            <w:gridSpan w:val="2"/>
            <w:tcBorders>
              <w:bottom w:val="single" w:sz="4" w:space="0" w:color="auto"/>
            </w:tcBorders>
            <w:shd w:val="clear" w:color="auto" w:fill="0099CC"/>
          </w:tcPr>
          <w:p w14:paraId="5C25C577" w14:textId="77777777" w:rsidR="00E16C5B" w:rsidRPr="007339D7" w:rsidRDefault="00E16C5B" w:rsidP="009E6A8A">
            <w:pPr>
              <w:pStyle w:val="TableHeading"/>
              <w:spacing w:before="40" w:after="20" w:line="240" w:lineRule="auto"/>
              <w:rPr>
                <w:b/>
                <w:szCs w:val="18"/>
              </w:rPr>
            </w:pPr>
            <w:r w:rsidRPr="007339D7">
              <w:rPr>
                <w:b/>
                <w:szCs w:val="18"/>
              </w:rPr>
              <w:t>Receipt Zone</w:t>
            </w:r>
          </w:p>
        </w:tc>
        <w:tc>
          <w:tcPr>
            <w:tcW w:w="3973" w:type="dxa"/>
            <w:gridSpan w:val="2"/>
            <w:tcBorders>
              <w:bottom w:val="single" w:sz="4" w:space="0" w:color="auto"/>
            </w:tcBorders>
            <w:shd w:val="clear" w:color="auto" w:fill="0099CC"/>
          </w:tcPr>
          <w:p w14:paraId="30154338" w14:textId="77777777" w:rsidR="00E16C5B" w:rsidRPr="007339D7" w:rsidRDefault="00E16C5B" w:rsidP="009E6A8A">
            <w:pPr>
              <w:pStyle w:val="TableHeading"/>
              <w:spacing w:before="40" w:after="20" w:line="240" w:lineRule="auto"/>
              <w:rPr>
                <w:b/>
                <w:szCs w:val="18"/>
              </w:rPr>
            </w:pPr>
            <w:r w:rsidRPr="007339D7">
              <w:rPr>
                <w:b/>
                <w:szCs w:val="18"/>
              </w:rPr>
              <w:t>Delivery Zone</w:t>
            </w:r>
          </w:p>
        </w:tc>
      </w:tr>
      <w:tr w:rsidR="00E16C5B" w:rsidRPr="00CD3486" w14:paraId="74B6707D" w14:textId="77777777" w:rsidTr="00E16C5B">
        <w:tblPrEx>
          <w:shd w:val="clear" w:color="auto" w:fill="auto"/>
          <w:tblLook w:val="0420" w:firstRow="1" w:lastRow="0" w:firstColumn="0" w:lastColumn="0" w:noHBand="0" w:noVBand="1"/>
        </w:tblPrEx>
        <w:tc>
          <w:tcPr>
            <w:tcW w:w="1106" w:type="dxa"/>
            <w:vMerge w:val="restart"/>
            <w:shd w:val="clear" w:color="auto" w:fill="auto"/>
          </w:tcPr>
          <w:p w14:paraId="05CC846B" w14:textId="77777777" w:rsidR="00E16C5B" w:rsidRPr="00CD3486" w:rsidRDefault="00E16C5B" w:rsidP="009E6A8A">
            <w:pPr>
              <w:pStyle w:val="TableBodyText"/>
              <w:spacing w:before="40" w:after="20" w:line="240" w:lineRule="auto"/>
              <w:rPr>
                <w:szCs w:val="18"/>
              </w:rPr>
            </w:pPr>
            <w:r w:rsidRPr="00CD3486">
              <w:rPr>
                <w:szCs w:val="18"/>
              </w:rPr>
              <w:t>RBP</w:t>
            </w:r>
          </w:p>
        </w:tc>
        <w:tc>
          <w:tcPr>
            <w:tcW w:w="1380" w:type="dxa"/>
            <w:vMerge w:val="restart"/>
            <w:shd w:val="clear" w:color="auto" w:fill="auto"/>
          </w:tcPr>
          <w:p w14:paraId="1200B479" w14:textId="77777777" w:rsidR="00E16C5B" w:rsidRPr="00CD3486" w:rsidRDefault="00E16C5B" w:rsidP="009E6A8A">
            <w:pPr>
              <w:pStyle w:val="TableBodyText"/>
              <w:spacing w:before="40" w:after="20" w:line="240" w:lineRule="auto"/>
              <w:rPr>
                <w:szCs w:val="18"/>
              </w:rPr>
            </w:pPr>
            <w:r w:rsidRPr="00CD3486">
              <w:rPr>
                <w:szCs w:val="18"/>
              </w:rPr>
              <w:t xml:space="preserve">APA </w:t>
            </w:r>
          </w:p>
        </w:tc>
        <w:tc>
          <w:tcPr>
            <w:tcW w:w="2768" w:type="dxa"/>
            <w:gridSpan w:val="2"/>
            <w:shd w:val="clear" w:color="auto" w:fill="auto"/>
          </w:tcPr>
          <w:p w14:paraId="401830E4" w14:textId="77777777" w:rsidR="00E16C5B" w:rsidRPr="00CD3486" w:rsidRDefault="00E16C5B" w:rsidP="009E6A8A">
            <w:pPr>
              <w:pStyle w:val="TableBodyText"/>
              <w:spacing w:before="40" w:after="20" w:line="240" w:lineRule="auto"/>
              <w:rPr>
                <w:szCs w:val="18"/>
              </w:rPr>
            </w:pPr>
            <w:r w:rsidRPr="00CD3486">
              <w:rPr>
                <w:rFonts w:asciiTheme="majorHAnsi" w:hAnsiTheme="majorHAnsi" w:cstheme="majorHAnsi"/>
                <w:szCs w:val="18"/>
              </w:rPr>
              <w:t>Wallumbilla zone (runs 1, 2, 3, 4 and 7)</w:t>
            </w:r>
          </w:p>
        </w:tc>
        <w:tc>
          <w:tcPr>
            <w:tcW w:w="3973" w:type="dxa"/>
            <w:gridSpan w:val="2"/>
            <w:shd w:val="clear" w:color="auto" w:fill="auto"/>
          </w:tcPr>
          <w:p w14:paraId="7B1877BC" w14:textId="77777777" w:rsidR="00E16C5B" w:rsidRPr="00CD3486" w:rsidRDefault="00E16C5B" w:rsidP="009E6A8A">
            <w:pPr>
              <w:pStyle w:val="TableBodyText"/>
              <w:spacing w:before="40" w:after="20" w:line="240" w:lineRule="auto"/>
              <w:rPr>
                <w:szCs w:val="18"/>
              </w:rPr>
            </w:pPr>
            <w:r w:rsidRPr="00CD3486">
              <w:rPr>
                <w:rFonts w:asciiTheme="majorHAnsi" w:hAnsiTheme="majorHAnsi" w:cstheme="majorHAnsi"/>
                <w:szCs w:val="18"/>
              </w:rPr>
              <w:t xml:space="preserve">Brisbane STTM zone </w:t>
            </w:r>
          </w:p>
        </w:tc>
      </w:tr>
      <w:tr w:rsidR="00E16C5B" w:rsidRPr="00CD3486" w14:paraId="31184ADA" w14:textId="77777777" w:rsidTr="00E16C5B">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1106" w:type="dxa"/>
            <w:vMerge/>
            <w:shd w:val="clear" w:color="auto" w:fill="auto"/>
          </w:tcPr>
          <w:p w14:paraId="16065BBB" w14:textId="77777777" w:rsidR="00E16C5B" w:rsidRPr="00CD3486" w:rsidRDefault="00E16C5B" w:rsidP="009E6A8A">
            <w:pPr>
              <w:pStyle w:val="TableBodyText"/>
              <w:spacing w:before="40" w:after="20" w:line="240" w:lineRule="auto"/>
              <w:rPr>
                <w:szCs w:val="18"/>
              </w:rPr>
            </w:pPr>
          </w:p>
        </w:tc>
        <w:tc>
          <w:tcPr>
            <w:tcW w:w="1380" w:type="dxa"/>
            <w:vMerge/>
            <w:shd w:val="clear" w:color="auto" w:fill="auto"/>
          </w:tcPr>
          <w:p w14:paraId="0CF9D334" w14:textId="77777777" w:rsidR="00E16C5B" w:rsidRPr="00CD3486" w:rsidRDefault="00E16C5B" w:rsidP="009E6A8A">
            <w:pPr>
              <w:pStyle w:val="TableBodyText"/>
              <w:spacing w:before="40" w:after="20" w:line="240" w:lineRule="auto"/>
              <w:rPr>
                <w:szCs w:val="18"/>
              </w:rPr>
            </w:pPr>
          </w:p>
        </w:tc>
        <w:tc>
          <w:tcPr>
            <w:tcW w:w="2768" w:type="dxa"/>
            <w:gridSpan w:val="2"/>
            <w:shd w:val="clear" w:color="auto" w:fill="auto"/>
          </w:tcPr>
          <w:p w14:paraId="67282331" w14:textId="77777777" w:rsidR="00E16C5B" w:rsidRPr="00CD3486" w:rsidRDefault="00E16C5B" w:rsidP="009E6A8A">
            <w:pPr>
              <w:pStyle w:val="TableBodyText"/>
              <w:spacing w:before="40" w:after="20" w:line="240" w:lineRule="auto"/>
              <w:rPr>
                <w:szCs w:val="18"/>
              </w:rPr>
            </w:pPr>
            <w:r w:rsidRPr="00CD3486">
              <w:rPr>
                <w:szCs w:val="18"/>
              </w:rPr>
              <w:t>Darling Downs (</w:t>
            </w:r>
            <w:proofErr w:type="spellStart"/>
            <w:r w:rsidRPr="00CD3486">
              <w:rPr>
                <w:szCs w:val="18"/>
              </w:rPr>
              <w:t>Kogan</w:t>
            </w:r>
            <w:proofErr w:type="spellEnd"/>
            <w:r w:rsidRPr="00CD3486">
              <w:rPr>
                <w:szCs w:val="18"/>
              </w:rPr>
              <w:t xml:space="preserve"> North, Scotia, </w:t>
            </w:r>
            <w:proofErr w:type="spellStart"/>
            <w:r w:rsidRPr="00CD3486">
              <w:rPr>
                <w:szCs w:val="18"/>
              </w:rPr>
              <w:t>Woodroyd</w:t>
            </w:r>
            <w:proofErr w:type="spellEnd"/>
            <w:r w:rsidRPr="00CD3486">
              <w:rPr>
                <w:szCs w:val="18"/>
              </w:rPr>
              <w:t xml:space="preserve">, Condamine, </w:t>
            </w:r>
            <w:proofErr w:type="spellStart"/>
            <w:r w:rsidRPr="00CD3486">
              <w:rPr>
                <w:szCs w:val="18"/>
              </w:rPr>
              <w:t>Windibri</w:t>
            </w:r>
            <w:proofErr w:type="spellEnd"/>
            <w:r w:rsidRPr="00CD3486">
              <w:rPr>
                <w:szCs w:val="18"/>
              </w:rPr>
              <w:t xml:space="preserve">, Argyle) </w:t>
            </w:r>
          </w:p>
        </w:tc>
        <w:tc>
          <w:tcPr>
            <w:tcW w:w="3973" w:type="dxa"/>
            <w:gridSpan w:val="2"/>
            <w:shd w:val="clear" w:color="auto" w:fill="auto"/>
          </w:tcPr>
          <w:p w14:paraId="09DAFC93" w14:textId="77777777" w:rsidR="00E16C5B" w:rsidRPr="00CD3486" w:rsidRDefault="00E16C5B" w:rsidP="009E6A8A">
            <w:pPr>
              <w:pStyle w:val="TableBodyText"/>
              <w:spacing w:before="40" w:after="20" w:line="240" w:lineRule="auto"/>
              <w:rPr>
                <w:szCs w:val="18"/>
              </w:rPr>
            </w:pPr>
            <w:r w:rsidRPr="00CD3486">
              <w:rPr>
                <w:szCs w:val="18"/>
              </w:rPr>
              <w:t>Wallumbilla (L</w:t>
            </w:r>
            <w:r>
              <w:rPr>
                <w:szCs w:val="18"/>
              </w:rPr>
              <w:t xml:space="preserve">ow Pressure </w:t>
            </w:r>
            <w:r w:rsidRPr="00CD3486">
              <w:rPr>
                <w:szCs w:val="18"/>
              </w:rPr>
              <w:t>T</w:t>
            </w:r>
            <w:r>
              <w:rPr>
                <w:szCs w:val="18"/>
              </w:rPr>
              <w:t xml:space="preserve">rade </w:t>
            </w:r>
            <w:r w:rsidRPr="00CD3486">
              <w:rPr>
                <w:szCs w:val="18"/>
              </w:rPr>
              <w:t>P</w:t>
            </w:r>
            <w:r>
              <w:rPr>
                <w:szCs w:val="18"/>
              </w:rPr>
              <w:t>oint (LPTP</w:t>
            </w:r>
            <w:r w:rsidRPr="00CD3486">
              <w:rPr>
                <w:szCs w:val="18"/>
              </w:rPr>
              <w:t>)</w:t>
            </w:r>
            <w:r w:rsidRPr="00CD3486">
              <w:rPr>
                <w:rStyle w:val="FootnoteReference"/>
                <w:rFonts w:eastAsia="Cambria"/>
                <w:szCs w:val="18"/>
              </w:rPr>
              <w:footnoteReference w:id="88"/>
            </w:r>
          </w:p>
        </w:tc>
      </w:tr>
      <w:tr w:rsidR="00E16C5B" w:rsidRPr="00CD3486" w14:paraId="6FFCA958" w14:textId="77777777" w:rsidTr="00E16C5B">
        <w:tblPrEx>
          <w:shd w:val="clear" w:color="auto" w:fill="auto"/>
          <w:tblLook w:val="0420" w:firstRow="1" w:lastRow="0" w:firstColumn="0" w:lastColumn="0" w:noHBand="0" w:noVBand="1"/>
        </w:tblPrEx>
        <w:tc>
          <w:tcPr>
            <w:tcW w:w="1106" w:type="dxa"/>
            <w:shd w:val="clear" w:color="auto" w:fill="auto"/>
          </w:tcPr>
          <w:p w14:paraId="0BFC508F" w14:textId="77777777" w:rsidR="00E16C5B" w:rsidRPr="00CD3486" w:rsidRDefault="00E16C5B" w:rsidP="009E6A8A">
            <w:pPr>
              <w:pStyle w:val="TableBodyText"/>
              <w:spacing w:before="40" w:after="20" w:line="240" w:lineRule="auto"/>
              <w:rPr>
                <w:szCs w:val="18"/>
              </w:rPr>
            </w:pPr>
            <w:r w:rsidRPr="00CD3486">
              <w:rPr>
                <w:szCs w:val="18"/>
              </w:rPr>
              <w:t>QGP</w:t>
            </w:r>
          </w:p>
        </w:tc>
        <w:tc>
          <w:tcPr>
            <w:tcW w:w="1380" w:type="dxa"/>
            <w:shd w:val="clear" w:color="auto" w:fill="auto"/>
          </w:tcPr>
          <w:p w14:paraId="69AB3CBD" w14:textId="77777777" w:rsidR="00E16C5B" w:rsidRPr="00CD3486" w:rsidRDefault="00E16C5B" w:rsidP="009E6A8A">
            <w:pPr>
              <w:pStyle w:val="TableBodyText"/>
              <w:spacing w:before="40" w:after="20" w:line="240" w:lineRule="auto"/>
              <w:rPr>
                <w:szCs w:val="18"/>
              </w:rPr>
            </w:pPr>
            <w:r w:rsidRPr="00CD3486">
              <w:rPr>
                <w:szCs w:val="18"/>
              </w:rPr>
              <w:t>Jemena</w:t>
            </w:r>
          </w:p>
        </w:tc>
        <w:tc>
          <w:tcPr>
            <w:tcW w:w="2768" w:type="dxa"/>
            <w:gridSpan w:val="2"/>
            <w:shd w:val="clear" w:color="auto" w:fill="auto"/>
          </w:tcPr>
          <w:p w14:paraId="694600BD" w14:textId="77777777" w:rsidR="00E16C5B" w:rsidRPr="00CD3486" w:rsidRDefault="00E16C5B" w:rsidP="009E6A8A">
            <w:pPr>
              <w:pStyle w:val="TableBodyText"/>
              <w:spacing w:before="40" w:after="20" w:line="240" w:lineRule="auto"/>
              <w:rPr>
                <w:szCs w:val="18"/>
              </w:rPr>
            </w:pPr>
            <w:r w:rsidRPr="00CD3486">
              <w:rPr>
                <w:szCs w:val="18"/>
              </w:rPr>
              <w:t>Wallumbilla (H</w:t>
            </w:r>
            <w:r>
              <w:rPr>
                <w:szCs w:val="18"/>
              </w:rPr>
              <w:t xml:space="preserve">igh </w:t>
            </w:r>
            <w:r w:rsidRPr="00CD3486">
              <w:rPr>
                <w:szCs w:val="18"/>
              </w:rPr>
              <w:t>P</w:t>
            </w:r>
            <w:r>
              <w:rPr>
                <w:szCs w:val="18"/>
              </w:rPr>
              <w:t xml:space="preserve">ressure </w:t>
            </w:r>
            <w:r w:rsidRPr="00CD3486">
              <w:rPr>
                <w:szCs w:val="18"/>
              </w:rPr>
              <w:t>T</w:t>
            </w:r>
            <w:r>
              <w:rPr>
                <w:szCs w:val="18"/>
              </w:rPr>
              <w:t xml:space="preserve">rade </w:t>
            </w:r>
            <w:r w:rsidRPr="00CD3486">
              <w:rPr>
                <w:szCs w:val="18"/>
              </w:rPr>
              <w:t>P</w:t>
            </w:r>
            <w:r>
              <w:rPr>
                <w:szCs w:val="18"/>
              </w:rPr>
              <w:t>oint (HPTP</w:t>
            </w:r>
            <w:r w:rsidRPr="00CD3486">
              <w:rPr>
                <w:szCs w:val="18"/>
              </w:rPr>
              <w:t>)</w:t>
            </w:r>
            <w:r w:rsidRPr="00CD3486">
              <w:rPr>
                <w:rStyle w:val="FootnoteReference"/>
                <w:rFonts w:eastAsia="Cambria"/>
                <w:szCs w:val="18"/>
              </w:rPr>
              <w:footnoteReference w:id="89"/>
            </w:r>
            <w:r w:rsidRPr="00CD3486">
              <w:rPr>
                <w:szCs w:val="18"/>
              </w:rPr>
              <w:t xml:space="preserve"> </w:t>
            </w:r>
          </w:p>
        </w:tc>
        <w:tc>
          <w:tcPr>
            <w:tcW w:w="3973" w:type="dxa"/>
            <w:gridSpan w:val="2"/>
            <w:shd w:val="clear" w:color="auto" w:fill="auto"/>
          </w:tcPr>
          <w:p w14:paraId="3D9749F2" w14:textId="77777777" w:rsidR="00E16C5B" w:rsidRPr="00CD3486" w:rsidRDefault="00E16C5B" w:rsidP="009E6A8A">
            <w:pPr>
              <w:pStyle w:val="TableBodyText"/>
              <w:spacing w:before="40" w:after="20" w:line="240" w:lineRule="auto"/>
              <w:rPr>
                <w:szCs w:val="18"/>
              </w:rPr>
            </w:pPr>
            <w:r w:rsidRPr="00CD3486">
              <w:rPr>
                <w:szCs w:val="18"/>
              </w:rPr>
              <w:t>Gladstone (Gladstone, Wide Bay, NOR, Qld Alumina, Boyne, Yarwun, Orica)</w:t>
            </w:r>
          </w:p>
        </w:tc>
      </w:tr>
      <w:tr w:rsidR="00E16C5B" w:rsidRPr="00CD3486" w14:paraId="1BB1FDDB" w14:textId="77777777" w:rsidTr="00E16C5B">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1106" w:type="dxa"/>
            <w:vMerge w:val="restart"/>
            <w:shd w:val="clear" w:color="auto" w:fill="auto"/>
          </w:tcPr>
          <w:p w14:paraId="4AF98C67" w14:textId="77777777" w:rsidR="00E16C5B" w:rsidRPr="00CD3486" w:rsidRDefault="00E16C5B" w:rsidP="009E6A8A">
            <w:pPr>
              <w:pStyle w:val="TableBodyText"/>
              <w:spacing w:before="40" w:after="20" w:line="240" w:lineRule="auto"/>
              <w:rPr>
                <w:szCs w:val="18"/>
              </w:rPr>
            </w:pPr>
            <w:r w:rsidRPr="00CD3486">
              <w:rPr>
                <w:szCs w:val="18"/>
              </w:rPr>
              <w:t>SWQP</w:t>
            </w:r>
          </w:p>
        </w:tc>
        <w:tc>
          <w:tcPr>
            <w:tcW w:w="1380" w:type="dxa"/>
            <w:vMerge w:val="restart"/>
            <w:shd w:val="clear" w:color="auto" w:fill="auto"/>
          </w:tcPr>
          <w:p w14:paraId="628C39EF" w14:textId="77777777" w:rsidR="00E16C5B" w:rsidRPr="00CD3486" w:rsidRDefault="00E16C5B" w:rsidP="009E6A8A">
            <w:pPr>
              <w:pStyle w:val="TableBodyText"/>
              <w:spacing w:before="40" w:after="20" w:line="240" w:lineRule="auto"/>
              <w:rPr>
                <w:szCs w:val="18"/>
              </w:rPr>
            </w:pPr>
            <w:r w:rsidRPr="00CD3486">
              <w:rPr>
                <w:szCs w:val="18"/>
              </w:rPr>
              <w:t xml:space="preserve">APA </w:t>
            </w:r>
          </w:p>
        </w:tc>
        <w:tc>
          <w:tcPr>
            <w:tcW w:w="2768" w:type="dxa"/>
            <w:gridSpan w:val="2"/>
            <w:shd w:val="clear" w:color="auto" w:fill="auto"/>
          </w:tcPr>
          <w:p w14:paraId="389782F5" w14:textId="77777777" w:rsidR="00E16C5B" w:rsidRPr="00CD3486" w:rsidRDefault="00E16C5B" w:rsidP="009E6A8A">
            <w:pPr>
              <w:pStyle w:val="TableBodyText"/>
              <w:spacing w:before="40" w:after="20" w:line="240" w:lineRule="auto"/>
              <w:rPr>
                <w:szCs w:val="18"/>
              </w:rPr>
            </w:pPr>
            <w:r w:rsidRPr="00CD3486">
              <w:rPr>
                <w:szCs w:val="18"/>
              </w:rPr>
              <w:t xml:space="preserve">Wallumbilla (HPTP) </w:t>
            </w:r>
          </w:p>
        </w:tc>
        <w:tc>
          <w:tcPr>
            <w:tcW w:w="3973" w:type="dxa"/>
            <w:gridSpan w:val="2"/>
            <w:shd w:val="clear" w:color="auto" w:fill="auto"/>
          </w:tcPr>
          <w:p w14:paraId="2787B185" w14:textId="77777777" w:rsidR="00E16C5B" w:rsidRPr="00CD3486" w:rsidRDefault="00E16C5B" w:rsidP="009E6A8A">
            <w:pPr>
              <w:pStyle w:val="TableBodyText"/>
              <w:spacing w:before="40" w:after="20" w:line="240" w:lineRule="auto"/>
              <w:rPr>
                <w:szCs w:val="18"/>
              </w:rPr>
            </w:pPr>
            <w:r w:rsidRPr="00CD3486">
              <w:rPr>
                <w:szCs w:val="18"/>
              </w:rPr>
              <w:t xml:space="preserve">Moomba </w:t>
            </w:r>
            <w:r>
              <w:rPr>
                <w:szCs w:val="18"/>
              </w:rPr>
              <w:t>Compression Facility (</w:t>
            </w:r>
            <w:r w:rsidRPr="00CD3486">
              <w:rPr>
                <w:szCs w:val="18"/>
              </w:rPr>
              <w:t>MCF)</w:t>
            </w:r>
            <w:r w:rsidRPr="00CD3486">
              <w:rPr>
                <w:rStyle w:val="FootnoteReference"/>
                <w:rFonts w:eastAsia="Cambria"/>
                <w:szCs w:val="18"/>
              </w:rPr>
              <w:footnoteReference w:id="90"/>
            </w:r>
          </w:p>
        </w:tc>
      </w:tr>
      <w:tr w:rsidR="00E16C5B" w:rsidRPr="00CD3486" w14:paraId="5DB7A322" w14:textId="77777777" w:rsidTr="00E16C5B">
        <w:tblPrEx>
          <w:shd w:val="clear" w:color="auto" w:fill="auto"/>
          <w:tblLook w:val="0420" w:firstRow="1" w:lastRow="0" w:firstColumn="0" w:lastColumn="0" w:noHBand="0" w:noVBand="1"/>
        </w:tblPrEx>
        <w:tc>
          <w:tcPr>
            <w:tcW w:w="1106" w:type="dxa"/>
            <w:vMerge/>
            <w:shd w:val="clear" w:color="auto" w:fill="auto"/>
          </w:tcPr>
          <w:p w14:paraId="1664796D" w14:textId="77777777" w:rsidR="00E16C5B" w:rsidRPr="00CD3486" w:rsidRDefault="00E16C5B" w:rsidP="009E6A8A">
            <w:pPr>
              <w:pStyle w:val="TableBodyText"/>
              <w:spacing w:before="40" w:after="20" w:line="240" w:lineRule="auto"/>
              <w:rPr>
                <w:szCs w:val="18"/>
              </w:rPr>
            </w:pPr>
          </w:p>
        </w:tc>
        <w:tc>
          <w:tcPr>
            <w:tcW w:w="1380" w:type="dxa"/>
            <w:vMerge/>
            <w:shd w:val="clear" w:color="auto" w:fill="auto"/>
          </w:tcPr>
          <w:p w14:paraId="27930D49" w14:textId="77777777" w:rsidR="00E16C5B" w:rsidRPr="00CD3486" w:rsidRDefault="00E16C5B" w:rsidP="009E6A8A">
            <w:pPr>
              <w:pStyle w:val="TableBodyText"/>
              <w:spacing w:before="40" w:after="20" w:line="240" w:lineRule="auto"/>
              <w:rPr>
                <w:szCs w:val="18"/>
              </w:rPr>
            </w:pPr>
          </w:p>
        </w:tc>
        <w:tc>
          <w:tcPr>
            <w:tcW w:w="2768" w:type="dxa"/>
            <w:gridSpan w:val="2"/>
            <w:shd w:val="clear" w:color="auto" w:fill="auto"/>
          </w:tcPr>
          <w:p w14:paraId="4F717652" w14:textId="77777777" w:rsidR="00E16C5B" w:rsidRPr="00CD3486" w:rsidRDefault="00E16C5B" w:rsidP="009E6A8A">
            <w:pPr>
              <w:pStyle w:val="TableBodyText"/>
              <w:spacing w:before="40" w:after="20" w:line="240" w:lineRule="auto"/>
              <w:rPr>
                <w:szCs w:val="18"/>
              </w:rPr>
            </w:pPr>
            <w:r w:rsidRPr="00CD3486">
              <w:rPr>
                <w:szCs w:val="18"/>
              </w:rPr>
              <w:t xml:space="preserve">Moomba (MCF) </w:t>
            </w:r>
          </w:p>
        </w:tc>
        <w:tc>
          <w:tcPr>
            <w:tcW w:w="3973" w:type="dxa"/>
            <w:gridSpan w:val="2"/>
            <w:shd w:val="clear" w:color="auto" w:fill="auto"/>
          </w:tcPr>
          <w:p w14:paraId="4ED50899" w14:textId="77777777" w:rsidR="00E16C5B" w:rsidRPr="00CD3486" w:rsidRDefault="00E16C5B" w:rsidP="009E6A8A">
            <w:pPr>
              <w:pStyle w:val="TableBodyText"/>
              <w:spacing w:before="40" w:after="20" w:line="240" w:lineRule="auto"/>
              <w:rPr>
                <w:szCs w:val="18"/>
              </w:rPr>
            </w:pPr>
            <w:r w:rsidRPr="00CD3486">
              <w:rPr>
                <w:szCs w:val="18"/>
              </w:rPr>
              <w:t>Wallumbilla (LPTP)</w:t>
            </w:r>
          </w:p>
        </w:tc>
      </w:tr>
      <w:tr w:rsidR="00E16C5B" w:rsidRPr="00CD3486" w14:paraId="4B21CF55" w14:textId="77777777" w:rsidTr="00E16C5B">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1106" w:type="dxa"/>
            <w:shd w:val="clear" w:color="auto" w:fill="auto"/>
          </w:tcPr>
          <w:p w14:paraId="68FA291D" w14:textId="77777777" w:rsidR="00E16C5B" w:rsidRPr="00CD3486" w:rsidRDefault="00E16C5B" w:rsidP="009E6A8A">
            <w:pPr>
              <w:pStyle w:val="TableBodyText"/>
              <w:spacing w:before="40" w:after="20" w:line="240" w:lineRule="auto"/>
              <w:rPr>
                <w:szCs w:val="18"/>
              </w:rPr>
            </w:pPr>
            <w:r w:rsidRPr="00CD3486">
              <w:rPr>
                <w:szCs w:val="18"/>
              </w:rPr>
              <w:t>CGP</w:t>
            </w:r>
          </w:p>
        </w:tc>
        <w:tc>
          <w:tcPr>
            <w:tcW w:w="1380" w:type="dxa"/>
            <w:shd w:val="clear" w:color="auto" w:fill="auto"/>
          </w:tcPr>
          <w:p w14:paraId="60082E9A" w14:textId="77777777" w:rsidR="00E16C5B" w:rsidRPr="00CD3486" w:rsidRDefault="00E16C5B" w:rsidP="009E6A8A">
            <w:pPr>
              <w:pStyle w:val="TableBodyText"/>
              <w:spacing w:before="40" w:after="20" w:line="240" w:lineRule="auto"/>
              <w:rPr>
                <w:szCs w:val="18"/>
              </w:rPr>
            </w:pPr>
            <w:r w:rsidRPr="00CD3486">
              <w:rPr>
                <w:szCs w:val="18"/>
              </w:rPr>
              <w:t xml:space="preserve">APA </w:t>
            </w:r>
          </w:p>
        </w:tc>
        <w:tc>
          <w:tcPr>
            <w:tcW w:w="2768" w:type="dxa"/>
            <w:gridSpan w:val="2"/>
            <w:shd w:val="clear" w:color="auto" w:fill="auto"/>
          </w:tcPr>
          <w:p w14:paraId="34F0A775" w14:textId="77777777" w:rsidR="00E16C5B" w:rsidRPr="00CD3486" w:rsidRDefault="00E16C5B" w:rsidP="009E6A8A">
            <w:pPr>
              <w:pStyle w:val="TableBodyText"/>
              <w:spacing w:before="40" w:after="20" w:line="240" w:lineRule="auto"/>
              <w:rPr>
                <w:szCs w:val="18"/>
              </w:rPr>
            </w:pPr>
            <w:proofErr w:type="spellStart"/>
            <w:r w:rsidRPr="00CD3486">
              <w:rPr>
                <w:szCs w:val="18"/>
              </w:rPr>
              <w:t>Ballera</w:t>
            </w:r>
            <w:proofErr w:type="spellEnd"/>
            <w:r w:rsidRPr="00CD3486">
              <w:rPr>
                <w:szCs w:val="18"/>
              </w:rPr>
              <w:t xml:space="preserve"> (</w:t>
            </w:r>
            <w:r>
              <w:rPr>
                <w:szCs w:val="18"/>
              </w:rPr>
              <w:t>includes</w:t>
            </w:r>
            <w:r w:rsidRPr="00CD3486">
              <w:rPr>
                <w:szCs w:val="18"/>
              </w:rPr>
              <w:t xml:space="preserve"> compression </w:t>
            </w:r>
            <w:r>
              <w:rPr>
                <w:szCs w:val="18"/>
              </w:rPr>
              <w:t xml:space="preserve">service provided </w:t>
            </w:r>
            <w:r w:rsidRPr="00CD3486">
              <w:rPr>
                <w:szCs w:val="18"/>
              </w:rPr>
              <w:t xml:space="preserve">by Santos) </w:t>
            </w:r>
          </w:p>
        </w:tc>
        <w:tc>
          <w:tcPr>
            <w:tcW w:w="3973" w:type="dxa"/>
            <w:gridSpan w:val="2"/>
            <w:shd w:val="clear" w:color="auto" w:fill="auto"/>
          </w:tcPr>
          <w:p w14:paraId="0F55015C" w14:textId="77777777" w:rsidR="00E16C5B" w:rsidRPr="00CD3486" w:rsidRDefault="00E16C5B" w:rsidP="009E6A8A">
            <w:pPr>
              <w:pStyle w:val="TableBodyText"/>
              <w:spacing w:before="40" w:after="20" w:line="240" w:lineRule="auto"/>
              <w:rPr>
                <w:szCs w:val="18"/>
              </w:rPr>
            </w:pPr>
            <w:r w:rsidRPr="00CD3486">
              <w:rPr>
                <w:szCs w:val="18"/>
              </w:rPr>
              <w:t>Mt Isa (Mt Isa Mine, Diamantina, Mica Creek, Phosphate Hill, Osborne, Cannington)</w:t>
            </w:r>
          </w:p>
        </w:tc>
      </w:tr>
      <w:tr w:rsidR="00E16C5B" w:rsidRPr="00CD3486" w14:paraId="67B8BD20" w14:textId="77777777" w:rsidTr="00E16C5B">
        <w:tblPrEx>
          <w:shd w:val="clear" w:color="auto" w:fill="auto"/>
          <w:tblLook w:val="0420" w:firstRow="1" w:lastRow="0" w:firstColumn="0" w:lastColumn="0" w:noHBand="0" w:noVBand="1"/>
        </w:tblPrEx>
        <w:tc>
          <w:tcPr>
            <w:tcW w:w="1106" w:type="dxa"/>
            <w:vMerge w:val="restart"/>
            <w:shd w:val="clear" w:color="auto" w:fill="auto"/>
          </w:tcPr>
          <w:p w14:paraId="6B1BD076" w14:textId="77777777" w:rsidR="00E16C5B" w:rsidRPr="00CD3486" w:rsidRDefault="00E16C5B" w:rsidP="009E6A8A">
            <w:pPr>
              <w:pStyle w:val="TableBodyText"/>
              <w:spacing w:before="40" w:after="20" w:line="240" w:lineRule="auto"/>
              <w:rPr>
                <w:szCs w:val="18"/>
              </w:rPr>
            </w:pPr>
            <w:r w:rsidRPr="00CD3486">
              <w:rPr>
                <w:szCs w:val="18"/>
              </w:rPr>
              <w:t>MSP</w:t>
            </w:r>
          </w:p>
        </w:tc>
        <w:tc>
          <w:tcPr>
            <w:tcW w:w="1380" w:type="dxa"/>
            <w:vMerge w:val="restart"/>
            <w:shd w:val="clear" w:color="auto" w:fill="auto"/>
          </w:tcPr>
          <w:p w14:paraId="25191DE1" w14:textId="77777777" w:rsidR="00E16C5B" w:rsidRPr="00CD3486" w:rsidRDefault="00E16C5B" w:rsidP="009E6A8A">
            <w:pPr>
              <w:pStyle w:val="TableBodyText"/>
              <w:spacing w:before="40" w:after="20" w:line="240" w:lineRule="auto"/>
              <w:rPr>
                <w:szCs w:val="18"/>
              </w:rPr>
            </w:pPr>
            <w:r w:rsidRPr="00CD3486">
              <w:rPr>
                <w:szCs w:val="18"/>
              </w:rPr>
              <w:t xml:space="preserve">APA </w:t>
            </w:r>
          </w:p>
        </w:tc>
        <w:tc>
          <w:tcPr>
            <w:tcW w:w="2768" w:type="dxa"/>
            <w:gridSpan w:val="2"/>
            <w:shd w:val="clear" w:color="auto" w:fill="auto"/>
          </w:tcPr>
          <w:p w14:paraId="4F9C0080" w14:textId="77777777" w:rsidR="00E16C5B" w:rsidRPr="00CD3486" w:rsidRDefault="00E16C5B" w:rsidP="009E6A8A">
            <w:pPr>
              <w:pStyle w:val="TableBodyText"/>
              <w:spacing w:before="40" w:after="20" w:line="240" w:lineRule="auto"/>
              <w:rPr>
                <w:szCs w:val="18"/>
              </w:rPr>
            </w:pPr>
            <w:r w:rsidRPr="00CD3486">
              <w:rPr>
                <w:szCs w:val="18"/>
              </w:rPr>
              <w:t xml:space="preserve">Moomba (MSP Inlet) </w:t>
            </w:r>
          </w:p>
        </w:tc>
        <w:tc>
          <w:tcPr>
            <w:tcW w:w="3973" w:type="dxa"/>
            <w:gridSpan w:val="2"/>
            <w:shd w:val="clear" w:color="auto" w:fill="auto"/>
          </w:tcPr>
          <w:p w14:paraId="2ECC1E72" w14:textId="77777777" w:rsidR="00E16C5B" w:rsidRPr="00CD3486" w:rsidRDefault="00E16C5B" w:rsidP="009E6A8A">
            <w:pPr>
              <w:pStyle w:val="TableBodyText"/>
              <w:spacing w:before="40" w:after="20" w:line="240" w:lineRule="auto"/>
              <w:rPr>
                <w:szCs w:val="18"/>
              </w:rPr>
            </w:pPr>
            <w:r w:rsidRPr="00CD3486">
              <w:rPr>
                <w:szCs w:val="18"/>
              </w:rPr>
              <w:t>Sydney STTM (Wilton)</w:t>
            </w:r>
          </w:p>
        </w:tc>
      </w:tr>
      <w:tr w:rsidR="00E16C5B" w:rsidRPr="00CD3486" w14:paraId="02A2F663" w14:textId="77777777" w:rsidTr="00E16C5B">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1106" w:type="dxa"/>
            <w:vMerge/>
            <w:shd w:val="clear" w:color="auto" w:fill="auto"/>
          </w:tcPr>
          <w:p w14:paraId="353C59EE" w14:textId="77777777" w:rsidR="00E16C5B" w:rsidRPr="00CD3486" w:rsidRDefault="00E16C5B" w:rsidP="009E6A8A">
            <w:pPr>
              <w:pStyle w:val="TableBodyText"/>
              <w:spacing w:before="40" w:after="20" w:line="240" w:lineRule="auto"/>
              <w:rPr>
                <w:szCs w:val="18"/>
              </w:rPr>
            </w:pPr>
          </w:p>
        </w:tc>
        <w:tc>
          <w:tcPr>
            <w:tcW w:w="1380" w:type="dxa"/>
            <w:vMerge/>
            <w:shd w:val="clear" w:color="auto" w:fill="auto"/>
          </w:tcPr>
          <w:p w14:paraId="6752C91D" w14:textId="77777777" w:rsidR="00E16C5B" w:rsidRPr="00CD3486" w:rsidRDefault="00E16C5B" w:rsidP="009E6A8A">
            <w:pPr>
              <w:pStyle w:val="TableBodyText"/>
              <w:spacing w:before="40" w:after="20" w:line="240" w:lineRule="auto"/>
              <w:rPr>
                <w:szCs w:val="18"/>
              </w:rPr>
            </w:pPr>
          </w:p>
        </w:tc>
        <w:tc>
          <w:tcPr>
            <w:tcW w:w="2768" w:type="dxa"/>
            <w:gridSpan w:val="2"/>
            <w:shd w:val="clear" w:color="auto" w:fill="auto"/>
          </w:tcPr>
          <w:p w14:paraId="6DFA4C94" w14:textId="77777777" w:rsidR="00E16C5B" w:rsidRPr="00CD3486" w:rsidRDefault="00E16C5B" w:rsidP="009E6A8A">
            <w:pPr>
              <w:pStyle w:val="TableBodyText"/>
              <w:spacing w:before="40" w:after="20" w:line="240" w:lineRule="auto"/>
              <w:rPr>
                <w:szCs w:val="18"/>
              </w:rPr>
            </w:pPr>
            <w:r w:rsidRPr="00CD3486">
              <w:rPr>
                <w:szCs w:val="18"/>
              </w:rPr>
              <w:t xml:space="preserve">Moomba (MSP Inlet) </w:t>
            </w:r>
          </w:p>
        </w:tc>
        <w:tc>
          <w:tcPr>
            <w:tcW w:w="3973" w:type="dxa"/>
            <w:gridSpan w:val="2"/>
            <w:shd w:val="clear" w:color="auto" w:fill="auto"/>
          </w:tcPr>
          <w:p w14:paraId="3658AAF3" w14:textId="77777777" w:rsidR="00E16C5B" w:rsidRPr="00CD3486" w:rsidRDefault="00E16C5B" w:rsidP="009E6A8A">
            <w:pPr>
              <w:pStyle w:val="TableBodyText"/>
              <w:spacing w:before="40" w:after="20" w:line="240" w:lineRule="auto"/>
              <w:rPr>
                <w:szCs w:val="18"/>
              </w:rPr>
            </w:pPr>
            <w:r w:rsidRPr="00CD3486">
              <w:rPr>
                <w:szCs w:val="18"/>
              </w:rPr>
              <w:t>Culcairn (Culcairn South)</w:t>
            </w:r>
          </w:p>
        </w:tc>
      </w:tr>
      <w:tr w:rsidR="00E16C5B" w:rsidRPr="00CD3486" w14:paraId="27BBA0CE" w14:textId="77777777" w:rsidTr="00E16C5B">
        <w:tblPrEx>
          <w:shd w:val="clear" w:color="auto" w:fill="auto"/>
          <w:tblLook w:val="0420" w:firstRow="1" w:lastRow="0" w:firstColumn="0" w:lastColumn="0" w:noHBand="0" w:noVBand="1"/>
        </w:tblPrEx>
        <w:tc>
          <w:tcPr>
            <w:tcW w:w="1106" w:type="dxa"/>
            <w:vMerge/>
            <w:shd w:val="clear" w:color="auto" w:fill="auto"/>
          </w:tcPr>
          <w:p w14:paraId="40D2D9BB" w14:textId="77777777" w:rsidR="00E16C5B" w:rsidRPr="00CD3486" w:rsidRDefault="00E16C5B" w:rsidP="009E6A8A">
            <w:pPr>
              <w:pStyle w:val="TableBodyText"/>
              <w:spacing w:before="40" w:after="20" w:line="240" w:lineRule="auto"/>
              <w:rPr>
                <w:szCs w:val="18"/>
              </w:rPr>
            </w:pPr>
          </w:p>
        </w:tc>
        <w:tc>
          <w:tcPr>
            <w:tcW w:w="1380" w:type="dxa"/>
            <w:vMerge/>
            <w:shd w:val="clear" w:color="auto" w:fill="auto"/>
          </w:tcPr>
          <w:p w14:paraId="73F7A364" w14:textId="77777777" w:rsidR="00E16C5B" w:rsidRPr="00CD3486" w:rsidRDefault="00E16C5B" w:rsidP="009E6A8A">
            <w:pPr>
              <w:pStyle w:val="TableBodyText"/>
              <w:spacing w:before="40" w:after="20" w:line="240" w:lineRule="auto"/>
              <w:rPr>
                <w:szCs w:val="18"/>
              </w:rPr>
            </w:pPr>
          </w:p>
        </w:tc>
        <w:tc>
          <w:tcPr>
            <w:tcW w:w="2768" w:type="dxa"/>
            <w:gridSpan w:val="2"/>
            <w:shd w:val="clear" w:color="auto" w:fill="auto"/>
          </w:tcPr>
          <w:p w14:paraId="7E44169B" w14:textId="77777777" w:rsidR="00E16C5B" w:rsidRPr="00CD3486" w:rsidRDefault="00E16C5B" w:rsidP="009E6A8A">
            <w:pPr>
              <w:pStyle w:val="TableBodyText"/>
              <w:spacing w:before="40" w:after="20" w:line="240" w:lineRule="auto"/>
              <w:rPr>
                <w:szCs w:val="18"/>
              </w:rPr>
            </w:pPr>
            <w:r w:rsidRPr="00CD3486">
              <w:rPr>
                <w:szCs w:val="18"/>
              </w:rPr>
              <w:t>Culcairn (Culcairn North)</w:t>
            </w:r>
          </w:p>
        </w:tc>
        <w:tc>
          <w:tcPr>
            <w:tcW w:w="3973" w:type="dxa"/>
            <w:gridSpan w:val="2"/>
            <w:shd w:val="clear" w:color="auto" w:fill="auto"/>
          </w:tcPr>
          <w:p w14:paraId="15242C13" w14:textId="77777777" w:rsidR="00E16C5B" w:rsidRPr="00CD3486" w:rsidRDefault="00E16C5B" w:rsidP="009E6A8A">
            <w:pPr>
              <w:pStyle w:val="TableBodyText"/>
              <w:spacing w:before="40" w:after="20" w:line="240" w:lineRule="auto"/>
              <w:rPr>
                <w:szCs w:val="18"/>
              </w:rPr>
            </w:pPr>
            <w:r w:rsidRPr="00CD3486">
              <w:rPr>
                <w:szCs w:val="18"/>
              </w:rPr>
              <w:t>Moomba (MCF)</w:t>
            </w:r>
          </w:p>
        </w:tc>
      </w:tr>
      <w:tr w:rsidR="00E16C5B" w:rsidRPr="00CD3486" w14:paraId="6347A64E" w14:textId="77777777" w:rsidTr="00E16C5B">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1106" w:type="dxa"/>
            <w:vMerge/>
            <w:shd w:val="clear" w:color="auto" w:fill="auto"/>
          </w:tcPr>
          <w:p w14:paraId="6414D8BF" w14:textId="77777777" w:rsidR="00E16C5B" w:rsidRPr="00CD3486" w:rsidRDefault="00E16C5B" w:rsidP="009E6A8A">
            <w:pPr>
              <w:pStyle w:val="TableBodyText"/>
              <w:spacing w:before="40" w:after="20" w:line="240" w:lineRule="auto"/>
              <w:rPr>
                <w:szCs w:val="18"/>
              </w:rPr>
            </w:pPr>
          </w:p>
        </w:tc>
        <w:tc>
          <w:tcPr>
            <w:tcW w:w="1380" w:type="dxa"/>
            <w:vMerge/>
            <w:shd w:val="clear" w:color="auto" w:fill="auto"/>
          </w:tcPr>
          <w:p w14:paraId="0ECC1665" w14:textId="77777777" w:rsidR="00E16C5B" w:rsidRPr="00CD3486" w:rsidRDefault="00E16C5B" w:rsidP="009E6A8A">
            <w:pPr>
              <w:pStyle w:val="TableBodyText"/>
              <w:spacing w:before="40" w:after="20" w:line="240" w:lineRule="auto"/>
              <w:rPr>
                <w:szCs w:val="18"/>
              </w:rPr>
            </w:pPr>
          </w:p>
        </w:tc>
        <w:tc>
          <w:tcPr>
            <w:tcW w:w="2768" w:type="dxa"/>
            <w:gridSpan w:val="2"/>
            <w:shd w:val="clear" w:color="auto" w:fill="auto"/>
          </w:tcPr>
          <w:p w14:paraId="4683CF99" w14:textId="77777777" w:rsidR="00E16C5B" w:rsidRPr="00CD3486" w:rsidRDefault="00E16C5B" w:rsidP="009E6A8A">
            <w:pPr>
              <w:pStyle w:val="TableBodyText"/>
              <w:spacing w:before="40" w:after="20" w:line="240" w:lineRule="auto"/>
              <w:rPr>
                <w:szCs w:val="18"/>
              </w:rPr>
            </w:pPr>
            <w:r w:rsidRPr="00CD3486">
              <w:rPr>
                <w:szCs w:val="18"/>
              </w:rPr>
              <w:t xml:space="preserve">Culcairn (Culcairn North) </w:t>
            </w:r>
          </w:p>
        </w:tc>
        <w:tc>
          <w:tcPr>
            <w:tcW w:w="3973" w:type="dxa"/>
            <w:gridSpan w:val="2"/>
            <w:shd w:val="clear" w:color="auto" w:fill="auto"/>
          </w:tcPr>
          <w:p w14:paraId="49BFEF2E" w14:textId="77777777" w:rsidR="00E16C5B" w:rsidRPr="00CD3486" w:rsidRDefault="00E16C5B" w:rsidP="009E6A8A">
            <w:pPr>
              <w:pStyle w:val="TableBodyText"/>
              <w:spacing w:before="40" w:after="20" w:line="240" w:lineRule="auto"/>
              <w:rPr>
                <w:szCs w:val="18"/>
              </w:rPr>
            </w:pPr>
            <w:r w:rsidRPr="00CD3486">
              <w:rPr>
                <w:szCs w:val="18"/>
              </w:rPr>
              <w:t>Sydney STTM (Wilton)</w:t>
            </w:r>
          </w:p>
        </w:tc>
      </w:tr>
      <w:tr w:rsidR="00E16C5B" w:rsidRPr="00CD3486" w14:paraId="66FDA59F" w14:textId="77777777" w:rsidTr="00E16C5B">
        <w:tblPrEx>
          <w:shd w:val="clear" w:color="auto" w:fill="auto"/>
          <w:tblLook w:val="0420" w:firstRow="1" w:lastRow="0" w:firstColumn="0" w:lastColumn="0" w:noHBand="0" w:noVBand="1"/>
        </w:tblPrEx>
        <w:tc>
          <w:tcPr>
            <w:tcW w:w="1106" w:type="dxa"/>
            <w:shd w:val="clear" w:color="auto" w:fill="auto"/>
          </w:tcPr>
          <w:p w14:paraId="4EC3DC12" w14:textId="77777777" w:rsidR="00E16C5B" w:rsidRPr="00CD3486" w:rsidRDefault="00E16C5B" w:rsidP="009E6A8A">
            <w:pPr>
              <w:pStyle w:val="TableBodyText"/>
              <w:spacing w:before="40" w:after="20" w:line="240" w:lineRule="auto"/>
              <w:rPr>
                <w:szCs w:val="18"/>
              </w:rPr>
            </w:pPr>
            <w:r w:rsidRPr="00CD3486">
              <w:rPr>
                <w:szCs w:val="18"/>
              </w:rPr>
              <w:t>EGP</w:t>
            </w:r>
          </w:p>
        </w:tc>
        <w:tc>
          <w:tcPr>
            <w:tcW w:w="1380" w:type="dxa"/>
            <w:shd w:val="clear" w:color="auto" w:fill="auto"/>
          </w:tcPr>
          <w:p w14:paraId="4ADE814B" w14:textId="77777777" w:rsidR="00E16C5B" w:rsidRPr="00CD3486" w:rsidRDefault="00E16C5B" w:rsidP="009E6A8A">
            <w:pPr>
              <w:pStyle w:val="TableBodyText"/>
              <w:spacing w:before="40" w:after="20" w:line="240" w:lineRule="auto"/>
              <w:rPr>
                <w:szCs w:val="18"/>
              </w:rPr>
            </w:pPr>
            <w:r w:rsidRPr="00CD3486">
              <w:rPr>
                <w:szCs w:val="18"/>
              </w:rPr>
              <w:t>Jemena</w:t>
            </w:r>
          </w:p>
        </w:tc>
        <w:tc>
          <w:tcPr>
            <w:tcW w:w="2768" w:type="dxa"/>
            <w:gridSpan w:val="2"/>
            <w:shd w:val="clear" w:color="auto" w:fill="auto"/>
          </w:tcPr>
          <w:p w14:paraId="55130385" w14:textId="77777777" w:rsidR="00E16C5B" w:rsidRPr="00CD3486" w:rsidRDefault="00E16C5B" w:rsidP="009E6A8A">
            <w:pPr>
              <w:pStyle w:val="TableBodyText"/>
              <w:spacing w:before="40" w:after="20" w:line="240" w:lineRule="auto"/>
              <w:rPr>
                <w:szCs w:val="18"/>
              </w:rPr>
            </w:pPr>
            <w:r w:rsidRPr="00CD3486">
              <w:rPr>
                <w:szCs w:val="18"/>
              </w:rPr>
              <w:t xml:space="preserve">Longford </w:t>
            </w:r>
          </w:p>
        </w:tc>
        <w:tc>
          <w:tcPr>
            <w:tcW w:w="3973" w:type="dxa"/>
            <w:gridSpan w:val="2"/>
            <w:shd w:val="clear" w:color="auto" w:fill="auto"/>
          </w:tcPr>
          <w:p w14:paraId="557AE706" w14:textId="77777777" w:rsidR="00E16C5B" w:rsidRPr="00CD3486" w:rsidRDefault="00E16C5B" w:rsidP="009E6A8A">
            <w:pPr>
              <w:pStyle w:val="TableBodyText"/>
              <w:spacing w:before="40" w:after="20" w:line="240" w:lineRule="auto"/>
              <w:rPr>
                <w:szCs w:val="18"/>
              </w:rPr>
            </w:pPr>
            <w:r w:rsidRPr="00CD3486">
              <w:rPr>
                <w:szCs w:val="18"/>
              </w:rPr>
              <w:t>Sydney STTM</w:t>
            </w:r>
          </w:p>
        </w:tc>
      </w:tr>
      <w:tr w:rsidR="00E16C5B" w:rsidRPr="00CD3486" w14:paraId="256E235F" w14:textId="77777777" w:rsidTr="00E16C5B">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1106" w:type="dxa"/>
            <w:shd w:val="clear" w:color="auto" w:fill="auto"/>
          </w:tcPr>
          <w:p w14:paraId="2BC7B9CD" w14:textId="77777777" w:rsidR="00E16C5B" w:rsidRPr="00CD3486" w:rsidRDefault="00E16C5B" w:rsidP="009E6A8A">
            <w:pPr>
              <w:pStyle w:val="TableBodyText"/>
              <w:spacing w:before="40" w:after="20" w:line="240" w:lineRule="auto"/>
              <w:rPr>
                <w:szCs w:val="18"/>
              </w:rPr>
            </w:pPr>
            <w:r w:rsidRPr="00CD3486">
              <w:rPr>
                <w:szCs w:val="18"/>
              </w:rPr>
              <w:t>MAPS</w:t>
            </w:r>
          </w:p>
        </w:tc>
        <w:tc>
          <w:tcPr>
            <w:tcW w:w="1380" w:type="dxa"/>
            <w:shd w:val="clear" w:color="auto" w:fill="auto"/>
          </w:tcPr>
          <w:p w14:paraId="282FBCAC" w14:textId="77777777" w:rsidR="00E16C5B" w:rsidRPr="00CD3486" w:rsidRDefault="00E16C5B" w:rsidP="009E6A8A">
            <w:pPr>
              <w:pStyle w:val="TableBodyText"/>
              <w:spacing w:before="40" w:after="20" w:line="240" w:lineRule="auto"/>
              <w:rPr>
                <w:szCs w:val="18"/>
              </w:rPr>
            </w:pPr>
            <w:r w:rsidRPr="00CD3486">
              <w:rPr>
                <w:szCs w:val="18"/>
              </w:rPr>
              <w:t xml:space="preserve">Epic </w:t>
            </w:r>
          </w:p>
        </w:tc>
        <w:tc>
          <w:tcPr>
            <w:tcW w:w="2768" w:type="dxa"/>
            <w:gridSpan w:val="2"/>
            <w:shd w:val="clear" w:color="auto" w:fill="auto"/>
          </w:tcPr>
          <w:p w14:paraId="4A65EC19" w14:textId="77777777" w:rsidR="00E16C5B" w:rsidRPr="00CD3486" w:rsidRDefault="00E16C5B" w:rsidP="009E6A8A">
            <w:pPr>
              <w:pStyle w:val="TableBodyText"/>
              <w:spacing w:before="40" w:after="20" w:line="240" w:lineRule="auto"/>
              <w:rPr>
                <w:szCs w:val="18"/>
              </w:rPr>
            </w:pPr>
            <w:r w:rsidRPr="00CD3486">
              <w:rPr>
                <w:szCs w:val="18"/>
              </w:rPr>
              <w:t>Moomba (MAPS IPT)</w:t>
            </w:r>
          </w:p>
        </w:tc>
        <w:tc>
          <w:tcPr>
            <w:tcW w:w="3973" w:type="dxa"/>
            <w:gridSpan w:val="2"/>
            <w:shd w:val="clear" w:color="auto" w:fill="auto"/>
          </w:tcPr>
          <w:p w14:paraId="431F5E36" w14:textId="77777777" w:rsidR="00E16C5B" w:rsidRPr="00CD3486" w:rsidRDefault="00E16C5B" w:rsidP="009E6A8A">
            <w:pPr>
              <w:pStyle w:val="TableBodyText"/>
              <w:spacing w:before="40" w:after="20" w:line="240" w:lineRule="auto"/>
              <w:rPr>
                <w:szCs w:val="18"/>
              </w:rPr>
            </w:pPr>
            <w:r w:rsidRPr="00CD3486">
              <w:rPr>
                <w:szCs w:val="18"/>
              </w:rPr>
              <w:t>Adelaide STTM (Metro Mainline)</w:t>
            </w:r>
          </w:p>
        </w:tc>
      </w:tr>
      <w:tr w:rsidR="00E16C5B" w:rsidRPr="00CD3486" w14:paraId="7B8B2697" w14:textId="77777777" w:rsidTr="00E16C5B">
        <w:tblPrEx>
          <w:shd w:val="clear" w:color="auto" w:fill="auto"/>
          <w:tblLook w:val="0420" w:firstRow="1" w:lastRow="0" w:firstColumn="0" w:lastColumn="0" w:noHBand="0" w:noVBand="1"/>
        </w:tblPrEx>
        <w:tc>
          <w:tcPr>
            <w:tcW w:w="1106" w:type="dxa"/>
            <w:shd w:val="clear" w:color="auto" w:fill="auto"/>
          </w:tcPr>
          <w:p w14:paraId="0D4FC09E" w14:textId="77777777" w:rsidR="00E16C5B" w:rsidRPr="00CD3486" w:rsidRDefault="00E16C5B" w:rsidP="009E6A8A">
            <w:pPr>
              <w:pStyle w:val="TableBodyText"/>
              <w:spacing w:before="40" w:after="20" w:line="240" w:lineRule="auto"/>
              <w:rPr>
                <w:szCs w:val="18"/>
              </w:rPr>
            </w:pPr>
            <w:proofErr w:type="spellStart"/>
            <w:r w:rsidRPr="00CD3486">
              <w:rPr>
                <w:szCs w:val="18"/>
              </w:rPr>
              <w:t>SEAGas</w:t>
            </w:r>
            <w:proofErr w:type="spellEnd"/>
          </w:p>
        </w:tc>
        <w:tc>
          <w:tcPr>
            <w:tcW w:w="1380" w:type="dxa"/>
            <w:shd w:val="clear" w:color="auto" w:fill="auto"/>
          </w:tcPr>
          <w:p w14:paraId="479D1D5A" w14:textId="77777777" w:rsidR="00E16C5B" w:rsidRPr="00CD3486" w:rsidRDefault="00E16C5B" w:rsidP="009E6A8A">
            <w:pPr>
              <w:pStyle w:val="TableBodyText"/>
              <w:spacing w:before="40" w:after="20" w:line="240" w:lineRule="auto"/>
              <w:rPr>
                <w:szCs w:val="18"/>
              </w:rPr>
            </w:pPr>
            <w:r w:rsidRPr="00CD3486">
              <w:rPr>
                <w:szCs w:val="18"/>
              </w:rPr>
              <w:t>APA /REST</w:t>
            </w:r>
          </w:p>
        </w:tc>
        <w:tc>
          <w:tcPr>
            <w:tcW w:w="2768" w:type="dxa"/>
            <w:gridSpan w:val="2"/>
            <w:shd w:val="clear" w:color="auto" w:fill="auto"/>
          </w:tcPr>
          <w:p w14:paraId="717BE91F" w14:textId="77777777" w:rsidR="00E16C5B" w:rsidRPr="00CD3486" w:rsidRDefault="00E16C5B" w:rsidP="009E6A8A">
            <w:pPr>
              <w:pStyle w:val="TableBodyText"/>
              <w:spacing w:before="40" w:after="20" w:line="240" w:lineRule="auto"/>
              <w:rPr>
                <w:szCs w:val="18"/>
              </w:rPr>
            </w:pPr>
            <w:r w:rsidRPr="00CD3486">
              <w:rPr>
                <w:szCs w:val="18"/>
              </w:rPr>
              <w:t xml:space="preserve">Brumby </w:t>
            </w:r>
          </w:p>
        </w:tc>
        <w:tc>
          <w:tcPr>
            <w:tcW w:w="3973" w:type="dxa"/>
            <w:gridSpan w:val="2"/>
            <w:shd w:val="clear" w:color="auto" w:fill="auto"/>
          </w:tcPr>
          <w:p w14:paraId="39AB4BE3" w14:textId="77777777" w:rsidR="00E16C5B" w:rsidRPr="00CD3486" w:rsidRDefault="00E16C5B" w:rsidP="009E6A8A">
            <w:pPr>
              <w:pStyle w:val="TableBodyText"/>
              <w:spacing w:before="40" w:after="20" w:line="240" w:lineRule="auto"/>
              <w:rPr>
                <w:szCs w:val="18"/>
              </w:rPr>
            </w:pPr>
            <w:r w:rsidRPr="00CD3486">
              <w:rPr>
                <w:szCs w:val="18"/>
              </w:rPr>
              <w:t>Adelaide STTM</w:t>
            </w:r>
          </w:p>
        </w:tc>
      </w:tr>
      <w:tr w:rsidR="00E16C5B" w:rsidRPr="00CD3486" w14:paraId="37D06705" w14:textId="77777777" w:rsidTr="00E16C5B">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1106" w:type="dxa"/>
            <w:shd w:val="clear" w:color="auto" w:fill="auto"/>
          </w:tcPr>
          <w:p w14:paraId="24547AF9" w14:textId="77777777" w:rsidR="00E16C5B" w:rsidRPr="00CD3486" w:rsidRDefault="00E16C5B" w:rsidP="009E6A8A">
            <w:pPr>
              <w:pStyle w:val="TableBodyText"/>
              <w:spacing w:before="40" w:after="20" w:line="240" w:lineRule="auto"/>
              <w:rPr>
                <w:szCs w:val="18"/>
              </w:rPr>
            </w:pPr>
            <w:r w:rsidRPr="00CD3486">
              <w:rPr>
                <w:szCs w:val="18"/>
              </w:rPr>
              <w:t>TGP</w:t>
            </w:r>
          </w:p>
        </w:tc>
        <w:tc>
          <w:tcPr>
            <w:tcW w:w="1380" w:type="dxa"/>
            <w:shd w:val="clear" w:color="auto" w:fill="auto"/>
          </w:tcPr>
          <w:p w14:paraId="57FE6FB5" w14:textId="77777777" w:rsidR="00E16C5B" w:rsidRPr="00CD3486" w:rsidRDefault="00E16C5B" w:rsidP="009E6A8A">
            <w:pPr>
              <w:pStyle w:val="TableBodyText"/>
              <w:spacing w:before="40" w:after="20" w:line="240" w:lineRule="auto"/>
              <w:rPr>
                <w:szCs w:val="18"/>
              </w:rPr>
            </w:pPr>
            <w:r w:rsidRPr="00CD3486">
              <w:rPr>
                <w:szCs w:val="18"/>
              </w:rPr>
              <w:t xml:space="preserve">Palisade </w:t>
            </w:r>
          </w:p>
        </w:tc>
        <w:tc>
          <w:tcPr>
            <w:tcW w:w="2768" w:type="dxa"/>
            <w:gridSpan w:val="2"/>
            <w:shd w:val="clear" w:color="auto" w:fill="auto"/>
          </w:tcPr>
          <w:p w14:paraId="57105702" w14:textId="77777777" w:rsidR="00E16C5B" w:rsidRPr="00CD3486" w:rsidRDefault="00E16C5B" w:rsidP="009E6A8A">
            <w:pPr>
              <w:pStyle w:val="TableBodyText"/>
              <w:spacing w:before="40" w:after="20" w:line="240" w:lineRule="auto"/>
              <w:rPr>
                <w:szCs w:val="18"/>
              </w:rPr>
            </w:pPr>
            <w:r w:rsidRPr="00CD3486">
              <w:rPr>
                <w:szCs w:val="18"/>
              </w:rPr>
              <w:t>Longford (</w:t>
            </w:r>
            <w:r>
              <w:rPr>
                <w:szCs w:val="18"/>
              </w:rPr>
              <w:t>includes</w:t>
            </w:r>
            <w:r w:rsidRPr="00CD3486">
              <w:rPr>
                <w:szCs w:val="18"/>
              </w:rPr>
              <w:t xml:space="preserve"> TGP transfer service provided by Jemena)</w:t>
            </w:r>
          </w:p>
        </w:tc>
        <w:tc>
          <w:tcPr>
            <w:tcW w:w="3973" w:type="dxa"/>
            <w:gridSpan w:val="2"/>
            <w:shd w:val="clear" w:color="auto" w:fill="auto"/>
          </w:tcPr>
          <w:p w14:paraId="28E6C2EB" w14:textId="77777777" w:rsidR="00E16C5B" w:rsidRPr="00CD3486" w:rsidRDefault="00E16C5B" w:rsidP="009E6A8A">
            <w:pPr>
              <w:pStyle w:val="TableBodyText"/>
              <w:spacing w:before="40" w:after="20" w:line="240" w:lineRule="auto"/>
              <w:rPr>
                <w:szCs w:val="18"/>
              </w:rPr>
            </w:pPr>
            <w:r w:rsidRPr="00CD3486">
              <w:rPr>
                <w:szCs w:val="18"/>
              </w:rPr>
              <w:t xml:space="preserve">Hobart </w:t>
            </w:r>
          </w:p>
        </w:tc>
      </w:tr>
      <w:tr w:rsidR="00E16C5B" w:rsidRPr="008B1B73" w14:paraId="6B6F220E" w14:textId="77777777" w:rsidTr="00E16C5B">
        <w:tblPrEx>
          <w:shd w:val="clear" w:color="auto" w:fill="auto"/>
          <w:tblLook w:val="0420" w:firstRow="1" w:lastRow="0" w:firstColumn="0" w:lastColumn="0" w:noHBand="0" w:noVBand="1"/>
        </w:tblPrEx>
        <w:tc>
          <w:tcPr>
            <w:tcW w:w="1106" w:type="dxa"/>
            <w:shd w:val="clear" w:color="auto" w:fill="auto"/>
          </w:tcPr>
          <w:p w14:paraId="510D06C1" w14:textId="77777777" w:rsidR="00E16C5B" w:rsidRDefault="00E16C5B" w:rsidP="009E6A8A">
            <w:pPr>
              <w:pStyle w:val="TableBodyText"/>
              <w:spacing w:before="40" w:after="20" w:line="240" w:lineRule="auto"/>
            </w:pPr>
            <w:r>
              <w:t xml:space="preserve">DTS Transfer Service </w:t>
            </w:r>
          </w:p>
        </w:tc>
        <w:tc>
          <w:tcPr>
            <w:tcW w:w="1380" w:type="dxa"/>
            <w:shd w:val="clear" w:color="auto" w:fill="auto"/>
          </w:tcPr>
          <w:p w14:paraId="7BC8EF14" w14:textId="77777777" w:rsidR="00E16C5B" w:rsidRPr="008B1B73" w:rsidRDefault="00E16C5B" w:rsidP="009E6A8A">
            <w:pPr>
              <w:pStyle w:val="TableBodyText"/>
              <w:spacing w:before="40" w:after="20" w:line="240" w:lineRule="auto"/>
            </w:pPr>
            <w:r>
              <w:t>Jemena</w:t>
            </w:r>
          </w:p>
        </w:tc>
        <w:tc>
          <w:tcPr>
            <w:tcW w:w="2768" w:type="dxa"/>
            <w:gridSpan w:val="2"/>
            <w:shd w:val="clear" w:color="auto" w:fill="auto"/>
          </w:tcPr>
          <w:p w14:paraId="6688D1B7" w14:textId="77777777" w:rsidR="00E16C5B" w:rsidRPr="008B1B73" w:rsidRDefault="00E16C5B" w:rsidP="009E6A8A">
            <w:pPr>
              <w:pStyle w:val="TableBodyText"/>
              <w:spacing w:before="40" w:after="20" w:line="240" w:lineRule="auto"/>
            </w:pPr>
            <w:r>
              <w:t>Longford zone</w:t>
            </w:r>
          </w:p>
        </w:tc>
        <w:tc>
          <w:tcPr>
            <w:tcW w:w="3973" w:type="dxa"/>
            <w:gridSpan w:val="2"/>
            <w:shd w:val="clear" w:color="auto" w:fill="auto"/>
          </w:tcPr>
          <w:p w14:paraId="29E258A3" w14:textId="77777777" w:rsidR="00E16C5B" w:rsidRPr="008B1B73" w:rsidRDefault="00E16C5B" w:rsidP="009E6A8A">
            <w:pPr>
              <w:pStyle w:val="TableBodyText"/>
              <w:spacing w:before="40" w:after="20" w:line="240" w:lineRule="auto"/>
            </w:pPr>
            <w:r>
              <w:t>Entry point of DTS</w:t>
            </w:r>
          </w:p>
        </w:tc>
      </w:tr>
      <w:tr w:rsidR="00E16C5B" w:rsidRPr="008B1B73" w14:paraId="7FE68830" w14:textId="77777777" w:rsidTr="00E16C5B">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1106" w:type="dxa"/>
            <w:shd w:val="clear" w:color="auto" w:fill="auto"/>
          </w:tcPr>
          <w:p w14:paraId="217A5FCF" w14:textId="77777777" w:rsidR="00E16C5B" w:rsidRPr="008B1B73" w:rsidRDefault="00E16C5B" w:rsidP="009E6A8A">
            <w:pPr>
              <w:pStyle w:val="TableBodyText"/>
              <w:spacing w:before="40" w:after="20" w:line="240" w:lineRule="auto"/>
            </w:pPr>
            <w:r>
              <w:t>NGP</w:t>
            </w:r>
          </w:p>
        </w:tc>
        <w:tc>
          <w:tcPr>
            <w:tcW w:w="1380" w:type="dxa"/>
            <w:shd w:val="clear" w:color="auto" w:fill="auto"/>
          </w:tcPr>
          <w:p w14:paraId="6EBA5140" w14:textId="77777777" w:rsidR="00E16C5B" w:rsidRPr="008B1B73" w:rsidRDefault="00E16C5B" w:rsidP="009E6A8A">
            <w:pPr>
              <w:pStyle w:val="TableBodyText"/>
              <w:spacing w:before="40" w:after="20" w:line="240" w:lineRule="auto"/>
            </w:pPr>
            <w:r w:rsidRPr="008B1B73">
              <w:t>Jemena</w:t>
            </w:r>
          </w:p>
        </w:tc>
        <w:tc>
          <w:tcPr>
            <w:tcW w:w="2768" w:type="dxa"/>
            <w:gridSpan w:val="2"/>
            <w:shd w:val="clear" w:color="auto" w:fill="auto"/>
          </w:tcPr>
          <w:p w14:paraId="7CCC0845" w14:textId="77777777" w:rsidR="00E16C5B" w:rsidRPr="008B1B73" w:rsidRDefault="00E16C5B" w:rsidP="009E6A8A">
            <w:pPr>
              <w:pStyle w:val="TableBodyText"/>
              <w:spacing w:before="40" w:after="20" w:line="240" w:lineRule="auto"/>
            </w:pPr>
            <w:r w:rsidRPr="008B1B73">
              <w:t xml:space="preserve">Warrego </w:t>
            </w:r>
          </w:p>
        </w:tc>
        <w:tc>
          <w:tcPr>
            <w:tcW w:w="3973" w:type="dxa"/>
            <w:gridSpan w:val="2"/>
            <w:shd w:val="clear" w:color="auto" w:fill="auto"/>
          </w:tcPr>
          <w:p w14:paraId="3A66415E" w14:textId="77777777" w:rsidR="00E16C5B" w:rsidRPr="008B1B73" w:rsidRDefault="00E16C5B" w:rsidP="009E6A8A">
            <w:pPr>
              <w:pStyle w:val="TableBodyText"/>
              <w:spacing w:before="40" w:after="20" w:line="240" w:lineRule="auto"/>
            </w:pPr>
            <w:r>
              <w:t>Mt Isa</w:t>
            </w:r>
          </w:p>
        </w:tc>
      </w:tr>
      <w:tr w:rsidR="00E16C5B" w:rsidRPr="008B1B73" w14:paraId="13542DA0" w14:textId="77777777" w:rsidTr="00E16C5B">
        <w:tblPrEx>
          <w:shd w:val="clear" w:color="auto" w:fill="auto"/>
          <w:tblLook w:val="0420" w:firstRow="1" w:lastRow="0" w:firstColumn="0" w:lastColumn="0" w:noHBand="0" w:noVBand="1"/>
        </w:tblPrEx>
        <w:trPr>
          <w:trHeight w:val="150"/>
        </w:trPr>
        <w:tc>
          <w:tcPr>
            <w:tcW w:w="1106" w:type="dxa"/>
            <w:vMerge w:val="restart"/>
            <w:shd w:val="clear" w:color="auto" w:fill="auto"/>
          </w:tcPr>
          <w:p w14:paraId="4A039FDC" w14:textId="77777777" w:rsidR="00E16C5B" w:rsidRPr="00AE551C" w:rsidRDefault="00E16C5B" w:rsidP="009E6A8A">
            <w:pPr>
              <w:pStyle w:val="TableBodyText"/>
              <w:spacing w:before="40" w:after="20" w:line="240" w:lineRule="auto"/>
            </w:pPr>
            <w:r w:rsidRPr="00AE551C">
              <w:t>ADP</w:t>
            </w:r>
          </w:p>
        </w:tc>
        <w:tc>
          <w:tcPr>
            <w:tcW w:w="1380" w:type="dxa"/>
            <w:vMerge w:val="restart"/>
            <w:shd w:val="clear" w:color="auto" w:fill="auto"/>
          </w:tcPr>
          <w:p w14:paraId="08188FAB" w14:textId="77777777" w:rsidR="00E16C5B" w:rsidRPr="00AE551C" w:rsidRDefault="00E16C5B" w:rsidP="009E6A8A">
            <w:pPr>
              <w:pStyle w:val="TableBodyText"/>
              <w:spacing w:before="40" w:after="20" w:line="240" w:lineRule="auto"/>
            </w:pPr>
            <w:r w:rsidRPr="00AE551C">
              <w:t xml:space="preserve">APA </w:t>
            </w:r>
          </w:p>
        </w:tc>
        <w:tc>
          <w:tcPr>
            <w:tcW w:w="2768" w:type="dxa"/>
            <w:gridSpan w:val="2"/>
            <w:vMerge w:val="restart"/>
            <w:shd w:val="clear" w:color="auto" w:fill="auto"/>
          </w:tcPr>
          <w:p w14:paraId="314C574F" w14:textId="77777777" w:rsidR="00E16C5B" w:rsidRPr="00AE551C" w:rsidRDefault="00E16C5B" w:rsidP="009E6A8A">
            <w:pPr>
              <w:pStyle w:val="TableBodyText"/>
              <w:spacing w:before="40" w:after="20" w:line="240" w:lineRule="auto"/>
            </w:pPr>
            <w:proofErr w:type="spellStart"/>
            <w:r w:rsidRPr="00AE551C">
              <w:t>Mereenie</w:t>
            </w:r>
            <w:proofErr w:type="spellEnd"/>
            <w:r w:rsidRPr="00AE551C">
              <w:t xml:space="preserve"> and Palm Valley </w:t>
            </w:r>
          </w:p>
        </w:tc>
        <w:tc>
          <w:tcPr>
            <w:tcW w:w="3973" w:type="dxa"/>
            <w:gridSpan w:val="2"/>
            <w:shd w:val="clear" w:color="auto" w:fill="auto"/>
          </w:tcPr>
          <w:p w14:paraId="58BE306A" w14:textId="77777777" w:rsidR="00E16C5B" w:rsidRPr="00AE551C" w:rsidRDefault="00E16C5B" w:rsidP="009E6A8A">
            <w:pPr>
              <w:pStyle w:val="TableBodyText"/>
              <w:spacing w:before="40" w:after="20" w:line="240" w:lineRule="auto"/>
            </w:pPr>
            <w:r w:rsidRPr="00AE551C">
              <w:t>Darwin City Gate</w:t>
            </w:r>
          </w:p>
        </w:tc>
      </w:tr>
      <w:tr w:rsidR="00E16C5B" w:rsidRPr="008B1B73" w14:paraId="1F22D0D0" w14:textId="77777777" w:rsidTr="00E16C5B">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Height w:val="150"/>
        </w:trPr>
        <w:tc>
          <w:tcPr>
            <w:tcW w:w="1106" w:type="dxa"/>
            <w:vMerge/>
            <w:shd w:val="clear" w:color="auto" w:fill="auto"/>
          </w:tcPr>
          <w:p w14:paraId="1F6701CF" w14:textId="77777777" w:rsidR="00E16C5B" w:rsidRPr="00AE551C" w:rsidRDefault="00E16C5B" w:rsidP="009E6A8A">
            <w:pPr>
              <w:pStyle w:val="TableBodyText"/>
              <w:spacing w:before="40" w:after="20" w:line="240" w:lineRule="auto"/>
            </w:pPr>
          </w:p>
        </w:tc>
        <w:tc>
          <w:tcPr>
            <w:tcW w:w="1380" w:type="dxa"/>
            <w:vMerge/>
            <w:shd w:val="clear" w:color="auto" w:fill="auto"/>
          </w:tcPr>
          <w:p w14:paraId="4DBD1BE5" w14:textId="77777777" w:rsidR="00E16C5B" w:rsidRPr="00AE551C" w:rsidRDefault="00E16C5B" w:rsidP="009E6A8A">
            <w:pPr>
              <w:pStyle w:val="TableBodyText"/>
              <w:spacing w:before="40" w:after="20" w:line="240" w:lineRule="auto"/>
            </w:pPr>
          </w:p>
        </w:tc>
        <w:tc>
          <w:tcPr>
            <w:tcW w:w="2768" w:type="dxa"/>
            <w:gridSpan w:val="2"/>
            <w:vMerge/>
            <w:shd w:val="clear" w:color="auto" w:fill="auto"/>
          </w:tcPr>
          <w:p w14:paraId="6AE3F4C8" w14:textId="77777777" w:rsidR="00E16C5B" w:rsidRPr="00AE551C" w:rsidRDefault="00E16C5B" w:rsidP="009E6A8A">
            <w:pPr>
              <w:pStyle w:val="TableBodyText"/>
              <w:spacing w:before="40" w:after="20" w:line="240" w:lineRule="auto"/>
            </w:pPr>
          </w:p>
        </w:tc>
        <w:tc>
          <w:tcPr>
            <w:tcW w:w="3973" w:type="dxa"/>
            <w:gridSpan w:val="2"/>
            <w:shd w:val="clear" w:color="auto" w:fill="auto"/>
          </w:tcPr>
          <w:p w14:paraId="46329FA1" w14:textId="77777777" w:rsidR="00E16C5B" w:rsidRPr="00AE551C" w:rsidRDefault="00E16C5B" w:rsidP="009E6A8A">
            <w:pPr>
              <w:pStyle w:val="TableBodyText"/>
              <w:spacing w:before="40" w:after="20" w:line="240" w:lineRule="auto"/>
            </w:pPr>
            <w:r w:rsidRPr="00AE551C">
              <w:t>Tennant Creek</w:t>
            </w:r>
          </w:p>
        </w:tc>
      </w:tr>
      <w:tr w:rsidR="00E16C5B" w:rsidRPr="008B1B73" w14:paraId="3E82DF85" w14:textId="77777777" w:rsidTr="00E16C5B">
        <w:tblPrEx>
          <w:shd w:val="clear" w:color="auto" w:fill="auto"/>
          <w:tblLook w:val="0420" w:firstRow="1" w:lastRow="0" w:firstColumn="0" w:lastColumn="0" w:noHBand="0" w:noVBand="1"/>
        </w:tblPrEx>
        <w:trPr>
          <w:trHeight w:val="150"/>
        </w:trPr>
        <w:tc>
          <w:tcPr>
            <w:tcW w:w="1106" w:type="dxa"/>
            <w:vMerge/>
            <w:shd w:val="clear" w:color="auto" w:fill="auto"/>
          </w:tcPr>
          <w:p w14:paraId="15B16F91" w14:textId="77777777" w:rsidR="00E16C5B" w:rsidRPr="00AE551C" w:rsidRDefault="00E16C5B" w:rsidP="009E6A8A">
            <w:pPr>
              <w:pStyle w:val="TableBodyText"/>
              <w:spacing w:before="40" w:after="20" w:line="240" w:lineRule="auto"/>
            </w:pPr>
          </w:p>
        </w:tc>
        <w:tc>
          <w:tcPr>
            <w:tcW w:w="1380" w:type="dxa"/>
            <w:vMerge/>
            <w:shd w:val="clear" w:color="auto" w:fill="auto"/>
          </w:tcPr>
          <w:p w14:paraId="5311C366" w14:textId="77777777" w:rsidR="00E16C5B" w:rsidRPr="00AE551C" w:rsidRDefault="00E16C5B" w:rsidP="009E6A8A">
            <w:pPr>
              <w:pStyle w:val="TableBodyText"/>
              <w:spacing w:before="40" w:after="20" w:line="240" w:lineRule="auto"/>
            </w:pPr>
          </w:p>
        </w:tc>
        <w:tc>
          <w:tcPr>
            <w:tcW w:w="2768" w:type="dxa"/>
            <w:gridSpan w:val="2"/>
            <w:vMerge w:val="restart"/>
            <w:shd w:val="clear" w:color="auto" w:fill="auto"/>
          </w:tcPr>
          <w:p w14:paraId="6B8202F5" w14:textId="77777777" w:rsidR="00E16C5B" w:rsidRPr="00AE551C" w:rsidRDefault="00E16C5B" w:rsidP="009E6A8A">
            <w:pPr>
              <w:pStyle w:val="TableBodyText"/>
              <w:spacing w:before="40" w:after="20" w:line="240" w:lineRule="auto"/>
            </w:pPr>
            <w:r w:rsidRPr="00AE551C">
              <w:t>Bonaparte</w:t>
            </w:r>
          </w:p>
        </w:tc>
        <w:tc>
          <w:tcPr>
            <w:tcW w:w="3973" w:type="dxa"/>
            <w:gridSpan w:val="2"/>
            <w:shd w:val="clear" w:color="auto" w:fill="auto"/>
          </w:tcPr>
          <w:p w14:paraId="75B86836" w14:textId="77777777" w:rsidR="00E16C5B" w:rsidRPr="00AE551C" w:rsidRDefault="00E16C5B" w:rsidP="009E6A8A">
            <w:pPr>
              <w:pStyle w:val="TableBodyText"/>
              <w:spacing w:before="40" w:after="20" w:line="240" w:lineRule="auto"/>
            </w:pPr>
            <w:r w:rsidRPr="00AE551C">
              <w:t>Darwin City Gate</w:t>
            </w:r>
          </w:p>
        </w:tc>
      </w:tr>
      <w:tr w:rsidR="00E16C5B" w:rsidRPr="008B1B73" w14:paraId="30A72E2A" w14:textId="77777777" w:rsidTr="00E16C5B">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Height w:val="149"/>
        </w:trPr>
        <w:tc>
          <w:tcPr>
            <w:tcW w:w="1106" w:type="dxa"/>
            <w:vMerge/>
            <w:shd w:val="clear" w:color="auto" w:fill="auto"/>
          </w:tcPr>
          <w:p w14:paraId="3DC5CD8E" w14:textId="77777777" w:rsidR="00E16C5B" w:rsidRPr="00AE551C" w:rsidRDefault="00E16C5B" w:rsidP="009E6A8A">
            <w:pPr>
              <w:pStyle w:val="TableBodyText"/>
              <w:spacing w:before="40" w:after="20" w:line="240" w:lineRule="auto"/>
            </w:pPr>
          </w:p>
        </w:tc>
        <w:tc>
          <w:tcPr>
            <w:tcW w:w="1380" w:type="dxa"/>
            <w:vMerge/>
            <w:shd w:val="clear" w:color="auto" w:fill="auto"/>
          </w:tcPr>
          <w:p w14:paraId="686B8B10" w14:textId="77777777" w:rsidR="00E16C5B" w:rsidRPr="00AE551C" w:rsidRDefault="00E16C5B" w:rsidP="009E6A8A">
            <w:pPr>
              <w:pStyle w:val="TableBodyText"/>
              <w:spacing w:before="40" w:after="20" w:line="240" w:lineRule="auto"/>
            </w:pPr>
          </w:p>
        </w:tc>
        <w:tc>
          <w:tcPr>
            <w:tcW w:w="2768" w:type="dxa"/>
            <w:gridSpan w:val="2"/>
            <w:vMerge/>
            <w:shd w:val="clear" w:color="auto" w:fill="auto"/>
          </w:tcPr>
          <w:p w14:paraId="00C2D3C9" w14:textId="77777777" w:rsidR="00E16C5B" w:rsidRPr="00AE551C" w:rsidRDefault="00E16C5B" w:rsidP="009E6A8A">
            <w:pPr>
              <w:pStyle w:val="TableBodyText"/>
              <w:spacing w:before="40" w:after="20" w:line="240" w:lineRule="auto"/>
            </w:pPr>
          </w:p>
        </w:tc>
        <w:tc>
          <w:tcPr>
            <w:tcW w:w="3973" w:type="dxa"/>
            <w:gridSpan w:val="2"/>
            <w:shd w:val="clear" w:color="auto" w:fill="auto"/>
          </w:tcPr>
          <w:p w14:paraId="4D4379DF" w14:textId="77777777" w:rsidR="00E16C5B" w:rsidRPr="00AE551C" w:rsidRDefault="00E16C5B" w:rsidP="009E6A8A">
            <w:pPr>
              <w:pStyle w:val="TableBodyText"/>
              <w:spacing w:before="40" w:after="20" w:line="240" w:lineRule="auto"/>
            </w:pPr>
            <w:r w:rsidRPr="00AE551C">
              <w:t>Tennant Creek</w:t>
            </w:r>
          </w:p>
        </w:tc>
      </w:tr>
    </w:tbl>
    <w:p w14:paraId="3E07233D" w14:textId="1D175032" w:rsidR="00790A24" w:rsidRDefault="00790A24" w:rsidP="00790A24">
      <w:pPr>
        <w:pStyle w:val="Heading3"/>
      </w:pPr>
      <w:bookmarkStart w:id="152" w:name="_Ref491917542"/>
      <w:r>
        <w:t>Standardised compression products</w:t>
      </w:r>
    </w:p>
    <w:p w14:paraId="17C26B5D" w14:textId="04A24EF7" w:rsidR="00774F01" w:rsidRDefault="00151C85" w:rsidP="00774F01">
      <w:pPr>
        <w:pStyle w:val="BodyText"/>
      </w:pPr>
      <w:r>
        <w:fldChar w:fldCharType="begin"/>
      </w:r>
      <w:r>
        <w:instrText xml:space="preserve"> REF _Ref492244531 \h </w:instrText>
      </w:r>
      <w:r>
        <w:fldChar w:fldCharType="separate"/>
      </w:r>
      <w:r w:rsidR="00947034">
        <w:t xml:space="preserve">Table </w:t>
      </w:r>
      <w:r w:rsidR="00947034">
        <w:rPr>
          <w:noProof/>
        </w:rPr>
        <w:t>7</w:t>
      </w:r>
      <w:r w:rsidR="00947034">
        <w:t>.</w:t>
      </w:r>
      <w:r w:rsidR="00947034">
        <w:rPr>
          <w:noProof/>
        </w:rPr>
        <w:t>4</w:t>
      </w:r>
      <w:r>
        <w:fldChar w:fldCharType="end"/>
      </w:r>
      <w:r>
        <w:t xml:space="preserve"> sets out the GMRG’s preliminary view on the standardised firm compression products that should be available for screen trading through the exchange at market start. </w:t>
      </w:r>
      <w:r w:rsidR="00774F01">
        <w:t xml:space="preserve">It is worth noting in this context that the </w:t>
      </w:r>
      <w:r w:rsidR="00774F01" w:rsidRPr="008B1B73">
        <w:t xml:space="preserve">current Wallumbilla compression product listed on </w:t>
      </w:r>
      <w:r w:rsidR="00774F01" w:rsidRPr="008B1B73">
        <w:lastRenderedPageBreak/>
        <w:t xml:space="preserve">the GSH is delivered through a swap instead of an operational transfer. A required outcome from the AEMC’s </w:t>
      </w:r>
      <w:r w:rsidR="00774F01" w:rsidRPr="00CD3486">
        <w:rPr>
          <w:i/>
        </w:rPr>
        <w:t>East Coast Review</w:t>
      </w:r>
      <w:r w:rsidR="00774F01" w:rsidRPr="008B1B73">
        <w:t xml:space="preserve"> is that trades carried out on the capacity trading platform be given effect through an operational transfer. A new Wallumbilla compression product will</w:t>
      </w:r>
      <w:r w:rsidR="00774F01">
        <w:t xml:space="preserve"> therefore need to be developed </w:t>
      </w:r>
      <w:r w:rsidR="00774F01" w:rsidRPr="008B1B73">
        <w:t>to meet this</w:t>
      </w:r>
      <w:r w:rsidR="00774F01">
        <w:t xml:space="preserve"> requirement.</w:t>
      </w:r>
    </w:p>
    <w:tbl>
      <w:tblPr>
        <w:tblStyle w:val="TableGrid"/>
        <w:tblW w:w="5000" w:type="pct"/>
        <w:shd w:val="clear" w:color="000000" w:fill="000000"/>
        <w:tblLook w:val="04A0" w:firstRow="1" w:lastRow="0" w:firstColumn="1" w:lastColumn="0" w:noHBand="0" w:noVBand="1"/>
        <w:tblCaption w:val="Table 7.4: Standardised firm compression products – screen-traded products "/>
        <w:tblDescription w:val="Standardised firm compression products – screen-traded products "/>
      </w:tblPr>
      <w:tblGrid>
        <w:gridCol w:w="2197"/>
        <w:gridCol w:w="2198"/>
        <w:gridCol w:w="4393"/>
      </w:tblGrid>
      <w:tr w:rsidR="00E16C5B" w:rsidRPr="00F365CD" w14:paraId="38289CC1" w14:textId="77777777" w:rsidTr="00E16C5B">
        <w:trPr>
          <w:cnfStyle w:val="100000000000" w:firstRow="1" w:lastRow="0" w:firstColumn="0" w:lastColumn="0" w:oddVBand="0" w:evenVBand="0" w:oddHBand="0" w:evenHBand="0" w:firstRowFirstColumn="0" w:firstRowLastColumn="0" w:lastRowFirstColumn="0" w:lastRowLastColumn="0"/>
          <w:tblHeader/>
        </w:trPr>
        <w:tc>
          <w:tcPr>
            <w:tcW w:w="8788" w:type="dxa"/>
            <w:gridSpan w:val="3"/>
            <w:tcBorders>
              <w:top w:val="nil"/>
              <w:bottom w:val="single" w:sz="4" w:space="0" w:color="auto"/>
            </w:tcBorders>
            <w:shd w:val="clear" w:color="auto" w:fill="auto"/>
          </w:tcPr>
          <w:p w14:paraId="334D50FC" w14:textId="5DF0E29B" w:rsidR="00E16C5B" w:rsidRPr="00E16C5B" w:rsidRDefault="00E16C5B" w:rsidP="00E16C5B">
            <w:pPr>
              <w:keepNext/>
              <w:spacing w:after="20"/>
              <w:rPr>
                <w:rFonts w:asciiTheme="majorHAnsi" w:hAnsiTheme="majorHAnsi" w:cstheme="majorHAnsi"/>
                <w:sz w:val="17"/>
                <w:szCs w:val="17"/>
              </w:rPr>
            </w:pPr>
            <w:bookmarkStart w:id="153" w:name="_Ref492244531"/>
            <w:bookmarkEnd w:id="152"/>
            <w:r w:rsidRPr="00E16C5B">
              <w:rPr>
                <w:color w:val="auto"/>
                <w:sz w:val="20"/>
              </w:rPr>
              <w:t xml:space="preserve">Table </w:t>
            </w:r>
            <w:r w:rsidRPr="00E16C5B">
              <w:rPr>
                <w:sz w:val="20"/>
              </w:rPr>
              <w:fldChar w:fldCharType="begin"/>
            </w:r>
            <w:r w:rsidRPr="00E16C5B">
              <w:rPr>
                <w:color w:val="auto"/>
                <w:sz w:val="20"/>
              </w:rPr>
              <w:instrText xml:space="preserve"> STYLEREF 1 \s </w:instrText>
            </w:r>
            <w:r w:rsidRPr="00E16C5B">
              <w:rPr>
                <w:sz w:val="20"/>
              </w:rPr>
              <w:fldChar w:fldCharType="separate"/>
            </w:r>
            <w:r w:rsidRPr="00E16C5B">
              <w:rPr>
                <w:noProof/>
                <w:color w:val="auto"/>
                <w:sz w:val="20"/>
              </w:rPr>
              <w:t>7</w:t>
            </w:r>
            <w:r w:rsidRPr="00E16C5B">
              <w:rPr>
                <w:noProof/>
                <w:sz w:val="20"/>
              </w:rPr>
              <w:fldChar w:fldCharType="end"/>
            </w:r>
            <w:r w:rsidRPr="00E16C5B">
              <w:rPr>
                <w:color w:val="auto"/>
                <w:sz w:val="20"/>
              </w:rPr>
              <w:t>.</w:t>
            </w:r>
            <w:r w:rsidRPr="00E16C5B">
              <w:rPr>
                <w:sz w:val="20"/>
              </w:rPr>
              <w:fldChar w:fldCharType="begin"/>
            </w:r>
            <w:r w:rsidRPr="00E16C5B">
              <w:rPr>
                <w:color w:val="auto"/>
                <w:sz w:val="20"/>
              </w:rPr>
              <w:instrText xml:space="preserve"> SEQ Table \* ARABIC \s 1 </w:instrText>
            </w:r>
            <w:r w:rsidRPr="00E16C5B">
              <w:rPr>
                <w:sz w:val="20"/>
              </w:rPr>
              <w:fldChar w:fldCharType="separate"/>
            </w:r>
            <w:r w:rsidRPr="00E16C5B">
              <w:rPr>
                <w:noProof/>
                <w:color w:val="auto"/>
                <w:sz w:val="20"/>
              </w:rPr>
              <w:t>4</w:t>
            </w:r>
            <w:r w:rsidRPr="00E16C5B">
              <w:rPr>
                <w:noProof/>
                <w:sz w:val="20"/>
              </w:rPr>
              <w:fldChar w:fldCharType="end"/>
            </w:r>
            <w:bookmarkEnd w:id="153"/>
            <w:r w:rsidRPr="00E16C5B">
              <w:rPr>
                <w:b w:val="0"/>
                <w:color w:val="auto"/>
                <w:sz w:val="20"/>
              </w:rPr>
              <w:t xml:space="preserve">: </w:t>
            </w:r>
            <w:r w:rsidRPr="00E16C5B">
              <w:rPr>
                <w:rStyle w:val="Bold"/>
                <w:b/>
                <w:color w:val="auto"/>
                <w:sz w:val="20"/>
              </w:rPr>
              <w:t>Standardised firm compression products – screen-traded products</w:t>
            </w:r>
          </w:p>
        </w:tc>
      </w:tr>
      <w:tr w:rsidR="00E16C5B" w:rsidRPr="00F365CD" w14:paraId="2ACC580F" w14:textId="77777777" w:rsidTr="009E6A8A">
        <w:tc>
          <w:tcPr>
            <w:tcW w:w="8788" w:type="dxa"/>
            <w:gridSpan w:val="3"/>
            <w:tcBorders>
              <w:top w:val="single" w:sz="4" w:space="0" w:color="auto"/>
              <w:bottom w:val="single" w:sz="4" w:space="0" w:color="auto"/>
            </w:tcBorders>
            <w:shd w:val="clear" w:color="auto" w:fill="0099CC"/>
          </w:tcPr>
          <w:p w14:paraId="0D55ACA1" w14:textId="77777777" w:rsidR="00E16C5B" w:rsidRPr="00E16C5B" w:rsidRDefault="00E16C5B" w:rsidP="009E6A8A">
            <w:pPr>
              <w:keepNext/>
              <w:spacing w:after="20"/>
              <w:jc w:val="center"/>
              <w:rPr>
                <w:rFonts w:asciiTheme="majorHAnsi" w:hAnsiTheme="majorHAnsi" w:cstheme="majorHAnsi"/>
                <w:b/>
                <w:sz w:val="17"/>
                <w:szCs w:val="17"/>
              </w:rPr>
            </w:pPr>
            <w:r w:rsidRPr="00E16C5B">
              <w:rPr>
                <w:rFonts w:asciiTheme="majorHAnsi" w:hAnsiTheme="majorHAnsi" w:cstheme="majorHAnsi"/>
                <w:b/>
                <w:color w:val="FFFFFF" w:themeColor="background1"/>
                <w:sz w:val="17"/>
                <w:szCs w:val="17"/>
              </w:rPr>
              <w:t>Standardised Product</w:t>
            </w:r>
          </w:p>
        </w:tc>
      </w:tr>
      <w:tr w:rsidR="00E16C5B" w:rsidRPr="007339D7" w14:paraId="2B6A9966" w14:textId="77777777" w:rsidTr="009E6A8A">
        <w:trPr>
          <w:cnfStyle w:val="000000010000" w:firstRow="0" w:lastRow="0" w:firstColumn="0" w:lastColumn="0" w:oddVBand="0" w:evenVBand="0" w:oddHBand="0" w:evenHBand="1" w:firstRowFirstColumn="0" w:firstRowLastColumn="0" w:lastRowFirstColumn="0" w:lastRowLastColumn="0"/>
        </w:trPr>
        <w:tc>
          <w:tcPr>
            <w:tcW w:w="4395" w:type="dxa"/>
            <w:gridSpan w:val="2"/>
            <w:shd w:val="clear" w:color="auto" w:fill="65697F" w:themeFill="background2" w:themeFillShade="80"/>
          </w:tcPr>
          <w:p w14:paraId="7C5AFA6F" w14:textId="77777777" w:rsidR="00E16C5B" w:rsidRPr="007339D7" w:rsidRDefault="00E16C5B" w:rsidP="009E6A8A">
            <w:pPr>
              <w:keepNext/>
              <w:spacing w:after="20"/>
              <w:jc w:val="center"/>
              <w:rPr>
                <w:rFonts w:asciiTheme="majorHAnsi" w:hAnsiTheme="majorHAnsi" w:cstheme="majorHAnsi"/>
                <w:b/>
                <w:color w:val="FFFFFF" w:themeColor="background1"/>
                <w:sz w:val="17"/>
                <w:szCs w:val="17"/>
              </w:rPr>
            </w:pPr>
            <w:r w:rsidRPr="007339D7">
              <w:rPr>
                <w:rFonts w:asciiTheme="majorHAnsi" w:hAnsiTheme="majorHAnsi" w:cstheme="majorHAnsi"/>
                <w:b/>
                <w:color w:val="FFFFFF" w:themeColor="background1"/>
                <w:sz w:val="17"/>
                <w:szCs w:val="17"/>
              </w:rPr>
              <w:t>Contract Size</w:t>
            </w:r>
          </w:p>
        </w:tc>
        <w:tc>
          <w:tcPr>
            <w:tcW w:w="4393" w:type="dxa"/>
            <w:shd w:val="clear" w:color="auto" w:fill="65697F" w:themeFill="background2" w:themeFillShade="80"/>
          </w:tcPr>
          <w:p w14:paraId="49465D00" w14:textId="77777777" w:rsidR="00E16C5B" w:rsidRPr="007339D7" w:rsidRDefault="00E16C5B" w:rsidP="009E6A8A">
            <w:pPr>
              <w:keepNext/>
              <w:spacing w:after="20"/>
              <w:jc w:val="center"/>
              <w:rPr>
                <w:rFonts w:asciiTheme="majorHAnsi" w:hAnsiTheme="majorHAnsi" w:cstheme="majorHAnsi"/>
                <w:b/>
                <w:color w:val="FFFFFF" w:themeColor="background1"/>
                <w:sz w:val="17"/>
                <w:szCs w:val="17"/>
              </w:rPr>
            </w:pPr>
            <w:r>
              <w:rPr>
                <w:rFonts w:asciiTheme="majorHAnsi" w:hAnsiTheme="majorHAnsi" w:cstheme="majorHAnsi"/>
                <w:b/>
                <w:color w:val="FFFFFF" w:themeColor="background1"/>
                <w:sz w:val="17"/>
                <w:szCs w:val="17"/>
              </w:rPr>
              <w:t xml:space="preserve">Minimum </w:t>
            </w:r>
            <w:r w:rsidRPr="007339D7">
              <w:rPr>
                <w:rFonts w:asciiTheme="majorHAnsi" w:hAnsiTheme="majorHAnsi" w:cstheme="majorHAnsi"/>
                <w:b/>
                <w:color w:val="FFFFFF" w:themeColor="background1"/>
                <w:sz w:val="17"/>
                <w:szCs w:val="17"/>
              </w:rPr>
              <w:t>Contract Size</w:t>
            </w:r>
          </w:p>
        </w:tc>
      </w:tr>
      <w:tr w:rsidR="00E16C5B" w:rsidRPr="00F365CD" w14:paraId="2A1FE841" w14:textId="77777777" w:rsidTr="009E6A8A">
        <w:tc>
          <w:tcPr>
            <w:tcW w:w="4395" w:type="dxa"/>
            <w:gridSpan w:val="2"/>
            <w:shd w:val="clear" w:color="000000" w:fill="auto"/>
          </w:tcPr>
          <w:p w14:paraId="338BB413" w14:textId="77777777" w:rsidR="00E16C5B" w:rsidRPr="00F365CD" w:rsidRDefault="00E16C5B" w:rsidP="009E6A8A">
            <w:pPr>
              <w:keepNext/>
              <w:spacing w:after="20"/>
              <w:rPr>
                <w:rFonts w:asciiTheme="majorHAnsi" w:hAnsiTheme="majorHAnsi" w:cstheme="majorHAnsi"/>
                <w:sz w:val="17"/>
                <w:szCs w:val="17"/>
              </w:rPr>
            </w:pPr>
            <w:r w:rsidRPr="00F365CD">
              <w:rPr>
                <w:rFonts w:asciiTheme="majorHAnsi" w:hAnsiTheme="majorHAnsi" w:cstheme="majorHAnsi"/>
                <w:sz w:val="17"/>
                <w:szCs w:val="17"/>
              </w:rPr>
              <w:t xml:space="preserve">Day-ahead </w:t>
            </w:r>
            <w:r>
              <w:rPr>
                <w:rFonts w:asciiTheme="majorHAnsi" w:hAnsiTheme="majorHAnsi" w:cstheme="majorHAnsi"/>
                <w:sz w:val="17"/>
                <w:szCs w:val="17"/>
              </w:rPr>
              <w:t>product</w:t>
            </w:r>
          </w:p>
        </w:tc>
        <w:tc>
          <w:tcPr>
            <w:tcW w:w="4393" w:type="dxa"/>
            <w:vMerge w:val="restart"/>
            <w:shd w:val="clear" w:color="000000" w:fill="auto"/>
          </w:tcPr>
          <w:p w14:paraId="11880476" w14:textId="77777777" w:rsidR="00E16C5B" w:rsidRPr="00F365CD" w:rsidRDefault="00E16C5B" w:rsidP="009E6A8A">
            <w:pPr>
              <w:keepNext/>
              <w:spacing w:after="20"/>
              <w:rPr>
                <w:rFonts w:asciiTheme="majorHAnsi" w:hAnsiTheme="majorHAnsi" w:cstheme="majorHAnsi"/>
                <w:sz w:val="17"/>
                <w:szCs w:val="17"/>
              </w:rPr>
            </w:pPr>
            <w:r>
              <w:rPr>
                <w:rFonts w:asciiTheme="majorHAnsi" w:hAnsiTheme="majorHAnsi" w:cstheme="majorHAnsi"/>
                <w:sz w:val="17"/>
                <w:szCs w:val="17"/>
              </w:rPr>
              <w:t>MDQ: 500 GJ</w:t>
            </w:r>
            <w:r>
              <w:rPr>
                <w:rFonts w:asciiTheme="majorHAnsi" w:hAnsiTheme="majorHAnsi" w:cstheme="majorHAnsi"/>
                <w:sz w:val="17"/>
                <w:szCs w:val="17"/>
              </w:rPr>
              <w:br/>
              <w:t xml:space="preserve">MHQ factor: 1 (i.e. MDQ/24) </w:t>
            </w:r>
            <w:r>
              <w:rPr>
                <w:rFonts w:asciiTheme="majorHAnsi" w:hAnsiTheme="majorHAnsi" w:cstheme="majorHAnsi"/>
                <w:sz w:val="17"/>
                <w:szCs w:val="17"/>
              </w:rPr>
              <w:br/>
              <w:t>Reasonable endeavours renomination rights</w:t>
            </w:r>
          </w:p>
        </w:tc>
      </w:tr>
      <w:tr w:rsidR="00E16C5B" w:rsidRPr="00F365CD" w14:paraId="67080BC7" w14:textId="77777777" w:rsidTr="009E6A8A">
        <w:trPr>
          <w:cnfStyle w:val="000000010000" w:firstRow="0" w:lastRow="0" w:firstColumn="0" w:lastColumn="0" w:oddVBand="0" w:evenVBand="0" w:oddHBand="0" w:evenHBand="1" w:firstRowFirstColumn="0" w:firstRowLastColumn="0" w:lastRowFirstColumn="0" w:lastRowLastColumn="0"/>
        </w:trPr>
        <w:tc>
          <w:tcPr>
            <w:tcW w:w="4395" w:type="dxa"/>
            <w:gridSpan w:val="2"/>
            <w:shd w:val="clear" w:color="000000" w:fill="auto"/>
          </w:tcPr>
          <w:p w14:paraId="251DC0BC" w14:textId="77777777" w:rsidR="00E16C5B" w:rsidRPr="00F365CD" w:rsidRDefault="00E16C5B" w:rsidP="009E6A8A">
            <w:pPr>
              <w:keepNext/>
              <w:spacing w:after="20"/>
              <w:rPr>
                <w:rFonts w:asciiTheme="majorHAnsi" w:hAnsiTheme="majorHAnsi" w:cstheme="majorHAnsi"/>
                <w:sz w:val="17"/>
                <w:szCs w:val="17"/>
              </w:rPr>
            </w:pPr>
            <w:r w:rsidRPr="00F365CD">
              <w:rPr>
                <w:rFonts w:asciiTheme="majorHAnsi" w:hAnsiTheme="majorHAnsi" w:cstheme="majorHAnsi"/>
                <w:sz w:val="17"/>
                <w:szCs w:val="17"/>
              </w:rPr>
              <w:t xml:space="preserve">Daily </w:t>
            </w:r>
            <w:r>
              <w:rPr>
                <w:rFonts w:asciiTheme="majorHAnsi" w:hAnsiTheme="majorHAnsi" w:cstheme="majorHAnsi"/>
                <w:sz w:val="17"/>
                <w:szCs w:val="17"/>
              </w:rPr>
              <w:t>product (available on a 6 day rolling basis)</w:t>
            </w:r>
            <w:r w:rsidRPr="00F365CD">
              <w:rPr>
                <w:rFonts w:asciiTheme="majorHAnsi" w:hAnsiTheme="majorHAnsi" w:cstheme="majorHAnsi"/>
                <w:sz w:val="17"/>
                <w:szCs w:val="17"/>
              </w:rPr>
              <w:t xml:space="preserve"> </w:t>
            </w:r>
          </w:p>
        </w:tc>
        <w:tc>
          <w:tcPr>
            <w:tcW w:w="4393" w:type="dxa"/>
            <w:vMerge/>
            <w:shd w:val="clear" w:color="000000" w:fill="auto"/>
          </w:tcPr>
          <w:p w14:paraId="0177ABD7" w14:textId="77777777" w:rsidR="00E16C5B" w:rsidRPr="00F365CD" w:rsidRDefault="00E16C5B" w:rsidP="009E6A8A">
            <w:pPr>
              <w:keepNext/>
              <w:spacing w:after="20"/>
              <w:rPr>
                <w:rFonts w:asciiTheme="majorHAnsi" w:hAnsiTheme="majorHAnsi" w:cstheme="majorHAnsi"/>
                <w:sz w:val="17"/>
                <w:szCs w:val="17"/>
              </w:rPr>
            </w:pPr>
          </w:p>
        </w:tc>
      </w:tr>
      <w:tr w:rsidR="00E16C5B" w:rsidRPr="00F365CD" w14:paraId="0CE5A7F9" w14:textId="77777777" w:rsidTr="009E6A8A">
        <w:tc>
          <w:tcPr>
            <w:tcW w:w="4395" w:type="dxa"/>
            <w:gridSpan w:val="2"/>
            <w:shd w:val="clear" w:color="000000" w:fill="auto"/>
          </w:tcPr>
          <w:p w14:paraId="3AB8C5BC" w14:textId="77777777" w:rsidR="00E16C5B" w:rsidRPr="00F365CD" w:rsidRDefault="00E16C5B" w:rsidP="009E6A8A">
            <w:pPr>
              <w:keepNext/>
              <w:spacing w:after="20"/>
              <w:rPr>
                <w:rFonts w:asciiTheme="majorHAnsi" w:hAnsiTheme="majorHAnsi" w:cstheme="majorHAnsi"/>
                <w:sz w:val="17"/>
                <w:szCs w:val="17"/>
              </w:rPr>
            </w:pPr>
            <w:r w:rsidRPr="00F365CD">
              <w:rPr>
                <w:rFonts w:asciiTheme="majorHAnsi" w:hAnsiTheme="majorHAnsi" w:cstheme="majorHAnsi"/>
                <w:sz w:val="17"/>
                <w:szCs w:val="17"/>
              </w:rPr>
              <w:t xml:space="preserve">Weekly </w:t>
            </w:r>
            <w:r>
              <w:rPr>
                <w:rFonts w:asciiTheme="majorHAnsi" w:hAnsiTheme="majorHAnsi" w:cstheme="majorHAnsi"/>
                <w:sz w:val="17"/>
                <w:szCs w:val="17"/>
              </w:rPr>
              <w:t>(available on a 4 week rolling basis)</w:t>
            </w:r>
          </w:p>
        </w:tc>
        <w:tc>
          <w:tcPr>
            <w:tcW w:w="4393" w:type="dxa"/>
            <w:vMerge/>
            <w:shd w:val="clear" w:color="000000" w:fill="auto"/>
          </w:tcPr>
          <w:p w14:paraId="5D868693" w14:textId="77777777" w:rsidR="00E16C5B" w:rsidRPr="00F365CD" w:rsidRDefault="00E16C5B" w:rsidP="009E6A8A">
            <w:pPr>
              <w:keepNext/>
              <w:spacing w:after="20"/>
              <w:rPr>
                <w:rFonts w:asciiTheme="majorHAnsi" w:hAnsiTheme="majorHAnsi" w:cstheme="majorHAnsi"/>
                <w:sz w:val="17"/>
                <w:szCs w:val="17"/>
              </w:rPr>
            </w:pPr>
          </w:p>
        </w:tc>
      </w:tr>
      <w:tr w:rsidR="00E16C5B" w:rsidRPr="00F365CD" w14:paraId="270ADABA" w14:textId="77777777" w:rsidTr="009E6A8A">
        <w:trPr>
          <w:cnfStyle w:val="000000010000" w:firstRow="0" w:lastRow="0" w:firstColumn="0" w:lastColumn="0" w:oddVBand="0" w:evenVBand="0" w:oddHBand="0" w:evenHBand="1" w:firstRowFirstColumn="0" w:firstRowLastColumn="0" w:lastRowFirstColumn="0" w:lastRowLastColumn="0"/>
        </w:trPr>
        <w:tc>
          <w:tcPr>
            <w:tcW w:w="4395" w:type="dxa"/>
            <w:gridSpan w:val="2"/>
            <w:shd w:val="clear" w:color="000000" w:fill="auto"/>
          </w:tcPr>
          <w:p w14:paraId="6169A484" w14:textId="77777777" w:rsidR="00E16C5B" w:rsidRPr="00F365CD" w:rsidRDefault="00E16C5B" w:rsidP="009E6A8A">
            <w:pPr>
              <w:keepNext/>
              <w:spacing w:after="20"/>
              <w:rPr>
                <w:rFonts w:asciiTheme="majorHAnsi" w:hAnsiTheme="majorHAnsi" w:cstheme="majorHAnsi"/>
                <w:sz w:val="17"/>
                <w:szCs w:val="17"/>
              </w:rPr>
            </w:pPr>
            <w:r w:rsidRPr="00F365CD">
              <w:rPr>
                <w:rFonts w:asciiTheme="majorHAnsi" w:hAnsiTheme="majorHAnsi" w:cstheme="majorHAnsi"/>
                <w:sz w:val="17"/>
                <w:szCs w:val="17"/>
              </w:rPr>
              <w:t xml:space="preserve">Monthly </w:t>
            </w:r>
            <w:r>
              <w:rPr>
                <w:rFonts w:asciiTheme="majorHAnsi" w:hAnsiTheme="majorHAnsi" w:cstheme="majorHAnsi"/>
                <w:sz w:val="17"/>
                <w:szCs w:val="17"/>
              </w:rPr>
              <w:t>(available on a 3 month rolling basis)</w:t>
            </w:r>
          </w:p>
        </w:tc>
        <w:tc>
          <w:tcPr>
            <w:tcW w:w="4393" w:type="dxa"/>
            <w:vMerge/>
            <w:shd w:val="clear" w:color="000000" w:fill="auto"/>
          </w:tcPr>
          <w:p w14:paraId="2CD94A79" w14:textId="77777777" w:rsidR="00E16C5B" w:rsidRPr="00F365CD" w:rsidRDefault="00E16C5B" w:rsidP="009E6A8A">
            <w:pPr>
              <w:keepNext/>
              <w:spacing w:after="20"/>
              <w:rPr>
                <w:rFonts w:asciiTheme="majorHAnsi" w:hAnsiTheme="majorHAnsi" w:cstheme="majorHAnsi"/>
                <w:sz w:val="17"/>
                <w:szCs w:val="17"/>
              </w:rPr>
            </w:pPr>
          </w:p>
        </w:tc>
      </w:tr>
      <w:tr w:rsidR="00E16C5B" w:rsidRPr="007339D7" w14:paraId="51095887" w14:textId="77777777" w:rsidTr="009E6A8A">
        <w:tc>
          <w:tcPr>
            <w:tcW w:w="8788" w:type="dxa"/>
            <w:gridSpan w:val="3"/>
            <w:shd w:val="clear" w:color="auto" w:fill="65697F" w:themeFill="background2" w:themeFillShade="80"/>
          </w:tcPr>
          <w:p w14:paraId="6675D215" w14:textId="77777777" w:rsidR="00E16C5B" w:rsidRPr="007339D7" w:rsidRDefault="00E16C5B" w:rsidP="009E6A8A">
            <w:pPr>
              <w:keepNext/>
              <w:spacing w:after="20"/>
              <w:jc w:val="center"/>
              <w:rPr>
                <w:rFonts w:asciiTheme="majorHAnsi" w:hAnsiTheme="majorHAnsi" w:cstheme="majorHAnsi"/>
                <w:b/>
                <w:color w:val="FFFFFF" w:themeColor="background1"/>
                <w:sz w:val="17"/>
                <w:szCs w:val="17"/>
              </w:rPr>
            </w:pPr>
            <w:r>
              <w:rPr>
                <w:rFonts w:asciiTheme="majorHAnsi" w:hAnsiTheme="majorHAnsi" w:cstheme="majorHAnsi"/>
                <w:b/>
                <w:color w:val="FFFFFF" w:themeColor="background1"/>
                <w:sz w:val="17"/>
                <w:szCs w:val="17"/>
              </w:rPr>
              <w:t>Contract paths</w:t>
            </w:r>
          </w:p>
        </w:tc>
      </w:tr>
      <w:tr w:rsidR="00E16C5B" w:rsidRPr="00151C85" w14:paraId="64C76A93" w14:textId="77777777" w:rsidTr="009E6A8A">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blHeader/>
        </w:trPr>
        <w:tc>
          <w:tcPr>
            <w:tcW w:w="2197" w:type="dxa"/>
            <w:tcBorders>
              <w:bottom w:val="single" w:sz="4" w:space="0" w:color="auto"/>
            </w:tcBorders>
            <w:shd w:val="clear" w:color="auto" w:fill="0099CC"/>
          </w:tcPr>
          <w:p w14:paraId="6E961845" w14:textId="77777777" w:rsidR="00E16C5B" w:rsidRPr="00151C85" w:rsidRDefault="00E16C5B" w:rsidP="009E6A8A">
            <w:pPr>
              <w:pStyle w:val="TableHeading"/>
              <w:rPr>
                <w:b/>
              </w:rPr>
            </w:pPr>
            <w:r w:rsidRPr="00151C85">
              <w:rPr>
                <w:b/>
              </w:rPr>
              <w:t>Compressor location</w:t>
            </w:r>
          </w:p>
        </w:tc>
        <w:tc>
          <w:tcPr>
            <w:tcW w:w="2198" w:type="dxa"/>
            <w:tcBorders>
              <w:bottom w:val="single" w:sz="4" w:space="0" w:color="auto"/>
            </w:tcBorders>
            <w:shd w:val="clear" w:color="auto" w:fill="0099CC"/>
          </w:tcPr>
          <w:p w14:paraId="0F2DF81F" w14:textId="77777777" w:rsidR="00E16C5B" w:rsidRPr="00151C85" w:rsidRDefault="00E16C5B" w:rsidP="009E6A8A">
            <w:pPr>
              <w:pStyle w:val="TableHeading"/>
              <w:rPr>
                <w:b/>
              </w:rPr>
            </w:pPr>
            <w:r>
              <w:rPr>
                <w:b/>
              </w:rPr>
              <w:t>Service provider</w:t>
            </w:r>
          </w:p>
        </w:tc>
        <w:tc>
          <w:tcPr>
            <w:tcW w:w="4393" w:type="dxa"/>
            <w:tcBorders>
              <w:bottom w:val="single" w:sz="4" w:space="0" w:color="auto"/>
            </w:tcBorders>
            <w:shd w:val="clear" w:color="auto" w:fill="0099CC"/>
          </w:tcPr>
          <w:p w14:paraId="719463D9" w14:textId="77777777" w:rsidR="00E16C5B" w:rsidRPr="00151C85" w:rsidRDefault="00E16C5B" w:rsidP="009E6A8A">
            <w:pPr>
              <w:pStyle w:val="TableHeading"/>
              <w:rPr>
                <w:b/>
              </w:rPr>
            </w:pPr>
            <w:r w:rsidRPr="00151C85">
              <w:rPr>
                <w:b/>
              </w:rPr>
              <w:t>Compression product</w:t>
            </w:r>
          </w:p>
        </w:tc>
      </w:tr>
      <w:tr w:rsidR="00E16C5B" w:rsidRPr="008B1B73" w14:paraId="05ECCC7B" w14:textId="77777777" w:rsidTr="009E6A8A">
        <w:tblPrEx>
          <w:shd w:val="clear" w:color="auto" w:fill="auto"/>
          <w:tblLook w:val="0420" w:firstRow="1" w:lastRow="0" w:firstColumn="0" w:lastColumn="0" w:noHBand="0" w:noVBand="1"/>
        </w:tblPrEx>
        <w:tc>
          <w:tcPr>
            <w:tcW w:w="2197" w:type="dxa"/>
            <w:shd w:val="clear" w:color="auto" w:fill="auto"/>
          </w:tcPr>
          <w:p w14:paraId="51507539" w14:textId="77777777" w:rsidR="00E16C5B" w:rsidRPr="008B1B73" w:rsidRDefault="00E16C5B" w:rsidP="009E6A8A">
            <w:pPr>
              <w:pStyle w:val="TableBodyText"/>
            </w:pPr>
            <w:r w:rsidRPr="008B1B73">
              <w:t>Wallumbilla</w:t>
            </w:r>
            <w:r>
              <w:rPr>
                <w:rStyle w:val="FootnoteReference"/>
              </w:rPr>
              <w:footnoteReference w:id="91"/>
            </w:r>
          </w:p>
        </w:tc>
        <w:tc>
          <w:tcPr>
            <w:tcW w:w="2198" w:type="dxa"/>
            <w:shd w:val="clear" w:color="auto" w:fill="auto"/>
          </w:tcPr>
          <w:p w14:paraId="16ADF429" w14:textId="77777777" w:rsidR="00E16C5B" w:rsidRPr="008B1B73" w:rsidRDefault="00E16C5B" w:rsidP="009E6A8A">
            <w:pPr>
              <w:pStyle w:val="TableBodyText"/>
            </w:pPr>
            <w:r w:rsidRPr="008B1B73">
              <w:t xml:space="preserve">APA </w:t>
            </w:r>
          </w:p>
        </w:tc>
        <w:tc>
          <w:tcPr>
            <w:tcW w:w="4393" w:type="dxa"/>
            <w:shd w:val="clear" w:color="auto" w:fill="auto"/>
          </w:tcPr>
          <w:p w14:paraId="2A7C8450" w14:textId="77777777" w:rsidR="00E16C5B" w:rsidRPr="008B1B73" w:rsidRDefault="00E16C5B" w:rsidP="009E6A8A">
            <w:pPr>
              <w:pStyle w:val="TableBodyText"/>
            </w:pPr>
            <w:r w:rsidRPr="008B1B73">
              <w:t xml:space="preserve">Wallumbilla </w:t>
            </w:r>
            <w:r>
              <w:t xml:space="preserve">LPTP </w:t>
            </w:r>
            <w:r w:rsidRPr="008B1B73">
              <w:t xml:space="preserve">to Wallumbilla </w:t>
            </w:r>
            <w:r>
              <w:t>HPTP</w:t>
            </w:r>
          </w:p>
        </w:tc>
      </w:tr>
      <w:tr w:rsidR="00E16C5B" w:rsidRPr="008B1B73" w14:paraId="3FDA9109" w14:textId="77777777" w:rsidTr="009E6A8A">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197" w:type="dxa"/>
          </w:tcPr>
          <w:p w14:paraId="686D2EDF" w14:textId="77777777" w:rsidR="00E16C5B" w:rsidRPr="008B1B73" w:rsidRDefault="00E16C5B" w:rsidP="009E6A8A">
            <w:pPr>
              <w:pStyle w:val="TableBodyText"/>
            </w:pPr>
            <w:r w:rsidRPr="008B1B73">
              <w:t>Moomba</w:t>
            </w:r>
          </w:p>
        </w:tc>
        <w:tc>
          <w:tcPr>
            <w:tcW w:w="2198" w:type="dxa"/>
          </w:tcPr>
          <w:p w14:paraId="3FAC16F3" w14:textId="77777777" w:rsidR="00E16C5B" w:rsidRPr="008B1B73" w:rsidRDefault="00E16C5B" w:rsidP="009E6A8A">
            <w:pPr>
              <w:pStyle w:val="TableBodyText"/>
            </w:pPr>
            <w:r w:rsidRPr="008B1B73">
              <w:t xml:space="preserve">APA </w:t>
            </w:r>
          </w:p>
        </w:tc>
        <w:tc>
          <w:tcPr>
            <w:tcW w:w="4393" w:type="dxa"/>
          </w:tcPr>
          <w:p w14:paraId="47F93E5F" w14:textId="77777777" w:rsidR="00E16C5B" w:rsidRPr="008B1B73" w:rsidRDefault="00E16C5B" w:rsidP="009E6A8A">
            <w:pPr>
              <w:pStyle w:val="TableBodyText"/>
            </w:pPr>
            <w:r>
              <w:t xml:space="preserve">MCF </w:t>
            </w:r>
            <w:r w:rsidRPr="008B1B73">
              <w:t xml:space="preserve">to SWQP In-pipe Trade Point </w:t>
            </w:r>
          </w:p>
        </w:tc>
      </w:tr>
    </w:tbl>
    <w:p w14:paraId="01C8E988" w14:textId="4548B07B" w:rsidR="00790A24" w:rsidRDefault="00790A24" w:rsidP="00790A24">
      <w:pPr>
        <w:pStyle w:val="Heading3"/>
      </w:pPr>
      <w:r>
        <w:t>Standardised park products</w:t>
      </w:r>
    </w:p>
    <w:p w14:paraId="756365F6" w14:textId="2EC79629" w:rsidR="00A04F4A" w:rsidRDefault="00A04F4A" w:rsidP="00A04F4A">
      <w:pPr>
        <w:pStyle w:val="BodyText"/>
      </w:pPr>
      <w:r w:rsidRPr="00A04F4A">
        <w:fldChar w:fldCharType="begin"/>
      </w:r>
      <w:r w:rsidRPr="00A04F4A">
        <w:instrText xml:space="preserve"> REF _Ref491917543 \h  \* MERGEFORMAT </w:instrText>
      </w:r>
      <w:r w:rsidRPr="00A04F4A">
        <w:fldChar w:fldCharType="separate"/>
      </w:r>
      <w:r w:rsidR="00947034" w:rsidRPr="00947034">
        <w:t xml:space="preserve">Table </w:t>
      </w:r>
      <w:r w:rsidR="00947034" w:rsidRPr="00947034">
        <w:rPr>
          <w:noProof/>
        </w:rPr>
        <w:t>7.5</w:t>
      </w:r>
      <w:r w:rsidRPr="00A04F4A">
        <w:fldChar w:fldCharType="end"/>
      </w:r>
      <w:r w:rsidRPr="00A04F4A">
        <w:t xml:space="preserve"> </w:t>
      </w:r>
      <w:r>
        <w:t xml:space="preserve">sets out the GMRG’s preliminary view on the standardised firm park products that should be available for screen trading through the exchange at market start. It is worth noting in this context that park services are not offered on all pipelines, so the list of pipelines on which this service would be available is somewhat limited. </w:t>
      </w:r>
    </w:p>
    <w:tbl>
      <w:tblPr>
        <w:tblStyle w:val="TableGrid"/>
        <w:tblW w:w="5000" w:type="pct"/>
        <w:shd w:val="clear" w:color="000000" w:fill="000000"/>
        <w:tblLook w:val="04A0" w:firstRow="1" w:lastRow="0" w:firstColumn="1" w:lastColumn="0" w:noHBand="0" w:noVBand="1"/>
        <w:tblCaption w:val="Table 7.5: Standardised firm park products – screen traded products"/>
        <w:tblDescription w:val="Standardised firm park products – screen traded products"/>
      </w:tblPr>
      <w:tblGrid>
        <w:gridCol w:w="4395"/>
        <w:gridCol w:w="4393"/>
      </w:tblGrid>
      <w:tr w:rsidR="00E16C5B" w:rsidRPr="00F365CD" w14:paraId="43152E47" w14:textId="77777777" w:rsidTr="00E16C5B">
        <w:trPr>
          <w:cnfStyle w:val="100000000000" w:firstRow="1" w:lastRow="0" w:firstColumn="0" w:lastColumn="0" w:oddVBand="0" w:evenVBand="0" w:oddHBand="0" w:evenHBand="0" w:firstRowFirstColumn="0" w:firstRowLastColumn="0" w:lastRowFirstColumn="0" w:lastRowLastColumn="0"/>
          <w:tblHeader/>
        </w:trPr>
        <w:tc>
          <w:tcPr>
            <w:tcW w:w="8788" w:type="dxa"/>
            <w:gridSpan w:val="2"/>
            <w:tcBorders>
              <w:top w:val="nil"/>
              <w:bottom w:val="single" w:sz="4" w:space="0" w:color="auto"/>
            </w:tcBorders>
            <w:shd w:val="clear" w:color="auto" w:fill="auto"/>
          </w:tcPr>
          <w:p w14:paraId="1C5D51BB" w14:textId="3EC42F7C" w:rsidR="00E16C5B" w:rsidRPr="00E16C5B" w:rsidRDefault="00E16C5B" w:rsidP="00E16C5B">
            <w:pPr>
              <w:keepNext/>
              <w:spacing w:after="20"/>
              <w:rPr>
                <w:rFonts w:asciiTheme="majorHAnsi" w:hAnsiTheme="majorHAnsi" w:cstheme="majorHAnsi"/>
                <w:b w:val="0"/>
                <w:sz w:val="17"/>
                <w:szCs w:val="17"/>
              </w:rPr>
            </w:pPr>
            <w:bookmarkStart w:id="154" w:name="_Ref491917543"/>
            <w:r w:rsidRPr="00E16C5B">
              <w:rPr>
                <w:color w:val="auto"/>
              </w:rPr>
              <w:t xml:space="preserve">Table </w:t>
            </w:r>
            <w:r w:rsidRPr="00E16C5B">
              <w:fldChar w:fldCharType="begin"/>
            </w:r>
            <w:r w:rsidRPr="00E16C5B">
              <w:rPr>
                <w:color w:val="auto"/>
              </w:rPr>
              <w:instrText xml:space="preserve"> STYLEREF 1 \s </w:instrText>
            </w:r>
            <w:r w:rsidRPr="00E16C5B">
              <w:fldChar w:fldCharType="separate"/>
            </w:r>
            <w:r w:rsidRPr="00E16C5B">
              <w:rPr>
                <w:noProof/>
                <w:color w:val="auto"/>
              </w:rPr>
              <w:t>7</w:t>
            </w:r>
            <w:r w:rsidRPr="00E16C5B">
              <w:fldChar w:fldCharType="end"/>
            </w:r>
            <w:r w:rsidRPr="00E16C5B">
              <w:rPr>
                <w:color w:val="auto"/>
              </w:rPr>
              <w:t>.</w:t>
            </w:r>
            <w:r w:rsidRPr="00E16C5B">
              <w:fldChar w:fldCharType="begin"/>
            </w:r>
            <w:r w:rsidRPr="00E16C5B">
              <w:rPr>
                <w:color w:val="auto"/>
              </w:rPr>
              <w:instrText xml:space="preserve"> SEQ Table \* ARABIC \s 1 </w:instrText>
            </w:r>
            <w:r w:rsidRPr="00E16C5B">
              <w:fldChar w:fldCharType="separate"/>
            </w:r>
            <w:r w:rsidRPr="00E16C5B">
              <w:rPr>
                <w:noProof/>
                <w:color w:val="auto"/>
              </w:rPr>
              <w:t>5</w:t>
            </w:r>
            <w:r w:rsidRPr="00E16C5B">
              <w:fldChar w:fldCharType="end"/>
            </w:r>
            <w:bookmarkEnd w:id="154"/>
            <w:r w:rsidRPr="00E16C5B">
              <w:rPr>
                <w:color w:val="auto"/>
              </w:rPr>
              <w:t>:</w:t>
            </w:r>
            <w:r w:rsidRPr="00E16C5B">
              <w:rPr>
                <w:b w:val="0"/>
                <w:color w:val="auto"/>
              </w:rPr>
              <w:t xml:space="preserve"> </w:t>
            </w:r>
            <w:r w:rsidRPr="00E16C5B">
              <w:rPr>
                <w:rStyle w:val="Bold"/>
                <w:b/>
                <w:color w:val="auto"/>
              </w:rPr>
              <w:t>Standardised firm park products – screen traded products</w:t>
            </w:r>
          </w:p>
        </w:tc>
      </w:tr>
      <w:tr w:rsidR="00E16C5B" w:rsidRPr="00F365CD" w14:paraId="6A4C2F62" w14:textId="77777777" w:rsidTr="009E6A8A">
        <w:tc>
          <w:tcPr>
            <w:tcW w:w="8788" w:type="dxa"/>
            <w:gridSpan w:val="2"/>
            <w:tcBorders>
              <w:top w:val="single" w:sz="4" w:space="0" w:color="auto"/>
              <w:bottom w:val="single" w:sz="4" w:space="0" w:color="auto"/>
            </w:tcBorders>
            <w:shd w:val="clear" w:color="auto" w:fill="0099CC"/>
          </w:tcPr>
          <w:p w14:paraId="00A58E2E" w14:textId="77777777" w:rsidR="00E16C5B" w:rsidRPr="00E16C5B" w:rsidRDefault="00E16C5B" w:rsidP="009E6A8A">
            <w:pPr>
              <w:keepNext/>
              <w:spacing w:after="20"/>
              <w:jc w:val="center"/>
              <w:rPr>
                <w:rFonts w:asciiTheme="majorHAnsi" w:hAnsiTheme="majorHAnsi" w:cstheme="majorHAnsi"/>
                <w:b/>
                <w:sz w:val="17"/>
                <w:szCs w:val="17"/>
              </w:rPr>
            </w:pPr>
            <w:r w:rsidRPr="00E16C5B">
              <w:rPr>
                <w:rFonts w:asciiTheme="majorHAnsi" w:hAnsiTheme="majorHAnsi" w:cstheme="majorHAnsi"/>
                <w:b/>
                <w:color w:val="FFFFFF" w:themeColor="background1"/>
                <w:sz w:val="17"/>
                <w:szCs w:val="17"/>
              </w:rPr>
              <w:t>Standardised Product</w:t>
            </w:r>
          </w:p>
        </w:tc>
      </w:tr>
      <w:tr w:rsidR="00E16C5B" w:rsidRPr="007339D7" w14:paraId="75CC71FE" w14:textId="77777777" w:rsidTr="009E6A8A">
        <w:trPr>
          <w:cnfStyle w:val="000000010000" w:firstRow="0" w:lastRow="0" w:firstColumn="0" w:lastColumn="0" w:oddVBand="0" w:evenVBand="0" w:oddHBand="0" w:evenHBand="1" w:firstRowFirstColumn="0" w:firstRowLastColumn="0" w:lastRowFirstColumn="0" w:lastRowLastColumn="0"/>
        </w:trPr>
        <w:tc>
          <w:tcPr>
            <w:tcW w:w="4395" w:type="dxa"/>
            <w:shd w:val="clear" w:color="auto" w:fill="65697F" w:themeFill="background2" w:themeFillShade="80"/>
          </w:tcPr>
          <w:p w14:paraId="07C2B70C" w14:textId="77777777" w:rsidR="00E16C5B" w:rsidRPr="007339D7" w:rsidRDefault="00E16C5B" w:rsidP="009E6A8A">
            <w:pPr>
              <w:keepNext/>
              <w:spacing w:after="20"/>
              <w:jc w:val="center"/>
              <w:rPr>
                <w:rFonts w:asciiTheme="majorHAnsi" w:hAnsiTheme="majorHAnsi" w:cstheme="majorHAnsi"/>
                <w:b/>
                <w:color w:val="FFFFFF" w:themeColor="background1"/>
                <w:sz w:val="17"/>
                <w:szCs w:val="17"/>
              </w:rPr>
            </w:pPr>
            <w:r w:rsidRPr="007339D7">
              <w:rPr>
                <w:rFonts w:asciiTheme="majorHAnsi" w:hAnsiTheme="majorHAnsi" w:cstheme="majorHAnsi"/>
                <w:b/>
                <w:color w:val="FFFFFF" w:themeColor="background1"/>
                <w:sz w:val="17"/>
                <w:szCs w:val="17"/>
              </w:rPr>
              <w:t>Contract Size</w:t>
            </w:r>
          </w:p>
        </w:tc>
        <w:tc>
          <w:tcPr>
            <w:tcW w:w="4393" w:type="dxa"/>
            <w:shd w:val="clear" w:color="auto" w:fill="65697F" w:themeFill="background2" w:themeFillShade="80"/>
          </w:tcPr>
          <w:p w14:paraId="53F4EA46" w14:textId="77777777" w:rsidR="00E16C5B" w:rsidRPr="007339D7" w:rsidRDefault="00E16C5B" w:rsidP="009E6A8A">
            <w:pPr>
              <w:keepNext/>
              <w:spacing w:after="20"/>
              <w:jc w:val="center"/>
              <w:rPr>
                <w:rFonts w:asciiTheme="majorHAnsi" w:hAnsiTheme="majorHAnsi" w:cstheme="majorHAnsi"/>
                <w:b/>
                <w:color w:val="FFFFFF" w:themeColor="background1"/>
                <w:sz w:val="17"/>
                <w:szCs w:val="17"/>
              </w:rPr>
            </w:pPr>
            <w:r>
              <w:rPr>
                <w:rFonts w:asciiTheme="majorHAnsi" w:hAnsiTheme="majorHAnsi" w:cstheme="majorHAnsi"/>
                <w:b/>
                <w:color w:val="FFFFFF" w:themeColor="background1"/>
                <w:sz w:val="17"/>
                <w:szCs w:val="17"/>
              </w:rPr>
              <w:t xml:space="preserve">Minimum </w:t>
            </w:r>
            <w:r w:rsidRPr="007339D7">
              <w:rPr>
                <w:rFonts w:asciiTheme="majorHAnsi" w:hAnsiTheme="majorHAnsi" w:cstheme="majorHAnsi"/>
                <w:b/>
                <w:color w:val="FFFFFF" w:themeColor="background1"/>
                <w:sz w:val="17"/>
                <w:szCs w:val="17"/>
              </w:rPr>
              <w:t>Contract Size</w:t>
            </w:r>
          </w:p>
        </w:tc>
      </w:tr>
      <w:tr w:rsidR="00E16C5B" w:rsidRPr="00F365CD" w14:paraId="592744DC" w14:textId="77777777" w:rsidTr="009E6A8A">
        <w:tc>
          <w:tcPr>
            <w:tcW w:w="4395" w:type="dxa"/>
            <w:shd w:val="clear" w:color="000000" w:fill="auto"/>
          </w:tcPr>
          <w:p w14:paraId="3F3E1310" w14:textId="77777777" w:rsidR="00E16C5B" w:rsidRPr="00F365CD" w:rsidRDefault="00E16C5B" w:rsidP="009E6A8A">
            <w:pPr>
              <w:keepNext/>
              <w:spacing w:after="20"/>
              <w:rPr>
                <w:rFonts w:asciiTheme="majorHAnsi" w:hAnsiTheme="majorHAnsi" w:cstheme="majorHAnsi"/>
                <w:sz w:val="17"/>
                <w:szCs w:val="17"/>
              </w:rPr>
            </w:pPr>
            <w:r w:rsidRPr="00F365CD">
              <w:rPr>
                <w:rFonts w:asciiTheme="majorHAnsi" w:hAnsiTheme="majorHAnsi" w:cstheme="majorHAnsi"/>
                <w:sz w:val="17"/>
                <w:szCs w:val="17"/>
              </w:rPr>
              <w:t xml:space="preserve">Day-ahead </w:t>
            </w:r>
            <w:r>
              <w:rPr>
                <w:rFonts w:asciiTheme="majorHAnsi" w:hAnsiTheme="majorHAnsi" w:cstheme="majorHAnsi"/>
                <w:sz w:val="17"/>
                <w:szCs w:val="17"/>
              </w:rPr>
              <w:t>product</w:t>
            </w:r>
          </w:p>
        </w:tc>
        <w:tc>
          <w:tcPr>
            <w:tcW w:w="4393" w:type="dxa"/>
            <w:vMerge w:val="restart"/>
            <w:shd w:val="clear" w:color="000000" w:fill="auto"/>
          </w:tcPr>
          <w:p w14:paraId="4B6E14F8" w14:textId="77777777" w:rsidR="00E16C5B" w:rsidRPr="00F365CD" w:rsidRDefault="00E16C5B" w:rsidP="009E6A8A">
            <w:pPr>
              <w:keepNext/>
              <w:spacing w:after="20"/>
              <w:rPr>
                <w:rFonts w:asciiTheme="majorHAnsi" w:hAnsiTheme="majorHAnsi" w:cstheme="majorHAnsi"/>
                <w:sz w:val="17"/>
                <w:szCs w:val="17"/>
              </w:rPr>
            </w:pPr>
            <w:r>
              <w:rPr>
                <w:rFonts w:asciiTheme="majorHAnsi" w:hAnsiTheme="majorHAnsi" w:cstheme="majorHAnsi"/>
                <w:sz w:val="17"/>
                <w:szCs w:val="17"/>
              </w:rPr>
              <w:t>MDQ: 500 GJ</w:t>
            </w:r>
            <w:r>
              <w:rPr>
                <w:rFonts w:asciiTheme="majorHAnsi" w:hAnsiTheme="majorHAnsi" w:cstheme="majorHAnsi"/>
                <w:sz w:val="17"/>
                <w:szCs w:val="17"/>
              </w:rPr>
              <w:br/>
              <w:t xml:space="preserve">MHQ factor: 1.1 (i.e. MDQ/24x1.1) </w:t>
            </w:r>
            <w:r>
              <w:rPr>
                <w:rFonts w:asciiTheme="majorHAnsi" w:hAnsiTheme="majorHAnsi" w:cstheme="majorHAnsi"/>
                <w:sz w:val="17"/>
                <w:szCs w:val="17"/>
              </w:rPr>
              <w:br/>
              <w:t>Reasonable endeavours renomination rights</w:t>
            </w:r>
          </w:p>
        </w:tc>
      </w:tr>
      <w:tr w:rsidR="00E16C5B" w:rsidRPr="00F365CD" w14:paraId="3AE882F5" w14:textId="77777777" w:rsidTr="009E6A8A">
        <w:trPr>
          <w:cnfStyle w:val="000000010000" w:firstRow="0" w:lastRow="0" w:firstColumn="0" w:lastColumn="0" w:oddVBand="0" w:evenVBand="0" w:oddHBand="0" w:evenHBand="1" w:firstRowFirstColumn="0" w:firstRowLastColumn="0" w:lastRowFirstColumn="0" w:lastRowLastColumn="0"/>
        </w:trPr>
        <w:tc>
          <w:tcPr>
            <w:tcW w:w="4395" w:type="dxa"/>
            <w:shd w:val="clear" w:color="000000" w:fill="auto"/>
          </w:tcPr>
          <w:p w14:paraId="528992CC" w14:textId="77777777" w:rsidR="00E16C5B" w:rsidRPr="00F365CD" w:rsidRDefault="00E16C5B" w:rsidP="009E6A8A">
            <w:pPr>
              <w:keepNext/>
              <w:spacing w:after="20"/>
              <w:rPr>
                <w:rFonts w:asciiTheme="majorHAnsi" w:hAnsiTheme="majorHAnsi" w:cstheme="majorHAnsi"/>
                <w:sz w:val="17"/>
                <w:szCs w:val="17"/>
              </w:rPr>
            </w:pPr>
            <w:r w:rsidRPr="00F365CD">
              <w:rPr>
                <w:rFonts w:asciiTheme="majorHAnsi" w:hAnsiTheme="majorHAnsi" w:cstheme="majorHAnsi"/>
                <w:sz w:val="17"/>
                <w:szCs w:val="17"/>
              </w:rPr>
              <w:t xml:space="preserve">Daily </w:t>
            </w:r>
            <w:r>
              <w:rPr>
                <w:rFonts w:asciiTheme="majorHAnsi" w:hAnsiTheme="majorHAnsi" w:cstheme="majorHAnsi"/>
                <w:sz w:val="17"/>
                <w:szCs w:val="17"/>
              </w:rPr>
              <w:t>product (available on a 6 day rolling basis)</w:t>
            </w:r>
            <w:r w:rsidRPr="00F365CD">
              <w:rPr>
                <w:rFonts w:asciiTheme="majorHAnsi" w:hAnsiTheme="majorHAnsi" w:cstheme="majorHAnsi"/>
                <w:sz w:val="17"/>
                <w:szCs w:val="17"/>
              </w:rPr>
              <w:t xml:space="preserve"> </w:t>
            </w:r>
          </w:p>
        </w:tc>
        <w:tc>
          <w:tcPr>
            <w:tcW w:w="4393" w:type="dxa"/>
            <w:vMerge/>
            <w:shd w:val="clear" w:color="000000" w:fill="auto"/>
          </w:tcPr>
          <w:p w14:paraId="02D18503" w14:textId="77777777" w:rsidR="00E16C5B" w:rsidRPr="00F365CD" w:rsidRDefault="00E16C5B" w:rsidP="009E6A8A">
            <w:pPr>
              <w:keepNext/>
              <w:spacing w:after="20"/>
              <w:rPr>
                <w:rFonts w:asciiTheme="majorHAnsi" w:hAnsiTheme="majorHAnsi" w:cstheme="majorHAnsi"/>
                <w:sz w:val="17"/>
                <w:szCs w:val="17"/>
              </w:rPr>
            </w:pPr>
          </w:p>
        </w:tc>
      </w:tr>
      <w:tr w:rsidR="00E16C5B" w:rsidRPr="00F365CD" w14:paraId="6B65F08C" w14:textId="77777777" w:rsidTr="009E6A8A">
        <w:tc>
          <w:tcPr>
            <w:tcW w:w="4395" w:type="dxa"/>
            <w:shd w:val="clear" w:color="000000" w:fill="auto"/>
          </w:tcPr>
          <w:p w14:paraId="04F4B3B2" w14:textId="77777777" w:rsidR="00E16C5B" w:rsidRPr="00F365CD" w:rsidRDefault="00E16C5B" w:rsidP="009E6A8A">
            <w:pPr>
              <w:keepNext/>
              <w:spacing w:after="20"/>
              <w:rPr>
                <w:rFonts w:asciiTheme="majorHAnsi" w:hAnsiTheme="majorHAnsi" w:cstheme="majorHAnsi"/>
                <w:sz w:val="17"/>
                <w:szCs w:val="17"/>
              </w:rPr>
            </w:pPr>
            <w:r w:rsidRPr="00F365CD">
              <w:rPr>
                <w:rFonts w:asciiTheme="majorHAnsi" w:hAnsiTheme="majorHAnsi" w:cstheme="majorHAnsi"/>
                <w:sz w:val="17"/>
                <w:szCs w:val="17"/>
              </w:rPr>
              <w:t xml:space="preserve">Weekly </w:t>
            </w:r>
            <w:r>
              <w:rPr>
                <w:rFonts w:asciiTheme="majorHAnsi" w:hAnsiTheme="majorHAnsi" w:cstheme="majorHAnsi"/>
                <w:sz w:val="17"/>
                <w:szCs w:val="17"/>
              </w:rPr>
              <w:t>(available on a 4 week rolling basis)</w:t>
            </w:r>
          </w:p>
        </w:tc>
        <w:tc>
          <w:tcPr>
            <w:tcW w:w="4393" w:type="dxa"/>
            <w:vMerge/>
            <w:shd w:val="clear" w:color="000000" w:fill="auto"/>
          </w:tcPr>
          <w:p w14:paraId="3A9E711B" w14:textId="77777777" w:rsidR="00E16C5B" w:rsidRPr="00F365CD" w:rsidRDefault="00E16C5B" w:rsidP="009E6A8A">
            <w:pPr>
              <w:keepNext/>
              <w:spacing w:after="20"/>
              <w:rPr>
                <w:rFonts w:asciiTheme="majorHAnsi" w:hAnsiTheme="majorHAnsi" w:cstheme="majorHAnsi"/>
                <w:sz w:val="17"/>
                <w:szCs w:val="17"/>
              </w:rPr>
            </w:pPr>
          </w:p>
        </w:tc>
      </w:tr>
      <w:tr w:rsidR="00E16C5B" w:rsidRPr="00F365CD" w14:paraId="7F3BA2E7" w14:textId="77777777" w:rsidTr="009E6A8A">
        <w:trPr>
          <w:cnfStyle w:val="000000010000" w:firstRow="0" w:lastRow="0" w:firstColumn="0" w:lastColumn="0" w:oddVBand="0" w:evenVBand="0" w:oddHBand="0" w:evenHBand="1" w:firstRowFirstColumn="0" w:firstRowLastColumn="0" w:lastRowFirstColumn="0" w:lastRowLastColumn="0"/>
        </w:trPr>
        <w:tc>
          <w:tcPr>
            <w:tcW w:w="4395" w:type="dxa"/>
            <w:shd w:val="clear" w:color="000000" w:fill="auto"/>
          </w:tcPr>
          <w:p w14:paraId="40CA1F99" w14:textId="77777777" w:rsidR="00E16C5B" w:rsidRPr="00F365CD" w:rsidRDefault="00E16C5B" w:rsidP="009E6A8A">
            <w:pPr>
              <w:keepNext/>
              <w:spacing w:after="20"/>
              <w:rPr>
                <w:rFonts w:asciiTheme="majorHAnsi" w:hAnsiTheme="majorHAnsi" w:cstheme="majorHAnsi"/>
                <w:sz w:val="17"/>
                <w:szCs w:val="17"/>
              </w:rPr>
            </w:pPr>
            <w:r w:rsidRPr="00F365CD">
              <w:rPr>
                <w:rFonts w:asciiTheme="majorHAnsi" w:hAnsiTheme="majorHAnsi" w:cstheme="majorHAnsi"/>
                <w:sz w:val="17"/>
                <w:szCs w:val="17"/>
              </w:rPr>
              <w:t xml:space="preserve">Monthly </w:t>
            </w:r>
            <w:r>
              <w:rPr>
                <w:rFonts w:asciiTheme="majorHAnsi" w:hAnsiTheme="majorHAnsi" w:cstheme="majorHAnsi"/>
                <w:sz w:val="17"/>
                <w:szCs w:val="17"/>
              </w:rPr>
              <w:t>(available on a 3 month rolling basis)</w:t>
            </w:r>
          </w:p>
        </w:tc>
        <w:tc>
          <w:tcPr>
            <w:tcW w:w="4393" w:type="dxa"/>
            <w:vMerge/>
            <w:shd w:val="clear" w:color="000000" w:fill="auto"/>
          </w:tcPr>
          <w:p w14:paraId="252B0A6C" w14:textId="77777777" w:rsidR="00E16C5B" w:rsidRPr="00F365CD" w:rsidRDefault="00E16C5B" w:rsidP="009E6A8A">
            <w:pPr>
              <w:keepNext/>
              <w:spacing w:after="20"/>
              <w:rPr>
                <w:rFonts w:asciiTheme="majorHAnsi" w:hAnsiTheme="majorHAnsi" w:cstheme="majorHAnsi"/>
                <w:sz w:val="17"/>
                <w:szCs w:val="17"/>
              </w:rPr>
            </w:pPr>
          </w:p>
        </w:tc>
      </w:tr>
      <w:tr w:rsidR="00E16C5B" w:rsidRPr="007339D7" w14:paraId="572CCFC9" w14:textId="77777777" w:rsidTr="009E6A8A">
        <w:tc>
          <w:tcPr>
            <w:tcW w:w="8788" w:type="dxa"/>
            <w:gridSpan w:val="2"/>
            <w:shd w:val="clear" w:color="auto" w:fill="65697F" w:themeFill="background2" w:themeFillShade="80"/>
          </w:tcPr>
          <w:p w14:paraId="2DE577AC" w14:textId="77777777" w:rsidR="00E16C5B" w:rsidRPr="007339D7" w:rsidRDefault="00E16C5B" w:rsidP="009E6A8A">
            <w:pPr>
              <w:keepNext/>
              <w:spacing w:after="20"/>
              <w:jc w:val="center"/>
              <w:rPr>
                <w:rFonts w:asciiTheme="majorHAnsi" w:hAnsiTheme="majorHAnsi" w:cstheme="majorHAnsi"/>
                <w:b/>
                <w:color w:val="FFFFFF" w:themeColor="background1"/>
                <w:sz w:val="17"/>
                <w:szCs w:val="17"/>
              </w:rPr>
            </w:pPr>
            <w:r>
              <w:rPr>
                <w:rFonts w:asciiTheme="majorHAnsi" w:hAnsiTheme="majorHAnsi" w:cstheme="majorHAnsi"/>
                <w:b/>
                <w:color w:val="FFFFFF" w:themeColor="background1"/>
                <w:sz w:val="17"/>
                <w:szCs w:val="17"/>
              </w:rPr>
              <w:t>Contract paths</w:t>
            </w:r>
          </w:p>
        </w:tc>
      </w:tr>
      <w:tr w:rsidR="00E16C5B" w:rsidRPr="008B1B73" w14:paraId="42E71D12" w14:textId="77777777" w:rsidTr="009E6A8A">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blHeader/>
        </w:trPr>
        <w:tc>
          <w:tcPr>
            <w:tcW w:w="4395" w:type="dxa"/>
            <w:shd w:val="clear" w:color="auto" w:fill="0099CC"/>
          </w:tcPr>
          <w:p w14:paraId="6D2C24BD" w14:textId="77777777" w:rsidR="00E16C5B" w:rsidRPr="00A04F4A" w:rsidRDefault="00E16C5B" w:rsidP="009E6A8A">
            <w:pPr>
              <w:pStyle w:val="TableHeading"/>
              <w:rPr>
                <w:b/>
              </w:rPr>
            </w:pPr>
            <w:r w:rsidRPr="00A04F4A">
              <w:rPr>
                <w:b/>
              </w:rPr>
              <w:t>Pipeline</w:t>
            </w:r>
          </w:p>
        </w:tc>
        <w:tc>
          <w:tcPr>
            <w:tcW w:w="4393" w:type="dxa"/>
            <w:shd w:val="clear" w:color="auto" w:fill="0099CC"/>
          </w:tcPr>
          <w:p w14:paraId="518A54E1" w14:textId="77777777" w:rsidR="00E16C5B" w:rsidRPr="00A04F4A" w:rsidRDefault="00E16C5B" w:rsidP="009E6A8A">
            <w:pPr>
              <w:pStyle w:val="TableHeading"/>
              <w:rPr>
                <w:b/>
              </w:rPr>
            </w:pPr>
            <w:r w:rsidRPr="00A04F4A">
              <w:rPr>
                <w:b/>
              </w:rPr>
              <w:t>Pipeline operator</w:t>
            </w:r>
          </w:p>
        </w:tc>
      </w:tr>
      <w:tr w:rsidR="00E16C5B" w:rsidRPr="008B1B73" w14:paraId="30579BC5" w14:textId="77777777" w:rsidTr="009E6A8A">
        <w:tblPrEx>
          <w:shd w:val="clear" w:color="auto" w:fill="auto"/>
          <w:tblLook w:val="0420" w:firstRow="1" w:lastRow="0" w:firstColumn="0" w:lastColumn="0" w:noHBand="0" w:noVBand="1"/>
        </w:tblPrEx>
        <w:tc>
          <w:tcPr>
            <w:tcW w:w="4395" w:type="dxa"/>
          </w:tcPr>
          <w:p w14:paraId="37531381" w14:textId="77777777" w:rsidR="00E16C5B" w:rsidRPr="008B1B73" w:rsidRDefault="00E16C5B" w:rsidP="009E6A8A">
            <w:pPr>
              <w:pStyle w:val="TableBodyText"/>
            </w:pPr>
            <w:r>
              <w:t>RBP</w:t>
            </w:r>
          </w:p>
        </w:tc>
        <w:tc>
          <w:tcPr>
            <w:tcW w:w="4393" w:type="dxa"/>
          </w:tcPr>
          <w:p w14:paraId="09201F26" w14:textId="77777777" w:rsidR="00E16C5B" w:rsidRPr="008B1B73" w:rsidRDefault="00E16C5B" w:rsidP="009E6A8A">
            <w:pPr>
              <w:pStyle w:val="TableBodyText"/>
            </w:pPr>
            <w:r w:rsidRPr="008B1B73">
              <w:t>APA Group</w:t>
            </w:r>
          </w:p>
        </w:tc>
      </w:tr>
      <w:tr w:rsidR="00E16C5B" w:rsidRPr="008B1B73" w14:paraId="2FEB7325" w14:textId="77777777" w:rsidTr="009E6A8A">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4395" w:type="dxa"/>
          </w:tcPr>
          <w:p w14:paraId="2BFF996D" w14:textId="77777777" w:rsidR="00E16C5B" w:rsidRPr="008B1B73" w:rsidRDefault="00E16C5B" w:rsidP="009E6A8A">
            <w:pPr>
              <w:pStyle w:val="TableBodyText"/>
            </w:pPr>
            <w:r>
              <w:t>SWQP</w:t>
            </w:r>
          </w:p>
        </w:tc>
        <w:tc>
          <w:tcPr>
            <w:tcW w:w="4393" w:type="dxa"/>
          </w:tcPr>
          <w:p w14:paraId="07ADC1AB" w14:textId="77777777" w:rsidR="00E16C5B" w:rsidRPr="008B1B73" w:rsidRDefault="00E16C5B" w:rsidP="009E6A8A">
            <w:pPr>
              <w:pStyle w:val="TableBodyText"/>
            </w:pPr>
            <w:r w:rsidRPr="008B1B73">
              <w:t>APA Group</w:t>
            </w:r>
          </w:p>
        </w:tc>
      </w:tr>
      <w:tr w:rsidR="00E16C5B" w:rsidRPr="008B1B73" w14:paraId="1FFB9D8F" w14:textId="77777777" w:rsidTr="009E6A8A">
        <w:tblPrEx>
          <w:shd w:val="clear" w:color="auto" w:fill="auto"/>
          <w:tblLook w:val="0420" w:firstRow="1" w:lastRow="0" w:firstColumn="0" w:lastColumn="0" w:noHBand="0" w:noVBand="1"/>
        </w:tblPrEx>
        <w:tc>
          <w:tcPr>
            <w:tcW w:w="4395" w:type="dxa"/>
          </w:tcPr>
          <w:p w14:paraId="76AD2ADB" w14:textId="77777777" w:rsidR="00E16C5B" w:rsidRPr="008B1B73" w:rsidRDefault="00E16C5B" w:rsidP="009E6A8A">
            <w:pPr>
              <w:pStyle w:val="TableBodyText"/>
            </w:pPr>
            <w:r w:rsidRPr="008B1B73">
              <w:t>M</w:t>
            </w:r>
            <w:r>
              <w:t>SP</w:t>
            </w:r>
          </w:p>
        </w:tc>
        <w:tc>
          <w:tcPr>
            <w:tcW w:w="4393" w:type="dxa"/>
          </w:tcPr>
          <w:p w14:paraId="6C51FA48" w14:textId="77777777" w:rsidR="00E16C5B" w:rsidRPr="008B1B73" w:rsidRDefault="00E16C5B" w:rsidP="009E6A8A">
            <w:pPr>
              <w:pStyle w:val="TableBodyText"/>
            </w:pPr>
            <w:r w:rsidRPr="008B1B73">
              <w:t>APA Group</w:t>
            </w:r>
          </w:p>
        </w:tc>
      </w:tr>
      <w:tr w:rsidR="00E16C5B" w:rsidRPr="008B1B73" w14:paraId="5B1E9688" w14:textId="77777777" w:rsidTr="009E6A8A">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4395" w:type="dxa"/>
          </w:tcPr>
          <w:p w14:paraId="12D8451A" w14:textId="77777777" w:rsidR="00E16C5B" w:rsidRPr="008B1B73" w:rsidRDefault="00E16C5B" w:rsidP="009E6A8A">
            <w:pPr>
              <w:pStyle w:val="TableBodyText"/>
            </w:pPr>
            <w:r>
              <w:t>MAPS</w:t>
            </w:r>
          </w:p>
        </w:tc>
        <w:tc>
          <w:tcPr>
            <w:tcW w:w="4393" w:type="dxa"/>
          </w:tcPr>
          <w:p w14:paraId="0DDFBB3C" w14:textId="77777777" w:rsidR="00E16C5B" w:rsidRPr="008B1B73" w:rsidRDefault="00E16C5B" w:rsidP="009E6A8A">
            <w:pPr>
              <w:pStyle w:val="TableBodyText"/>
            </w:pPr>
            <w:r w:rsidRPr="008B1B73">
              <w:t>Epic Energy</w:t>
            </w:r>
          </w:p>
        </w:tc>
      </w:tr>
      <w:tr w:rsidR="00E16C5B" w:rsidRPr="008B1B73" w14:paraId="3FEE529C" w14:textId="77777777" w:rsidTr="009E6A8A">
        <w:tblPrEx>
          <w:shd w:val="clear" w:color="auto" w:fill="auto"/>
          <w:tblLook w:val="0420" w:firstRow="1" w:lastRow="0" w:firstColumn="0" w:lastColumn="0" w:noHBand="0" w:noVBand="1"/>
        </w:tblPrEx>
        <w:tc>
          <w:tcPr>
            <w:tcW w:w="4395" w:type="dxa"/>
          </w:tcPr>
          <w:p w14:paraId="3F81BFEA" w14:textId="77777777" w:rsidR="00E16C5B" w:rsidRPr="00BD0988" w:rsidRDefault="00E16C5B" w:rsidP="009E6A8A">
            <w:pPr>
              <w:pStyle w:val="TableBodyText"/>
            </w:pPr>
            <w:r>
              <w:t>TGP</w:t>
            </w:r>
          </w:p>
        </w:tc>
        <w:tc>
          <w:tcPr>
            <w:tcW w:w="4393" w:type="dxa"/>
          </w:tcPr>
          <w:p w14:paraId="6FAC4C0C" w14:textId="77777777" w:rsidR="00E16C5B" w:rsidRPr="008B1B73" w:rsidRDefault="00E16C5B" w:rsidP="009E6A8A">
            <w:pPr>
              <w:pStyle w:val="TableBodyText"/>
            </w:pPr>
            <w:r w:rsidRPr="008B1B73">
              <w:t>Palisade Investment Partners</w:t>
            </w:r>
          </w:p>
        </w:tc>
      </w:tr>
      <w:tr w:rsidR="00E16C5B" w:rsidRPr="008B1B73" w14:paraId="5C6ACEC8" w14:textId="77777777" w:rsidTr="009E6A8A">
        <w:tblPrEx>
          <w:shd w:val="clear" w:color="auto" w:fill="auto"/>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4395" w:type="dxa"/>
          </w:tcPr>
          <w:p w14:paraId="34E3F407" w14:textId="77777777" w:rsidR="00E16C5B" w:rsidRPr="008B1B73" w:rsidRDefault="00E16C5B" w:rsidP="009E6A8A">
            <w:pPr>
              <w:pStyle w:val="TableBodyText"/>
            </w:pPr>
            <w:r>
              <w:t>EGP</w:t>
            </w:r>
          </w:p>
        </w:tc>
        <w:tc>
          <w:tcPr>
            <w:tcW w:w="4393" w:type="dxa"/>
          </w:tcPr>
          <w:p w14:paraId="281583B7" w14:textId="77777777" w:rsidR="00E16C5B" w:rsidRPr="008B1B73" w:rsidRDefault="00E16C5B" w:rsidP="009E6A8A">
            <w:pPr>
              <w:pStyle w:val="TableBodyText"/>
            </w:pPr>
            <w:r w:rsidRPr="008B1B73">
              <w:t>Jemena</w:t>
            </w:r>
          </w:p>
        </w:tc>
      </w:tr>
    </w:tbl>
    <w:p w14:paraId="4A97D0AB" w14:textId="5959F6AB" w:rsidR="00790A24" w:rsidRDefault="00A04F4A" w:rsidP="00A04F4A">
      <w:pPr>
        <w:pStyle w:val="BodyText"/>
      </w:pPr>
      <w:r>
        <w:t xml:space="preserve">As with the other products, the GMRG welcomes feedback on the park product specifications set out in </w:t>
      </w:r>
      <w:r w:rsidRPr="00A04F4A">
        <w:fldChar w:fldCharType="begin"/>
      </w:r>
      <w:r w:rsidRPr="00A04F4A">
        <w:instrText xml:space="preserve"> REF _Ref491917543 \h  \* MERGEFORMAT </w:instrText>
      </w:r>
      <w:r w:rsidRPr="00A04F4A">
        <w:fldChar w:fldCharType="separate"/>
      </w:r>
      <w:r w:rsidR="00947034" w:rsidRPr="00947034">
        <w:t xml:space="preserve">Table </w:t>
      </w:r>
      <w:r w:rsidR="00947034" w:rsidRPr="00947034">
        <w:rPr>
          <w:noProof/>
        </w:rPr>
        <w:t>7.5</w:t>
      </w:r>
      <w:r w:rsidRPr="00A04F4A">
        <w:fldChar w:fldCharType="end"/>
      </w:r>
      <w:r>
        <w:t>.</w:t>
      </w:r>
    </w:p>
    <w:p w14:paraId="1C5996FF" w14:textId="785FE242" w:rsidR="00994623" w:rsidRDefault="00994623" w:rsidP="00994623">
      <w:pPr>
        <w:pStyle w:val="Heading3"/>
      </w:pPr>
      <w:bookmarkStart w:id="155" w:name="PasteHere"/>
      <w:bookmarkStart w:id="156" w:name="_Toc491633215"/>
      <w:bookmarkEnd w:id="155"/>
      <w:r>
        <w:lastRenderedPageBreak/>
        <w:t>Questions on standardised products</w:t>
      </w:r>
    </w:p>
    <w:p w14:paraId="5881BDAB" w14:textId="5CC67FCB" w:rsidR="00994623" w:rsidRDefault="00994623" w:rsidP="00994623">
      <w:pPr>
        <w:pStyle w:val="BodyText"/>
      </w:pPr>
      <w:r>
        <w:t xml:space="preserve">The GMRG is interested in stakeholders’ </w:t>
      </w:r>
      <w:r w:rsidR="00D30EB7">
        <w:t xml:space="preserve">views </w:t>
      </w:r>
      <w:r>
        <w:t xml:space="preserve">on the product specifications set out </w:t>
      </w:r>
      <w:r w:rsidR="006E6F2C">
        <w:t xml:space="preserve">in sections 7.2.1-7.2.3 </w:t>
      </w:r>
      <w:r>
        <w:t xml:space="preserve">and, in particular, whether they agree with the proposed contract tenors, contract size and contract paths. </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7.3: Questions on standardised products "/>
        <w:tblDescription w:val="Questions on standardised products "/>
      </w:tblPr>
      <w:tblGrid>
        <w:gridCol w:w="8788"/>
      </w:tblGrid>
      <w:tr w:rsidR="00994623" w:rsidRPr="0057020B" w14:paraId="3C2AFD27" w14:textId="77777777" w:rsidTr="006559E5">
        <w:trPr>
          <w:tblHeader/>
        </w:trPr>
        <w:tc>
          <w:tcPr>
            <w:tcW w:w="5000" w:type="pct"/>
            <w:shd w:val="clear" w:color="auto" w:fill="auto"/>
          </w:tcPr>
          <w:p w14:paraId="4BC0BD4C" w14:textId="536B245E" w:rsidR="006E6F2C" w:rsidRPr="0057020B" w:rsidRDefault="006559E5" w:rsidP="006559E5">
            <w:pPr>
              <w:pStyle w:val="ListNumber"/>
              <w:numPr>
                <w:ilvl w:val="0"/>
                <w:numId w:val="0"/>
              </w:numPr>
              <w:spacing w:before="240"/>
              <w:ind w:left="357" w:hanging="357"/>
              <w:rPr>
                <w:rFonts w:eastAsiaTheme="majorEastAsia"/>
                <w:sz w:val="20"/>
                <w:szCs w:val="20"/>
              </w:rPr>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7</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3</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standardised products</w:t>
            </w:r>
          </w:p>
        </w:tc>
      </w:tr>
      <w:tr w:rsidR="006559E5" w:rsidRPr="0057020B" w14:paraId="4369F698" w14:textId="77777777" w:rsidTr="006559E5">
        <w:trPr>
          <w:tblHeader/>
        </w:trPr>
        <w:tc>
          <w:tcPr>
            <w:tcW w:w="5000" w:type="pct"/>
            <w:shd w:val="clear" w:color="auto" w:fill="B7E7FF"/>
          </w:tcPr>
          <w:p w14:paraId="050CBC9C" w14:textId="77777777" w:rsidR="006559E5" w:rsidRDefault="006559E5" w:rsidP="006559E5">
            <w:pPr>
              <w:pStyle w:val="ListNumber"/>
              <w:numPr>
                <w:ilvl w:val="0"/>
                <w:numId w:val="23"/>
              </w:numPr>
              <w:rPr>
                <w:rFonts w:eastAsiaTheme="majorEastAsia"/>
                <w:sz w:val="21"/>
                <w:szCs w:val="21"/>
              </w:rPr>
            </w:pPr>
            <w:r>
              <w:rPr>
                <w:rFonts w:eastAsiaTheme="majorEastAsia"/>
                <w:sz w:val="21"/>
                <w:szCs w:val="21"/>
              </w:rPr>
              <w:t>Do you agree with the proposed contract tenors for the standardised products (i.e. day-ahead, daily, weekly and monthly) at market start, or do you think other tenors should be included (e.g. a quarterly product) or excluded at market start</w:t>
            </w:r>
            <w:r w:rsidRPr="00736006">
              <w:rPr>
                <w:rFonts w:eastAsiaTheme="majorEastAsia"/>
                <w:sz w:val="21"/>
                <w:szCs w:val="21"/>
              </w:rPr>
              <w:t xml:space="preserve">? </w:t>
            </w:r>
          </w:p>
          <w:p w14:paraId="54AC58A7" w14:textId="77777777" w:rsidR="006559E5" w:rsidRPr="00736006" w:rsidRDefault="006559E5" w:rsidP="006559E5">
            <w:pPr>
              <w:pStyle w:val="ListNumber"/>
              <w:numPr>
                <w:ilvl w:val="0"/>
                <w:numId w:val="23"/>
              </w:numPr>
              <w:rPr>
                <w:rFonts w:eastAsiaTheme="majorEastAsia"/>
                <w:sz w:val="21"/>
                <w:szCs w:val="21"/>
              </w:rPr>
            </w:pPr>
            <w:r>
              <w:rPr>
                <w:rFonts w:eastAsiaTheme="majorEastAsia"/>
                <w:sz w:val="21"/>
                <w:szCs w:val="21"/>
              </w:rPr>
              <w:t>Do you agree with the proposed contract sizes for the standardised products (500 GJ), or do you think a higher (e.g. 1 TJ) or lower (e.g. 100 GJ) contract size should be adopted?</w:t>
            </w:r>
          </w:p>
          <w:p w14:paraId="72D1F068" w14:textId="77777777" w:rsidR="006559E5" w:rsidRPr="006E6F2C" w:rsidRDefault="006559E5" w:rsidP="006559E5">
            <w:pPr>
              <w:pStyle w:val="ListNumber"/>
              <w:numPr>
                <w:ilvl w:val="0"/>
                <w:numId w:val="23"/>
              </w:numPr>
              <w:rPr>
                <w:rFonts w:eastAsiaTheme="majorEastAsia"/>
                <w:sz w:val="20"/>
                <w:szCs w:val="20"/>
              </w:rPr>
            </w:pPr>
            <w:r w:rsidRPr="006E6F2C">
              <w:rPr>
                <w:rFonts w:eastAsiaTheme="majorEastAsia"/>
                <w:b/>
                <w:sz w:val="21"/>
                <w:szCs w:val="21"/>
              </w:rPr>
              <w:t xml:space="preserve">Firm forward haul products: </w:t>
            </w:r>
            <w:r>
              <w:rPr>
                <w:rFonts w:eastAsiaTheme="majorEastAsia"/>
                <w:sz w:val="21"/>
                <w:szCs w:val="21"/>
              </w:rPr>
              <w:t>Do you agree with the proposed contract paths for the standardised firm forward haul products, or do you think other contract paths should be considered for market start</w:t>
            </w:r>
            <w:r w:rsidRPr="00736006">
              <w:rPr>
                <w:rFonts w:eastAsiaTheme="majorEastAsia"/>
                <w:sz w:val="21"/>
                <w:szCs w:val="21"/>
              </w:rPr>
              <w:t>?</w:t>
            </w:r>
          </w:p>
          <w:p w14:paraId="69773DB1" w14:textId="77777777" w:rsidR="006559E5" w:rsidRDefault="006559E5" w:rsidP="006559E5">
            <w:pPr>
              <w:pStyle w:val="ListNumber"/>
              <w:numPr>
                <w:ilvl w:val="0"/>
                <w:numId w:val="23"/>
              </w:numPr>
              <w:rPr>
                <w:rFonts w:eastAsiaTheme="majorEastAsia"/>
                <w:sz w:val="20"/>
                <w:szCs w:val="20"/>
              </w:rPr>
            </w:pPr>
            <w:r w:rsidRPr="006E6F2C">
              <w:rPr>
                <w:rFonts w:eastAsiaTheme="majorEastAsia"/>
                <w:b/>
                <w:sz w:val="21"/>
                <w:szCs w:val="21"/>
              </w:rPr>
              <w:t>Compression products:</w:t>
            </w:r>
            <w:r>
              <w:rPr>
                <w:rFonts w:eastAsiaTheme="majorEastAsia"/>
                <w:sz w:val="21"/>
                <w:szCs w:val="21"/>
              </w:rPr>
              <w:t xml:space="preserve"> Do you agree with the proposed facilities on which this service would be available at market start</w:t>
            </w:r>
            <w:r w:rsidRPr="00736006">
              <w:rPr>
                <w:rFonts w:eastAsiaTheme="majorEastAsia"/>
                <w:sz w:val="21"/>
                <w:szCs w:val="21"/>
              </w:rPr>
              <w:t>?</w:t>
            </w:r>
          </w:p>
          <w:p w14:paraId="71CC3DC1" w14:textId="1E869308" w:rsidR="006559E5" w:rsidRPr="006559E5" w:rsidRDefault="006559E5" w:rsidP="006559E5">
            <w:pPr>
              <w:pStyle w:val="ListNumber"/>
              <w:numPr>
                <w:ilvl w:val="0"/>
                <w:numId w:val="23"/>
              </w:numPr>
              <w:rPr>
                <w:rFonts w:eastAsiaTheme="majorEastAsia"/>
                <w:sz w:val="20"/>
                <w:szCs w:val="20"/>
              </w:rPr>
            </w:pPr>
            <w:r w:rsidRPr="006559E5">
              <w:rPr>
                <w:rFonts w:eastAsiaTheme="majorEastAsia"/>
                <w:b/>
                <w:sz w:val="21"/>
                <w:szCs w:val="21"/>
              </w:rPr>
              <w:t xml:space="preserve">Park products: </w:t>
            </w:r>
            <w:r w:rsidRPr="006559E5">
              <w:rPr>
                <w:rFonts w:eastAsiaTheme="majorEastAsia"/>
                <w:sz w:val="21"/>
                <w:szCs w:val="21"/>
              </w:rPr>
              <w:t>Do you agree with the proposed pipelines on which this service would be available?</w:t>
            </w:r>
          </w:p>
        </w:tc>
      </w:tr>
    </w:tbl>
    <w:p w14:paraId="03451524" w14:textId="1CDB18F8" w:rsidR="00B21AEE" w:rsidRPr="00330D4A" w:rsidRDefault="00774F01" w:rsidP="00B21AEE">
      <w:pPr>
        <w:pStyle w:val="Heading2"/>
      </w:pPr>
      <w:bookmarkStart w:id="157" w:name="_Toc492524761"/>
      <w:r>
        <w:t xml:space="preserve">Charging parameter for capacity </w:t>
      </w:r>
      <w:bookmarkEnd w:id="156"/>
      <w:r>
        <w:t>products</w:t>
      </w:r>
      <w:bookmarkEnd w:id="157"/>
    </w:p>
    <w:p w14:paraId="2F8E6A4B" w14:textId="502B5672" w:rsidR="00D40FE7" w:rsidRDefault="00D40FE7" w:rsidP="00B21AEE">
      <w:pPr>
        <w:pStyle w:val="BodyText"/>
      </w:pPr>
      <w:r>
        <w:t>The GMRG understands that while the charges levied by service providers for firm forward haul, park and compression services are usually capacity based (i.e. $/GJ of MDQ) and payable irrespective of the volume of gas actually transported, there are some shippers</w:t>
      </w:r>
      <w:r w:rsidR="008C3CF9">
        <w:t xml:space="preserve"> that are currently paying</w:t>
      </w:r>
      <w:r>
        <w:t>:</w:t>
      </w:r>
    </w:p>
    <w:p w14:paraId="7881E59E" w14:textId="2F44B245" w:rsidR="00D40FE7" w:rsidRDefault="00D40FE7" w:rsidP="00D40FE7">
      <w:pPr>
        <w:pStyle w:val="ListBullet"/>
      </w:pPr>
      <w:r>
        <w:t>a purely variable charge ($/GJ), with the charge levied by the service provider depending on the volume of gas actually transported; and</w:t>
      </w:r>
    </w:p>
    <w:p w14:paraId="433EB9AD" w14:textId="408C8355" w:rsidR="00D40FE7" w:rsidRDefault="00D40FE7" w:rsidP="00D40FE7">
      <w:pPr>
        <w:pStyle w:val="ListBullet"/>
      </w:pPr>
      <w:r>
        <w:t>a combined capacity and variable</w:t>
      </w:r>
      <w:r w:rsidR="008C3CF9">
        <w:t xml:space="preserve"> charge.</w:t>
      </w:r>
    </w:p>
    <w:p w14:paraId="59D86BF1" w14:textId="51A07693" w:rsidR="008C3CF9" w:rsidRDefault="008C3CF9" w:rsidP="00B21AEE">
      <w:pPr>
        <w:pStyle w:val="BodyText"/>
      </w:pPr>
      <w:r>
        <w:t xml:space="preserve">This variation in charging parameters raises an important question about how the price of capacity products on the exchange should be expressed, with the options including a capacity based charge, a variable charge and a combined fixed and variable charge. The latter two of these options are problematic because they </w:t>
      </w:r>
      <w:r w:rsidR="00CC2039">
        <w:t>may</w:t>
      </w:r>
      <w:r>
        <w:t xml:space="preserve"> result in the primary shipper obtaining information on how much gas the secondary shipper transported</w:t>
      </w:r>
      <w:r w:rsidR="00CC2039">
        <w:t xml:space="preserve"> (unless the variable charge was payable to the service provider rather than the primary shipper)</w:t>
      </w:r>
      <w:r>
        <w:t xml:space="preserve">. They would also result in </w:t>
      </w:r>
      <w:r w:rsidR="006A5405">
        <w:t xml:space="preserve">higher system costs and complexity </w:t>
      </w:r>
      <w:r>
        <w:t xml:space="preserve">for AEMO, who would also need to know how much gas was transported to calculate the settlement amounts. </w:t>
      </w:r>
      <w:r w:rsidR="003B1C54">
        <w:t xml:space="preserve">So of the three options, the </w:t>
      </w:r>
      <w:r>
        <w:t>fixed capacity charge ($/GJ of MDQ)</w:t>
      </w:r>
      <w:r w:rsidR="003B1C54">
        <w:t xml:space="preserve"> option appears to be the most workable</w:t>
      </w:r>
      <w:r>
        <w:t>.</w:t>
      </w:r>
    </w:p>
    <w:p w14:paraId="78466B7D" w14:textId="388B7310" w:rsidR="00B21AEE" w:rsidRPr="00330D4A" w:rsidRDefault="008C3CF9" w:rsidP="00B21AEE">
      <w:pPr>
        <w:pStyle w:val="BodyText"/>
      </w:pPr>
      <w:r>
        <w:t xml:space="preserve">If a capacity charge is applied, then </w:t>
      </w:r>
      <w:r w:rsidR="00813507">
        <w:t xml:space="preserve">the next </w:t>
      </w:r>
      <w:r>
        <w:t xml:space="preserve">question </w:t>
      </w:r>
      <w:r w:rsidR="00813507">
        <w:t xml:space="preserve">that must be considered is how to deal with the variable charge that the primary shipper is required to pay under its primary </w:t>
      </w:r>
      <w:r w:rsidR="00813507">
        <w:lastRenderedPageBreak/>
        <w:t xml:space="preserve">GTA. </w:t>
      </w:r>
      <w:r w:rsidR="00B21AEE" w:rsidRPr="00330D4A">
        <w:t xml:space="preserve">There are three potential </w:t>
      </w:r>
      <w:r w:rsidR="00237339">
        <w:t xml:space="preserve">ways in which this </w:t>
      </w:r>
      <w:r w:rsidR="00B21AEE" w:rsidRPr="00330D4A">
        <w:t>issue</w:t>
      </w:r>
      <w:r w:rsidR="00237339">
        <w:t xml:space="preserve"> could be resolved, each of which is likely to require amendments to the primary GTA</w:t>
      </w:r>
      <w:r w:rsidR="00B21AEE" w:rsidRPr="00330D4A">
        <w:t>:</w:t>
      </w:r>
    </w:p>
    <w:p w14:paraId="4096833C" w14:textId="7254D5D9" w:rsidR="00B21AEE" w:rsidRPr="00330D4A" w:rsidRDefault="00B21AEE" w:rsidP="00B21AEE">
      <w:pPr>
        <w:pStyle w:val="ListBullet"/>
      </w:pPr>
      <w:r w:rsidRPr="00B21AEE">
        <w:rPr>
          <w:b/>
        </w:rPr>
        <w:t>Option 1:</w:t>
      </w:r>
      <w:r w:rsidRPr="00330D4A">
        <w:t xml:space="preserve"> </w:t>
      </w:r>
      <w:r w:rsidR="00237339">
        <w:t>T</w:t>
      </w:r>
      <w:r w:rsidRPr="00330D4A">
        <w:t xml:space="preserve">he </w:t>
      </w:r>
      <w:r w:rsidR="002820ED">
        <w:t xml:space="preserve">variable </w:t>
      </w:r>
      <w:r w:rsidRPr="00330D4A">
        <w:t xml:space="preserve">charge </w:t>
      </w:r>
      <w:r w:rsidR="00813507">
        <w:t>could be</w:t>
      </w:r>
      <w:r w:rsidRPr="00330D4A">
        <w:t xml:space="preserve"> paid by the secondary shipper</w:t>
      </w:r>
      <w:r w:rsidR="00237339">
        <w:t xml:space="preserve"> to the service provider, which would need to be set out in the </w:t>
      </w:r>
      <w:r w:rsidR="007447D4">
        <w:t>o</w:t>
      </w:r>
      <w:r w:rsidR="00237339">
        <w:t>perational GTA</w:t>
      </w:r>
      <w:r w:rsidRPr="00330D4A">
        <w:t xml:space="preserve"> </w:t>
      </w:r>
      <w:r w:rsidR="00813507">
        <w:t xml:space="preserve">(note that this may </w:t>
      </w:r>
      <w:r w:rsidR="00237339">
        <w:t xml:space="preserve">not be equal to </w:t>
      </w:r>
      <w:r w:rsidRPr="00330D4A">
        <w:t xml:space="preserve">the charge </w:t>
      </w:r>
      <w:r w:rsidR="00237339">
        <w:t>in the</w:t>
      </w:r>
      <w:r w:rsidRPr="00330D4A">
        <w:t xml:space="preserve"> primary shipper</w:t>
      </w:r>
      <w:r w:rsidR="00237339">
        <w:t>’s GTA</w:t>
      </w:r>
      <w:r w:rsidR="00813507">
        <w:t>)</w:t>
      </w:r>
      <w:r w:rsidR="00237339">
        <w:t>.</w:t>
      </w:r>
    </w:p>
    <w:p w14:paraId="69357321" w14:textId="5E5432AF" w:rsidR="00B21AEE" w:rsidRPr="00330D4A" w:rsidRDefault="00B21AEE" w:rsidP="00B21AEE">
      <w:pPr>
        <w:pStyle w:val="ListBullet"/>
      </w:pPr>
      <w:r w:rsidRPr="00330D4A">
        <w:rPr>
          <w:b/>
        </w:rPr>
        <w:t>Option 2:</w:t>
      </w:r>
      <w:r w:rsidRPr="00330D4A">
        <w:t xml:space="preserve"> </w:t>
      </w:r>
      <w:r w:rsidR="00237339">
        <w:t>T</w:t>
      </w:r>
      <w:r w:rsidRPr="00330D4A">
        <w:t xml:space="preserve">he </w:t>
      </w:r>
      <w:r w:rsidR="002820ED">
        <w:t>variable</w:t>
      </w:r>
      <w:r w:rsidRPr="00330D4A">
        <w:t xml:space="preserve"> charge </w:t>
      </w:r>
      <w:r w:rsidR="00813507">
        <w:t xml:space="preserve">could be </w:t>
      </w:r>
      <w:r w:rsidRPr="00330D4A">
        <w:t>paid by the primary shipper</w:t>
      </w:r>
      <w:r w:rsidR="00237339">
        <w:t xml:space="preserve"> to the service provider</w:t>
      </w:r>
      <w:r w:rsidRPr="00330D4A">
        <w:t>, based on the actual volume of gas transported by the secondary shipper</w:t>
      </w:r>
      <w:r w:rsidR="00237339">
        <w:t>.</w:t>
      </w:r>
      <w:r w:rsidR="000773DF">
        <w:t xml:space="preserve"> This implicitly allows for the primary shipper to convert the variable charge into a fixed charge when the primary shipper offers the capacity on the exchange.</w:t>
      </w:r>
    </w:p>
    <w:p w14:paraId="428EAD21" w14:textId="15A0BFFF" w:rsidR="00B21AEE" w:rsidRPr="00330D4A" w:rsidRDefault="00B21AEE" w:rsidP="00B21AEE">
      <w:pPr>
        <w:pStyle w:val="ListBullet"/>
      </w:pPr>
      <w:r w:rsidRPr="00330D4A">
        <w:rPr>
          <w:b/>
        </w:rPr>
        <w:t>Option 3:</w:t>
      </w:r>
      <w:r w:rsidRPr="00330D4A">
        <w:t xml:space="preserve"> </w:t>
      </w:r>
      <w:r w:rsidR="00237339">
        <w:t>T</w:t>
      </w:r>
      <w:r w:rsidRPr="00330D4A">
        <w:t xml:space="preserve">he primary shipper’s </w:t>
      </w:r>
      <w:r w:rsidR="002820ED">
        <w:t xml:space="preserve">variable </w:t>
      </w:r>
      <w:r w:rsidRPr="00330D4A">
        <w:t xml:space="preserve">charge </w:t>
      </w:r>
      <w:r w:rsidR="00813507">
        <w:t xml:space="preserve">could be converted by the service provider into </w:t>
      </w:r>
      <w:r w:rsidRPr="00330D4A">
        <w:t xml:space="preserve">a capacity charge for </w:t>
      </w:r>
      <w:r w:rsidR="00813507">
        <w:t xml:space="preserve">that portion of capacity that has been sold for </w:t>
      </w:r>
      <w:r w:rsidRPr="00330D4A">
        <w:t>the duration of the trade (i.e. it is assumed they use all the capacity every day of the trade</w:t>
      </w:r>
      <w:r w:rsidR="00237339">
        <w:t xml:space="preserve"> and the service provider retains any difference between the </w:t>
      </w:r>
      <w:r w:rsidR="00813507">
        <w:t xml:space="preserve">reserved </w:t>
      </w:r>
      <w:r w:rsidR="00237339">
        <w:t xml:space="preserve">capacity and </w:t>
      </w:r>
      <w:r w:rsidR="00813507">
        <w:t xml:space="preserve">actual </w:t>
      </w:r>
      <w:r w:rsidR="00237339">
        <w:t xml:space="preserve">volume of </w:t>
      </w:r>
      <w:r w:rsidR="00813507">
        <w:t xml:space="preserve">gas </w:t>
      </w:r>
      <w:r w:rsidR="00237339">
        <w:t>transported</w:t>
      </w:r>
      <w:r w:rsidRPr="00330D4A">
        <w:t>).</w:t>
      </w:r>
    </w:p>
    <w:p w14:paraId="5F101C01" w14:textId="4FFC7FE5" w:rsidR="007447D4" w:rsidRDefault="00237339" w:rsidP="00237339">
      <w:pPr>
        <w:pStyle w:val="BodyText"/>
      </w:pPr>
      <w:r>
        <w:t>The GMRG has not formed a view on the viability of any of these options, but it understands that while O</w:t>
      </w:r>
      <w:r w:rsidRPr="00330D4A">
        <w:t xml:space="preserve">ption 1 </w:t>
      </w:r>
      <w:r>
        <w:t>appears to be the easiest option to implement, it cannot deal with the situation where the primary shipper’s charge is a pure throughput charge</w:t>
      </w:r>
      <w:r w:rsidR="000773DF">
        <w:t xml:space="preserve"> and would result in financial risk being passed through to the service provider</w:t>
      </w:r>
      <w:r w:rsidRPr="00330D4A">
        <w:t>.  Option 2</w:t>
      </w:r>
      <w:r>
        <w:t xml:space="preserve">, on the other hand, </w:t>
      </w:r>
      <w:r w:rsidR="002820ED">
        <w:t xml:space="preserve">would result in the secondary shipper’s information being provided to the primary shipper, which </w:t>
      </w:r>
      <w:r w:rsidR="000773DF">
        <w:t>may result in a loss of commercial confidentiality for the secondary shipper</w:t>
      </w:r>
      <w:r w:rsidRPr="00330D4A">
        <w:t xml:space="preserve">.  </w:t>
      </w:r>
      <w:r w:rsidR="003B1C54">
        <w:t xml:space="preserve">Another downside of this option is that the primary shipper would bear the risk associated with the secondary shipper’s demand unless it converted the variable charge into a fixed charge. </w:t>
      </w:r>
      <w:r w:rsidRPr="00330D4A">
        <w:t xml:space="preserve">Option 3, which some pipelines already put in place, </w:t>
      </w:r>
      <w:r>
        <w:t xml:space="preserve">also appears problematic because it could introduce new </w:t>
      </w:r>
      <w:r w:rsidRPr="00330D4A">
        <w:t xml:space="preserve">costs for </w:t>
      </w:r>
      <w:r>
        <w:t>primary shipper</w:t>
      </w:r>
      <w:r w:rsidR="007447D4">
        <w:t>s</w:t>
      </w:r>
      <w:r>
        <w:t xml:space="preserve"> and discourage their use of the </w:t>
      </w:r>
      <w:r w:rsidRPr="00330D4A">
        <w:t>platform.</w:t>
      </w:r>
      <w:r w:rsidR="002820ED">
        <w:t xml:space="preserve"> </w:t>
      </w:r>
    </w:p>
    <w:p w14:paraId="296520C8" w14:textId="6871567E" w:rsidR="00237339" w:rsidRDefault="002820ED" w:rsidP="00237339">
      <w:pPr>
        <w:pStyle w:val="BodyText"/>
      </w:pPr>
      <w:r>
        <w:t>The GMRG would value any thoughts that stakeholders have on these or any other options that could be used to deal with variable transportation charges.</w:t>
      </w:r>
    </w:p>
    <w:tbl>
      <w:tblPr>
        <w:tblStyle w:val="PullOutBoxTable"/>
        <w:tblW w:w="5000" w:type="pct"/>
        <w:shd w:val="clear" w:color="auto" w:fill="B7E7FF"/>
        <w:tblLook w:val="0600" w:firstRow="0" w:lastRow="0" w:firstColumn="0" w:lastColumn="0" w:noHBand="1" w:noVBand="1"/>
        <w:tblCaption w:val="Box 7.4: Questions on treatment of variable transportation charges "/>
        <w:tblDescription w:val="Questions on treatment of variable transportation charges "/>
      </w:tblPr>
      <w:tblGrid>
        <w:gridCol w:w="8788"/>
      </w:tblGrid>
      <w:tr w:rsidR="00237339" w:rsidRPr="0057020B" w14:paraId="469DBF7D" w14:textId="77777777" w:rsidTr="006559E5">
        <w:trPr>
          <w:tblHeader/>
        </w:trPr>
        <w:tc>
          <w:tcPr>
            <w:tcW w:w="5000" w:type="pct"/>
            <w:shd w:val="clear" w:color="auto" w:fill="auto"/>
          </w:tcPr>
          <w:p w14:paraId="20751470" w14:textId="5F17B910" w:rsidR="00813507" w:rsidRPr="0057020B" w:rsidRDefault="006559E5" w:rsidP="006559E5">
            <w:pPr>
              <w:pStyle w:val="ListBullet2"/>
              <w:numPr>
                <w:ilvl w:val="0"/>
                <w:numId w:val="0"/>
              </w:numPr>
              <w:spacing w:after="0"/>
              <w:rPr>
                <w:rFonts w:eastAsiaTheme="majorEastAsia"/>
                <w:sz w:val="20"/>
                <w:szCs w:val="20"/>
              </w:rPr>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7</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4</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treatment of variable transportation charges</w:t>
            </w:r>
          </w:p>
        </w:tc>
      </w:tr>
      <w:tr w:rsidR="006559E5" w:rsidRPr="0057020B" w14:paraId="584FBBB8" w14:textId="77777777" w:rsidTr="006559E5">
        <w:trPr>
          <w:tblHeader/>
        </w:trPr>
        <w:tc>
          <w:tcPr>
            <w:tcW w:w="5000" w:type="pct"/>
            <w:shd w:val="clear" w:color="auto" w:fill="B7E7FF"/>
          </w:tcPr>
          <w:p w14:paraId="67E64176" w14:textId="77777777" w:rsidR="006559E5" w:rsidRPr="00813507" w:rsidRDefault="006559E5" w:rsidP="006559E5">
            <w:pPr>
              <w:pStyle w:val="ListNumber"/>
              <w:numPr>
                <w:ilvl w:val="0"/>
                <w:numId w:val="23"/>
              </w:numPr>
              <w:rPr>
                <w:rFonts w:eastAsiaTheme="majorEastAsia"/>
                <w:sz w:val="20"/>
                <w:szCs w:val="20"/>
              </w:rPr>
            </w:pPr>
            <w:r>
              <w:rPr>
                <w:rFonts w:eastAsiaTheme="majorEastAsia"/>
                <w:sz w:val="21"/>
                <w:szCs w:val="21"/>
              </w:rPr>
              <w:t>Which option do you think should be used to deal with those cases where a primary shipper is liable to pay a variable transportation charge under its primary GTA:</w:t>
            </w:r>
          </w:p>
          <w:p w14:paraId="076A4CBF" w14:textId="77777777" w:rsidR="006559E5" w:rsidRPr="00813507" w:rsidRDefault="006559E5" w:rsidP="006559E5">
            <w:pPr>
              <w:pStyle w:val="ListBullet2"/>
              <w:rPr>
                <w:rFonts w:eastAsiaTheme="majorEastAsia"/>
                <w:sz w:val="20"/>
                <w:szCs w:val="20"/>
              </w:rPr>
            </w:pPr>
            <w:r>
              <w:rPr>
                <w:rFonts w:eastAsiaTheme="majorEastAsia"/>
              </w:rPr>
              <w:t>variable charge paid by secondary shipper to service provider?</w:t>
            </w:r>
          </w:p>
          <w:p w14:paraId="0E10CD3E" w14:textId="109E2905" w:rsidR="006559E5" w:rsidRPr="006559E5" w:rsidRDefault="006559E5" w:rsidP="006559E5">
            <w:pPr>
              <w:pStyle w:val="ListBullet2"/>
              <w:rPr>
                <w:rFonts w:eastAsiaTheme="majorEastAsia"/>
                <w:sz w:val="20"/>
                <w:szCs w:val="20"/>
              </w:rPr>
            </w:pPr>
            <w:proofErr w:type="gramStart"/>
            <w:r>
              <w:rPr>
                <w:rFonts w:eastAsiaTheme="majorEastAsia"/>
              </w:rPr>
              <w:t>variable</w:t>
            </w:r>
            <w:proofErr w:type="gramEnd"/>
            <w:r>
              <w:rPr>
                <w:rFonts w:eastAsiaTheme="majorEastAsia"/>
              </w:rPr>
              <w:t xml:space="preserve"> charge paid by primary shipper to service provider, based on actual volumes transported by the secondary shipper?</w:t>
            </w:r>
          </w:p>
          <w:p w14:paraId="64241BEA" w14:textId="359E6AB6" w:rsidR="006559E5" w:rsidRPr="006559E5" w:rsidRDefault="006559E5" w:rsidP="006559E5">
            <w:pPr>
              <w:pStyle w:val="ListBullet2"/>
              <w:rPr>
                <w:rFonts w:eastAsiaTheme="majorEastAsia"/>
                <w:sz w:val="20"/>
                <w:szCs w:val="20"/>
              </w:rPr>
            </w:pPr>
            <w:proofErr w:type="gramStart"/>
            <w:r>
              <w:t>primary</w:t>
            </w:r>
            <w:proofErr w:type="gramEnd"/>
            <w:r>
              <w:t xml:space="preserve"> shipper’s variable charge converted to a fixed charge for that portion of capacity sold for the duration of the trade.</w:t>
            </w:r>
          </w:p>
        </w:tc>
      </w:tr>
    </w:tbl>
    <w:p w14:paraId="71FFB310" w14:textId="7CCA1727" w:rsidR="00F65A13" w:rsidRDefault="00F65A13" w:rsidP="005C4789">
      <w:pPr>
        <w:pStyle w:val="ListBullet"/>
        <w:numPr>
          <w:ilvl w:val="0"/>
          <w:numId w:val="57"/>
        </w:numPr>
      </w:pPr>
      <w:bookmarkStart w:id="158" w:name="EndPasteHere"/>
      <w:bookmarkStart w:id="159" w:name="_Toc489464934"/>
      <w:bookmarkEnd w:id="158"/>
      <w:r>
        <w:br w:type="page"/>
      </w:r>
    </w:p>
    <w:p w14:paraId="72AC7C9F" w14:textId="3C55DBE6" w:rsidR="00C34E9D" w:rsidRPr="008B1B73" w:rsidRDefault="00C34E9D" w:rsidP="00F65A13">
      <w:pPr>
        <w:pStyle w:val="Heading1"/>
      </w:pPr>
      <w:bookmarkStart w:id="160" w:name="_Toc492524762"/>
      <w:r w:rsidRPr="008B1B73">
        <w:lastRenderedPageBreak/>
        <w:t xml:space="preserve">Delivery </w:t>
      </w:r>
      <w:r w:rsidR="00854182">
        <w:t>P</w:t>
      </w:r>
      <w:r w:rsidRPr="008B1B73">
        <w:t>rocess</w:t>
      </w:r>
      <w:r w:rsidR="00854182">
        <w:t xml:space="preserve"> </w:t>
      </w:r>
      <w:bookmarkEnd w:id="159"/>
      <w:r w:rsidR="003529C7">
        <w:t>for Exchange Traded Products</w:t>
      </w:r>
      <w:bookmarkEnd w:id="160"/>
      <w:r w:rsidR="003529C7">
        <w:t xml:space="preserve"> </w:t>
      </w:r>
    </w:p>
    <w:p w14:paraId="16EC0096" w14:textId="1B7C24BF" w:rsidR="00C34E9D" w:rsidRPr="008B1B73" w:rsidRDefault="00C90431" w:rsidP="00C34E9D">
      <w:pPr>
        <w:pStyle w:val="BodyText"/>
      </w:pPr>
      <w:r>
        <w:rPr>
          <w:rFonts w:cs="Arial"/>
        </w:rPr>
        <w:t xml:space="preserve">In keeping with the AEMC’s recommendation that </w:t>
      </w:r>
      <w:r w:rsidR="00F85F7D">
        <w:rPr>
          <w:rFonts w:cs="Arial"/>
        </w:rPr>
        <w:t xml:space="preserve">all </w:t>
      </w:r>
      <w:r>
        <w:rPr>
          <w:rFonts w:cs="Arial"/>
        </w:rPr>
        <w:t xml:space="preserve">trades conducted through the exchange be given effect through an operational transfer, once </w:t>
      </w:r>
      <w:r w:rsidR="00C34E9D" w:rsidRPr="008B1B73">
        <w:rPr>
          <w:rFonts w:cs="Arial"/>
        </w:rPr>
        <w:t xml:space="preserve">a </w:t>
      </w:r>
      <w:r w:rsidR="0003249B">
        <w:rPr>
          <w:rFonts w:cs="Arial"/>
        </w:rPr>
        <w:t xml:space="preserve">trade </w:t>
      </w:r>
      <w:r w:rsidR="00C34E9D" w:rsidRPr="008B1B73">
        <w:rPr>
          <w:rFonts w:cs="Arial"/>
        </w:rPr>
        <w:t xml:space="preserve">has </w:t>
      </w:r>
      <w:r w:rsidR="00707575">
        <w:rPr>
          <w:rFonts w:cs="Arial"/>
        </w:rPr>
        <w:t xml:space="preserve">occurred </w:t>
      </w:r>
      <w:r w:rsidR="00C34E9D" w:rsidRPr="008B1B73">
        <w:rPr>
          <w:rFonts w:cs="Arial"/>
        </w:rPr>
        <w:t xml:space="preserve">the </w:t>
      </w:r>
      <w:r w:rsidR="0003249B">
        <w:rPr>
          <w:rFonts w:cs="Arial"/>
        </w:rPr>
        <w:t xml:space="preserve">capacity </w:t>
      </w:r>
      <w:r w:rsidR="00C34E9D" w:rsidRPr="008B1B73">
        <w:rPr>
          <w:rFonts w:cs="Arial"/>
        </w:rPr>
        <w:t xml:space="preserve">will need to be transferred </w:t>
      </w:r>
      <w:r w:rsidR="00F85F7D">
        <w:rPr>
          <w:rFonts w:cs="Arial"/>
        </w:rPr>
        <w:t xml:space="preserve">by the service provider </w:t>
      </w:r>
      <w:r w:rsidR="00C34E9D" w:rsidRPr="008B1B73">
        <w:rPr>
          <w:rFonts w:cs="Arial"/>
        </w:rPr>
        <w:t>from the seller</w:t>
      </w:r>
      <w:r w:rsidR="00F85F7D">
        <w:rPr>
          <w:rFonts w:cs="Arial"/>
        </w:rPr>
        <w:t>’s GTA</w:t>
      </w:r>
      <w:r w:rsidR="00C34E9D" w:rsidRPr="008B1B73">
        <w:rPr>
          <w:rFonts w:cs="Arial"/>
        </w:rPr>
        <w:t xml:space="preserve"> to the buyer</w:t>
      </w:r>
      <w:r w:rsidR="00F85F7D">
        <w:rPr>
          <w:rFonts w:cs="Arial"/>
        </w:rPr>
        <w:t>’s operational GTA</w:t>
      </w:r>
      <w:r w:rsidR="00C34E9D" w:rsidRPr="008B1B73">
        <w:rPr>
          <w:rFonts w:cs="Arial"/>
        </w:rPr>
        <w:t>.</w:t>
      </w:r>
      <w:r w:rsidR="00F85F7D" w:rsidRPr="00F85F7D">
        <w:rPr>
          <w:rStyle w:val="FootnoteReference"/>
        </w:rPr>
        <w:t xml:space="preserve"> </w:t>
      </w:r>
      <w:r w:rsidR="00F85F7D">
        <w:rPr>
          <w:rStyle w:val="FootnoteReference"/>
        </w:rPr>
        <w:footnoteReference w:id="92"/>
      </w:r>
      <w:r w:rsidR="00C34E9D" w:rsidRPr="008B1B73">
        <w:rPr>
          <w:rFonts w:cs="Arial"/>
        </w:rPr>
        <w:t xml:space="preserve"> This </w:t>
      </w:r>
      <w:r w:rsidR="0003249B">
        <w:rPr>
          <w:rFonts w:cs="Arial"/>
        </w:rPr>
        <w:t>transfer will need</w:t>
      </w:r>
      <w:r w:rsidR="00C34E9D" w:rsidRPr="008B1B73">
        <w:rPr>
          <w:rFonts w:cs="Arial"/>
        </w:rPr>
        <w:t xml:space="preserve"> to occur ahead of the gas day so </w:t>
      </w:r>
      <w:r w:rsidR="0003249B">
        <w:rPr>
          <w:rFonts w:cs="Arial"/>
        </w:rPr>
        <w:t xml:space="preserve">that </w:t>
      </w:r>
      <w:r w:rsidR="00C34E9D" w:rsidRPr="008B1B73">
        <w:rPr>
          <w:rFonts w:cs="Arial"/>
        </w:rPr>
        <w:t xml:space="preserve">the buyer can </w:t>
      </w:r>
      <w:r w:rsidR="0003249B">
        <w:rPr>
          <w:rFonts w:cs="Arial"/>
        </w:rPr>
        <w:t xml:space="preserve">take ‘delivery’ of the capacity and make nominations </w:t>
      </w:r>
      <w:r w:rsidR="00C34E9D" w:rsidRPr="008B1B73">
        <w:rPr>
          <w:rFonts w:cs="Arial"/>
        </w:rPr>
        <w:t xml:space="preserve">against </w:t>
      </w:r>
      <w:r w:rsidR="0003249B">
        <w:rPr>
          <w:rFonts w:cs="Arial"/>
        </w:rPr>
        <w:t xml:space="preserve">the </w:t>
      </w:r>
      <w:r w:rsidR="00C34E9D" w:rsidRPr="008B1B73">
        <w:rPr>
          <w:rFonts w:cs="Arial"/>
        </w:rPr>
        <w:t xml:space="preserve">capacity prior to the </w:t>
      </w:r>
      <w:r w:rsidR="00734F1F">
        <w:rPr>
          <w:rFonts w:cs="Arial"/>
        </w:rPr>
        <w:t xml:space="preserve">service provider’s </w:t>
      </w:r>
      <w:r w:rsidR="00C34E9D" w:rsidRPr="008B1B73">
        <w:rPr>
          <w:rFonts w:cs="Arial"/>
        </w:rPr>
        <w:t xml:space="preserve">nomination cut-off time.  </w:t>
      </w:r>
    </w:p>
    <w:p w14:paraId="76DF2BCB" w14:textId="22B55220" w:rsidR="00C34E9D" w:rsidRPr="008B1B73" w:rsidRDefault="0003249B" w:rsidP="00C34E9D">
      <w:pPr>
        <w:pStyle w:val="BodyText"/>
      </w:pPr>
      <w:r>
        <w:t>At a high level, the delivery process is expected to involve</w:t>
      </w:r>
      <w:r w:rsidR="00C34E9D" w:rsidRPr="008B1B73">
        <w:t>:</w:t>
      </w:r>
    </w:p>
    <w:p w14:paraId="6A9FF884" w14:textId="17531D5A" w:rsidR="00C34E9D" w:rsidRPr="008B1B73" w:rsidRDefault="00E50FC4" w:rsidP="005C4789">
      <w:pPr>
        <w:pStyle w:val="ListBullet"/>
        <w:numPr>
          <w:ilvl w:val="0"/>
          <w:numId w:val="56"/>
        </w:numPr>
      </w:pPr>
      <w:r>
        <w:t>the p</w:t>
      </w:r>
      <w:r w:rsidR="00C34E9D" w:rsidRPr="008B1B73">
        <w:t xml:space="preserve">rovision of transaction information to </w:t>
      </w:r>
      <w:r w:rsidR="00734F1F">
        <w:t>service providers</w:t>
      </w:r>
      <w:r w:rsidR="00C34E9D" w:rsidRPr="008B1B73">
        <w:t>;</w:t>
      </w:r>
    </w:p>
    <w:p w14:paraId="160DBDD7" w14:textId="63720994" w:rsidR="00C34E9D" w:rsidRPr="008B1B73" w:rsidRDefault="00E50FC4" w:rsidP="005C4789">
      <w:pPr>
        <w:pStyle w:val="ListBullet"/>
        <w:numPr>
          <w:ilvl w:val="0"/>
          <w:numId w:val="55"/>
        </w:numPr>
      </w:pPr>
      <w:r>
        <w:t>s</w:t>
      </w:r>
      <w:r w:rsidR="00734F1F">
        <w:t xml:space="preserve">ervice providers </w:t>
      </w:r>
      <w:r w:rsidR="00C34E9D" w:rsidRPr="008B1B73">
        <w:t xml:space="preserve">transferring </w:t>
      </w:r>
      <w:r w:rsidR="0003249B">
        <w:t xml:space="preserve">the </w:t>
      </w:r>
      <w:r w:rsidR="00723C4D">
        <w:t>capacity</w:t>
      </w:r>
      <w:r w:rsidR="00C34E9D" w:rsidRPr="008B1B73">
        <w:t xml:space="preserve"> </w:t>
      </w:r>
      <w:r w:rsidR="0003249B">
        <w:t xml:space="preserve">from the seller to the buyer </w:t>
      </w:r>
      <w:r w:rsidR="00734F1F">
        <w:t xml:space="preserve">and providing AEMO </w:t>
      </w:r>
      <w:r w:rsidR="0003249B">
        <w:t xml:space="preserve">and the </w:t>
      </w:r>
      <w:r w:rsidR="00642421">
        <w:t xml:space="preserve">buyer </w:t>
      </w:r>
      <w:r w:rsidR="00734F1F">
        <w:t xml:space="preserve">with confirmation that </w:t>
      </w:r>
      <w:r w:rsidR="00642421">
        <w:t xml:space="preserve">the transfer </w:t>
      </w:r>
      <w:r w:rsidR="00734F1F">
        <w:t>has occurred</w:t>
      </w:r>
      <w:r w:rsidR="00C34E9D" w:rsidRPr="008B1B73">
        <w:t>;</w:t>
      </w:r>
      <w:r w:rsidR="0003249B">
        <w:t xml:space="preserve"> and</w:t>
      </w:r>
    </w:p>
    <w:p w14:paraId="2838AB70" w14:textId="52B696A5" w:rsidR="00C34E9D" w:rsidRPr="008B1B73" w:rsidRDefault="00C34E9D" w:rsidP="005C4789">
      <w:pPr>
        <w:pStyle w:val="ListBullet"/>
        <w:numPr>
          <w:ilvl w:val="0"/>
          <w:numId w:val="55"/>
        </w:numPr>
      </w:pPr>
      <w:r w:rsidRPr="008B1B73">
        <w:t xml:space="preserve">AEMO transferring </w:t>
      </w:r>
      <w:r w:rsidR="0003249B">
        <w:t xml:space="preserve">the </w:t>
      </w:r>
      <w:r w:rsidRPr="008B1B73">
        <w:t xml:space="preserve">STTM trading rights </w:t>
      </w:r>
      <w:r w:rsidR="0003249B">
        <w:t xml:space="preserve">and/or </w:t>
      </w:r>
      <w:r w:rsidR="004C1EF9">
        <w:t xml:space="preserve">updating </w:t>
      </w:r>
      <w:r w:rsidR="0003249B">
        <w:t xml:space="preserve">the DWGM accreditation constraints </w:t>
      </w:r>
      <w:r w:rsidRPr="008B1B73">
        <w:t>where applicable</w:t>
      </w:r>
      <w:r w:rsidR="0003249B">
        <w:t>.</w:t>
      </w:r>
    </w:p>
    <w:p w14:paraId="5373EE16" w14:textId="4A2FBAF9" w:rsidR="0003249B" w:rsidRDefault="0003249B" w:rsidP="00734F1F">
      <w:pPr>
        <w:pStyle w:val="BodyText"/>
      </w:pPr>
      <w:r>
        <w:t xml:space="preserve">There are a number of ways in which these elements of the delivery process could be implemented, which are explored in further detail in the remainder of this chapter. </w:t>
      </w:r>
    </w:p>
    <w:p w14:paraId="074E07DC" w14:textId="78ACB216" w:rsidR="00A01546" w:rsidRDefault="00A01546" w:rsidP="00330913">
      <w:pPr>
        <w:pStyle w:val="Heading2"/>
      </w:pPr>
      <w:bookmarkStart w:id="161" w:name="_Toc492524763"/>
      <w:r>
        <w:t>Provision of transaction information to service providers</w:t>
      </w:r>
      <w:bookmarkEnd w:id="161"/>
    </w:p>
    <w:p w14:paraId="563D42C0" w14:textId="2D415735" w:rsidR="00A01546" w:rsidRDefault="00A01546" w:rsidP="00A01546">
      <w:pPr>
        <w:pStyle w:val="BodyText"/>
        <w:rPr>
          <w:rFonts w:cs="Arial"/>
        </w:rPr>
      </w:pPr>
      <w:r>
        <w:rPr>
          <w:rFonts w:cs="Arial"/>
        </w:rPr>
        <w:t>The way in which transaction information is provided to service providers will depend on</w:t>
      </w:r>
    </w:p>
    <w:p w14:paraId="744289FA" w14:textId="7445935F" w:rsidR="00A01546" w:rsidRDefault="00A01546" w:rsidP="00A01546">
      <w:pPr>
        <w:pStyle w:val="ListBullet"/>
      </w:pPr>
      <w:r>
        <w:t>whether anonymity is to be preserved post-transaction;</w:t>
      </w:r>
    </w:p>
    <w:p w14:paraId="7AF34D3C" w14:textId="3EC0FE62" w:rsidR="00A01546" w:rsidRDefault="00A01546" w:rsidP="00A01546">
      <w:pPr>
        <w:pStyle w:val="ListBullet"/>
      </w:pPr>
      <w:r>
        <w:t xml:space="preserve">the frequency with which information is transferred; and </w:t>
      </w:r>
    </w:p>
    <w:p w14:paraId="73A7136E" w14:textId="317CCFE9" w:rsidR="00A01546" w:rsidRDefault="00A01546" w:rsidP="00A01546">
      <w:pPr>
        <w:pStyle w:val="ListBullet"/>
      </w:pPr>
      <w:r>
        <w:t xml:space="preserve">the data interchange systems that are used. </w:t>
      </w:r>
    </w:p>
    <w:p w14:paraId="1C40E534" w14:textId="0DB57482" w:rsidR="00A01546" w:rsidRPr="008B1B73" w:rsidRDefault="00A01546" w:rsidP="00A01546">
      <w:pPr>
        <w:pStyle w:val="ListBullet"/>
        <w:numPr>
          <w:ilvl w:val="0"/>
          <w:numId w:val="0"/>
        </w:numPr>
      </w:pPr>
      <w:r>
        <w:t>These issues are discussed below.</w:t>
      </w:r>
    </w:p>
    <w:p w14:paraId="765CCE81" w14:textId="079DA07B" w:rsidR="00330913" w:rsidRPr="008B1B73" w:rsidRDefault="00330913" w:rsidP="00A01546">
      <w:pPr>
        <w:pStyle w:val="Heading3"/>
      </w:pPr>
      <w:bookmarkStart w:id="162" w:name="_Ref492066101"/>
      <w:r w:rsidRPr="008B1B73">
        <w:t>Anonymity</w:t>
      </w:r>
      <w:r w:rsidR="00A01546">
        <w:t xml:space="preserve"> post transaction</w:t>
      </w:r>
      <w:bookmarkEnd w:id="162"/>
    </w:p>
    <w:p w14:paraId="1D683214" w14:textId="61F9C20A" w:rsidR="00330913" w:rsidRPr="008B1B73" w:rsidRDefault="00330913" w:rsidP="00330913">
      <w:pPr>
        <w:pStyle w:val="BodyText"/>
      </w:pPr>
      <w:r>
        <w:rPr>
          <w:rFonts w:cs="Arial"/>
        </w:rPr>
        <w:t xml:space="preserve">Trades executed through the exchange will </w:t>
      </w:r>
      <w:r w:rsidR="00350E30">
        <w:rPr>
          <w:rFonts w:cs="Arial"/>
        </w:rPr>
        <w:t xml:space="preserve">occur on an anonymous basis. </w:t>
      </w:r>
      <w:r w:rsidRPr="008B1B73">
        <w:t>After a transaction occurs on the exchange there are two options with respect to anonymity:</w:t>
      </w:r>
    </w:p>
    <w:p w14:paraId="4155F877" w14:textId="77C07F61" w:rsidR="00330913" w:rsidRPr="008B1B73" w:rsidRDefault="00330913" w:rsidP="005C4789">
      <w:pPr>
        <w:pStyle w:val="ListBullet"/>
        <w:numPr>
          <w:ilvl w:val="0"/>
          <w:numId w:val="47"/>
        </w:numPr>
      </w:pPr>
      <w:r w:rsidRPr="008B1B73">
        <w:rPr>
          <w:rStyle w:val="Bold"/>
        </w:rPr>
        <w:t>Partial anonymity</w:t>
      </w:r>
      <w:r w:rsidRPr="008B1B73">
        <w:t xml:space="preserve">: </w:t>
      </w:r>
      <w:r w:rsidR="00350E30">
        <w:t>Under this option the counterparties</w:t>
      </w:r>
      <w:r w:rsidR="000773DF">
        <w:t>’</w:t>
      </w:r>
      <w:r w:rsidR="00350E30">
        <w:t xml:space="preserve"> </w:t>
      </w:r>
      <w:r w:rsidRPr="008B1B73">
        <w:t xml:space="preserve">names </w:t>
      </w:r>
      <w:r w:rsidR="00350E30">
        <w:t xml:space="preserve">would be </w:t>
      </w:r>
      <w:r w:rsidRPr="008B1B73">
        <w:t xml:space="preserve">revealed after the transaction so they can jointly confirm the transfer of </w:t>
      </w:r>
      <w:r w:rsidR="00723C4D">
        <w:t>capacity</w:t>
      </w:r>
      <w:r w:rsidRPr="008B1B73">
        <w:t xml:space="preserve"> with the </w:t>
      </w:r>
      <w:r>
        <w:t>service provider</w:t>
      </w:r>
      <w:r w:rsidR="00642421">
        <w:t>; or</w:t>
      </w:r>
    </w:p>
    <w:p w14:paraId="1A29C6D9" w14:textId="1F71AD65" w:rsidR="00330913" w:rsidRPr="008B1B73" w:rsidRDefault="00330913" w:rsidP="005C4789">
      <w:pPr>
        <w:pStyle w:val="ListBullet"/>
        <w:numPr>
          <w:ilvl w:val="0"/>
          <w:numId w:val="46"/>
        </w:numPr>
      </w:pPr>
      <w:r w:rsidRPr="008B1B73">
        <w:rPr>
          <w:rStyle w:val="Bold"/>
        </w:rPr>
        <w:t>Full anonymity</w:t>
      </w:r>
      <w:r w:rsidRPr="008B1B73">
        <w:t xml:space="preserve">: </w:t>
      </w:r>
      <w:r w:rsidR="00350E30">
        <w:t xml:space="preserve">Under this option </w:t>
      </w:r>
      <w:r w:rsidRPr="008B1B73">
        <w:t xml:space="preserve">AEMO </w:t>
      </w:r>
      <w:r w:rsidR="00350E30">
        <w:t>would confirm</w:t>
      </w:r>
      <w:r w:rsidRPr="008B1B73">
        <w:t xml:space="preserve"> the transaction with the </w:t>
      </w:r>
      <w:r>
        <w:t>service provider</w:t>
      </w:r>
      <w:r w:rsidRPr="008B1B73">
        <w:t xml:space="preserve"> so counterparty names are not revealed.</w:t>
      </w:r>
    </w:p>
    <w:p w14:paraId="4FBE2F99" w14:textId="77777777" w:rsidR="00330913" w:rsidRPr="00350E30" w:rsidRDefault="00330913" w:rsidP="00350E30">
      <w:pPr>
        <w:pStyle w:val="BoldHeading"/>
        <w:rPr>
          <w:color w:val="0099CC"/>
        </w:rPr>
      </w:pPr>
      <w:r w:rsidRPr="00350E30">
        <w:rPr>
          <w:color w:val="0099CC"/>
        </w:rPr>
        <w:t>Partial anonymity</w:t>
      </w:r>
    </w:p>
    <w:p w14:paraId="4E34E656" w14:textId="334900CD" w:rsidR="00330913" w:rsidRDefault="00330913" w:rsidP="00330913">
      <w:pPr>
        <w:pStyle w:val="BodyText"/>
        <w:rPr>
          <w:rFonts w:cs="Arial"/>
        </w:rPr>
      </w:pPr>
      <w:r w:rsidRPr="008B1B73">
        <w:rPr>
          <w:rFonts w:cs="Arial"/>
        </w:rPr>
        <w:t xml:space="preserve">Under the partially anonymous approach counterparties </w:t>
      </w:r>
      <w:r w:rsidR="00A01546">
        <w:rPr>
          <w:rFonts w:cs="Arial"/>
        </w:rPr>
        <w:t xml:space="preserve">would be </w:t>
      </w:r>
      <w:r w:rsidRPr="008B1B73">
        <w:rPr>
          <w:rFonts w:cs="Arial"/>
        </w:rPr>
        <w:t xml:space="preserve">anonymous until the </w:t>
      </w:r>
      <w:r w:rsidR="00642421">
        <w:rPr>
          <w:rFonts w:cs="Arial"/>
        </w:rPr>
        <w:t xml:space="preserve">capacity </w:t>
      </w:r>
      <w:r w:rsidRPr="008B1B73">
        <w:rPr>
          <w:rFonts w:cs="Arial"/>
        </w:rPr>
        <w:t xml:space="preserve">needs to be transferred. </w:t>
      </w:r>
      <w:r w:rsidR="00C5374D">
        <w:rPr>
          <w:rFonts w:cs="Arial"/>
        </w:rPr>
        <w:t xml:space="preserve">At this point, </w:t>
      </w:r>
      <w:r w:rsidRPr="008B1B73">
        <w:rPr>
          <w:rFonts w:cs="Arial"/>
        </w:rPr>
        <w:t xml:space="preserve">AEMO would reveal </w:t>
      </w:r>
      <w:r w:rsidR="00C5374D">
        <w:rPr>
          <w:rFonts w:cs="Arial"/>
        </w:rPr>
        <w:t xml:space="preserve">the </w:t>
      </w:r>
      <w:r w:rsidRPr="008B1B73">
        <w:rPr>
          <w:rFonts w:cs="Arial"/>
        </w:rPr>
        <w:t xml:space="preserve">counterparty names so that participants can provide this information to the </w:t>
      </w:r>
      <w:r>
        <w:rPr>
          <w:rFonts w:cs="Arial"/>
        </w:rPr>
        <w:t>service provider</w:t>
      </w:r>
      <w:r w:rsidRPr="008B1B73">
        <w:rPr>
          <w:rFonts w:cs="Arial"/>
        </w:rPr>
        <w:t xml:space="preserve">. </w:t>
      </w:r>
      <w:r w:rsidR="00A01546">
        <w:rPr>
          <w:rFonts w:cs="Arial"/>
        </w:rPr>
        <w:t xml:space="preserve">The </w:t>
      </w:r>
      <w:r w:rsidR="00A01546">
        <w:rPr>
          <w:rFonts w:cs="Arial"/>
        </w:rPr>
        <w:lastRenderedPageBreak/>
        <w:t xml:space="preserve">information that counterparties would </w:t>
      </w:r>
      <w:r w:rsidR="00C5374D">
        <w:rPr>
          <w:rFonts w:cs="Arial"/>
        </w:rPr>
        <w:t xml:space="preserve">be expected </w:t>
      </w:r>
      <w:r w:rsidR="00A01546">
        <w:rPr>
          <w:rFonts w:cs="Arial"/>
        </w:rPr>
        <w:t xml:space="preserve">to provide </w:t>
      </w:r>
      <w:r w:rsidR="006E6F2C">
        <w:rPr>
          <w:rFonts w:cs="Arial"/>
        </w:rPr>
        <w:t xml:space="preserve">to </w:t>
      </w:r>
      <w:r w:rsidR="00A01546">
        <w:rPr>
          <w:rFonts w:cs="Arial"/>
        </w:rPr>
        <w:t>the service provider, includes</w:t>
      </w:r>
      <w:r w:rsidR="00642421">
        <w:rPr>
          <w:rFonts w:cs="Arial"/>
        </w:rPr>
        <w:t>:</w:t>
      </w:r>
      <w:r w:rsidR="00A01546">
        <w:rPr>
          <w:rFonts w:cs="Arial"/>
        </w:rPr>
        <w:t xml:space="preserve"> </w:t>
      </w:r>
    </w:p>
    <w:p w14:paraId="02830808" w14:textId="1C88DFA1" w:rsidR="00A01546" w:rsidRPr="008B1B73" w:rsidRDefault="00C5374D" w:rsidP="005C4789">
      <w:pPr>
        <w:pStyle w:val="ListBullet"/>
        <w:numPr>
          <w:ilvl w:val="0"/>
          <w:numId w:val="46"/>
        </w:numPr>
      </w:pPr>
      <w:r>
        <w:t xml:space="preserve">the </w:t>
      </w:r>
      <w:r w:rsidR="00642421">
        <w:t>amount of capacity that has been traded</w:t>
      </w:r>
      <w:r w:rsidR="00A01546" w:rsidRPr="008B1B73">
        <w:t>;</w:t>
      </w:r>
    </w:p>
    <w:p w14:paraId="77D7CEC1" w14:textId="1B6B1B9D" w:rsidR="00A01546" w:rsidRPr="008B1B73" w:rsidRDefault="00C5374D" w:rsidP="005C4789">
      <w:pPr>
        <w:pStyle w:val="ListBullet"/>
        <w:numPr>
          <w:ilvl w:val="0"/>
          <w:numId w:val="45"/>
        </w:numPr>
      </w:pPr>
      <w:r>
        <w:t xml:space="preserve">the </w:t>
      </w:r>
      <w:r w:rsidR="00642421">
        <w:t>buyer’s and seller’s identities</w:t>
      </w:r>
      <w:r w:rsidR="00A01546" w:rsidRPr="008B1B73">
        <w:t xml:space="preserve">; </w:t>
      </w:r>
    </w:p>
    <w:p w14:paraId="2D23B6A1" w14:textId="40C4B97C" w:rsidR="00A01546" w:rsidRPr="008B1B73" w:rsidRDefault="00A01546" w:rsidP="005C4789">
      <w:pPr>
        <w:pStyle w:val="ListBullet"/>
        <w:numPr>
          <w:ilvl w:val="0"/>
          <w:numId w:val="45"/>
        </w:numPr>
      </w:pPr>
      <w:r>
        <w:t xml:space="preserve">the </w:t>
      </w:r>
      <w:r w:rsidR="00C5374D">
        <w:t xml:space="preserve">seller’s </w:t>
      </w:r>
      <w:r w:rsidRPr="008B1B73">
        <w:t xml:space="preserve">GTA </w:t>
      </w:r>
      <w:r w:rsidR="00C5374D">
        <w:t xml:space="preserve">that the capacity will be transferred </w:t>
      </w:r>
      <w:r w:rsidRPr="008B1B73">
        <w:t xml:space="preserve">from and </w:t>
      </w:r>
      <w:r>
        <w:t xml:space="preserve">the </w:t>
      </w:r>
      <w:r w:rsidRPr="008B1B73">
        <w:t>receipt and delivery points</w:t>
      </w:r>
      <w:r w:rsidR="00C5374D">
        <w:t xml:space="preserve"> from which the capacity will be released</w:t>
      </w:r>
      <w:r w:rsidRPr="008B1B73">
        <w:t>; and</w:t>
      </w:r>
    </w:p>
    <w:p w14:paraId="4E221A46" w14:textId="16BC5AF0" w:rsidR="00A01546" w:rsidRPr="008B1B73" w:rsidRDefault="00A01546" w:rsidP="005C4789">
      <w:pPr>
        <w:pStyle w:val="ListBullet"/>
        <w:numPr>
          <w:ilvl w:val="0"/>
          <w:numId w:val="45"/>
        </w:numPr>
      </w:pPr>
      <w:r>
        <w:t xml:space="preserve">the </w:t>
      </w:r>
      <w:r w:rsidR="00C5374D">
        <w:t xml:space="preserve">buyer’s </w:t>
      </w:r>
      <w:r>
        <w:t xml:space="preserve">operational </w:t>
      </w:r>
      <w:r w:rsidRPr="008B1B73">
        <w:t xml:space="preserve">GTA </w:t>
      </w:r>
      <w:r w:rsidR="00C5374D">
        <w:t xml:space="preserve">that the capacity will be transferred to </w:t>
      </w:r>
      <w:r w:rsidRPr="008B1B73">
        <w:t xml:space="preserve">and </w:t>
      </w:r>
      <w:r>
        <w:t xml:space="preserve">the </w:t>
      </w:r>
      <w:r w:rsidRPr="008B1B73">
        <w:t>receipt and delivery points</w:t>
      </w:r>
      <w:r w:rsidR="00C5374D">
        <w:t xml:space="preserve"> the buyer intends to use</w:t>
      </w:r>
      <w:r w:rsidR="000773DF">
        <w:t xml:space="preserve"> (note that information on receipt and delivery points could also be provided through the nomination process)</w:t>
      </w:r>
      <w:r w:rsidRPr="008B1B73">
        <w:t xml:space="preserve">. </w:t>
      </w:r>
    </w:p>
    <w:p w14:paraId="61EF5837" w14:textId="3860D6D9" w:rsidR="00330913" w:rsidRPr="008B1B73" w:rsidRDefault="00330913" w:rsidP="00330913">
      <w:pPr>
        <w:pStyle w:val="BodyText"/>
      </w:pPr>
      <w:r w:rsidRPr="008B1B73">
        <w:t xml:space="preserve">The partially anonymous </w:t>
      </w:r>
      <w:r w:rsidR="00350E30">
        <w:t>option</w:t>
      </w:r>
      <w:r w:rsidRPr="008B1B73">
        <w:t xml:space="preserve"> is illustrated in </w:t>
      </w:r>
      <w:r>
        <w:fldChar w:fldCharType="begin"/>
      </w:r>
      <w:r>
        <w:instrText xml:space="preserve"> REF _Ref491917372 \h </w:instrText>
      </w:r>
      <w:r>
        <w:fldChar w:fldCharType="separate"/>
      </w:r>
      <w:r w:rsidR="00947034" w:rsidRPr="00446B58">
        <w:t xml:space="preserve">Figure </w:t>
      </w:r>
      <w:r w:rsidR="00947034">
        <w:rPr>
          <w:noProof/>
        </w:rPr>
        <w:t>8</w:t>
      </w:r>
      <w:r w:rsidR="00947034">
        <w:t>.</w:t>
      </w:r>
      <w:r w:rsidR="00947034">
        <w:rPr>
          <w:noProof/>
        </w:rPr>
        <w:t>1</w:t>
      </w:r>
      <w:r>
        <w:fldChar w:fldCharType="end"/>
      </w:r>
      <w:r w:rsidRPr="008B1B73">
        <w:t xml:space="preserve">. The top line </w:t>
      </w:r>
      <w:r w:rsidR="00707575">
        <w:t xml:space="preserve">shows </w:t>
      </w:r>
      <w:r w:rsidRPr="008B1B73">
        <w:t xml:space="preserve">a transaction taking place on the exchange. To facilitate the transfer of </w:t>
      </w:r>
      <w:r w:rsidR="00723C4D">
        <w:t>capacity</w:t>
      </w:r>
      <w:r w:rsidRPr="008B1B73">
        <w:t xml:space="preserve">, AEMO would reveal counterparty names and shippers would confirm the </w:t>
      </w:r>
      <w:r w:rsidR="00723C4D">
        <w:t>capacity</w:t>
      </w:r>
      <w:r w:rsidRPr="008B1B73">
        <w:t xml:space="preserve"> transfer with the </w:t>
      </w:r>
      <w:r>
        <w:t>service provider</w:t>
      </w:r>
      <w:r w:rsidRPr="008B1B73">
        <w:t xml:space="preserve"> separately. </w:t>
      </w:r>
    </w:p>
    <w:p w14:paraId="361814D7" w14:textId="001CA099" w:rsidR="00330913" w:rsidRPr="00446B58" w:rsidRDefault="00330913" w:rsidP="00330913">
      <w:pPr>
        <w:pStyle w:val="Caption"/>
        <w:rPr>
          <w:rStyle w:val="Bold"/>
          <w:b/>
        </w:rPr>
      </w:pPr>
      <w:bookmarkStart w:id="163" w:name="_Ref491917372"/>
      <w:r w:rsidRPr="00446B58">
        <w:t xml:space="preserve">Figure </w:t>
      </w:r>
      <w:r w:rsidR="00926D7E">
        <w:fldChar w:fldCharType="begin"/>
      </w:r>
      <w:r w:rsidR="00926D7E">
        <w:instrText xml:space="preserve"> STYLEREF 1 \s </w:instrText>
      </w:r>
      <w:r w:rsidR="00926D7E">
        <w:fldChar w:fldCharType="separate"/>
      </w:r>
      <w:r w:rsidR="00947034">
        <w:rPr>
          <w:noProof/>
        </w:rPr>
        <w:t>8</w:t>
      </w:r>
      <w:r w:rsidR="00926D7E">
        <w:rPr>
          <w:noProof/>
        </w:rPr>
        <w:fldChar w:fldCharType="end"/>
      </w:r>
      <w:r>
        <w:t>.</w:t>
      </w:r>
      <w:r w:rsidR="00926D7E">
        <w:fldChar w:fldCharType="begin"/>
      </w:r>
      <w:r w:rsidR="00926D7E">
        <w:instrText xml:space="preserve"> SEQ Figure \* ARABIC \s 1 </w:instrText>
      </w:r>
      <w:r w:rsidR="00926D7E">
        <w:fldChar w:fldCharType="separate"/>
      </w:r>
      <w:r w:rsidR="00947034">
        <w:rPr>
          <w:noProof/>
        </w:rPr>
        <w:t>1</w:t>
      </w:r>
      <w:r w:rsidR="00926D7E">
        <w:rPr>
          <w:noProof/>
        </w:rPr>
        <w:fldChar w:fldCharType="end"/>
      </w:r>
      <w:bookmarkEnd w:id="163"/>
      <w:r w:rsidRPr="00446B58">
        <w:t>:</w:t>
      </w:r>
      <w:r w:rsidRPr="00446B58">
        <w:rPr>
          <w:rStyle w:val="Bold"/>
        </w:rPr>
        <w:t xml:space="preserve"> </w:t>
      </w:r>
      <w:r w:rsidRPr="00446B58">
        <w:rPr>
          <w:rStyle w:val="Bold"/>
          <w:b/>
        </w:rPr>
        <w:t>Partial anonymity</w:t>
      </w:r>
    </w:p>
    <w:p w14:paraId="54E4544C" w14:textId="398738CE" w:rsidR="00330913" w:rsidRDefault="00330913" w:rsidP="00330913">
      <w:pPr>
        <w:pStyle w:val="BodyText"/>
      </w:pPr>
      <w:r w:rsidRPr="008B1B73">
        <w:rPr>
          <w:noProof/>
        </w:rPr>
        <w:drawing>
          <wp:inline distT="0" distB="0" distL="0" distR="0" wp14:anchorId="47953DD8" wp14:editId="58B0C023">
            <wp:extent cx="5493334" cy="2380891"/>
            <wp:effectExtent l="0" t="0" r="0" b="635"/>
            <wp:docPr id="48" name="Picture 48" descr="Partial anonymity option overview" title="Figure 8.1: Partial anonym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506016" cy="2386388"/>
                    </a:xfrm>
                    <a:prstGeom prst="rect">
                      <a:avLst/>
                    </a:prstGeom>
                  </pic:spPr>
                </pic:pic>
              </a:graphicData>
            </a:graphic>
          </wp:inline>
        </w:drawing>
      </w:r>
    </w:p>
    <w:p w14:paraId="1BA13AEC" w14:textId="22E680CC" w:rsidR="000A1F71" w:rsidRDefault="00C5374D" w:rsidP="000A1F71">
      <w:pPr>
        <w:pStyle w:val="BodyText"/>
      </w:pPr>
      <w:r>
        <w:rPr>
          <w:rFonts w:cs="Arial"/>
        </w:rPr>
        <w:t>The key difference between this option and the fully anonymous option is that</w:t>
      </w:r>
      <w:r w:rsidR="00707575">
        <w:rPr>
          <w:rFonts w:cs="Arial"/>
        </w:rPr>
        <w:t xml:space="preserve"> rather than AEMO providing the transaction information directly to the service provider, </w:t>
      </w:r>
      <w:r w:rsidR="00642421">
        <w:rPr>
          <w:rFonts w:cs="Arial"/>
        </w:rPr>
        <w:t xml:space="preserve">AEMO would provide the </w:t>
      </w:r>
      <w:r w:rsidR="00707575">
        <w:rPr>
          <w:rFonts w:cs="Arial"/>
        </w:rPr>
        <w:t xml:space="preserve">information to the trading </w:t>
      </w:r>
      <w:r>
        <w:rPr>
          <w:rFonts w:cs="Arial"/>
        </w:rPr>
        <w:t>counterparties</w:t>
      </w:r>
      <w:r w:rsidR="00CC7A28">
        <w:rPr>
          <w:rFonts w:cs="Arial"/>
        </w:rPr>
        <w:t xml:space="preserve"> as part of the trade conf</w:t>
      </w:r>
      <w:r w:rsidR="000773DF">
        <w:rPr>
          <w:rFonts w:cs="Arial"/>
        </w:rPr>
        <w:t>i</w:t>
      </w:r>
      <w:r w:rsidR="00CC7A28">
        <w:rPr>
          <w:rFonts w:cs="Arial"/>
        </w:rPr>
        <w:t xml:space="preserve">rmation. The information would then be provided by the counterparties </w:t>
      </w:r>
      <w:r>
        <w:rPr>
          <w:rFonts w:cs="Arial"/>
        </w:rPr>
        <w:t xml:space="preserve">to the service provider.  The cost of advising the service provider about any trades would therefore be borne by shippers rather than AEMO. </w:t>
      </w:r>
      <w:r w:rsidR="000A1F71">
        <w:rPr>
          <w:rFonts w:cs="Arial"/>
        </w:rPr>
        <w:t xml:space="preserve"> From AEMO’s perspective, the cost saving is likely to be relatively low because </w:t>
      </w:r>
      <w:r w:rsidR="000A1F71" w:rsidRPr="008B1B73">
        <w:rPr>
          <w:rFonts w:cs="Arial"/>
        </w:rPr>
        <w:t xml:space="preserve">data links </w:t>
      </w:r>
      <w:r w:rsidR="000A1F71">
        <w:rPr>
          <w:rFonts w:cs="Arial"/>
        </w:rPr>
        <w:t xml:space="preserve">would still </w:t>
      </w:r>
      <w:r w:rsidR="000A1F71" w:rsidRPr="008B1B73">
        <w:rPr>
          <w:rFonts w:cs="Arial"/>
        </w:rPr>
        <w:t xml:space="preserve">be required for the day-ahead auction and </w:t>
      </w:r>
      <w:r w:rsidR="000A1F71">
        <w:rPr>
          <w:rFonts w:cs="Arial"/>
        </w:rPr>
        <w:t xml:space="preserve">to </w:t>
      </w:r>
      <w:r w:rsidR="000A1F71" w:rsidRPr="008B1B73">
        <w:rPr>
          <w:rFonts w:cs="Arial"/>
        </w:rPr>
        <w:t xml:space="preserve">potentially facilitate the transfer of STTM trading rights (see section </w:t>
      </w:r>
      <w:r w:rsidR="00707575">
        <w:rPr>
          <w:rFonts w:cs="Arial"/>
          <w:highlight w:val="yellow"/>
        </w:rPr>
        <w:fldChar w:fldCharType="begin"/>
      </w:r>
      <w:r w:rsidR="00707575">
        <w:rPr>
          <w:rFonts w:cs="Arial"/>
        </w:rPr>
        <w:instrText xml:space="preserve"> REF _Ref492225139 \r \h </w:instrText>
      </w:r>
      <w:r w:rsidR="00707575">
        <w:rPr>
          <w:rFonts w:cs="Arial"/>
          <w:highlight w:val="yellow"/>
        </w:rPr>
      </w:r>
      <w:r w:rsidR="00707575">
        <w:rPr>
          <w:rFonts w:cs="Arial"/>
          <w:highlight w:val="yellow"/>
        </w:rPr>
        <w:fldChar w:fldCharType="separate"/>
      </w:r>
      <w:r w:rsidR="00947034">
        <w:rPr>
          <w:rFonts w:cs="Arial"/>
        </w:rPr>
        <w:t>8.3.1</w:t>
      </w:r>
      <w:r w:rsidR="00707575">
        <w:rPr>
          <w:rFonts w:cs="Arial"/>
          <w:highlight w:val="yellow"/>
        </w:rPr>
        <w:fldChar w:fldCharType="end"/>
      </w:r>
      <w:r w:rsidR="000A1F71" w:rsidRPr="008B1B73">
        <w:rPr>
          <w:rFonts w:cs="Arial"/>
        </w:rPr>
        <w:t xml:space="preserve">). </w:t>
      </w:r>
    </w:p>
    <w:p w14:paraId="5682B96E" w14:textId="77777777" w:rsidR="00330913" w:rsidRPr="00350E30" w:rsidRDefault="00330913" w:rsidP="00350E30">
      <w:pPr>
        <w:pStyle w:val="BoldHeading"/>
        <w:rPr>
          <w:color w:val="0099CC"/>
        </w:rPr>
      </w:pPr>
      <w:r w:rsidRPr="00350E30">
        <w:rPr>
          <w:color w:val="0099CC"/>
        </w:rPr>
        <w:t>Full anonymity</w:t>
      </w:r>
    </w:p>
    <w:p w14:paraId="70109849" w14:textId="291F9616" w:rsidR="00330913" w:rsidRPr="008B1B73" w:rsidRDefault="00330913" w:rsidP="00330913">
      <w:pPr>
        <w:pStyle w:val="BodyText"/>
      </w:pPr>
      <w:r w:rsidRPr="008B1B73">
        <w:rPr>
          <w:rFonts w:cs="Arial"/>
        </w:rPr>
        <w:t xml:space="preserve">Under the fully anonymous </w:t>
      </w:r>
      <w:r w:rsidR="00350E30">
        <w:rPr>
          <w:rFonts w:cs="Arial"/>
        </w:rPr>
        <w:t>option</w:t>
      </w:r>
      <w:r w:rsidRPr="008B1B73">
        <w:rPr>
          <w:rFonts w:cs="Arial"/>
        </w:rPr>
        <w:t xml:space="preserve">, </w:t>
      </w:r>
      <w:r w:rsidR="00C5374D">
        <w:rPr>
          <w:rFonts w:cs="Arial"/>
        </w:rPr>
        <w:t xml:space="preserve">the names of </w:t>
      </w:r>
      <w:r w:rsidRPr="008B1B73">
        <w:rPr>
          <w:rFonts w:cs="Arial"/>
        </w:rPr>
        <w:t>counterpart</w:t>
      </w:r>
      <w:r w:rsidR="00C5374D">
        <w:rPr>
          <w:rFonts w:cs="Arial"/>
        </w:rPr>
        <w:t>ies</w:t>
      </w:r>
      <w:r w:rsidRPr="008B1B73">
        <w:rPr>
          <w:rFonts w:cs="Arial"/>
        </w:rPr>
        <w:t xml:space="preserve"> would </w:t>
      </w:r>
      <w:r w:rsidR="00350E30">
        <w:rPr>
          <w:rFonts w:cs="Arial"/>
        </w:rPr>
        <w:t xml:space="preserve">not </w:t>
      </w:r>
      <w:r w:rsidRPr="008B1B73">
        <w:rPr>
          <w:rFonts w:cs="Arial"/>
        </w:rPr>
        <w:t>be revealed</w:t>
      </w:r>
      <w:r w:rsidR="00350E30">
        <w:rPr>
          <w:rFonts w:cs="Arial"/>
        </w:rPr>
        <w:t xml:space="preserve"> post transaction</w:t>
      </w:r>
      <w:r w:rsidRPr="008B1B73">
        <w:rPr>
          <w:rFonts w:cs="Arial"/>
        </w:rPr>
        <w:t>. AEMO’s system</w:t>
      </w:r>
      <w:r w:rsidR="00350E30">
        <w:rPr>
          <w:rFonts w:cs="Arial"/>
        </w:rPr>
        <w:t xml:space="preserve">s would </w:t>
      </w:r>
      <w:r w:rsidRPr="008B1B73">
        <w:rPr>
          <w:rFonts w:cs="Arial"/>
        </w:rPr>
        <w:t xml:space="preserve">send </w:t>
      </w:r>
      <w:r w:rsidR="00350E30">
        <w:rPr>
          <w:rFonts w:cs="Arial"/>
        </w:rPr>
        <w:t xml:space="preserve">the </w:t>
      </w:r>
      <w:r w:rsidR="00642421">
        <w:rPr>
          <w:rFonts w:cs="Arial"/>
        </w:rPr>
        <w:t xml:space="preserve">transaction information </w:t>
      </w:r>
      <w:r w:rsidRPr="008B1B73">
        <w:rPr>
          <w:rFonts w:cs="Arial"/>
        </w:rPr>
        <w:t xml:space="preserve">to the relevant </w:t>
      </w:r>
      <w:r>
        <w:rPr>
          <w:rFonts w:cs="Arial"/>
        </w:rPr>
        <w:t>service provider</w:t>
      </w:r>
      <w:r w:rsidRPr="008B1B73">
        <w:rPr>
          <w:rFonts w:cs="Arial"/>
        </w:rPr>
        <w:t xml:space="preserve"> each day</w:t>
      </w:r>
      <w:r w:rsidR="00350E30">
        <w:rPr>
          <w:rFonts w:cs="Arial"/>
        </w:rPr>
        <w:t xml:space="preserve"> and s</w:t>
      </w:r>
      <w:r>
        <w:rPr>
          <w:rFonts w:cs="Arial"/>
        </w:rPr>
        <w:t>ervice provider</w:t>
      </w:r>
      <w:r w:rsidRPr="008B1B73">
        <w:rPr>
          <w:rFonts w:cs="Arial"/>
        </w:rPr>
        <w:t xml:space="preserve">s would then transfer </w:t>
      </w:r>
      <w:r w:rsidR="00642421">
        <w:rPr>
          <w:rFonts w:cs="Arial"/>
        </w:rPr>
        <w:t>the capacity</w:t>
      </w:r>
      <w:r w:rsidRPr="008B1B73">
        <w:rPr>
          <w:rFonts w:cs="Arial"/>
        </w:rPr>
        <w:t xml:space="preserve">. The </w:t>
      </w:r>
      <w:r w:rsidR="00350E30">
        <w:rPr>
          <w:rFonts w:cs="Arial"/>
        </w:rPr>
        <w:t xml:space="preserve">way in which the </w:t>
      </w:r>
      <w:r w:rsidRPr="008B1B73">
        <w:rPr>
          <w:rFonts w:cs="Arial"/>
        </w:rPr>
        <w:t xml:space="preserve">fully anonymous </w:t>
      </w:r>
      <w:r w:rsidR="00350E30">
        <w:rPr>
          <w:rFonts w:cs="Arial"/>
        </w:rPr>
        <w:t xml:space="preserve">option would operate </w:t>
      </w:r>
      <w:r w:rsidRPr="008B1B73">
        <w:rPr>
          <w:rFonts w:cs="Arial"/>
        </w:rPr>
        <w:t>is sh</w:t>
      </w:r>
      <w:r w:rsidRPr="00350E30">
        <w:rPr>
          <w:rFonts w:cs="Arial"/>
        </w:rPr>
        <w:t xml:space="preserve">own in </w:t>
      </w:r>
      <w:r w:rsidRPr="00350E30">
        <w:rPr>
          <w:rFonts w:cs="Arial"/>
        </w:rPr>
        <w:fldChar w:fldCharType="begin"/>
      </w:r>
      <w:r w:rsidRPr="00350E30">
        <w:rPr>
          <w:rFonts w:cs="Arial"/>
        </w:rPr>
        <w:instrText xml:space="preserve"> REF _Ref491917383 \h </w:instrText>
      </w:r>
      <w:r w:rsidR="00350E30" w:rsidRPr="00350E30">
        <w:rPr>
          <w:rFonts w:cs="Arial"/>
        </w:rPr>
        <w:instrText xml:space="preserve"> \* MERGEFORMAT </w:instrText>
      </w:r>
      <w:r w:rsidRPr="00350E30">
        <w:rPr>
          <w:rFonts w:cs="Arial"/>
        </w:rPr>
      </w:r>
      <w:r w:rsidRPr="00350E30">
        <w:rPr>
          <w:rFonts w:cs="Arial"/>
        </w:rPr>
        <w:fldChar w:fldCharType="separate"/>
      </w:r>
      <w:r w:rsidR="00947034" w:rsidRPr="00947034">
        <w:t xml:space="preserve">Figure </w:t>
      </w:r>
      <w:r w:rsidR="00947034" w:rsidRPr="00947034">
        <w:rPr>
          <w:noProof/>
        </w:rPr>
        <w:t>8.2</w:t>
      </w:r>
      <w:r w:rsidRPr="00350E30">
        <w:rPr>
          <w:rFonts w:cs="Arial"/>
        </w:rPr>
        <w:fldChar w:fldCharType="end"/>
      </w:r>
      <w:r w:rsidRPr="00350E30">
        <w:rPr>
          <w:rFonts w:cs="Arial"/>
        </w:rPr>
        <w:t>.</w:t>
      </w:r>
    </w:p>
    <w:p w14:paraId="47AF14DE" w14:textId="1ACD35D1" w:rsidR="00330913" w:rsidRPr="008B1B73" w:rsidRDefault="00330913" w:rsidP="00350E30">
      <w:pPr>
        <w:pStyle w:val="BodyText"/>
        <w:keepNext/>
        <w:rPr>
          <w:rStyle w:val="Bold"/>
        </w:rPr>
      </w:pPr>
      <w:bookmarkStart w:id="164" w:name="_Ref491917383"/>
      <w:r w:rsidRPr="00446B58">
        <w:rPr>
          <w:b/>
        </w:rPr>
        <w:lastRenderedPageBreak/>
        <w:t xml:space="preserve">Figure </w:t>
      </w:r>
      <w:r>
        <w:rPr>
          <w:b/>
        </w:rPr>
        <w:fldChar w:fldCharType="begin"/>
      </w:r>
      <w:r>
        <w:rPr>
          <w:b/>
        </w:rPr>
        <w:instrText xml:space="preserve"> STYLEREF 1 \s </w:instrText>
      </w:r>
      <w:r>
        <w:rPr>
          <w:b/>
        </w:rPr>
        <w:fldChar w:fldCharType="separate"/>
      </w:r>
      <w:r w:rsidR="00947034">
        <w:rPr>
          <w:b/>
          <w:noProof/>
        </w:rPr>
        <w:t>8</w:t>
      </w:r>
      <w:r>
        <w:rPr>
          <w:b/>
        </w:rPr>
        <w:fldChar w:fldCharType="end"/>
      </w:r>
      <w:r>
        <w:rPr>
          <w:b/>
        </w:rPr>
        <w:t>.</w:t>
      </w:r>
      <w:r>
        <w:rPr>
          <w:b/>
        </w:rPr>
        <w:fldChar w:fldCharType="begin"/>
      </w:r>
      <w:r>
        <w:rPr>
          <w:b/>
        </w:rPr>
        <w:instrText xml:space="preserve"> SEQ Figure \* ARABIC \s 1 </w:instrText>
      </w:r>
      <w:r>
        <w:rPr>
          <w:b/>
        </w:rPr>
        <w:fldChar w:fldCharType="separate"/>
      </w:r>
      <w:r w:rsidR="00947034">
        <w:rPr>
          <w:b/>
          <w:noProof/>
        </w:rPr>
        <w:t>2</w:t>
      </w:r>
      <w:r>
        <w:rPr>
          <w:b/>
        </w:rPr>
        <w:fldChar w:fldCharType="end"/>
      </w:r>
      <w:bookmarkEnd w:id="164"/>
      <w:r w:rsidRPr="00446B58">
        <w:rPr>
          <w:b/>
        </w:rPr>
        <w:t>:</w:t>
      </w:r>
      <w:r w:rsidR="007447D4" w:rsidRPr="008B1B73">
        <w:rPr>
          <w:rStyle w:val="Bold"/>
        </w:rPr>
        <w:t xml:space="preserve"> </w:t>
      </w:r>
      <w:r w:rsidRPr="008B1B73">
        <w:rPr>
          <w:rStyle w:val="Bold"/>
        </w:rPr>
        <w:t>Full anonymity</w:t>
      </w:r>
    </w:p>
    <w:p w14:paraId="22C0554D" w14:textId="77777777" w:rsidR="00330913" w:rsidRPr="008B1B73" w:rsidRDefault="00330913" w:rsidP="00330913">
      <w:pPr>
        <w:pStyle w:val="BodyText"/>
      </w:pPr>
      <w:r w:rsidRPr="008B1B73">
        <w:rPr>
          <w:noProof/>
        </w:rPr>
        <w:drawing>
          <wp:inline distT="0" distB="0" distL="0" distR="0" wp14:anchorId="1570AC5C" wp14:editId="5B8A881F">
            <wp:extent cx="5591664" cy="2518913"/>
            <wp:effectExtent l="0" t="0" r="0" b="0"/>
            <wp:docPr id="88" name="Picture 88" descr="Full anonymity option overview" title="Figure 8.2: Full anonym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99420" cy="2522407"/>
                    </a:xfrm>
                    <a:prstGeom prst="rect">
                      <a:avLst/>
                    </a:prstGeom>
                  </pic:spPr>
                </pic:pic>
              </a:graphicData>
            </a:graphic>
          </wp:inline>
        </w:drawing>
      </w:r>
    </w:p>
    <w:p w14:paraId="21C58C75" w14:textId="4239F74B" w:rsidR="00350E30" w:rsidRPr="00350E30" w:rsidRDefault="00025438" w:rsidP="00350E30">
      <w:pPr>
        <w:pStyle w:val="BoldHeading"/>
        <w:rPr>
          <w:color w:val="0099CC"/>
        </w:rPr>
      </w:pPr>
      <w:r>
        <w:rPr>
          <w:color w:val="0099CC"/>
        </w:rPr>
        <w:t>GMRG’s p</w:t>
      </w:r>
      <w:r w:rsidR="00350E30">
        <w:rPr>
          <w:color w:val="0099CC"/>
        </w:rPr>
        <w:t xml:space="preserve">reliminary view </w:t>
      </w:r>
      <w:r>
        <w:rPr>
          <w:color w:val="0099CC"/>
        </w:rPr>
        <w:t>and questions for stakeholders</w:t>
      </w:r>
    </w:p>
    <w:p w14:paraId="1EBF366D" w14:textId="604FA8D6" w:rsidR="00350E30" w:rsidRDefault="000A1F71" w:rsidP="00734F1F">
      <w:pPr>
        <w:pStyle w:val="BodyText"/>
      </w:pPr>
      <w:r>
        <w:t xml:space="preserve">The </w:t>
      </w:r>
      <w:r w:rsidR="00350E30">
        <w:t xml:space="preserve">options </w:t>
      </w:r>
      <w:r>
        <w:t xml:space="preserve">outlined above </w:t>
      </w:r>
      <w:r w:rsidR="00350E30">
        <w:t xml:space="preserve">were discussed with the Capacity Trading Platform </w:t>
      </w:r>
      <w:r w:rsidR="00B32624">
        <w:t>project team</w:t>
      </w:r>
      <w:r w:rsidR="006A5405">
        <w:t xml:space="preserve"> and a number of pipeline operators</w:t>
      </w:r>
      <w:r w:rsidR="00B32624">
        <w:t xml:space="preserve">. In short, the project team </w:t>
      </w:r>
      <w:r w:rsidR="006A5405">
        <w:t xml:space="preserve">and </w:t>
      </w:r>
      <w:r w:rsidR="00817F19">
        <w:t>pipeli</w:t>
      </w:r>
      <w:r w:rsidR="006A5405">
        <w:t>n</w:t>
      </w:r>
      <w:r w:rsidR="00817F19">
        <w:t>e</w:t>
      </w:r>
      <w:r w:rsidR="006A5405">
        <w:t xml:space="preserve"> operators that were spoken to were </w:t>
      </w:r>
      <w:r w:rsidR="00B32624">
        <w:t xml:space="preserve">of the view that the fully anonymous option should be employed. Like the project team, the GMRG can see the merit of adopting the fully anonymous option and </w:t>
      </w:r>
      <w:r w:rsidR="006E6F2C">
        <w:t xml:space="preserve">its preliminary view is </w:t>
      </w:r>
      <w:r w:rsidR="00B32624">
        <w:t>that this option be implemented. The GMRG is, however, interested in hearing other stakeholders’ views on the two options.</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8.1: Questions on partial or full anonymity "/>
        <w:tblDescription w:val="Questions on partial or full anonymity "/>
      </w:tblPr>
      <w:tblGrid>
        <w:gridCol w:w="8788"/>
      </w:tblGrid>
      <w:tr w:rsidR="00B32624" w:rsidRPr="0057020B" w14:paraId="13ADE3F2" w14:textId="77777777" w:rsidTr="006559E5">
        <w:trPr>
          <w:tblHeader/>
        </w:trPr>
        <w:tc>
          <w:tcPr>
            <w:tcW w:w="5000" w:type="pct"/>
            <w:shd w:val="clear" w:color="auto" w:fill="auto"/>
          </w:tcPr>
          <w:p w14:paraId="17DCFBA0" w14:textId="3ECF2F4A" w:rsidR="00252137" w:rsidRPr="00330913" w:rsidRDefault="006559E5" w:rsidP="006559E5">
            <w:pPr>
              <w:pStyle w:val="ListNumber"/>
              <w:numPr>
                <w:ilvl w:val="0"/>
                <w:numId w:val="0"/>
              </w:numPr>
              <w:spacing w:before="0" w:after="0"/>
              <w:rPr>
                <w:rFonts w:eastAsiaTheme="majorEastAsia"/>
                <w:sz w:val="21"/>
                <w:szCs w:val="21"/>
              </w:rPr>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8</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1</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partial or full anonymity</w:t>
            </w:r>
          </w:p>
        </w:tc>
      </w:tr>
      <w:tr w:rsidR="006559E5" w:rsidRPr="0057020B" w14:paraId="24C27E02" w14:textId="77777777" w:rsidTr="006559E5">
        <w:trPr>
          <w:tblHeader/>
        </w:trPr>
        <w:tc>
          <w:tcPr>
            <w:tcW w:w="5000" w:type="pct"/>
            <w:shd w:val="clear" w:color="auto" w:fill="B7E7FF"/>
          </w:tcPr>
          <w:p w14:paraId="24E5F3B0" w14:textId="2387EE43" w:rsidR="006559E5" w:rsidRPr="0057020B" w:rsidRDefault="006559E5" w:rsidP="006559E5">
            <w:pPr>
              <w:pStyle w:val="ListNumber"/>
              <w:numPr>
                <w:ilvl w:val="0"/>
                <w:numId w:val="23"/>
              </w:numPr>
              <w:rPr>
                <w:rFonts w:eastAsiaTheme="minorHAnsi" w:cstheme="minorBidi"/>
                <w:b/>
                <w:bCs/>
                <w:lang w:eastAsia="fr-CA"/>
              </w:rPr>
            </w:pPr>
            <w:r>
              <w:rPr>
                <w:rFonts w:eastAsiaTheme="majorEastAsia"/>
                <w:sz w:val="21"/>
                <w:szCs w:val="21"/>
              </w:rPr>
              <w:t>Do you agree that the fully anonymous option should be implemented? If not, please explain why.</w:t>
            </w:r>
          </w:p>
        </w:tc>
      </w:tr>
    </w:tbl>
    <w:p w14:paraId="254946A2" w14:textId="6C83751C" w:rsidR="00C34E9D" w:rsidRPr="008B1B73" w:rsidRDefault="000A1F71" w:rsidP="00E50FC4">
      <w:pPr>
        <w:pStyle w:val="Heading3"/>
      </w:pPr>
      <w:r>
        <w:t>Frequency with which i</w:t>
      </w:r>
      <w:r w:rsidR="00C34E9D" w:rsidRPr="008B1B73">
        <w:t xml:space="preserve">nformation </w:t>
      </w:r>
      <w:r>
        <w:t xml:space="preserve">is </w:t>
      </w:r>
      <w:r w:rsidR="00642421">
        <w:t>relayed</w:t>
      </w:r>
      <w:r w:rsidR="00C34E9D" w:rsidRPr="008B1B73">
        <w:t xml:space="preserve"> to </w:t>
      </w:r>
      <w:r w:rsidR="00BD0988">
        <w:t>service providers</w:t>
      </w:r>
    </w:p>
    <w:p w14:paraId="28709BA4" w14:textId="37FE839C" w:rsidR="000A1F71" w:rsidRDefault="00E50FC4" w:rsidP="00C34E9D">
      <w:pPr>
        <w:pStyle w:val="BodyText"/>
        <w:rPr>
          <w:rFonts w:cs="Arial"/>
        </w:rPr>
      </w:pPr>
      <w:r>
        <w:rPr>
          <w:rFonts w:cs="Arial"/>
        </w:rPr>
        <w:t xml:space="preserve">The </w:t>
      </w:r>
      <w:r w:rsidR="00642421">
        <w:rPr>
          <w:rFonts w:cs="Arial"/>
        </w:rPr>
        <w:t>provision</w:t>
      </w:r>
      <w:r w:rsidR="00C34E9D" w:rsidRPr="008B1B73">
        <w:rPr>
          <w:rFonts w:cs="Arial"/>
        </w:rPr>
        <w:t xml:space="preserve"> of </w:t>
      </w:r>
      <w:r w:rsidR="00642421">
        <w:rPr>
          <w:rFonts w:cs="Arial"/>
        </w:rPr>
        <w:t xml:space="preserve">trading information to </w:t>
      </w:r>
      <w:r w:rsidR="000A1F71">
        <w:rPr>
          <w:rFonts w:cs="Arial"/>
        </w:rPr>
        <w:t xml:space="preserve">the service provider could </w:t>
      </w:r>
      <w:r w:rsidR="00642421">
        <w:rPr>
          <w:rFonts w:cs="Arial"/>
        </w:rPr>
        <w:t>occur</w:t>
      </w:r>
      <w:r w:rsidR="000A1F71">
        <w:rPr>
          <w:rFonts w:cs="Arial"/>
        </w:rPr>
        <w:t>:</w:t>
      </w:r>
      <w:r>
        <w:rPr>
          <w:rFonts w:cs="Arial"/>
        </w:rPr>
        <w:t xml:space="preserve"> </w:t>
      </w:r>
    </w:p>
    <w:p w14:paraId="3F153F4C" w14:textId="12DE6402" w:rsidR="000A1F71" w:rsidRDefault="00C34E9D" w:rsidP="005C4789">
      <w:pPr>
        <w:pStyle w:val="ListNumber"/>
        <w:numPr>
          <w:ilvl w:val="0"/>
          <w:numId w:val="64"/>
        </w:numPr>
      </w:pPr>
      <w:r w:rsidRPr="008B1B73">
        <w:t xml:space="preserve">after </w:t>
      </w:r>
      <w:r w:rsidR="000A1F71">
        <w:t>each transaction;</w:t>
      </w:r>
    </w:p>
    <w:p w14:paraId="2358A327" w14:textId="4FD13A05" w:rsidR="000A1F71" w:rsidRDefault="000A1F71" w:rsidP="000A1F71">
      <w:pPr>
        <w:pStyle w:val="ListNumber"/>
      </w:pPr>
      <w:r>
        <w:t>once a day for all transactions</w:t>
      </w:r>
      <w:r w:rsidR="00642421">
        <w:t xml:space="preserve"> that have occurred in the last 24 hours</w:t>
      </w:r>
      <w:r>
        <w:t>; or</w:t>
      </w:r>
    </w:p>
    <w:p w14:paraId="2D9BEA3F" w14:textId="11C52897" w:rsidR="000A1F71" w:rsidRDefault="000A1F71" w:rsidP="000A1F71">
      <w:pPr>
        <w:pStyle w:val="ListNumber"/>
      </w:pPr>
      <w:r>
        <w:t xml:space="preserve">once a day for transactions that will </w:t>
      </w:r>
      <w:r w:rsidR="00642421">
        <w:t xml:space="preserve">be on foot on the </w:t>
      </w:r>
      <w:r>
        <w:t xml:space="preserve">following </w:t>
      </w:r>
      <w:r w:rsidR="00642421">
        <w:t xml:space="preserve">gas </w:t>
      </w:r>
      <w:r>
        <w:t>day.</w:t>
      </w:r>
    </w:p>
    <w:p w14:paraId="52E49823" w14:textId="1E6F152D" w:rsidR="0026795F" w:rsidRDefault="0026795F" w:rsidP="0026795F">
      <w:pPr>
        <w:pStyle w:val="BodyText"/>
        <w:rPr>
          <w:rFonts w:cs="Arial"/>
        </w:rPr>
      </w:pPr>
      <w:r>
        <w:rPr>
          <w:rFonts w:cs="Arial"/>
        </w:rPr>
        <w:t xml:space="preserve">Under </w:t>
      </w:r>
      <w:r w:rsidRPr="008B1B73">
        <w:rPr>
          <w:rFonts w:cs="Arial"/>
        </w:rPr>
        <w:t>options 2 and 3, AEMO w</w:t>
      </w:r>
      <w:r w:rsidR="00CC7A28">
        <w:rPr>
          <w:rFonts w:cs="Arial"/>
        </w:rPr>
        <w:t>ould provide netted transaction information</w:t>
      </w:r>
      <w:r w:rsidRPr="008B1B73">
        <w:rPr>
          <w:rFonts w:cs="Arial"/>
        </w:rPr>
        <w:t xml:space="preserve"> to shippers </w:t>
      </w:r>
      <w:r w:rsidR="00CC7A28">
        <w:rPr>
          <w:rFonts w:cs="Arial"/>
        </w:rPr>
        <w:t xml:space="preserve">and </w:t>
      </w:r>
      <w:r>
        <w:rPr>
          <w:rFonts w:cs="Arial"/>
        </w:rPr>
        <w:t>service provider</w:t>
      </w:r>
      <w:r w:rsidRPr="008B1B73">
        <w:rPr>
          <w:rFonts w:cs="Arial"/>
        </w:rPr>
        <w:t xml:space="preserve">s. This means that, where a shipper had bought and sold the same capacity product for the same gas day, AEMO would net the transaction before sending the capacity transfer </w:t>
      </w:r>
      <w:r w:rsidR="00CC7A28">
        <w:rPr>
          <w:rFonts w:cs="Arial"/>
        </w:rPr>
        <w:t xml:space="preserve">information </w:t>
      </w:r>
      <w:r w:rsidRPr="008B1B73">
        <w:rPr>
          <w:rFonts w:cs="Arial"/>
        </w:rPr>
        <w:t xml:space="preserve">to </w:t>
      </w:r>
      <w:r w:rsidR="00CC7A28">
        <w:rPr>
          <w:rFonts w:cs="Arial"/>
        </w:rPr>
        <w:t xml:space="preserve">the </w:t>
      </w:r>
      <w:r>
        <w:rPr>
          <w:rFonts w:cs="Arial"/>
        </w:rPr>
        <w:t>service provider</w:t>
      </w:r>
      <w:r w:rsidRPr="008B1B73">
        <w:rPr>
          <w:rFonts w:cs="Arial"/>
        </w:rPr>
        <w:t xml:space="preserve"> to give effect to the capacity transfer.</w:t>
      </w:r>
    </w:p>
    <w:p w14:paraId="07278D32" w14:textId="0431A4A1" w:rsidR="00C34E9D" w:rsidRPr="008B1B73" w:rsidRDefault="000A1F71" w:rsidP="00C34E9D">
      <w:pPr>
        <w:pStyle w:val="BodyText"/>
      </w:pPr>
      <w:r>
        <w:rPr>
          <w:rFonts w:cs="Arial"/>
        </w:rPr>
        <w:t xml:space="preserve">These options are discussed in further detail below. </w:t>
      </w:r>
      <w:r w:rsidR="00025438">
        <w:rPr>
          <w:rFonts w:cs="Arial"/>
        </w:rPr>
        <w:t>Note that the description of each of these options assumes the implementation of the fully anonymous model. If the partially anonymous model was to be implemented, then it would be the counterparties receiving the information from AEMO and providing the relevant information to the service provider.</w:t>
      </w:r>
    </w:p>
    <w:p w14:paraId="13607090" w14:textId="31A1B9E2" w:rsidR="00C34E9D" w:rsidRPr="00E50FC4" w:rsidRDefault="00C34E9D" w:rsidP="00E50FC4">
      <w:pPr>
        <w:pStyle w:val="BoldHeading"/>
        <w:keepNext/>
        <w:rPr>
          <w:rStyle w:val="BoldAndItalics"/>
          <w:b/>
          <w:i w:val="0"/>
          <w:color w:val="0099CC"/>
        </w:rPr>
      </w:pPr>
      <w:r w:rsidRPr="00E50FC4">
        <w:rPr>
          <w:rStyle w:val="BoldAndItalics"/>
          <w:b/>
          <w:i w:val="0"/>
          <w:color w:val="0099CC"/>
        </w:rPr>
        <w:lastRenderedPageBreak/>
        <w:t xml:space="preserve">Option 1: </w:t>
      </w:r>
      <w:r w:rsidR="000A1F71">
        <w:rPr>
          <w:rStyle w:val="BoldAndItalics"/>
          <w:b/>
          <w:i w:val="0"/>
          <w:color w:val="0099CC"/>
        </w:rPr>
        <w:t>T</w:t>
      </w:r>
      <w:r w:rsidRPr="00E50FC4">
        <w:rPr>
          <w:rStyle w:val="BoldAndItalics"/>
          <w:b/>
          <w:i w:val="0"/>
          <w:color w:val="0099CC"/>
        </w:rPr>
        <w:t xml:space="preserve">ransfer </w:t>
      </w:r>
      <w:r w:rsidR="000A1F71">
        <w:rPr>
          <w:rStyle w:val="BoldAndItalics"/>
          <w:b/>
          <w:i w:val="0"/>
          <w:color w:val="0099CC"/>
        </w:rPr>
        <w:t xml:space="preserve">of </w:t>
      </w:r>
      <w:r w:rsidR="00723C4D">
        <w:rPr>
          <w:rStyle w:val="BoldAndItalics"/>
          <w:b/>
          <w:i w:val="0"/>
          <w:color w:val="0099CC"/>
        </w:rPr>
        <w:t>capacity</w:t>
      </w:r>
      <w:r w:rsidRPr="00E50FC4">
        <w:rPr>
          <w:rStyle w:val="BoldAndItalics"/>
          <w:b/>
          <w:i w:val="0"/>
          <w:color w:val="0099CC"/>
        </w:rPr>
        <w:t xml:space="preserve"> </w:t>
      </w:r>
      <w:r w:rsidR="000A1F71">
        <w:rPr>
          <w:rStyle w:val="BoldAndItalics"/>
          <w:b/>
          <w:i w:val="0"/>
          <w:color w:val="0099CC"/>
        </w:rPr>
        <w:t xml:space="preserve">after </w:t>
      </w:r>
      <w:r w:rsidRPr="00E50FC4">
        <w:rPr>
          <w:rStyle w:val="BoldAndItalics"/>
          <w:b/>
          <w:i w:val="0"/>
          <w:color w:val="0099CC"/>
        </w:rPr>
        <w:t xml:space="preserve">each transaction </w:t>
      </w:r>
    </w:p>
    <w:p w14:paraId="75CAFD08" w14:textId="45908491" w:rsidR="00C34E9D" w:rsidRPr="008B1B73" w:rsidRDefault="00E50FC4" w:rsidP="00C34E9D">
      <w:pPr>
        <w:pStyle w:val="BodyText"/>
      </w:pPr>
      <w:r w:rsidRPr="00E50FC4">
        <w:rPr>
          <w:rStyle w:val="Bold"/>
          <w:b w:val="0"/>
        </w:rPr>
        <w:t>Under this option</w:t>
      </w:r>
      <w:r>
        <w:rPr>
          <w:rStyle w:val="Bold"/>
        </w:rPr>
        <w:t xml:space="preserve"> </w:t>
      </w:r>
      <w:r w:rsidR="00C34E9D" w:rsidRPr="008B1B73">
        <w:t xml:space="preserve">AEMO would send </w:t>
      </w:r>
      <w:r w:rsidR="00734F1F">
        <w:t>service provider</w:t>
      </w:r>
      <w:r w:rsidR="00C34E9D" w:rsidRPr="008B1B73">
        <w:t>s a transaction report after each trade takes place on the platform</w:t>
      </w:r>
      <w:r w:rsidR="000A1F71">
        <w:t xml:space="preserve"> and</w:t>
      </w:r>
      <w:r w:rsidR="000A48AC">
        <w:t xml:space="preserve">, subject to </w:t>
      </w:r>
      <w:r w:rsidR="00817F19">
        <w:t>verification</w:t>
      </w:r>
      <w:r w:rsidR="000A48AC">
        <w:t>,</w:t>
      </w:r>
      <w:r w:rsidR="000A1F71">
        <w:t xml:space="preserve"> t</w:t>
      </w:r>
      <w:r>
        <w:t xml:space="preserve">he </w:t>
      </w:r>
      <w:r w:rsidR="00723C4D">
        <w:t>capacity</w:t>
      </w:r>
      <w:r w:rsidR="00C34E9D" w:rsidRPr="008B1B73">
        <w:t xml:space="preserve"> would be transferred immediately after each trade.  </w:t>
      </w:r>
      <w:r>
        <w:t>The pros and cons of this option are as follows:</w:t>
      </w:r>
    </w:p>
    <w:p w14:paraId="075A0901" w14:textId="18A039F7" w:rsidR="00C34E9D" w:rsidRPr="008B1B73" w:rsidRDefault="00C34E9D" w:rsidP="00E50FC4">
      <w:pPr>
        <w:pStyle w:val="ListBullet"/>
      </w:pPr>
      <w:r w:rsidRPr="008B1B73">
        <w:rPr>
          <w:rStyle w:val="Bold"/>
        </w:rPr>
        <w:t>Pros</w:t>
      </w:r>
      <w:r w:rsidRPr="008B1B73">
        <w:t xml:space="preserve">: </w:t>
      </w:r>
      <w:r w:rsidR="00734F1F">
        <w:t>Service provider</w:t>
      </w:r>
      <w:r w:rsidRPr="008B1B73">
        <w:t xml:space="preserve">s </w:t>
      </w:r>
      <w:r w:rsidR="00642421">
        <w:t xml:space="preserve">would be able to </w:t>
      </w:r>
      <w:r w:rsidRPr="008B1B73">
        <w:t xml:space="preserve">keep track of the capacity being sold on the exchange on a trade-by-trade basis, </w:t>
      </w:r>
      <w:r w:rsidR="00642421">
        <w:t xml:space="preserve">which would minimise the risk of </w:t>
      </w:r>
      <w:r w:rsidRPr="008B1B73">
        <w:t xml:space="preserve">capacity </w:t>
      </w:r>
      <w:r w:rsidR="00642421">
        <w:t xml:space="preserve">being </w:t>
      </w:r>
      <w:r w:rsidRPr="008B1B73">
        <w:t xml:space="preserve">oversold and </w:t>
      </w:r>
      <w:r w:rsidR="0026795F">
        <w:t>delivery failure</w:t>
      </w:r>
      <w:r w:rsidRPr="008B1B73">
        <w:t xml:space="preserve">. </w:t>
      </w:r>
    </w:p>
    <w:p w14:paraId="241830D3" w14:textId="7345F6D4" w:rsidR="00C34E9D" w:rsidRPr="008B1B73" w:rsidRDefault="00C34E9D" w:rsidP="00E50FC4">
      <w:pPr>
        <w:pStyle w:val="ListBullet"/>
      </w:pPr>
      <w:r w:rsidRPr="008B1B73">
        <w:rPr>
          <w:rStyle w:val="Bold"/>
        </w:rPr>
        <w:t>Cons</w:t>
      </w:r>
      <w:r w:rsidRPr="008B1B73">
        <w:t xml:space="preserve">: </w:t>
      </w:r>
      <w:r w:rsidR="000A1F71">
        <w:t>It may be c</w:t>
      </w:r>
      <w:r w:rsidRPr="008B1B73">
        <w:t xml:space="preserve">ostly for </w:t>
      </w:r>
      <w:r w:rsidR="00734F1F">
        <w:t>service provider</w:t>
      </w:r>
      <w:r w:rsidRPr="008B1B73">
        <w:t xml:space="preserve">s to develop systems to receive and process potentially large amounts of data. </w:t>
      </w:r>
      <w:r w:rsidR="000A1F71">
        <w:t>F</w:t>
      </w:r>
      <w:r w:rsidRPr="008B1B73">
        <w:t xml:space="preserve">ull automation </w:t>
      </w:r>
      <w:r w:rsidR="000A1F71">
        <w:t xml:space="preserve">is also likely to be required </w:t>
      </w:r>
      <w:r w:rsidRPr="008B1B73">
        <w:t xml:space="preserve">by AEMO and </w:t>
      </w:r>
      <w:r w:rsidR="00734F1F">
        <w:t>service provider</w:t>
      </w:r>
      <w:r w:rsidRPr="008B1B73">
        <w:t>s to manage the administrative burden.</w:t>
      </w:r>
    </w:p>
    <w:p w14:paraId="4F15D0BD" w14:textId="1A66B2BB" w:rsidR="00C34E9D" w:rsidRPr="00330913" w:rsidRDefault="00C34E9D" w:rsidP="00330913">
      <w:pPr>
        <w:pStyle w:val="BoldHeading"/>
        <w:keepNext/>
        <w:rPr>
          <w:rStyle w:val="BoldAndItalics"/>
          <w:b/>
          <w:i w:val="0"/>
          <w:color w:val="0099CC"/>
        </w:rPr>
      </w:pPr>
      <w:r w:rsidRPr="00330913">
        <w:rPr>
          <w:rStyle w:val="BoldAndItalics"/>
          <w:b/>
          <w:i w:val="0"/>
          <w:color w:val="0099CC"/>
        </w:rPr>
        <w:t xml:space="preserve">Option 2: </w:t>
      </w:r>
      <w:r w:rsidR="000A1F71">
        <w:rPr>
          <w:rStyle w:val="BoldAndItalics"/>
          <w:b/>
          <w:i w:val="0"/>
          <w:color w:val="0099CC"/>
        </w:rPr>
        <w:t xml:space="preserve">Transfer of </w:t>
      </w:r>
      <w:r w:rsidR="00723C4D">
        <w:rPr>
          <w:rStyle w:val="BoldAndItalics"/>
          <w:b/>
          <w:i w:val="0"/>
          <w:color w:val="0099CC"/>
        </w:rPr>
        <w:t>capacity</w:t>
      </w:r>
      <w:r w:rsidRPr="00330913">
        <w:rPr>
          <w:rStyle w:val="BoldAndItalics"/>
          <w:b/>
          <w:i w:val="0"/>
          <w:color w:val="0099CC"/>
        </w:rPr>
        <w:t xml:space="preserve"> once per day for all transactions</w:t>
      </w:r>
    </w:p>
    <w:p w14:paraId="12F5C472" w14:textId="2D0F3B0C" w:rsidR="00C34E9D" w:rsidRPr="008B1B73" w:rsidRDefault="00E50FC4" w:rsidP="00C34E9D">
      <w:pPr>
        <w:pStyle w:val="BodyText"/>
      </w:pPr>
      <w:r w:rsidRPr="00330913">
        <w:rPr>
          <w:rStyle w:val="Bold"/>
          <w:b w:val="0"/>
        </w:rPr>
        <w:t>Under this option</w:t>
      </w:r>
      <w:r>
        <w:rPr>
          <w:rStyle w:val="Bold"/>
        </w:rPr>
        <w:t xml:space="preserve"> </w:t>
      </w:r>
      <w:r w:rsidR="00C34E9D" w:rsidRPr="008B1B73">
        <w:t xml:space="preserve">AEMO would send net positions to </w:t>
      </w:r>
      <w:r w:rsidR="00025438">
        <w:t xml:space="preserve">the </w:t>
      </w:r>
      <w:r w:rsidR="00734F1F">
        <w:t>service provider</w:t>
      </w:r>
      <w:r w:rsidR="00C34E9D" w:rsidRPr="008B1B73">
        <w:t xml:space="preserve">s </w:t>
      </w:r>
      <w:r w:rsidR="00025438">
        <w:t xml:space="preserve">once a day </w:t>
      </w:r>
      <w:r w:rsidR="0026795F">
        <w:t xml:space="preserve">for all the trades that have occurred in the last 24 hours (including day-ahead trades and trades with longer tenors). </w:t>
      </w:r>
      <w:r w:rsidR="000A48AC">
        <w:t>Subject to verification, t</w:t>
      </w:r>
      <w:r w:rsidR="0026795F">
        <w:t>he s</w:t>
      </w:r>
      <w:r w:rsidR="00734F1F">
        <w:t>ervice provider</w:t>
      </w:r>
      <w:r w:rsidR="00C34E9D" w:rsidRPr="008B1B73">
        <w:t xml:space="preserve">s would transfer </w:t>
      </w:r>
      <w:r w:rsidR="0026795F">
        <w:t xml:space="preserve">capacity </w:t>
      </w:r>
      <w:r w:rsidR="00C34E9D" w:rsidRPr="008B1B73">
        <w:t xml:space="preserve">for all tenors in time to allow shippers to nominate against any day-ahead products they had purchased. </w:t>
      </w:r>
      <w:r>
        <w:t>The pros and cons of this option are as follows:</w:t>
      </w:r>
    </w:p>
    <w:p w14:paraId="797DFE76" w14:textId="7449D636" w:rsidR="00C34E9D" w:rsidRPr="008B1B73" w:rsidRDefault="00C34E9D" w:rsidP="00E50FC4">
      <w:pPr>
        <w:pStyle w:val="ListBullet"/>
      </w:pPr>
      <w:r w:rsidRPr="008B1B73">
        <w:rPr>
          <w:rStyle w:val="Bold"/>
        </w:rPr>
        <w:t>Pros:</w:t>
      </w:r>
      <w:r w:rsidRPr="008B1B73">
        <w:t xml:space="preserve"> </w:t>
      </w:r>
      <w:r w:rsidR="00734F1F">
        <w:t>Service provider</w:t>
      </w:r>
      <w:r w:rsidRPr="008B1B73">
        <w:t xml:space="preserve">s would receive one batch of data per day from AEMO for the capacity trading platform and transfer </w:t>
      </w:r>
      <w:r w:rsidR="0026795F">
        <w:t xml:space="preserve">the capacity </w:t>
      </w:r>
      <w:r w:rsidRPr="008B1B73">
        <w:t xml:space="preserve">once </w:t>
      </w:r>
      <w:r w:rsidR="0026795F">
        <w:t xml:space="preserve">a </w:t>
      </w:r>
      <w:r w:rsidRPr="008B1B73">
        <w:t>day. For longer dated products, such as a monthly</w:t>
      </w:r>
      <w:r w:rsidR="007447D4">
        <w:t xml:space="preserve"> product</w:t>
      </w:r>
      <w:r w:rsidRPr="008B1B73">
        <w:t xml:space="preserve">, </w:t>
      </w:r>
      <w:r w:rsidR="00734F1F">
        <w:t>service provider</w:t>
      </w:r>
      <w:r w:rsidRPr="008B1B73">
        <w:t xml:space="preserve">s would only need to transfer the </w:t>
      </w:r>
      <w:r w:rsidR="00723C4D">
        <w:t>capacity</w:t>
      </w:r>
      <w:r w:rsidRPr="008B1B73">
        <w:t xml:space="preserve"> once after the transaction occurs and not each day.</w:t>
      </w:r>
    </w:p>
    <w:p w14:paraId="7197E5C8" w14:textId="6BF5C4CC" w:rsidR="00C34E9D" w:rsidRPr="008B1B73" w:rsidRDefault="00C34E9D" w:rsidP="00E50FC4">
      <w:pPr>
        <w:pStyle w:val="ListBullet"/>
        <w:numPr>
          <w:ilvl w:val="0"/>
          <w:numId w:val="0"/>
        </w:numPr>
        <w:ind w:left="357"/>
      </w:pPr>
      <w:r w:rsidRPr="008B1B73">
        <w:t xml:space="preserve">Transferring </w:t>
      </w:r>
      <w:r w:rsidR="00723C4D">
        <w:t>capacity</w:t>
      </w:r>
      <w:r w:rsidRPr="008B1B73">
        <w:t xml:space="preserve"> for all transactions on a daily basis limits the extent to which a shipper can sell capacity it does not have, as </w:t>
      </w:r>
      <w:r w:rsidR="00734F1F">
        <w:t>service provider</w:t>
      </w:r>
      <w:r w:rsidRPr="008B1B73">
        <w:t xml:space="preserve">s will not be able to transfer the </w:t>
      </w:r>
      <w:r w:rsidR="00723C4D">
        <w:t>capacity</w:t>
      </w:r>
      <w:r w:rsidRPr="008B1B73">
        <w:t xml:space="preserve">. Any issues will become known on a daily basis, potentially providing sufficient time for shippers to resolve </w:t>
      </w:r>
      <w:r w:rsidR="006E6F2C">
        <w:t xml:space="preserve">them </w:t>
      </w:r>
      <w:r w:rsidRPr="008B1B73">
        <w:t xml:space="preserve">ahead of delivery and </w:t>
      </w:r>
      <w:r w:rsidR="006E6F2C">
        <w:t xml:space="preserve">thus </w:t>
      </w:r>
      <w:r w:rsidRPr="008B1B73">
        <w:t xml:space="preserve">supporting confidence in the market. </w:t>
      </w:r>
    </w:p>
    <w:p w14:paraId="6B571FAA" w14:textId="44847E4C" w:rsidR="00C34E9D" w:rsidRPr="008B1B73" w:rsidRDefault="00C34E9D" w:rsidP="00E50FC4">
      <w:pPr>
        <w:pStyle w:val="ListBullet"/>
        <w:numPr>
          <w:ilvl w:val="0"/>
          <w:numId w:val="0"/>
        </w:numPr>
        <w:ind w:left="357"/>
      </w:pPr>
      <w:r w:rsidRPr="008B1B73">
        <w:t xml:space="preserve">Transferring </w:t>
      </w:r>
      <w:r w:rsidR="00723C4D">
        <w:t>capacity</w:t>
      </w:r>
      <w:r w:rsidRPr="008B1B73">
        <w:t xml:space="preserve"> on a daily basis allows shippers to submit forecast nominations more than 24 hours ahead of the gas day, providing more information into </w:t>
      </w:r>
      <w:r w:rsidR="00734F1F">
        <w:t>service provider</w:t>
      </w:r>
      <w:r w:rsidRPr="008B1B73">
        <w:t xml:space="preserve">s’ </w:t>
      </w:r>
      <w:r w:rsidR="003906C9">
        <w:t xml:space="preserve">operational </w:t>
      </w:r>
      <w:r w:rsidRPr="008B1B73">
        <w:t>planning processes</w:t>
      </w:r>
      <w:r w:rsidR="006E6F2C">
        <w:t>, which</w:t>
      </w:r>
      <w:r w:rsidRPr="008B1B73">
        <w:t xml:space="preserve"> should result in greater operational efficiencies. </w:t>
      </w:r>
    </w:p>
    <w:p w14:paraId="0866C043" w14:textId="76586518" w:rsidR="00C34E9D" w:rsidRPr="008B1B73" w:rsidRDefault="00C34E9D" w:rsidP="00E50FC4">
      <w:pPr>
        <w:pStyle w:val="ListBullet"/>
      </w:pPr>
      <w:r w:rsidRPr="008B1B73">
        <w:rPr>
          <w:rStyle w:val="Bold"/>
        </w:rPr>
        <w:t xml:space="preserve">Cons: </w:t>
      </w:r>
      <w:r w:rsidRPr="008B1B73">
        <w:t xml:space="preserve">Because </w:t>
      </w:r>
      <w:r w:rsidR="00E50FC4">
        <w:t xml:space="preserve">service providers </w:t>
      </w:r>
      <w:r w:rsidRPr="008B1B73">
        <w:t xml:space="preserve">are transferring </w:t>
      </w:r>
      <w:r w:rsidR="00723C4D">
        <w:t>capacity</w:t>
      </w:r>
      <w:r w:rsidRPr="008B1B73">
        <w:t xml:space="preserve"> for transactions that apply day-ahead as well as those into the future, </w:t>
      </w:r>
      <w:r w:rsidR="00025438">
        <w:t xml:space="preserve">the </w:t>
      </w:r>
      <w:r w:rsidR="00723C4D">
        <w:t>capacity</w:t>
      </w:r>
      <w:r w:rsidRPr="008B1B73">
        <w:t xml:space="preserve"> may need to be transferred multiple times between parties if it is on-sold. For instance, a daily product for next week may ‘churn’ 10 times between when it was first sold and the day-ahead cut-off point for trading. However, if churn of products is low, this issue will not be material. </w:t>
      </w:r>
    </w:p>
    <w:p w14:paraId="68EA756C" w14:textId="526303B8" w:rsidR="00C34E9D" w:rsidRPr="00330913" w:rsidRDefault="00C34E9D" w:rsidP="00330913">
      <w:pPr>
        <w:pStyle w:val="BoldHeading"/>
        <w:keepNext/>
        <w:rPr>
          <w:rStyle w:val="BoldAndItalics"/>
          <w:color w:val="0099CC"/>
        </w:rPr>
      </w:pPr>
      <w:r w:rsidRPr="00330913">
        <w:rPr>
          <w:rStyle w:val="BoldAndItalics"/>
          <w:b/>
          <w:i w:val="0"/>
          <w:color w:val="0099CC"/>
        </w:rPr>
        <w:t>Option 3:</w:t>
      </w:r>
      <w:r w:rsidRPr="00330913">
        <w:rPr>
          <w:rStyle w:val="BoldAndItalics"/>
          <w:color w:val="0099CC"/>
        </w:rPr>
        <w:t xml:space="preserve"> </w:t>
      </w:r>
      <w:r w:rsidR="000A1F71">
        <w:rPr>
          <w:rStyle w:val="BoldAndItalics"/>
          <w:b/>
          <w:i w:val="0"/>
          <w:color w:val="0099CC"/>
        </w:rPr>
        <w:t>T</w:t>
      </w:r>
      <w:r w:rsidRPr="00330913">
        <w:rPr>
          <w:rStyle w:val="BoldAndItalics"/>
          <w:b/>
          <w:i w:val="0"/>
          <w:color w:val="0099CC"/>
        </w:rPr>
        <w:t xml:space="preserve">ransfer </w:t>
      </w:r>
      <w:r w:rsidR="000A1F71">
        <w:rPr>
          <w:rStyle w:val="BoldAndItalics"/>
          <w:b/>
          <w:i w:val="0"/>
          <w:color w:val="0099CC"/>
        </w:rPr>
        <w:t xml:space="preserve">of </w:t>
      </w:r>
      <w:r w:rsidR="00723C4D">
        <w:rPr>
          <w:rStyle w:val="BoldAndItalics"/>
          <w:b/>
          <w:i w:val="0"/>
          <w:color w:val="0099CC"/>
        </w:rPr>
        <w:t>capacity</w:t>
      </w:r>
      <w:r w:rsidRPr="00330913">
        <w:rPr>
          <w:rStyle w:val="BoldAndItalics"/>
          <w:b/>
          <w:i w:val="0"/>
          <w:color w:val="0099CC"/>
        </w:rPr>
        <w:t xml:space="preserve"> once per day for </w:t>
      </w:r>
      <w:r w:rsidR="000A1F71">
        <w:rPr>
          <w:rStyle w:val="BoldAndItalics"/>
          <w:b/>
          <w:i w:val="0"/>
          <w:color w:val="0099CC"/>
        </w:rPr>
        <w:t xml:space="preserve">day-ahead transactions </w:t>
      </w:r>
    </w:p>
    <w:p w14:paraId="05A79B16" w14:textId="03D9E5E9" w:rsidR="00C34E9D" w:rsidRPr="008B1B73" w:rsidRDefault="00330913" w:rsidP="00C34E9D">
      <w:pPr>
        <w:pStyle w:val="BodyText"/>
        <w:rPr>
          <w:rStyle w:val="BoldAndItalics"/>
        </w:rPr>
      </w:pPr>
      <w:r>
        <w:t>Under this option A</w:t>
      </w:r>
      <w:r w:rsidR="00C34E9D" w:rsidRPr="008B1B73">
        <w:t xml:space="preserve">EMO would send net positions to </w:t>
      </w:r>
      <w:r w:rsidR="00734F1F">
        <w:t>service provider</w:t>
      </w:r>
      <w:r w:rsidR="00C34E9D" w:rsidRPr="008B1B73">
        <w:t xml:space="preserve">s </w:t>
      </w:r>
      <w:r w:rsidR="00025438">
        <w:t>for the transactions that will be on foot the next day</w:t>
      </w:r>
      <w:r w:rsidR="00C34E9D" w:rsidRPr="008B1B73">
        <w:t xml:space="preserve">. </w:t>
      </w:r>
      <w:r w:rsidR="00734F1F">
        <w:t>Service provider</w:t>
      </w:r>
      <w:r w:rsidR="00C34E9D" w:rsidRPr="008B1B73">
        <w:t xml:space="preserve">s would </w:t>
      </w:r>
      <w:r w:rsidR="0026795F">
        <w:t xml:space="preserve">then </w:t>
      </w:r>
      <w:r w:rsidR="00C34E9D" w:rsidRPr="008B1B73">
        <w:t xml:space="preserve">transfer </w:t>
      </w:r>
      <w:r w:rsidR="00CC7A28">
        <w:t xml:space="preserve">that </w:t>
      </w:r>
      <w:r w:rsidR="0026795F">
        <w:t xml:space="preserve">capacity </w:t>
      </w:r>
      <w:r w:rsidR="00CC7A28">
        <w:t>prior to the nomination cut-off time</w:t>
      </w:r>
      <w:r w:rsidR="000A48AC">
        <w:t>, subject to verification</w:t>
      </w:r>
      <w:r w:rsidR="00C34E9D" w:rsidRPr="008B1B73">
        <w:t>. AEMO could also provide additional information on transactions applying past day-ahead. This would facilitate monitoring of future positions.</w:t>
      </w:r>
      <w:r>
        <w:t xml:space="preserve"> The pros and cons of this option are as follows:</w:t>
      </w:r>
    </w:p>
    <w:p w14:paraId="09F54F39" w14:textId="1FA74054" w:rsidR="00C34E9D" w:rsidRPr="008B1B73" w:rsidRDefault="00C34E9D" w:rsidP="00330913">
      <w:pPr>
        <w:pStyle w:val="ListBullet"/>
      </w:pPr>
      <w:r w:rsidRPr="008B1B73">
        <w:rPr>
          <w:rStyle w:val="Bold"/>
        </w:rPr>
        <w:t xml:space="preserve">Pros: </w:t>
      </w:r>
      <w:r w:rsidR="00734F1F">
        <w:t>Service provider</w:t>
      </w:r>
      <w:r w:rsidRPr="008B1B73">
        <w:t xml:space="preserve">s would be required to transfer </w:t>
      </w:r>
      <w:r w:rsidR="00723C4D">
        <w:t>capacity</w:t>
      </w:r>
      <w:r w:rsidRPr="008B1B73">
        <w:t xml:space="preserve"> once per day, for the following day. This would avoid having to potentially transfer </w:t>
      </w:r>
      <w:r w:rsidR="00723C4D">
        <w:t>capacity</w:t>
      </w:r>
      <w:r w:rsidRPr="008B1B73">
        <w:t xml:space="preserve"> multiple times</w:t>
      </w:r>
      <w:r w:rsidR="00025438">
        <w:t xml:space="preserve"> if </w:t>
      </w:r>
      <w:r w:rsidR="00025438">
        <w:lastRenderedPageBreak/>
        <w:t>there is churn</w:t>
      </w:r>
      <w:r w:rsidRPr="008B1B73">
        <w:t xml:space="preserve">. </w:t>
      </w:r>
      <w:r w:rsidR="00734F1F">
        <w:t>Service provider</w:t>
      </w:r>
      <w:r w:rsidRPr="008B1B73">
        <w:t xml:space="preserve">s would </w:t>
      </w:r>
      <w:r w:rsidR="0026795F">
        <w:t xml:space="preserve">also </w:t>
      </w:r>
      <w:r w:rsidRPr="008B1B73">
        <w:t xml:space="preserve">have the information to transfer </w:t>
      </w:r>
      <w:r w:rsidR="00723C4D">
        <w:t>capacity</w:t>
      </w:r>
      <w:r w:rsidRPr="008B1B73">
        <w:t xml:space="preserve"> for future trades if they chose to. </w:t>
      </w:r>
    </w:p>
    <w:p w14:paraId="22ECE1F9" w14:textId="24FAB871" w:rsidR="00C34E9D" w:rsidRPr="008B1B73" w:rsidRDefault="00C34E9D" w:rsidP="00330913">
      <w:pPr>
        <w:pStyle w:val="ListBullet"/>
      </w:pPr>
      <w:r w:rsidRPr="008B1B73">
        <w:rPr>
          <w:rStyle w:val="Bold"/>
        </w:rPr>
        <w:t xml:space="preserve">Cons: </w:t>
      </w:r>
      <w:r w:rsidR="00CC7A28">
        <w:t>T</w:t>
      </w:r>
      <w:r w:rsidRPr="008B1B73">
        <w:t xml:space="preserve">ransferring </w:t>
      </w:r>
      <w:r w:rsidR="00723C4D">
        <w:t>capacity</w:t>
      </w:r>
      <w:r w:rsidRPr="008B1B73">
        <w:t xml:space="preserve"> for the following day </w:t>
      </w:r>
      <w:r w:rsidR="00CC7A28">
        <w:t xml:space="preserve">only provides </w:t>
      </w:r>
      <w:r w:rsidRPr="008B1B73">
        <w:t xml:space="preserve">a small window within which a seller can rectify a situation </w:t>
      </w:r>
      <w:r w:rsidR="0026795F">
        <w:t>if</w:t>
      </w:r>
      <w:r w:rsidRPr="008B1B73">
        <w:t xml:space="preserve"> they have oversold capacity. This may lead to a greater possibility of a shortfall and potential delivery default, particularly if the pipeline is constrained. </w:t>
      </w:r>
    </w:p>
    <w:p w14:paraId="74A5E3FF" w14:textId="1FEC71A3" w:rsidR="00C34E9D" w:rsidRPr="008B1B73" w:rsidRDefault="00C34E9D" w:rsidP="00330913">
      <w:pPr>
        <w:pStyle w:val="ListBullet"/>
        <w:numPr>
          <w:ilvl w:val="0"/>
          <w:numId w:val="0"/>
        </w:numPr>
        <w:ind w:left="357"/>
      </w:pPr>
      <w:r w:rsidRPr="008B1B73">
        <w:t>For longer dated products, such as a monthly</w:t>
      </w:r>
      <w:r w:rsidR="0026795F">
        <w:t xml:space="preserve"> product</w:t>
      </w:r>
      <w:r w:rsidRPr="008B1B73">
        <w:t xml:space="preserve">, there will be a higher administrative burden for </w:t>
      </w:r>
      <w:r w:rsidR="00734F1F">
        <w:t>service provider</w:t>
      </w:r>
      <w:r w:rsidRPr="008B1B73">
        <w:t xml:space="preserve">s. For example, under options 1 and 2 </w:t>
      </w:r>
      <w:r w:rsidR="00723C4D">
        <w:t>capacity</w:t>
      </w:r>
      <w:r w:rsidRPr="008B1B73">
        <w:t xml:space="preserve"> would be transferred once for a monthly product, where</w:t>
      </w:r>
      <w:r w:rsidR="00025438">
        <w:t>as</w:t>
      </w:r>
      <w:r w:rsidRPr="008B1B73">
        <w:t xml:space="preserve"> under </w:t>
      </w:r>
      <w:r w:rsidR="00CC7A28">
        <w:t xml:space="preserve">this option </w:t>
      </w:r>
      <w:r w:rsidRPr="008B1B73">
        <w:t xml:space="preserve">it would be transferred 30-31 times. </w:t>
      </w:r>
      <w:r w:rsidR="00CC7A28">
        <w:t>T</w:t>
      </w:r>
      <w:r w:rsidRPr="008B1B73">
        <w:t xml:space="preserve">his option </w:t>
      </w:r>
      <w:r w:rsidR="00CC7A28">
        <w:t xml:space="preserve">would </w:t>
      </w:r>
      <w:r w:rsidRPr="008B1B73">
        <w:t xml:space="preserve">not </w:t>
      </w:r>
      <w:r w:rsidR="00CC7A28">
        <w:t xml:space="preserve">therefore </w:t>
      </w:r>
      <w:r w:rsidRPr="008B1B73">
        <w:t xml:space="preserve">allow shippers to provide forecast nominations, potentially reducing the ability of </w:t>
      </w:r>
      <w:r w:rsidR="00734F1F">
        <w:t>service provider</w:t>
      </w:r>
      <w:r w:rsidRPr="008B1B73">
        <w:t xml:space="preserve">s to maximise the operational efficiencies of their pipelines. </w:t>
      </w:r>
    </w:p>
    <w:p w14:paraId="6AA43162" w14:textId="77777777" w:rsidR="00025438" w:rsidRPr="00350E30" w:rsidRDefault="00025438" w:rsidP="00025438">
      <w:pPr>
        <w:pStyle w:val="BoldHeading"/>
        <w:rPr>
          <w:color w:val="0099CC"/>
        </w:rPr>
      </w:pPr>
      <w:r>
        <w:rPr>
          <w:color w:val="0099CC"/>
        </w:rPr>
        <w:t>GMRG’s preliminary view and questions for stakeholders</w:t>
      </w:r>
    </w:p>
    <w:p w14:paraId="1B26368E" w14:textId="41B28B0F" w:rsidR="0091135B" w:rsidRDefault="00025438" w:rsidP="00330913">
      <w:pPr>
        <w:pStyle w:val="BodyText"/>
      </w:pPr>
      <w:r>
        <w:t>The</w:t>
      </w:r>
      <w:r w:rsidR="00330913">
        <w:t xml:space="preserve"> options </w:t>
      </w:r>
      <w:r>
        <w:t xml:space="preserve">outlined above </w:t>
      </w:r>
      <w:r w:rsidR="00330913">
        <w:t xml:space="preserve">were </w:t>
      </w:r>
      <w:r w:rsidR="00D30EB7">
        <w:t xml:space="preserve">considered </w:t>
      </w:r>
      <w:r w:rsidR="00330913">
        <w:t xml:space="preserve">by the </w:t>
      </w:r>
      <w:r w:rsidR="00C34E9D" w:rsidRPr="008B1B73">
        <w:t xml:space="preserve">Capacity </w:t>
      </w:r>
      <w:r w:rsidR="00330913">
        <w:t>T</w:t>
      </w:r>
      <w:r w:rsidR="00C34E9D" w:rsidRPr="008B1B73">
        <w:t xml:space="preserve">rading </w:t>
      </w:r>
      <w:r w:rsidR="00330913">
        <w:t>P</w:t>
      </w:r>
      <w:r w:rsidR="00C34E9D" w:rsidRPr="008B1B73">
        <w:t xml:space="preserve">latform </w:t>
      </w:r>
      <w:r w:rsidR="00330913">
        <w:t>project team</w:t>
      </w:r>
      <w:r w:rsidR="006A5405">
        <w:t xml:space="preserve"> and pipeline operators</w:t>
      </w:r>
      <w:r>
        <w:t xml:space="preserve">, who were of the view that </w:t>
      </w:r>
      <w:r w:rsidR="00C34E9D" w:rsidRPr="008B1B73">
        <w:rPr>
          <w:rStyle w:val="Bold"/>
        </w:rPr>
        <w:t>Option 2</w:t>
      </w:r>
      <w:r w:rsidR="00C34E9D" w:rsidRPr="008B1B73">
        <w:t xml:space="preserve"> </w:t>
      </w:r>
      <w:r w:rsidR="00330913">
        <w:t>should be implemented</w:t>
      </w:r>
      <w:r w:rsidR="0091135B">
        <w:t xml:space="preserve"> because it would: </w:t>
      </w:r>
    </w:p>
    <w:p w14:paraId="54D02618" w14:textId="7DBB659B" w:rsidR="0091135B" w:rsidRDefault="00025438" w:rsidP="0091135B">
      <w:pPr>
        <w:pStyle w:val="ListBullet"/>
      </w:pPr>
      <w:r>
        <w:t xml:space="preserve">provide parties </w:t>
      </w:r>
      <w:r w:rsidRPr="008B1B73">
        <w:t xml:space="preserve">greater scope to resolve any issues that </w:t>
      </w:r>
      <w:r>
        <w:t xml:space="preserve">may </w:t>
      </w:r>
      <w:r w:rsidRPr="008B1B73">
        <w:t xml:space="preserve">arise during the </w:t>
      </w:r>
      <w:r w:rsidR="00723C4D">
        <w:t>capacity</w:t>
      </w:r>
      <w:r w:rsidRPr="008B1B73">
        <w:t xml:space="preserve"> transfer process</w:t>
      </w:r>
      <w:r w:rsidR="0091135B">
        <w:t>;</w:t>
      </w:r>
      <w:r w:rsidRPr="008B1B73">
        <w:t xml:space="preserve"> </w:t>
      </w:r>
      <w:r>
        <w:t xml:space="preserve">and </w:t>
      </w:r>
    </w:p>
    <w:p w14:paraId="549871C1" w14:textId="77777777" w:rsidR="0091135B" w:rsidRDefault="00025438" w:rsidP="0091135B">
      <w:pPr>
        <w:pStyle w:val="ListBullet"/>
      </w:pPr>
      <w:r>
        <w:t xml:space="preserve">enable </w:t>
      </w:r>
      <w:r w:rsidR="00550FE9">
        <w:t xml:space="preserve">service providers to be more informed about the expected use of their facilities. </w:t>
      </w:r>
    </w:p>
    <w:p w14:paraId="1DA5AF71" w14:textId="7A4ED7DB" w:rsidR="0091135B" w:rsidRDefault="0091135B" w:rsidP="0091135B">
      <w:pPr>
        <w:keepLines/>
        <w:spacing w:after="120"/>
      </w:pPr>
      <w:r>
        <w:rPr>
          <w:rFonts w:cs="Arial"/>
        </w:rPr>
        <w:t xml:space="preserve">The GMRG agrees with this view and notes that </w:t>
      </w:r>
      <w:r w:rsidRPr="001C267C">
        <w:rPr>
          <w:rFonts w:cs="Arial"/>
        </w:rPr>
        <w:t xml:space="preserve">Option 2 </w:t>
      </w:r>
      <w:r>
        <w:rPr>
          <w:rFonts w:cs="Arial"/>
        </w:rPr>
        <w:t xml:space="preserve">provides a more appropriate </w:t>
      </w:r>
      <w:r w:rsidRPr="001C267C">
        <w:rPr>
          <w:rFonts w:cs="Arial"/>
        </w:rPr>
        <w:t>balance</w:t>
      </w:r>
      <w:r>
        <w:rPr>
          <w:rFonts w:cs="Arial"/>
        </w:rPr>
        <w:t xml:space="preserve"> between</w:t>
      </w:r>
      <w:r w:rsidRPr="001C267C">
        <w:rPr>
          <w:rFonts w:cs="Arial"/>
        </w:rPr>
        <w:t xml:space="preserve"> the costs of </w:t>
      </w:r>
      <w:r>
        <w:rPr>
          <w:rFonts w:cs="Arial"/>
        </w:rPr>
        <w:t>transfer</w:t>
      </w:r>
      <w:r w:rsidR="00F348D8">
        <w:rPr>
          <w:rFonts w:cs="Arial"/>
        </w:rPr>
        <w:t xml:space="preserve">ring information to the service provider </w:t>
      </w:r>
      <w:r>
        <w:rPr>
          <w:rFonts w:cs="Arial"/>
        </w:rPr>
        <w:t>and the management of risks</w:t>
      </w:r>
      <w:r w:rsidRPr="001C267C">
        <w:t xml:space="preserve">.  </w:t>
      </w:r>
      <w:r>
        <w:t xml:space="preserve">This is, however, a preliminary view only and the GMRG is interested in whether there is any </w:t>
      </w:r>
      <w:r w:rsidR="00D30EB7">
        <w:t xml:space="preserve">stakeholder </w:t>
      </w:r>
      <w:r>
        <w:t xml:space="preserve">support for the other two options. </w:t>
      </w:r>
    </w:p>
    <w:tbl>
      <w:tblPr>
        <w:tblStyle w:val="PullOutBoxTable"/>
        <w:tblW w:w="5000" w:type="pct"/>
        <w:shd w:val="clear" w:color="auto" w:fill="B7E7FF"/>
        <w:tblLook w:val="0600" w:firstRow="0" w:lastRow="0" w:firstColumn="0" w:lastColumn="0" w:noHBand="1" w:noVBand="1"/>
        <w:tblCaption w:val="Box 8.2: Questions on information to be provided to service providers"/>
        <w:tblDescription w:val="Questions on information to be provided to service providers"/>
      </w:tblPr>
      <w:tblGrid>
        <w:gridCol w:w="8788"/>
      </w:tblGrid>
      <w:tr w:rsidR="00BD0988" w:rsidRPr="005A3DCB" w14:paraId="55F73C56" w14:textId="77777777" w:rsidTr="009E6A8A">
        <w:trPr>
          <w:tblHeader/>
        </w:trPr>
        <w:tc>
          <w:tcPr>
            <w:tcW w:w="5000" w:type="pct"/>
            <w:shd w:val="clear" w:color="auto" w:fill="auto"/>
          </w:tcPr>
          <w:p w14:paraId="2799E51C" w14:textId="1F781340" w:rsidR="005A3DCB" w:rsidRPr="005A3DCB" w:rsidRDefault="009E6A8A" w:rsidP="009E6A8A">
            <w:pPr>
              <w:pStyle w:val="ListNumber"/>
              <w:numPr>
                <w:ilvl w:val="0"/>
                <w:numId w:val="0"/>
              </w:numPr>
              <w:spacing w:after="0"/>
              <w:ind w:left="357" w:hanging="357"/>
              <w:rPr>
                <w:sz w:val="21"/>
                <w:szCs w:val="21"/>
              </w:rPr>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8</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2</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information to be provided to service providers</w:t>
            </w:r>
          </w:p>
        </w:tc>
      </w:tr>
      <w:tr w:rsidR="009E6A8A" w:rsidRPr="005A3DCB" w14:paraId="57142DDA" w14:textId="77777777" w:rsidTr="009E6A8A">
        <w:trPr>
          <w:tblHeader/>
        </w:trPr>
        <w:tc>
          <w:tcPr>
            <w:tcW w:w="5000" w:type="pct"/>
            <w:shd w:val="clear" w:color="auto" w:fill="B7E7FF"/>
          </w:tcPr>
          <w:p w14:paraId="5FA48E74" w14:textId="77777777" w:rsidR="009E6A8A" w:rsidRDefault="009E6A8A" w:rsidP="009E6A8A">
            <w:pPr>
              <w:pStyle w:val="ListNumber"/>
              <w:numPr>
                <w:ilvl w:val="0"/>
                <w:numId w:val="23"/>
              </w:numPr>
              <w:rPr>
                <w:rFonts w:eastAsiaTheme="majorEastAsia"/>
                <w:sz w:val="21"/>
                <w:szCs w:val="21"/>
              </w:rPr>
            </w:pPr>
            <w:r w:rsidRPr="005A3DCB">
              <w:rPr>
                <w:rFonts w:eastAsiaTheme="majorEastAsia"/>
                <w:sz w:val="21"/>
                <w:szCs w:val="21"/>
              </w:rPr>
              <w:t xml:space="preserve">Do you agree that Option 2 should be implemented? If not, please explain why. </w:t>
            </w:r>
          </w:p>
          <w:p w14:paraId="4B3BFAE0" w14:textId="46F9E7C9" w:rsidR="009E6A8A" w:rsidRPr="009E6A8A" w:rsidRDefault="009E6A8A" w:rsidP="009E6A8A">
            <w:pPr>
              <w:pStyle w:val="ListNumber"/>
              <w:numPr>
                <w:ilvl w:val="0"/>
                <w:numId w:val="23"/>
              </w:numPr>
              <w:rPr>
                <w:rFonts w:eastAsiaTheme="majorEastAsia"/>
                <w:sz w:val="21"/>
                <w:szCs w:val="21"/>
              </w:rPr>
            </w:pPr>
            <w:r w:rsidRPr="009E6A8A">
              <w:rPr>
                <w:sz w:val="21"/>
                <w:szCs w:val="21"/>
              </w:rPr>
              <w:t xml:space="preserve">Do you think AEMO should net out shippers’ positions prior to transaction information being provided to service providers to transfer capacity? </w:t>
            </w:r>
            <w:r w:rsidRPr="009E6A8A">
              <w:rPr>
                <w:rFonts w:eastAsiaTheme="majorEastAsia"/>
                <w:sz w:val="21"/>
                <w:szCs w:val="21"/>
              </w:rPr>
              <w:t>If not, please explain why.</w:t>
            </w:r>
          </w:p>
        </w:tc>
      </w:tr>
    </w:tbl>
    <w:p w14:paraId="09149856" w14:textId="4A81F437" w:rsidR="004354FA" w:rsidRDefault="004354FA" w:rsidP="00B32624">
      <w:pPr>
        <w:pStyle w:val="Heading3"/>
      </w:pPr>
      <w:r>
        <w:t>Other information that could be provided to service providers</w:t>
      </w:r>
    </w:p>
    <w:p w14:paraId="5C895766" w14:textId="3EE7658A" w:rsidR="00E67805" w:rsidRDefault="00E67805" w:rsidP="00E67805">
      <w:pPr>
        <w:pStyle w:val="BodyText"/>
        <w:rPr>
          <w:rFonts w:cs="Arial"/>
        </w:rPr>
      </w:pPr>
      <w:r>
        <w:rPr>
          <w:rFonts w:cs="Arial"/>
        </w:rPr>
        <w:t xml:space="preserve">In addition to providing service providers with information on the </w:t>
      </w:r>
      <w:r w:rsidR="0026795F">
        <w:rPr>
          <w:rFonts w:cs="Arial"/>
        </w:rPr>
        <w:t xml:space="preserve">capacity </w:t>
      </w:r>
      <w:r>
        <w:rPr>
          <w:rFonts w:cs="Arial"/>
        </w:rPr>
        <w:t>that has been traded</w:t>
      </w:r>
      <w:r w:rsidR="0026795F">
        <w:rPr>
          <w:rFonts w:cs="Arial"/>
        </w:rPr>
        <w:t xml:space="preserve"> and the term of the trade</w:t>
      </w:r>
      <w:r>
        <w:rPr>
          <w:rFonts w:cs="Arial"/>
        </w:rPr>
        <w:t xml:space="preserve">, </w:t>
      </w:r>
      <w:r w:rsidR="00550FE9">
        <w:rPr>
          <w:rFonts w:cs="Arial"/>
        </w:rPr>
        <w:t xml:space="preserve">the Capacity Trading Platform project team noted that there </w:t>
      </w:r>
      <w:r w:rsidR="001A581E">
        <w:rPr>
          <w:rFonts w:cs="Arial"/>
        </w:rPr>
        <w:t xml:space="preserve">may be value in </w:t>
      </w:r>
      <w:r>
        <w:rPr>
          <w:rFonts w:cs="Arial"/>
        </w:rPr>
        <w:t>collect</w:t>
      </w:r>
      <w:r w:rsidR="00550FE9">
        <w:rPr>
          <w:rFonts w:cs="Arial"/>
        </w:rPr>
        <w:t>ing</w:t>
      </w:r>
      <w:r>
        <w:rPr>
          <w:rFonts w:cs="Arial"/>
        </w:rPr>
        <w:t xml:space="preserve"> the following information </w:t>
      </w:r>
      <w:r w:rsidR="00252137">
        <w:rPr>
          <w:rFonts w:cs="Arial"/>
        </w:rPr>
        <w:t xml:space="preserve">from buyers and sellers </w:t>
      </w:r>
      <w:r>
        <w:rPr>
          <w:rFonts w:cs="Arial"/>
        </w:rPr>
        <w:t xml:space="preserve">at the time the trade is conducted and to provide </w:t>
      </w:r>
      <w:r w:rsidR="00252137">
        <w:rPr>
          <w:rFonts w:cs="Arial"/>
        </w:rPr>
        <w:t xml:space="preserve">it </w:t>
      </w:r>
      <w:r>
        <w:rPr>
          <w:rFonts w:cs="Arial"/>
        </w:rPr>
        <w:t>to the service provider:</w:t>
      </w:r>
      <w:r w:rsidR="001A581E">
        <w:rPr>
          <w:rStyle w:val="FootnoteReference"/>
          <w:rFonts w:cs="Arial"/>
        </w:rPr>
        <w:footnoteReference w:id="93"/>
      </w:r>
      <w:r>
        <w:rPr>
          <w:rFonts w:cs="Arial"/>
        </w:rPr>
        <w:t xml:space="preserve"> </w:t>
      </w:r>
    </w:p>
    <w:p w14:paraId="1BEADD4B" w14:textId="38EA9339" w:rsidR="00E67805" w:rsidRDefault="00E67805" w:rsidP="00E67805">
      <w:pPr>
        <w:pStyle w:val="ListBullet"/>
      </w:pPr>
      <w:r>
        <w:t xml:space="preserve">the GTA that the seller wants to deduct </w:t>
      </w:r>
      <w:r w:rsidR="00550FE9">
        <w:t xml:space="preserve">the sold </w:t>
      </w:r>
      <w:r>
        <w:t>capacity from</w:t>
      </w:r>
      <w:r w:rsidR="00550FE9">
        <w:t xml:space="preserve"> and the receipt and delivery points it intends to release the capacity from</w:t>
      </w:r>
      <w:r>
        <w:t>; and</w:t>
      </w:r>
    </w:p>
    <w:p w14:paraId="1C3835AE" w14:textId="4E6768B0" w:rsidR="00E67805" w:rsidRDefault="00E67805" w:rsidP="00E67805">
      <w:pPr>
        <w:pStyle w:val="ListBullet"/>
      </w:pPr>
      <w:r>
        <w:lastRenderedPageBreak/>
        <w:t>the operational GTA</w:t>
      </w:r>
      <w:r>
        <w:rPr>
          <w:rStyle w:val="FootnoteReference"/>
          <w:rFonts w:cs="Arial"/>
        </w:rPr>
        <w:footnoteReference w:id="94"/>
      </w:r>
      <w:r>
        <w:t xml:space="preserve"> that the buyer wants to add the capacity to</w:t>
      </w:r>
      <w:r w:rsidR="00550FE9">
        <w:t xml:space="preserve"> and the receipt and delivery points it intends to use</w:t>
      </w:r>
      <w:r>
        <w:t>.</w:t>
      </w:r>
    </w:p>
    <w:p w14:paraId="198A30FF" w14:textId="61728A2F" w:rsidR="001A581E" w:rsidRDefault="00252137" w:rsidP="004354FA">
      <w:pPr>
        <w:pStyle w:val="BodyText"/>
      </w:pPr>
      <w:r>
        <w:t xml:space="preserve">This information could be </w:t>
      </w:r>
      <w:r w:rsidR="006A5405">
        <w:t xml:space="preserve">provided by </w:t>
      </w:r>
      <w:r>
        <w:t xml:space="preserve">buyers and sellers </w:t>
      </w:r>
      <w:r w:rsidR="006A5405">
        <w:t xml:space="preserve">at the time of the trade </w:t>
      </w:r>
      <w:r w:rsidR="004354FA" w:rsidRPr="008B1B73">
        <w:t>and communicate</w:t>
      </w:r>
      <w:r w:rsidR="00550FE9">
        <w:t>d</w:t>
      </w:r>
      <w:r w:rsidR="004354FA" w:rsidRPr="008B1B73">
        <w:t xml:space="preserve"> </w:t>
      </w:r>
      <w:r w:rsidR="00550FE9">
        <w:t xml:space="preserve">by AEMO </w:t>
      </w:r>
      <w:r w:rsidR="004354FA" w:rsidRPr="008B1B73">
        <w:t xml:space="preserve">to </w:t>
      </w:r>
      <w:r w:rsidR="004354FA">
        <w:t>service provider</w:t>
      </w:r>
      <w:r w:rsidR="004354FA" w:rsidRPr="008B1B73">
        <w:t xml:space="preserve">s along with shippers’ net positions. </w:t>
      </w:r>
      <w:r w:rsidR="00550FE9">
        <w:t>Alternatively, this information could be provided directly by the counterparties to the service provider.</w:t>
      </w:r>
    </w:p>
    <w:p w14:paraId="36F963A6" w14:textId="77777777" w:rsidR="00550FE9" w:rsidRPr="00350E30" w:rsidRDefault="00550FE9" w:rsidP="00550FE9">
      <w:pPr>
        <w:pStyle w:val="BoldHeading"/>
        <w:rPr>
          <w:color w:val="0099CC"/>
        </w:rPr>
      </w:pPr>
      <w:r>
        <w:rPr>
          <w:color w:val="0099CC"/>
        </w:rPr>
        <w:t>GMRG’s preliminary view and questions for stakeholders</w:t>
      </w:r>
    </w:p>
    <w:p w14:paraId="22D7B968" w14:textId="440E1E67" w:rsidR="004354FA" w:rsidRDefault="001A581E" w:rsidP="004354FA">
      <w:pPr>
        <w:pStyle w:val="BodyText"/>
      </w:pPr>
      <w:r>
        <w:t xml:space="preserve">The GMRG </w:t>
      </w:r>
      <w:r w:rsidR="00D30EB7">
        <w:t xml:space="preserve">believes </w:t>
      </w:r>
      <w:r w:rsidR="00550FE9">
        <w:t>there is merit in the exchange collecting the contract and receipt and delivery point information and providing this info</w:t>
      </w:r>
      <w:r w:rsidR="00D30EB7">
        <w:t>rmation to the service provider. This is</w:t>
      </w:r>
      <w:r w:rsidR="00550FE9">
        <w:t xml:space="preserve"> because it will reduce the administrative burden for shippers and service providers who would otherwise need to liaise with each other after the trade to transfer this information. The GMRG is </w:t>
      </w:r>
      <w:r w:rsidR="0026795F">
        <w:t xml:space="preserve">interested, however, </w:t>
      </w:r>
      <w:r w:rsidR="00550FE9">
        <w:t xml:space="preserve">in </w:t>
      </w:r>
      <w:r w:rsidR="0026795F">
        <w:t xml:space="preserve">obtaining </w:t>
      </w:r>
      <w:r w:rsidR="00550FE9">
        <w:t xml:space="preserve">other stakeholders’ </w:t>
      </w:r>
      <w:r w:rsidR="0026795F">
        <w:t xml:space="preserve">perspectives </w:t>
      </w:r>
      <w:r w:rsidR="00550FE9">
        <w:t>on this issue and the questions set out in the box below</w:t>
      </w:r>
      <w:r>
        <w:t xml:space="preserve">. </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8.3: Questions on other information that could be collected and provided "/>
        <w:tblDescription w:val="Questions on other information that could be collected and provided "/>
      </w:tblPr>
      <w:tblGrid>
        <w:gridCol w:w="8788"/>
      </w:tblGrid>
      <w:tr w:rsidR="00252137" w:rsidRPr="0057020B" w14:paraId="13E43C2B" w14:textId="77777777" w:rsidTr="009E6A8A">
        <w:trPr>
          <w:trHeight w:val="477"/>
          <w:tblHeader/>
        </w:trPr>
        <w:tc>
          <w:tcPr>
            <w:tcW w:w="5000" w:type="pct"/>
            <w:shd w:val="clear" w:color="auto" w:fill="auto"/>
          </w:tcPr>
          <w:p w14:paraId="63FD9FB1" w14:textId="0DD23CBE" w:rsidR="00CC7A28" w:rsidRPr="00BD0988" w:rsidRDefault="009E6A8A" w:rsidP="009E6A8A">
            <w:pPr>
              <w:pStyle w:val="ListNumber"/>
              <w:numPr>
                <w:ilvl w:val="0"/>
                <w:numId w:val="0"/>
              </w:numPr>
              <w:ind w:left="360" w:hanging="360"/>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8</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3</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other information that could be collected and provided</w:t>
            </w:r>
          </w:p>
        </w:tc>
      </w:tr>
      <w:tr w:rsidR="009E6A8A" w:rsidRPr="0057020B" w14:paraId="079599E8" w14:textId="77777777" w:rsidTr="009E6A8A">
        <w:tc>
          <w:tcPr>
            <w:tcW w:w="5000" w:type="pct"/>
            <w:shd w:val="clear" w:color="auto" w:fill="B7E7FF"/>
          </w:tcPr>
          <w:p w14:paraId="398A1306" w14:textId="77777777" w:rsidR="009E6A8A" w:rsidRDefault="009E6A8A" w:rsidP="009E6A8A">
            <w:pPr>
              <w:pStyle w:val="ListNumber"/>
              <w:numPr>
                <w:ilvl w:val="0"/>
                <w:numId w:val="23"/>
              </w:numPr>
            </w:pPr>
            <w:r w:rsidRPr="008B1B73">
              <w:t xml:space="preserve">Do </w:t>
            </w:r>
            <w:r>
              <w:t xml:space="preserve">you think there is value in having AEMO: </w:t>
            </w:r>
          </w:p>
          <w:p w14:paraId="0108AA3F" w14:textId="77777777" w:rsidR="009E6A8A" w:rsidRPr="0091135B" w:rsidRDefault="009E6A8A" w:rsidP="009E6A8A">
            <w:pPr>
              <w:pStyle w:val="ListBullet2"/>
              <w:rPr>
                <w:sz w:val="21"/>
                <w:szCs w:val="21"/>
              </w:rPr>
            </w:pPr>
            <w:r>
              <w:rPr>
                <w:sz w:val="21"/>
                <w:szCs w:val="21"/>
              </w:rPr>
              <w:t>c</w:t>
            </w:r>
            <w:r w:rsidRPr="0091135B">
              <w:rPr>
                <w:sz w:val="21"/>
                <w:szCs w:val="21"/>
              </w:rPr>
              <w:t xml:space="preserve">ollect information from the seller on the GTA and receipt and delivery points that it wants to deduct the capacity from and to provide this to service providers? </w:t>
            </w:r>
          </w:p>
          <w:p w14:paraId="4477D6ED" w14:textId="77777777" w:rsidR="009E6A8A" w:rsidRPr="0091135B" w:rsidRDefault="009E6A8A" w:rsidP="009E6A8A">
            <w:pPr>
              <w:pStyle w:val="ListBullet2"/>
              <w:rPr>
                <w:sz w:val="21"/>
                <w:szCs w:val="21"/>
              </w:rPr>
            </w:pPr>
            <w:r w:rsidRPr="0091135B">
              <w:rPr>
                <w:sz w:val="21"/>
                <w:szCs w:val="21"/>
              </w:rPr>
              <w:t>collect information from buyers on the GTA they want to add the capacity to and the receipt and delivery points they intend to use?</w:t>
            </w:r>
          </w:p>
          <w:p w14:paraId="447D2A19" w14:textId="77777777" w:rsidR="009E6A8A" w:rsidRDefault="009E6A8A" w:rsidP="009E6A8A">
            <w:pPr>
              <w:pStyle w:val="ListNumber"/>
              <w:numPr>
                <w:ilvl w:val="0"/>
                <w:numId w:val="0"/>
              </w:numPr>
              <w:ind w:left="360"/>
            </w:pPr>
            <w:r>
              <w:t xml:space="preserve">Or do you think this information should be provided directly by the counterparties to the service provider? </w:t>
            </w:r>
          </w:p>
          <w:p w14:paraId="084CDBB6" w14:textId="10C4EAE2" w:rsidR="009E6A8A" w:rsidRPr="008B1B73" w:rsidRDefault="009E6A8A" w:rsidP="009E6A8A">
            <w:pPr>
              <w:pStyle w:val="ListNumber"/>
              <w:numPr>
                <w:ilvl w:val="0"/>
                <w:numId w:val="23"/>
              </w:numPr>
            </w:pPr>
            <w:r>
              <w:t>If you think the information should be provided by counterparties, at what point do you think they should be required to do so (e.g. as soon as practicable after the trade occurs or through the nomination process)?</w:t>
            </w:r>
          </w:p>
        </w:tc>
      </w:tr>
    </w:tbl>
    <w:p w14:paraId="21C34B87" w14:textId="35DD6265" w:rsidR="00C34E9D" w:rsidRPr="008B1B73" w:rsidRDefault="00C34E9D" w:rsidP="00B32624">
      <w:pPr>
        <w:pStyle w:val="Heading3"/>
      </w:pPr>
      <w:r w:rsidRPr="008B1B73">
        <w:t xml:space="preserve">Data interchange between AEMO and </w:t>
      </w:r>
      <w:r w:rsidR="00734F1F">
        <w:t>service provider</w:t>
      </w:r>
      <w:r w:rsidRPr="008B1B73">
        <w:t xml:space="preserve">s </w:t>
      </w:r>
    </w:p>
    <w:p w14:paraId="5C35310B" w14:textId="050AF6C6" w:rsidR="00C34E9D" w:rsidRPr="008B1B73" w:rsidRDefault="0091135B" w:rsidP="00C34E9D">
      <w:pPr>
        <w:pStyle w:val="BodyText"/>
      </w:pPr>
      <w:r>
        <w:rPr>
          <w:rFonts w:cs="Arial"/>
        </w:rPr>
        <w:t xml:space="preserve">Under the fully anonymous model, </w:t>
      </w:r>
      <w:r w:rsidR="00C34E9D" w:rsidRPr="008B1B73">
        <w:rPr>
          <w:rFonts w:cs="Arial"/>
        </w:rPr>
        <w:t xml:space="preserve">data links </w:t>
      </w:r>
      <w:r>
        <w:rPr>
          <w:rFonts w:cs="Arial"/>
        </w:rPr>
        <w:t xml:space="preserve">will be </w:t>
      </w:r>
      <w:r w:rsidR="00C34E9D" w:rsidRPr="008B1B73">
        <w:rPr>
          <w:rFonts w:cs="Arial"/>
        </w:rPr>
        <w:t xml:space="preserve">required between </w:t>
      </w:r>
      <w:r>
        <w:rPr>
          <w:rFonts w:cs="Arial"/>
        </w:rPr>
        <w:t xml:space="preserve">AEMO and </w:t>
      </w:r>
      <w:r w:rsidR="00734F1F">
        <w:rPr>
          <w:rFonts w:cs="Arial"/>
        </w:rPr>
        <w:t>service provider</w:t>
      </w:r>
      <w:r w:rsidR="00C34E9D" w:rsidRPr="008B1B73">
        <w:rPr>
          <w:rFonts w:cs="Arial"/>
        </w:rPr>
        <w:t>s</w:t>
      </w:r>
      <w:r>
        <w:rPr>
          <w:rFonts w:cs="Arial"/>
        </w:rPr>
        <w:t xml:space="preserve">. To minimise costs, </w:t>
      </w:r>
      <w:r w:rsidR="00B32624">
        <w:rPr>
          <w:rFonts w:cs="Arial"/>
        </w:rPr>
        <w:t xml:space="preserve">AEMO </w:t>
      </w:r>
      <w:r>
        <w:rPr>
          <w:rFonts w:cs="Arial"/>
        </w:rPr>
        <w:t xml:space="preserve">is proposing </w:t>
      </w:r>
      <w:r w:rsidR="00B32624">
        <w:rPr>
          <w:rFonts w:cs="Arial"/>
        </w:rPr>
        <w:t xml:space="preserve">to </w:t>
      </w:r>
      <w:r w:rsidR="006A5405">
        <w:rPr>
          <w:rFonts w:cs="Arial"/>
        </w:rPr>
        <w:t xml:space="preserve">utilise one of the existing data exchange systems, such as the </w:t>
      </w:r>
      <w:r w:rsidR="00C34E9D" w:rsidRPr="008B1B73">
        <w:rPr>
          <w:rFonts w:cs="Arial"/>
        </w:rPr>
        <w:t>BB data exchange</w:t>
      </w:r>
      <w:r w:rsidR="006A5405">
        <w:rPr>
          <w:rFonts w:cs="Arial"/>
        </w:rPr>
        <w:t xml:space="preserve"> or the STTM Interface Protocol (SIP) data link</w:t>
      </w:r>
      <w:r w:rsidR="00C34E9D" w:rsidRPr="008B1B73">
        <w:rPr>
          <w:rFonts w:cs="Arial"/>
        </w:rPr>
        <w:t xml:space="preserve">. </w:t>
      </w:r>
    </w:p>
    <w:p w14:paraId="7FA749E9" w14:textId="0023A614" w:rsidR="00C34E9D" w:rsidRPr="008B1B73" w:rsidRDefault="00C34E9D" w:rsidP="00C34E9D">
      <w:pPr>
        <w:pStyle w:val="BodyText"/>
      </w:pPr>
      <w:r w:rsidRPr="008B1B73">
        <w:t xml:space="preserve">The BB CSV interface provides a file gateway allowing </w:t>
      </w:r>
      <w:r w:rsidR="0026795F">
        <w:t xml:space="preserve">service providers </w:t>
      </w:r>
      <w:r w:rsidRPr="008B1B73">
        <w:t xml:space="preserve">to submit market data to AEMO using File Transfer Protocol (FTP). BB </w:t>
      </w:r>
      <w:r w:rsidR="007447D4">
        <w:t>p</w:t>
      </w:r>
      <w:r w:rsidRPr="008B1B73">
        <w:t>articipants have two options to submit their CSV files:</w:t>
      </w:r>
      <w:r w:rsidRPr="008B1B73">
        <w:rPr>
          <w:rStyle w:val="FootnoteReference"/>
          <w:rFonts w:eastAsia="Cambria"/>
        </w:rPr>
        <w:footnoteReference w:id="95"/>
      </w:r>
    </w:p>
    <w:p w14:paraId="4FCB6475" w14:textId="77777777" w:rsidR="00C34E9D" w:rsidRPr="008B1B73" w:rsidRDefault="00C34E9D" w:rsidP="005C4789">
      <w:pPr>
        <w:pStyle w:val="ListBullet"/>
        <w:numPr>
          <w:ilvl w:val="0"/>
          <w:numId w:val="54"/>
        </w:numPr>
      </w:pPr>
      <w:r w:rsidRPr="008B1B73">
        <w:t>CSV file upload using FTP; and</w:t>
      </w:r>
    </w:p>
    <w:p w14:paraId="48D9BD3C" w14:textId="77777777" w:rsidR="00C34E9D" w:rsidRPr="008B1B73" w:rsidRDefault="00C34E9D" w:rsidP="005C4789">
      <w:pPr>
        <w:pStyle w:val="ListBullet"/>
        <w:numPr>
          <w:ilvl w:val="0"/>
          <w:numId w:val="53"/>
        </w:numPr>
      </w:pPr>
      <w:r w:rsidRPr="008B1B73">
        <w:t>CSV file upload using the website upload page.</w:t>
      </w:r>
    </w:p>
    <w:p w14:paraId="1F4D8D2E" w14:textId="0024FF20" w:rsidR="006A5405" w:rsidRDefault="006A5405" w:rsidP="00C34E9D">
      <w:pPr>
        <w:pStyle w:val="BodyText"/>
        <w:rPr>
          <w:rFonts w:cs="Arial"/>
        </w:rPr>
      </w:pPr>
      <w:r>
        <w:rPr>
          <w:rFonts w:cs="Arial"/>
        </w:rPr>
        <w:lastRenderedPageBreak/>
        <w:t xml:space="preserve">This </w:t>
      </w:r>
      <w:r w:rsidRPr="008B1B73">
        <w:rPr>
          <w:rFonts w:cs="Arial"/>
        </w:rPr>
        <w:t xml:space="preserve">exchange is used by all </w:t>
      </w:r>
      <w:r>
        <w:rPr>
          <w:rFonts w:cs="Arial"/>
        </w:rPr>
        <w:t>service provider</w:t>
      </w:r>
      <w:r w:rsidRPr="008B1B73">
        <w:rPr>
          <w:rFonts w:cs="Arial"/>
        </w:rPr>
        <w:t>s on the east coast</w:t>
      </w:r>
      <w:r>
        <w:rPr>
          <w:rFonts w:cs="Arial"/>
        </w:rPr>
        <w:t xml:space="preserve"> that are required to report information to the BB</w:t>
      </w:r>
      <w:r w:rsidRPr="008B1B73">
        <w:rPr>
          <w:rFonts w:cs="Arial"/>
        </w:rPr>
        <w:t>, which should minimise implementation risks and costs.</w:t>
      </w:r>
    </w:p>
    <w:p w14:paraId="643D93BE" w14:textId="747E3B79" w:rsidR="00C34E9D" w:rsidRPr="008B1B73" w:rsidRDefault="00C34E9D" w:rsidP="00C34E9D">
      <w:pPr>
        <w:pStyle w:val="BodyText"/>
      </w:pPr>
      <w:r w:rsidRPr="008B1B73">
        <w:rPr>
          <w:rFonts w:cs="Arial"/>
        </w:rPr>
        <w:t xml:space="preserve">Another option is </w:t>
      </w:r>
      <w:r w:rsidR="00B32624">
        <w:rPr>
          <w:rFonts w:cs="Arial"/>
        </w:rPr>
        <w:t xml:space="preserve">to </w:t>
      </w:r>
      <w:r w:rsidRPr="008B1B73">
        <w:rPr>
          <w:rFonts w:cs="Arial"/>
        </w:rPr>
        <w:t>use the SIP data link.</w:t>
      </w:r>
      <w:r w:rsidRPr="008B1B73">
        <w:rPr>
          <w:rStyle w:val="FootnoteReference"/>
          <w:rFonts w:eastAsia="Cambria"/>
        </w:rPr>
        <w:footnoteReference w:id="96"/>
      </w:r>
      <w:r w:rsidRPr="008B1B73">
        <w:rPr>
          <w:rFonts w:cs="Arial"/>
        </w:rPr>
        <w:t xml:space="preserve"> The SIP is used to transfer data between STTM registered participants, </w:t>
      </w:r>
      <w:r w:rsidR="00734F1F">
        <w:rPr>
          <w:rFonts w:cs="Arial"/>
        </w:rPr>
        <w:t>service provider</w:t>
      </w:r>
      <w:r w:rsidRPr="008B1B73">
        <w:rPr>
          <w:rFonts w:cs="Arial"/>
        </w:rPr>
        <w:t>s and AEMO. Four different interfaces are available under the SIP to submit information to and from AEMO:</w:t>
      </w:r>
    </w:p>
    <w:p w14:paraId="2959BDE9" w14:textId="0F502231" w:rsidR="00C34E9D" w:rsidRPr="008B1B73" w:rsidRDefault="0091135B" w:rsidP="005C4789">
      <w:pPr>
        <w:pStyle w:val="ListBullet"/>
        <w:numPr>
          <w:ilvl w:val="0"/>
          <w:numId w:val="53"/>
        </w:numPr>
      </w:pPr>
      <w:r>
        <w:t>d</w:t>
      </w:r>
      <w:r w:rsidR="00C34E9D" w:rsidRPr="008B1B73">
        <w:t>irect data entry using a browser;</w:t>
      </w:r>
    </w:p>
    <w:p w14:paraId="72D75DF8" w14:textId="754F0B91" w:rsidR="00C34E9D" w:rsidRPr="008B1B73" w:rsidRDefault="0091135B" w:rsidP="005C4789">
      <w:pPr>
        <w:pStyle w:val="ListBullet"/>
        <w:numPr>
          <w:ilvl w:val="0"/>
          <w:numId w:val="52"/>
        </w:numPr>
      </w:pPr>
      <w:r>
        <w:t>d</w:t>
      </w:r>
      <w:r w:rsidR="00B32624">
        <w:t xml:space="preserve">ata loading using </w:t>
      </w:r>
      <w:r w:rsidR="00C34E9D" w:rsidRPr="008B1B73">
        <w:t>CSV file to browser;</w:t>
      </w:r>
    </w:p>
    <w:p w14:paraId="4B3CFA7D" w14:textId="77777777" w:rsidR="00C34E9D" w:rsidRPr="008B1B73" w:rsidRDefault="00C34E9D" w:rsidP="005C4789">
      <w:pPr>
        <w:pStyle w:val="ListBullet"/>
        <w:numPr>
          <w:ilvl w:val="0"/>
          <w:numId w:val="52"/>
        </w:numPr>
      </w:pPr>
      <w:r w:rsidRPr="008B1B73">
        <w:t>CSV file upload using FTP; and</w:t>
      </w:r>
    </w:p>
    <w:p w14:paraId="7D626FF0" w14:textId="77777777" w:rsidR="00C34E9D" w:rsidRPr="008B1B73" w:rsidRDefault="00C34E9D" w:rsidP="005C4789">
      <w:pPr>
        <w:pStyle w:val="ListBullet"/>
        <w:numPr>
          <w:ilvl w:val="0"/>
          <w:numId w:val="52"/>
        </w:numPr>
      </w:pPr>
      <w:r w:rsidRPr="008B1B73">
        <w:t>CSV file upload using HTTPS.</w:t>
      </w:r>
    </w:p>
    <w:p w14:paraId="3935F66A" w14:textId="6141CE4E" w:rsidR="00B32624" w:rsidRDefault="00B32624" w:rsidP="00C34E9D">
      <w:pPr>
        <w:pStyle w:val="BodyText"/>
        <w:rPr>
          <w:rFonts w:cs="Arial"/>
        </w:rPr>
      </w:pPr>
      <w:r>
        <w:rPr>
          <w:rFonts w:cs="Arial"/>
        </w:rPr>
        <w:t xml:space="preserve">In contrast to the BB CSV interface, </w:t>
      </w:r>
      <w:r w:rsidR="00C34E9D" w:rsidRPr="008B1B73">
        <w:rPr>
          <w:rFonts w:cs="Arial"/>
        </w:rPr>
        <w:t xml:space="preserve">not all </w:t>
      </w:r>
      <w:r w:rsidR="00734F1F">
        <w:rPr>
          <w:rFonts w:cs="Arial"/>
        </w:rPr>
        <w:t>service provider</w:t>
      </w:r>
      <w:r w:rsidR="00C34E9D" w:rsidRPr="008B1B73">
        <w:rPr>
          <w:rFonts w:cs="Arial"/>
        </w:rPr>
        <w:t xml:space="preserve">s are utilising the SIP data link because some are not connected to a STTM. </w:t>
      </w:r>
    </w:p>
    <w:p w14:paraId="372EEE30" w14:textId="05A6B75D" w:rsidR="00B32624" w:rsidRDefault="00B32624" w:rsidP="00C34E9D">
      <w:pPr>
        <w:pStyle w:val="BodyText"/>
        <w:rPr>
          <w:rFonts w:cs="Arial"/>
        </w:rPr>
      </w:pPr>
      <w:r w:rsidRPr="008B1B73">
        <w:rPr>
          <w:rFonts w:cs="Arial"/>
        </w:rPr>
        <w:t xml:space="preserve">AEMO is </w:t>
      </w:r>
      <w:r>
        <w:rPr>
          <w:rFonts w:cs="Arial"/>
        </w:rPr>
        <w:t xml:space="preserve">carrying out further work on these options </w:t>
      </w:r>
      <w:r w:rsidRPr="008B1B73">
        <w:rPr>
          <w:rFonts w:cs="Arial"/>
        </w:rPr>
        <w:t>to understand the strengths, limitations and costs of the different options</w:t>
      </w:r>
      <w:r>
        <w:rPr>
          <w:rFonts w:cs="Arial"/>
        </w:rPr>
        <w:t xml:space="preserve">, but in the interim the GMRG is interested in hearing from </w:t>
      </w:r>
      <w:r w:rsidR="00CC7A28">
        <w:rPr>
          <w:rFonts w:cs="Arial"/>
        </w:rPr>
        <w:t xml:space="preserve">service providers </w:t>
      </w:r>
      <w:r>
        <w:rPr>
          <w:rFonts w:cs="Arial"/>
        </w:rPr>
        <w:t xml:space="preserve">on </w:t>
      </w:r>
      <w:r w:rsidR="006E6F2C">
        <w:rPr>
          <w:rFonts w:cs="Arial"/>
        </w:rPr>
        <w:t xml:space="preserve">which </w:t>
      </w:r>
      <w:r>
        <w:rPr>
          <w:rFonts w:cs="Arial"/>
        </w:rPr>
        <w:t xml:space="preserve">data interchange option they think should be </w:t>
      </w:r>
      <w:r w:rsidR="0026795F">
        <w:rPr>
          <w:rFonts w:cs="Arial"/>
        </w:rPr>
        <w:t xml:space="preserve">used. </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8.4: Questions on data interchange "/>
        <w:tblDescription w:val="Questions on data interchange "/>
      </w:tblPr>
      <w:tblGrid>
        <w:gridCol w:w="8788"/>
      </w:tblGrid>
      <w:tr w:rsidR="00B32624" w:rsidRPr="0057020B" w14:paraId="06ADC343" w14:textId="77777777" w:rsidTr="009E6A8A">
        <w:trPr>
          <w:tblHeader/>
        </w:trPr>
        <w:tc>
          <w:tcPr>
            <w:tcW w:w="5000" w:type="pct"/>
            <w:shd w:val="clear" w:color="auto" w:fill="auto"/>
          </w:tcPr>
          <w:p w14:paraId="73B876AD" w14:textId="09DB097A" w:rsidR="00B32624" w:rsidRPr="00B32624" w:rsidRDefault="009E6A8A" w:rsidP="009E6A8A">
            <w:pPr>
              <w:pStyle w:val="ListNumber"/>
              <w:numPr>
                <w:ilvl w:val="0"/>
                <w:numId w:val="0"/>
              </w:numPr>
              <w:spacing w:after="0"/>
              <w:ind w:left="357" w:hanging="357"/>
              <w:rPr>
                <w:rFonts w:eastAsiaTheme="majorEastAsia"/>
                <w:sz w:val="21"/>
                <w:szCs w:val="21"/>
              </w:rPr>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8</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4</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data interchange</w:t>
            </w:r>
          </w:p>
        </w:tc>
      </w:tr>
      <w:tr w:rsidR="009E6A8A" w:rsidRPr="0057020B" w14:paraId="259EFE77" w14:textId="77777777" w:rsidTr="009E6A8A">
        <w:trPr>
          <w:tblHeader/>
        </w:trPr>
        <w:tc>
          <w:tcPr>
            <w:tcW w:w="5000" w:type="pct"/>
            <w:shd w:val="clear" w:color="auto" w:fill="B7E7FF"/>
          </w:tcPr>
          <w:p w14:paraId="444EFF25" w14:textId="464C2C7C" w:rsidR="009E6A8A" w:rsidRPr="0057020B" w:rsidRDefault="009E6A8A" w:rsidP="009E6A8A">
            <w:pPr>
              <w:pStyle w:val="ListNumber"/>
              <w:numPr>
                <w:ilvl w:val="0"/>
                <w:numId w:val="23"/>
              </w:numPr>
              <w:rPr>
                <w:rFonts w:eastAsiaTheme="minorHAnsi" w:cstheme="minorBidi"/>
                <w:b/>
                <w:bCs/>
                <w:lang w:eastAsia="fr-CA"/>
              </w:rPr>
            </w:pPr>
            <w:r>
              <w:rPr>
                <w:rFonts w:eastAsiaTheme="majorEastAsia"/>
                <w:sz w:val="21"/>
                <w:szCs w:val="21"/>
              </w:rPr>
              <w:t>Do you think the BB CSV interface or STTM SIP data link should be used?  Or do you think another option could be used?</w:t>
            </w:r>
          </w:p>
        </w:tc>
      </w:tr>
    </w:tbl>
    <w:p w14:paraId="77B77CCE" w14:textId="1232EF15" w:rsidR="00C34E9D" w:rsidRPr="008B1B73" w:rsidRDefault="00C34E9D" w:rsidP="00C34E9D">
      <w:pPr>
        <w:pStyle w:val="Heading2"/>
      </w:pPr>
      <w:bookmarkStart w:id="165" w:name="_Toc489442957"/>
      <w:bookmarkStart w:id="166" w:name="_Toc489443057"/>
      <w:bookmarkStart w:id="167" w:name="_Toc489443158"/>
      <w:bookmarkStart w:id="168" w:name="_Toc489443252"/>
      <w:bookmarkStart w:id="169" w:name="_Toc489443346"/>
      <w:bookmarkStart w:id="170" w:name="_Toc489464865"/>
      <w:bookmarkStart w:id="171" w:name="_Toc489442959"/>
      <w:bookmarkStart w:id="172" w:name="_Toc489443059"/>
      <w:bookmarkStart w:id="173" w:name="_Toc489443160"/>
      <w:bookmarkStart w:id="174" w:name="_Toc489443254"/>
      <w:bookmarkStart w:id="175" w:name="_Toc489443348"/>
      <w:bookmarkStart w:id="176" w:name="_Toc489464867"/>
      <w:bookmarkStart w:id="177" w:name="_Toc489442961"/>
      <w:bookmarkStart w:id="178" w:name="_Toc489443061"/>
      <w:bookmarkStart w:id="179" w:name="_Toc489443162"/>
      <w:bookmarkStart w:id="180" w:name="_Toc489443256"/>
      <w:bookmarkStart w:id="181" w:name="_Toc489443350"/>
      <w:bookmarkStart w:id="182" w:name="_Toc489464869"/>
      <w:bookmarkStart w:id="183" w:name="_Toc4925247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r w:rsidRPr="008B1B73">
        <w:t>Transfer of capacity</w:t>
      </w:r>
      <w:bookmarkEnd w:id="183"/>
      <w:r w:rsidR="00F348D8">
        <w:t xml:space="preserve"> </w:t>
      </w:r>
    </w:p>
    <w:p w14:paraId="6DAFFF38" w14:textId="4B77A430" w:rsidR="00F348D8" w:rsidRDefault="00C34E9D" w:rsidP="00F348D8">
      <w:pPr>
        <w:pStyle w:val="BodyText"/>
      </w:pPr>
      <w:r w:rsidRPr="008B1B73">
        <w:rPr>
          <w:rFonts w:cs="Arial"/>
        </w:rPr>
        <w:t xml:space="preserve">Once the </w:t>
      </w:r>
      <w:r w:rsidR="00734F1F">
        <w:rPr>
          <w:rFonts w:cs="Arial"/>
        </w:rPr>
        <w:t>service provider</w:t>
      </w:r>
      <w:r w:rsidRPr="008B1B73">
        <w:rPr>
          <w:rFonts w:cs="Arial"/>
        </w:rPr>
        <w:t xml:space="preserve"> has received information</w:t>
      </w:r>
      <w:r w:rsidR="0026795F">
        <w:rPr>
          <w:rFonts w:cs="Arial"/>
        </w:rPr>
        <w:t xml:space="preserve"> on the trades that have occurred</w:t>
      </w:r>
      <w:r w:rsidRPr="008B1B73">
        <w:rPr>
          <w:rFonts w:cs="Arial"/>
        </w:rPr>
        <w:t xml:space="preserve">, it will need to transfer </w:t>
      </w:r>
      <w:r w:rsidR="0026795F">
        <w:rPr>
          <w:rFonts w:cs="Arial"/>
        </w:rPr>
        <w:t xml:space="preserve">the capacity </w:t>
      </w:r>
      <w:r w:rsidRPr="008B1B73">
        <w:rPr>
          <w:rFonts w:cs="Arial"/>
        </w:rPr>
        <w:t xml:space="preserve">in </w:t>
      </w:r>
      <w:r w:rsidR="0026795F">
        <w:rPr>
          <w:rFonts w:cs="Arial"/>
        </w:rPr>
        <w:t xml:space="preserve">sufficient </w:t>
      </w:r>
      <w:r w:rsidRPr="008B1B73">
        <w:rPr>
          <w:rFonts w:cs="Arial"/>
        </w:rPr>
        <w:t xml:space="preserve">time for shippers to nominate against </w:t>
      </w:r>
      <w:r w:rsidR="00F348D8">
        <w:rPr>
          <w:rFonts w:cs="Arial"/>
        </w:rPr>
        <w:t xml:space="preserve">any </w:t>
      </w:r>
      <w:r w:rsidRPr="008B1B73">
        <w:rPr>
          <w:rFonts w:cs="Arial"/>
        </w:rPr>
        <w:t xml:space="preserve">day-ahead products </w:t>
      </w:r>
      <w:r w:rsidR="00F348D8">
        <w:rPr>
          <w:rFonts w:cs="Arial"/>
        </w:rPr>
        <w:t xml:space="preserve">that may have been </w:t>
      </w:r>
      <w:r w:rsidRPr="008B1B73">
        <w:rPr>
          <w:rFonts w:cs="Arial"/>
        </w:rPr>
        <w:t>purchased on the exchange.</w:t>
      </w:r>
      <w:r w:rsidR="004C1EF9">
        <w:rPr>
          <w:rStyle w:val="FootnoteReference"/>
          <w:rFonts w:cs="Arial"/>
        </w:rPr>
        <w:footnoteReference w:id="97"/>
      </w:r>
      <w:r w:rsidRPr="008B1B73">
        <w:rPr>
          <w:rFonts w:cs="Arial"/>
        </w:rPr>
        <w:t xml:space="preserve"> </w:t>
      </w:r>
      <w:r w:rsidR="00F348D8">
        <w:t>Service providers will also be required to confirm with AEMO that the transfer</w:t>
      </w:r>
      <w:r w:rsidR="0026795F">
        <w:t>s</w:t>
      </w:r>
      <w:r w:rsidR="00F348D8">
        <w:t xml:space="preserve"> </w:t>
      </w:r>
      <w:r w:rsidR="0026795F">
        <w:t xml:space="preserve">have </w:t>
      </w:r>
      <w:r w:rsidR="00F348D8">
        <w:t>occurred and p</w:t>
      </w:r>
      <w:r w:rsidRPr="008B1B73">
        <w:t xml:space="preserve">rovide </w:t>
      </w:r>
      <w:r w:rsidR="00F348D8">
        <w:t>buyer</w:t>
      </w:r>
      <w:r w:rsidR="0026795F">
        <w:t>s</w:t>
      </w:r>
      <w:r w:rsidR="00F348D8">
        <w:t xml:space="preserve"> with </w:t>
      </w:r>
      <w:r w:rsidRPr="008B1B73">
        <w:t xml:space="preserve">notification as to when they can make nominations.  </w:t>
      </w:r>
      <w:r w:rsidR="00F348D8">
        <w:t xml:space="preserve">The confirmation provided to AEMO </w:t>
      </w:r>
      <w:r w:rsidR="00D74E82">
        <w:t>could</w:t>
      </w:r>
      <w:r w:rsidR="00F348D8">
        <w:t xml:space="preserve">, where applicable, </w:t>
      </w:r>
      <w:r w:rsidR="0026795F">
        <w:t xml:space="preserve">act as a trigger for </w:t>
      </w:r>
      <w:r w:rsidR="00F348D8" w:rsidRPr="008B1B73">
        <w:t xml:space="preserve">STTM trading rights </w:t>
      </w:r>
      <w:r w:rsidR="0026795F">
        <w:t xml:space="preserve">to be transferred </w:t>
      </w:r>
      <w:r w:rsidR="00F348D8">
        <w:t>or DWGM a</w:t>
      </w:r>
      <w:r w:rsidR="00F348D8" w:rsidRPr="008B1B73">
        <w:t xml:space="preserve">ccreditation constraints </w:t>
      </w:r>
      <w:r w:rsidR="0026795F">
        <w:t xml:space="preserve">updated </w:t>
      </w:r>
      <w:r w:rsidR="00F348D8" w:rsidRPr="008B1B73">
        <w:t>(</w:t>
      </w:r>
      <w:r w:rsidR="00F348D8">
        <w:t xml:space="preserve">see section </w:t>
      </w:r>
      <w:r w:rsidR="0026795F">
        <w:rPr>
          <w:highlight w:val="yellow"/>
        </w:rPr>
        <w:fldChar w:fldCharType="begin"/>
      </w:r>
      <w:r w:rsidR="0026795F">
        <w:instrText xml:space="preserve"> REF _Ref492102841 \r \h </w:instrText>
      </w:r>
      <w:r w:rsidR="0026795F">
        <w:rPr>
          <w:highlight w:val="yellow"/>
        </w:rPr>
      </w:r>
      <w:r w:rsidR="0026795F">
        <w:rPr>
          <w:highlight w:val="yellow"/>
        </w:rPr>
        <w:fldChar w:fldCharType="separate"/>
      </w:r>
      <w:r w:rsidR="00947034">
        <w:t>8.3</w:t>
      </w:r>
      <w:r w:rsidR="0026795F">
        <w:rPr>
          <w:highlight w:val="yellow"/>
        </w:rPr>
        <w:fldChar w:fldCharType="end"/>
      </w:r>
      <w:r w:rsidR="00F348D8" w:rsidRPr="008B1B73">
        <w:t>)</w:t>
      </w:r>
      <w:r w:rsidR="00D30EB7">
        <w:t>.</w:t>
      </w:r>
    </w:p>
    <w:p w14:paraId="3E3C2E75" w14:textId="1741F017" w:rsidR="00F348D8" w:rsidRDefault="00F348D8" w:rsidP="00C34E9D">
      <w:pPr>
        <w:pStyle w:val="BodyText"/>
        <w:rPr>
          <w:rFonts w:cs="Arial"/>
        </w:rPr>
      </w:pPr>
      <w:r>
        <w:rPr>
          <w:rFonts w:cs="Arial"/>
        </w:rPr>
        <w:t xml:space="preserve">There may be circumstances </w:t>
      </w:r>
      <w:r w:rsidR="004C1EF9">
        <w:rPr>
          <w:rFonts w:cs="Arial"/>
        </w:rPr>
        <w:t xml:space="preserve">in which </w:t>
      </w:r>
      <w:r>
        <w:rPr>
          <w:rFonts w:cs="Arial"/>
        </w:rPr>
        <w:t xml:space="preserve">the service provider is unable to transfer </w:t>
      </w:r>
      <w:r w:rsidR="00723C4D">
        <w:rPr>
          <w:rFonts w:cs="Arial"/>
        </w:rPr>
        <w:t>capacity</w:t>
      </w:r>
      <w:r w:rsidR="004C1EF9">
        <w:rPr>
          <w:rFonts w:cs="Arial"/>
        </w:rPr>
        <w:t xml:space="preserve"> because, for example</w:t>
      </w:r>
      <w:r>
        <w:rPr>
          <w:rFonts w:cs="Arial"/>
        </w:rPr>
        <w:t xml:space="preserve">: </w:t>
      </w:r>
    </w:p>
    <w:p w14:paraId="470AB9E7" w14:textId="77777777" w:rsidR="002D5C8A" w:rsidRDefault="00F348D8" w:rsidP="005C4789">
      <w:pPr>
        <w:pStyle w:val="ListBullet"/>
        <w:numPr>
          <w:ilvl w:val="0"/>
          <w:numId w:val="50"/>
        </w:numPr>
      </w:pPr>
      <w:r>
        <w:rPr>
          <w:rFonts w:cs="Arial"/>
        </w:rPr>
        <w:t>the seller has</w:t>
      </w:r>
      <w:r w:rsidR="00C34E9D" w:rsidRPr="008B1B73">
        <w:rPr>
          <w:rFonts w:cs="Arial"/>
        </w:rPr>
        <w:t xml:space="preserve"> </w:t>
      </w:r>
      <w:r w:rsidRPr="008B1B73">
        <w:t xml:space="preserve">insufficient </w:t>
      </w:r>
      <w:r w:rsidR="00723C4D">
        <w:t>capacity</w:t>
      </w:r>
      <w:r w:rsidRPr="008B1B73">
        <w:t xml:space="preserve"> at the time of transfer</w:t>
      </w:r>
      <w:r w:rsidR="00D30EB7">
        <w:t>;</w:t>
      </w:r>
      <w:r w:rsidR="0026795F">
        <w:t xml:space="preserve"> </w:t>
      </w:r>
    </w:p>
    <w:p w14:paraId="64489AB5" w14:textId="6BF23C93" w:rsidR="00F348D8" w:rsidRPr="008B1B73" w:rsidRDefault="0026795F" w:rsidP="005C4789">
      <w:pPr>
        <w:pStyle w:val="ListBullet"/>
        <w:numPr>
          <w:ilvl w:val="0"/>
          <w:numId w:val="50"/>
        </w:numPr>
      </w:pPr>
      <w:r>
        <w:t>the seller’s primary GTA has been terminated</w:t>
      </w:r>
      <w:r w:rsidR="00F348D8" w:rsidRPr="008B1B73">
        <w:t xml:space="preserve"> or</w:t>
      </w:r>
      <w:r w:rsidR="00F348D8">
        <w:t xml:space="preserve"> </w:t>
      </w:r>
      <w:r>
        <w:t xml:space="preserve">the seller </w:t>
      </w:r>
      <w:r w:rsidR="00F348D8">
        <w:t xml:space="preserve">has </w:t>
      </w:r>
      <w:r w:rsidR="00F348D8" w:rsidRPr="008B1B73">
        <w:t xml:space="preserve">breached </w:t>
      </w:r>
      <w:r w:rsidR="00F348D8">
        <w:t xml:space="preserve">its </w:t>
      </w:r>
      <w:r w:rsidR="00F348D8" w:rsidRPr="008B1B73">
        <w:t>obligations under the Exchange Agreement and membership is terminated by AEMO</w:t>
      </w:r>
      <w:r w:rsidR="004C1EF9">
        <w:t>; or</w:t>
      </w:r>
    </w:p>
    <w:p w14:paraId="5A41686D" w14:textId="4FF2AADE" w:rsidR="00C34E9D" w:rsidRPr="008B1B73" w:rsidRDefault="004C1EF9" w:rsidP="005C4789">
      <w:pPr>
        <w:pStyle w:val="ListBullet"/>
        <w:numPr>
          <w:ilvl w:val="0"/>
          <w:numId w:val="49"/>
        </w:numPr>
      </w:pPr>
      <w:r>
        <w:t>the s</w:t>
      </w:r>
      <w:r w:rsidR="00734F1F">
        <w:t>ervice provider</w:t>
      </w:r>
      <w:r w:rsidR="006E6F2C">
        <w:t>’s</w:t>
      </w:r>
      <w:r w:rsidR="00C34E9D" w:rsidRPr="008B1B73">
        <w:t xml:space="preserve"> </w:t>
      </w:r>
      <w:r>
        <w:t xml:space="preserve">or AEMO’s </w:t>
      </w:r>
      <w:r w:rsidR="00C34E9D" w:rsidRPr="008B1B73">
        <w:t xml:space="preserve">systems </w:t>
      </w:r>
      <w:r>
        <w:t xml:space="preserve">or </w:t>
      </w:r>
      <w:r w:rsidR="00C34E9D" w:rsidRPr="008B1B73">
        <w:t xml:space="preserve">processes </w:t>
      </w:r>
      <w:r>
        <w:t>fail</w:t>
      </w:r>
      <w:r w:rsidR="00C34E9D" w:rsidRPr="008B1B73">
        <w:t>.</w:t>
      </w:r>
    </w:p>
    <w:p w14:paraId="3C3E2789" w14:textId="254CC03A" w:rsidR="004C1EF9" w:rsidRDefault="004C1EF9" w:rsidP="00C34E9D">
      <w:pPr>
        <w:pStyle w:val="BodyText"/>
        <w:rPr>
          <w:rFonts w:cs="Arial"/>
        </w:rPr>
      </w:pPr>
      <w:r>
        <w:rPr>
          <w:rFonts w:cs="Arial"/>
        </w:rPr>
        <w:lastRenderedPageBreak/>
        <w:t xml:space="preserve">While some thought has been given to how the first </w:t>
      </w:r>
      <w:r w:rsidR="002D5C8A">
        <w:rPr>
          <w:rFonts w:cs="Arial"/>
        </w:rPr>
        <w:t xml:space="preserve">two </w:t>
      </w:r>
      <w:r>
        <w:rPr>
          <w:rFonts w:cs="Arial"/>
        </w:rPr>
        <w:t xml:space="preserve">of these risks could be dealt with (see </w:t>
      </w:r>
      <w:r w:rsidR="00D74E82">
        <w:rPr>
          <w:rFonts w:cs="Arial"/>
        </w:rPr>
        <w:t>Chapter 10</w:t>
      </w:r>
      <w:r>
        <w:rPr>
          <w:rFonts w:cs="Arial"/>
        </w:rPr>
        <w:t xml:space="preserve">), further consideration needs to be given to how the technical risks </w:t>
      </w:r>
      <w:r w:rsidR="0026795F">
        <w:rPr>
          <w:rFonts w:cs="Arial"/>
        </w:rPr>
        <w:t xml:space="preserve">will be managed. The GMRG therefore welcomes further feedback on this issue. </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8.5: Questions on transfer of capacity "/>
        <w:tblDescription w:val="Questions on transfer of capacity "/>
      </w:tblPr>
      <w:tblGrid>
        <w:gridCol w:w="8788"/>
      </w:tblGrid>
      <w:tr w:rsidR="005A3DCB" w:rsidRPr="0057020B" w14:paraId="2FD68859" w14:textId="77777777" w:rsidTr="009E6A8A">
        <w:trPr>
          <w:tblHeader/>
        </w:trPr>
        <w:tc>
          <w:tcPr>
            <w:tcW w:w="5000" w:type="pct"/>
            <w:shd w:val="clear" w:color="auto" w:fill="auto"/>
          </w:tcPr>
          <w:p w14:paraId="2492D3DD" w14:textId="412009ED" w:rsidR="005A3DCB" w:rsidRPr="00BD0988" w:rsidRDefault="009E6A8A" w:rsidP="009E6A8A">
            <w:pPr>
              <w:pStyle w:val="ListNumber"/>
              <w:numPr>
                <w:ilvl w:val="0"/>
                <w:numId w:val="0"/>
              </w:numPr>
              <w:spacing w:after="0"/>
              <w:ind w:left="357" w:hanging="357"/>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8</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5</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transfer of capacity</w:t>
            </w:r>
          </w:p>
        </w:tc>
      </w:tr>
      <w:tr w:rsidR="009E6A8A" w:rsidRPr="0057020B" w14:paraId="012E31D5" w14:textId="77777777" w:rsidTr="009E6A8A">
        <w:trPr>
          <w:tblHeader/>
        </w:trPr>
        <w:tc>
          <w:tcPr>
            <w:tcW w:w="5000" w:type="pct"/>
            <w:shd w:val="clear" w:color="auto" w:fill="B7E7FF"/>
          </w:tcPr>
          <w:p w14:paraId="002C684F" w14:textId="77777777" w:rsidR="009E6A8A" w:rsidRDefault="009E6A8A" w:rsidP="009E6A8A">
            <w:pPr>
              <w:pStyle w:val="ListNumber"/>
              <w:numPr>
                <w:ilvl w:val="0"/>
                <w:numId w:val="23"/>
              </w:numPr>
            </w:pPr>
            <w:r>
              <w:t>Do you agree with the proposal for service providers to provide AEMO with confirmation that the transfer has occurred?</w:t>
            </w:r>
          </w:p>
          <w:p w14:paraId="5FA59E29" w14:textId="77777777" w:rsidR="009E6A8A" w:rsidRDefault="009E6A8A" w:rsidP="009E6A8A">
            <w:pPr>
              <w:pStyle w:val="ListNumber"/>
              <w:numPr>
                <w:ilvl w:val="0"/>
                <w:numId w:val="23"/>
              </w:numPr>
            </w:pPr>
            <w:r>
              <w:t>Do you think the buyer should also be provided a confirmation, or should they only be notified if there is a problem with the transfer?</w:t>
            </w:r>
          </w:p>
          <w:p w14:paraId="349632F8" w14:textId="6FB181A7" w:rsidR="009E6A8A" w:rsidRPr="009E6A8A" w:rsidRDefault="009E6A8A" w:rsidP="009E6A8A">
            <w:pPr>
              <w:pStyle w:val="ListNumber"/>
              <w:numPr>
                <w:ilvl w:val="0"/>
                <w:numId w:val="23"/>
              </w:numPr>
            </w:pPr>
            <w:r>
              <w:t>Do you have a view on the processes that should be put in place to deal with failure to transfer capacity for technical reasons?</w:t>
            </w:r>
          </w:p>
        </w:tc>
      </w:tr>
    </w:tbl>
    <w:p w14:paraId="668566E5" w14:textId="60B90D3E" w:rsidR="004C1EF9" w:rsidRDefault="00FF176A" w:rsidP="00C34E9D">
      <w:pPr>
        <w:pStyle w:val="Heading2"/>
      </w:pPr>
      <w:bookmarkStart w:id="184" w:name="_Toc492524765"/>
      <w:bookmarkStart w:id="185" w:name="_Ref492102841"/>
      <w:r>
        <w:t xml:space="preserve">Interaction </w:t>
      </w:r>
      <w:r w:rsidR="0026795F">
        <w:t xml:space="preserve">between </w:t>
      </w:r>
      <w:r w:rsidR="00D74E82">
        <w:t xml:space="preserve">the </w:t>
      </w:r>
      <w:r w:rsidR="0026795F">
        <w:t>delivery process and other markets</w:t>
      </w:r>
      <w:bookmarkEnd w:id="184"/>
      <w:r w:rsidR="0026795F">
        <w:t xml:space="preserve"> </w:t>
      </w:r>
      <w:bookmarkEnd w:id="185"/>
    </w:p>
    <w:p w14:paraId="363DEF0C" w14:textId="11B08B48" w:rsidR="00D74E82" w:rsidRPr="00D74E82" w:rsidRDefault="00D74E82" w:rsidP="00D74E82">
      <w:pPr>
        <w:pStyle w:val="BodyText"/>
      </w:pPr>
      <w:r>
        <w:t xml:space="preserve">Parties that procure capacity through the capacity trading platform may want to supply that gas to </w:t>
      </w:r>
      <w:r w:rsidR="002D5C8A">
        <w:t xml:space="preserve">a </w:t>
      </w:r>
      <w:r>
        <w:t>STTM or the DWGM. It is relevant therefore to consider how this would occur and if there are impediments to it occurring. This issue is considered below.</w:t>
      </w:r>
    </w:p>
    <w:p w14:paraId="252945F5" w14:textId="5BDC1B03" w:rsidR="004C1EF9" w:rsidRDefault="00580F89" w:rsidP="00520EF9">
      <w:pPr>
        <w:pStyle w:val="Heading3"/>
      </w:pPr>
      <w:bookmarkStart w:id="186" w:name="_Ref492225139"/>
      <w:r>
        <w:t xml:space="preserve">Interaction with the </w:t>
      </w:r>
      <w:r w:rsidR="004C1EF9" w:rsidRPr="008B1B73">
        <w:t>STTM</w:t>
      </w:r>
      <w:bookmarkEnd w:id="186"/>
    </w:p>
    <w:p w14:paraId="61F65A3A" w14:textId="7CE6317D" w:rsidR="00580F89" w:rsidRPr="007372B2" w:rsidRDefault="00580F89" w:rsidP="00580F89">
      <w:pPr>
        <w:pStyle w:val="BodyText"/>
      </w:pPr>
      <w:r w:rsidRPr="007372B2">
        <w:rPr>
          <w:rFonts w:cs="Arial"/>
        </w:rPr>
        <w:t xml:space="preserve">If </w:t>
      </w:r>
      <w:r w:rsidR="00D74E82">
        <w:rPr>
          <w:rFonts w:cs="Arial"/>
        </w:rPr>
        <w:t>parties</w:t>
      </w:r>
      <w:r w:rsidRPr="007372B2">
        <w:rPr>
          <w:rFonts w:cs="Arial"/>
        </w:rPr>
        <w:t xml:space="preserve"> procure capacity through the capacity trading platform and want to participate in the </w:t>
      </w:r>
      <w:r w:rsidRPr="007372B2">
        <w:t xml:space="preserve">STTM in Adelaide, Brisbane or Sydney then they may, depending on when they purchased the capacity, be able to participate in the </w:t>
      </w:r>
      <w:r w:rsidR="002D5C8A">
        <w:t>ex-ante</w:t>
      </w:r>
      <w:r w:rsidRPr="007372B2">
        <w:t xml:space="preserve"> schedule or use market schedule variations </w:t>
      </w:r>
      <w:r w:rsidR="00433D0D" w:rsidRPr="007372B2">
        <w:t xml:space="preserve">(MSVs) </w:t>
      </w:r>
      <w:r w:rsidRPr="007372B2">
        <w:t xml:space="preserve">(see </w:t>
      </w:r>
      <w:r w:rsidR="00433D0D" w:rsidRPr="007372B2">
        <w:fldChar w:fldCharType="begin"/>
      </w:r>
      <w:r w:rsidR="00433D0D" w:rsidRPr="007372B2">
        <w:instrText xml:space="preserve"> REF _Ref492103410 \h </w:instrText>
      </w:r>
      <w:r w:rsidR="007372B2" w:rsidRPr="007372B2">
        <w:instrText xml:space="preserve"> \* MERGEFORMAT </w:instrText>
      </w:r>
      <w:r w:rsidR="00433D0D" w:rsidRPr="007372B2">
        <w:fldChar w:fldCharType="separate"/>
      </w:r>
      <w:r w:rsidR="00947034" w:rsidRPr="00947034">
        <w:rPr>
          <w:rFonts w:eastAsiaTheme="minorHAnsi" w:cstheme="minorBidi"/>
          <w:bCs/>
          <w:lang w:eastAsia="fr-CA"/>
        </w:rPr>
        <w:t xml:space="preserve">Box </w:t>
      </w:r>
      <w:r w:rsidR="00947034" w:rsidRPr="00947034">
        <w:rPr>
          <w:rFonts w:eastAsiaTheme="minorHAnsi" w:cstheme="minorBidi"/>
          <w:bCs/>
          <w:noProof/>
          <w:lang w:eastAsia="fr-CA"/>
        </w:rPr>
        <w:t>8.6</w:t>
      </w:r>
      <w:r w:rsidR="00433D0D" w:rsidRPr="007372B2">
        <w:fldChar w:fldCharType="end"/>
      </w:r>
      <w:r w:rsidRPr="007372B2">
        <w:t>).</w:t>
      </w:r>
    </w:p>
    <w:tbl>
      <w:tblPr>
        <w:tblStyle w:val="PullOutBoxTable"/>
        <w:tblW w:w="5000" w:type="pct"/>
        <w:tblCellMar>
          <w:top w:w="113" w:type="dxa"/>
          <w:bottom w:w="113" w:type="dxa"/>
        </w:tblCellMar>
        <w:tblLook w:val="0600" w:firstRow="0" w:lastRow="0" w:firstColumn="0" w:lastColumn="0" w:noHBand="1" w:noVBand="1"/>
        <w:tblCaption w:val="Box 8.6: STTM ex-ante schedule and MSVs "/>
        <w:tblDescription w:val="STTM ex-ante schedule and MSVs "/>
      </w:tblPr>
      <w:tblGrid>
        <w:gridCol w:w="8788"/>
      </w:tblGrid>
      <w:tr w:rsidR="00580F89" w:rsidRPr="00433D0D" w14:paraId="5D4A19A3" w14:textId="77777777" w:rsidTr="00B91FFF">
        <w:trPr>
          <w:tblHeader/>
        </w:trPr>
        <w:tc>
          <w:tcPr>
            <w:tcW w:w="5000" w:type="pct"/>
            <w:shd w:val="clear" w:color="auto" w:fill="auto"/>
          </w:tcPr>
          <w:p w14:paraId="644C46EF" w14:textId="48298412" w:rsidR="00580F89" w:rsidRPr="00433D0D" w:rsidRDefault="009E6A8A" w:rsidP="00B91FFF">
            <w:pPr>
              <w:pStyle w:val="ListBullet"/>
              <w:numPr>
                <w:ilvl w:val="0"/>
                <w:numId w:val="0"/>
              </w:numPr>
              <w:spacing w:after="0"/>
              <w:ind w:left="357" w:hanging="357"/>
              <w:rPr>
                <w:sz w:val="20"/>
                <w:szCs w:val="20"/>
              </w:rPr>
            </w:pPr>
            <w:bookmarkStart w:id="187" w:name="_Ref492103410"/>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8</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6</w:t>
            </w:r>
            <w:r>
              <w:rPr>
                <w:rFonts w:eastAsiaTheme="minorHAnsi" w:cstheme="minorBidi"/>
                <w:b/>
                <w:bCs/>
                <w:lang w:eastAsia="fr-CA"/>
              </w:rPr>
              <w:fldChar w:fldCharType="end"/>
            </w:r>
            <w:bookmarkEnd w:id="187"/>
            <w:r w:rsidRPr="0057020B">
              <w:rPr>
                <w:rFonts w:eastAsiaTheme="minorHAnsi" w:cstheme="minorBidi"/>
                <w:b/>
                <w:bCs/>
                <w:lang w:eastAsia="fr-CA"/>
              </w:rPr>
              <w:t xml:space="preserve">: </w:t>
            </w:r>
            <w:r>
              <w:rPr>
                <w:rFonts w:eastAsiaTheme="minorHAnsi" w:cstheme="minorBidi"/>
                <w:b/>
                <w:bCs/>
                <w:lang w:eastAsia="fr-CA"/>
              </w:rPr>
              <w:t>STTM ex-ante schedule and MSVs</w:t>
            </w:r>
            <w:r w:rsidR="00433D0D" w:rsidRPr="00433D0D">
              <w:rPr>
                <w:sz w:val="20"/>
                <w:szCs w:val="20"/>
              </w:rPr>
              <w:t xml:space="preserve"> </w:t>
            </w:r>
          </w:p>
        </w:tc>
      </w:tr>
      <w:tr w:rsidR="009E6A8A" w:rsidRPr="00433D0D" w14:paraId="2F7F1593" w14:textId="77777777" w:rsidTr="009E6A8A">
        <w:trPr>
          <w:tblHeader/>
        </w:trPr>
        <w:tc>
          <w:tcPr>
            <w:tcW w:w="5000" w:type="pct"/>
          </w:tcPr>
          <w:p w14:paraId="28A1ED54" w14:textId="77777777" w:rsidR="009E6A8A" w:rsidRPr="00433D0D" w:rsidRDefault="009E6A8A" w:rsidP="009E6A8A">
            <w:pPr>
              <w:pStyle w:val="ListBullet"/>
              <w:numPr>
                <w:ilvl w:val="0"/>
                <w:numId w:val="0"/>
              </w:numPr>
              <w:ind w:left="357" w:hanging="357"/>
              <w:rPr>
                <w:rStyle w:val="Bold"/>
                <w:rFonts w:eastAsia="Times New Roman"/>
                <w:b w:val="0"/>
                <w:sz w:val="20"/>
                <w:szCs w:val="20"/>
              </w:rPr>
            </w:pPr>
            <w:r w:rsidRPr="00433D0D">
              <w:rPr>
                <w:rStyle w:val="Bold"/>
                <w:rFonts w:eastAsia="Times New Roman"/>
                <w:b w:val="0"/>
                <w:sz w:val="20"/>
                <w:szCs w:val="20"/>
              </w:rPr>
              <w:t>Shippers that want to supply gas to the STTM can do so in two different ways:</w:t>
            </w:r>
          </w:p>
          <w:p w14:paraId="6F18EEAD" w14:textId="77777777" w:rsidR="009E6A8A" w:rsidRDefault="009E6A8A" w:rsidP="009E6A8A">
            <w:pPr>
              <w:pStyle w:val="ListBullet"/>
              <w:rPr>
                <w:sz w:val="20"/>
                <w:szCs w:val="20"/>
              </w:rPr>
            </w:pPr>
            <w:r w:rsidRPr="00433D0D">
              <w:rPr>
                <w:rStyle w:val="Bold"/>
                <w:sz w:val="20"/>
                <w:szCs w:val="20"/>
              </w:rPr>
              <w:t>Ex-ante schedule</w:t>
            </w:r>
            <w:r w:rsidRPr="00433D0D">
              <w:rPr>
                <w:sz w:val="20"/>
                <w:szCs w:val="20"/>
              </w:rPr>
              <w:t xml:space="preserve">: </w:t>
            </w:r>
            <w:r>
              <w:rPr>
                <w:sz w:val="20"/>
                <w:szCs w:val="20"/>
              </w:rPr>
              <w:t>P</w:t>
            </w:r>
            <w:r w:rsidRPr="00433D0D">
              <w:rPr>
                <w:sz w:val="20"/>
                <w:szCs w:val="20"/>
              </w:rPr>
              <w:t xml:space="preserve">articipants submit bids and offers to buy and sell gas at a STTM in the ex-ante schedule. After the ex-ante schedule for the market is published participants receive individual schedules to flow gas to or withdraw gas from a STTM hub. Gas bought or sold is settled at the ex-ante market price. </w:t>
            </w:r>
          </w:p>
          <w:p w14:paraId="09E84A82" w14:textId="2A8954AA" w:rsidR="009E6A8A" w:rsidRPr="009E6A8A" w:rsidRDefault="009E6A8A" w:rsidP="009E6A8A">
            <w:pPr>
              <w:pStyle w:val="ListBullet"/>
              <w:rPr>
                <w:sz w:val="20"/>
                <w:szCs w:val="20"/>
              </w:rPr>
            </w:pPr>
            <w:r w:rsidRPr="009E6A8A">
              <w:rPr>
                <w:rStyle w:val="Bold"/>
                <w:sz w:val="20"/>
                <w:szCs w:val="20"/>
              </w:rPr>
              <w:t>Market Schedule Variation (MSV):</w:t>
            </w:r>
            <w:r w:rsidRPr="009E6A8A">
              <w:rPr>
                <w:sz w:val="20"/>
                <w:szCs w:val="20"/>
              </w:rPr>
              <w:t xml:space="preserve"> If a market participant does not supply gas in accordance with the ex-ante schedule, either through a deviation or renomination, it can avoid financial penalties by submitting a MSV notifying AEMO that it has matched a deviation with an offsetting position.</w:t>
            </w:r>
          </w:p>
        </w:tc>
      </w:tr>
    </w:tbl>
    <w:p w14:paraId="384966A7" w14:textId="608ECB28" w:rsidR="004C1EF9" w:rsidRPr="008B1B73" w:rsidRDefault="004C1EF9" w:rsidP="004C1EF9">
      <w:pPr>
        <w:pStyle w:val="BodyText"/>
      </w:pPr>
      <w:r w:rsidRPr="008B1B73">
        <w:rPr>
          <w:rFonts w:cs="Arial"/>
        </w:rPr>
        <w:t>A high</w:t>
      </w:r>
      <w:r w:rsidR="00520EF9">
        <w:rPr>
          <w:rFonts w:cs="Arial"/>
        </w:rPr>
        <w:t>-</w:t>
      </w:r>
      <w:r w:rsidRPr="008B1B73">
        <w:rPr>
          <w:rFonts w:cs="Arial"/>
        </w:rPr>
        <w:t xml:space="preserve">level overview of how a shipper can purchase capacity on the exchange to </w:t>
      </w:r>
      <w:r w:rsidR="0026795F">
        <w:rPr>
          <w:rFonts w:cs="Arial"/>
        </w:rPr>
        <w:t xml:space="preserve">transport </w:t>
      </w:r>
      <w:r w:rsidRPr="008B1B73">
        <w:rPr>
          <w:rFonts w:cs="Arial"/>
        </w:rPr>
        <w:t>gas to a STTM is shown in</w:t>
      </w:r>
      <w:r w:rsidRPr="00520EF9">
        <w:rPr>
          <w:rFonts w:cs="Arial"/>
          <w:b/>
        </w:rPr>
        <w:t xml:space="preserve"> </w:t>
      </w:r>
      <w:r w:rsidRPr="00FF176A">
        <w:rPr>
          <w:rFonts w:cs="Arial"/>
        </w:rPr>
        <w:fldChar w:fldCharType="begin"/>
      </w:r>
      <w:r w:rsidRPr="00FF176A">
        <w:rPr>
          <w:rFonts w:cs="Arial"/>
        </w:rPr>
        <w:instrText xml:space="preserve"> REF _Ref491917397 \h </w:instrText>
      </w:r>
      <w:r w:rsidR="00520EF9" w:rsidRPr="00FF176A">
        <w:rPr>
          <w:rFonts w:cs="Arial"/>
        </w:rPr>
        <w:instrText xml:space="preserve"> \* MERGEFORMAT </w:instrText>
      </w:r>
      <w:r w:rsidRPr="00FF176A">
        <w:rPr>
          <w:rFonts w:cs="Arial"/>
        </w:rPr>
      </w:r>
      <w:r w:rsidRPr="00FF176A">
        <w:rPr>
          <w:rFonts w:cs="Arial"/>
        </w:rPr>
        <w:fldChar w:fldCharType="separate"/>
      </w:r>
      <w:r w:rsidR="00947034" w:rsidRPr="00947034">
        <w:t xml:space="preserve">Figure </w:t>
      </w:r>
      <w:r w:rsidR="00947034" w:rsidRPr="00947034">
        <w:rPr>
          <w:noProof/>
        </w:rPr>
        <w:t>8.3</w:t>
      </w:r>
      <w:r w:rsidRPr="00FF176A">
        <w:rPr>
          <w:rFonts w:cs="Arial"/>
        </w:rPr>
        <w:fldChar w:fldCharType="end"/>
      </w:r>
      <w:r w:rsidRPr="00FF176A">
        <w:rPr>
          <w:rFonts w:cs="Arial"/>
        </w:rPr>
        <w:t>.</w:t>
      </w:r>
    </w:p>
    <w:p w14:paraId="23BF31AC" w14:textId="48CF838B" w:rsidR="004C1EF9" w:rsidRDefault="004C1EF9" w:rsidP="004C1EF9">
      <w:pPr>
        <w:pStyle w:val="BodyText"/>
        <w:keepNext/>
      </w:pPr>
      <w:bookmarkStart w:id="188" w:name="_Ref491917397"/>
      <w:r w:rsidRPr="00446B58">
        <w:rPr>
          <w:b/>
        </w:rPr>
        <w:lastRenderedPageBreak/>
        <w:t xml:space="preserve">Figure </w:t>
      </w:r>
      <w:r>
        <w:rPr>
          <w:b/>
        </w:rPr>
        <w:fldChar w:fldCharType="begin"/>
      </w:r>
      <w:r>
        <w:rPr>
          <w:b/>
        </w:rPr>
        <w:instrText xml:space="preserve"> STYLEREF 1 \s </w:instrText>
      </w:r>
      <w:r>
        <w:rPr>
          <w:b/>
        </w:rPr>
        <w:fldChar w:fldCharType="separate"/>
      </w:r>
      <w:r w:rsidR="00947034">
        <w:rPr>
          <w:b/>
          <w:noProof/>
        </w:rPr>
        <w:t>8</w:t>
      </w:r>
      <w:r>
        <w:rPr>
          <w:b/>
        </w:rPr>
        <w:fldChar w:fldCharType="end"/>
      </w:r>
      <w:r>
        <w:rPr>
          <w:b/>
        </w:rPr>
        <w:t>.</w:t>
      </w:r>
      <w:r>
        <w:rPr>
          <w:b/>
        </w:rPr>
        <w:fldChar w:fldCharType="begin"/>
      </w:r>
      <w:r>
        <w:rPr>
          <w:b/>
        </w:rPr>
        <w:instrText xml:space="preserve"> SEQ Figure \* ARABIC \s 1 </w:instrText>
      </w:r>
      <w:r>
        <w:rPr>
          <w:b/>
        </w:rPr>
        <w:fldChar w:fldCharType="separate"/>
      </w:r>
      <w:r w:rsidR="00947034">
        <w:rPr>
          <w:b/>
          <w:noProof/>
        </w:rPr>
        <w:t>3</w:t>
      </w:r>
      <w:r>
        <w:rPr>
          <w:b/>
        </w:rPr>
        <w:fldChar w:fldCharType="end"/>
      </w:r>
      <w:bookmarkEnd w:id="188"/>
      <w:r w:rsidRPr="008B1B73">
        <w:rPr>
          <w:rStyle w:val="Bold"/>
        </w:rPr>
        <w:t>:</w:t>
      </w:r>
      <w:r w:rsidRPr="008B1B73">
        <w:t xml:space="preserve"> </w:t>
      </w:r>
      <w:r w:rsidRPr="008B1B73">
        <w:rPr>
          <w:rStyle w:val="Bold"/>
        </w:rPr>
        <w:t>Overview of STTM integration</w:t>
      </w:r>
      <w:r w:rsidRPr="008B1B73">
        <w:t xml:space="preserve"> </w:t>
      </w:r>
    </w:p>
    <w:p w14:paraId="3670F3C3" w14:textId="05295F15" w:rsidR="00CA16E9" w:rsidRDefault="00CA16E9" w:rsidP="00CA16E9">
      <w:pPr>
        <w:pStyle w:val="BodyText"/>
        <w:keepNext/>
        <w:spacing w:before="0"/>
      </w:pPr>
      <w:r>
        <w:rPr>
          <w:noProof/>
        </w:rPr>
        <w:drawing>
          <wp:inline distT="0" distB="0" distL="0" distR="0" wp14:anchorId="35A7A985" wp14:editId="42EE7F29">
            <wp:extent cx="4034752" cy="2362439"/>
            <wp:effectExtent l="0" t="0" r="4445" b="0"/>
            <wp:docPr id="37" name="Picture 37" descr="Overview of STTM integration " title="Figure 8.3: Overview of STTM integ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36357" cy="2363379"/>
                    </a:xfrm>
                    <a:prstGeom prst="rect">
                      <a:avLst/>
                    </a:prstGeom>
                    <a:noFill/>
                  </pic:spPr>
                </pic:pic>
              </a:graphicData>
            </a:graphic>
          </wp:inline>
        </w:drawing>
      </w:r>
    </w:p>
    <w:p w14:paraId="60055836" w14:textId="282491F1" w:rsidR="00FF176A" w:rsidRPr="008B1B73" w:rsidRDefault="00FF176A" w:rsidP="00FF176A">
      <w:pPr>
        <w:pStyle w:val="BodyText"/>
      </w:pPr>
      <w:r>
        <w:t>As this figure shows, a</w:t>
      </w:r>
      <w:r w:rsidRPr="008B1B73">
        <w:t xml:space="preserve"> shipper </w:t>
      </w:r>
      <w:r>
        <w:t xml:space="preserve">that wants to utilise </w:t>
      </w:r>
      <w:r w:rsidR="002D5C8A">
        <w:t>a</w:t>
      </w:r>
      <w:r>
        <w:t xml:space="preserve"> STTM will need</w:t>
      </w:r>
      <w:r w:rsidRPr="008B1B73">
        <w:t xml:space="preserve"> to register with AEMO</w:t>
      </w:r>
      <w:r>
        <w:rPr>
          <w:rStyle w:val="FootnoteReference"/>
        </w:rPr>
        <w:footnoteReference w:id="98"/>
      </w:r>
      <w:r w:rsidRPr="008B1B73">
        <w:t xml:space="preserve"> if </w:t>
      </w:r>
      <w:r w:rsidR="00433D0D">
        <w:t xml:space="preserve">it is </w:t>
      </w:r>
      <w:r w:rsidRPr="008B1B73">
        <w:t xml:space="preserve">not an existing STTM participant and may need to register an operational GTA to support the transfer of STTM trading rights. If capacity has been purchased, and transferred in time for the shipper to offer into the ex-ante schedule, then AEMO will transfer STTM trading rights from the seller to the buyer. The buyer will </w:t>
      </w:r>
      <w:r w:rsidR="00D74E82">
        <w:t xml:space="preserve">then be able to </w:t>
      </w:r>
      <w:r w:rsidRPr="008B1B73">
        <w:t xml:space="preserve">participate in the ex-ante schedule and nominate to the </w:t>
      </w:r>
      <w:r>
        <w:t>service provider</w:t>
      </w:r>
      <w:r w:rsidRPr="008B1B73">
        <w:t xml:space="preserve"> as per that schedule.  If</w:t>
      </w:r>
      <w:r>
        <w:t>, however,</w:t>
      </w:r>
      <w:r w:rsidRPr="008B1B73">
        <w:t xml:space="preserve"> the capacity has been purchased after the cut-off for ex-ante offers</w:t>
      </w:r>
      <w:r w:rsidR="00433D0D">
        <w:t xml:space="preserve"> (see </w:t>
      </w:r>
      <w:r w:rsidR="00433D0D" w:rsidRPr="00433D0D">
        <w:fldChar w:fldCharType="begin"/>
      </w:r>
      <w:r w:rsidR="00433D0D" w:rsidRPr="00433D0D">
        <w:instrText xml:space="preserve"> REF _Ref491917561 \h  \* MERGEFORMAT </w:instrText>
      </w:r>
      <w:r w:rsidR="00433D0D" w:rsidRPr="00433D0D">
        <w:fldChar w:fldCharType="separate"/>
      </w:r>
      <w:r w:rsidR="00947034" w:rsidRPr="00947034">
        <w:t xml:space="preserve">Table </w:t>
      </w:r>
      <w:r w:rsidR="00947034" w:rsidRPr="00947034">
        <w:rPr>
          <w:noProof/>
        </w:rPr>
        <w:t>8.1</w:t>
      </w:r>
      <w:r w:rsidR="00433D0D" w:rsidRPr="00433D0D">
        <w:fldChar w:fldCharType="end"/>
      </w:r>
      <w:r w:rsidR="00433D0D" w:rsidRPr="00433D0D">
        <w:t>)</w:t>
      </w:r>
      <w:r w:rsidRPr="008B1B73">
        <w:t xml:space="preserve">, then the shipper can still </w:t>
      </w:r>
      <w:r w:rsidR="00433D0D">
        <w:t xml:space="preserve">supply </w:t>
      </w:r>
      <w:r w:rsidRPr="008B1B73">
        <w:t>gas to a STTM hub and use a MSV to avoid financial penalties.</w:t>
      </w:r>
      <w:r>
        <w:rPr>
          <w:rStyle w:val="FootnoteReference"/>
        </w:rPr>
        <w:footnoteReference w:id="99"/>
      </w:r>
      <w:r w:rsidRPr="008B1B73">
        <w:t xml:space="preserve"> Under this approach, STTM trading rights are not required to be transferred because the shipper will not be using the ex-ante schedule. </w:t>
      </w:r>
    </w:p>
    <w:p w14:paraId="288D469C" w14:textId="05ECB53B" w:rsidR="00433D0D" w:rsidRDefault="004C1EF9" w:rsidP="00433D0D">
      <w:pPr>
        <w:pStyle w:val="BodyText"/>
      </w:pPr>
      <w:r w:rsidRPr="008B1B73">
        <w:t xml:space="preserve">A key consideration for STTM integration will be the latest </w:t>
      </w:r>
      <w:r w:rsidR="00D74E82">
        <w:t xml:space="preserve">time </w:t>
      </w:r>
      <w:r w:rsidR="00433D0D">
        <w:t xml:space="preserve">by </w:t>
      </w:r>
      <w:r w:rsidRPr="008B1B73">
        <w:t xml:space="preserve">which a participant can purchase capacity on the exchange and participate in the </w:t>
      </w:r>
      <w:r w:rsidR="002D5C8A">
        <w:t>ex-ante</w:t>
      </w:r>
      <w:r w:rsidRPr="008B1B73">
        <w:t xml:space="preserve"> schedule. As </w:t>
      </w:r>
      <w:r w:rsidR="002D5C8A">
        <w:t>ex-ante</w:t>
      </w:r>
      <w:r w:rsidRPr="008B1B73">
        <w:t xml:space="preserve"> bids and offers are required to be submitted by midday </w:t>
      </w:r>
      <w:r w:rsidR="00FF176A">
        <w:t xml:space="preserve">in </w:t>
      </w:r>
      <w:r w:rsidRPr="008B1B73">
        <w:t>Adelaide</w:t>
      </w:r>
      <w:r w:rsidR="00FF176A">
        <w:t xml:space="preserve"> and </w:t>
      </w:r>
      <w:r w:rsidRPr="008B1B73">
        <w:t xml:space="preserve">Sydney or </w:t>
      </w:r>
      <w:r w:rsidR="00FF176A">
        <w:t>1</w:t>
      </w:r>
      <w:r w:rsidRPr="008B1B73">
        <w:t>:30</w:t>
      </w:r>
      <w:r w:rsidR="00FF176A">
        <w:t xml:space="preserve"> pm in </w:t>
      </w:r>
      <w:r w:rsidRPr="008B1B73">
        <w:t>Bris</w:t>
      </w:r>
      <w:r w:rsidRPr="00433D0D">
        <w:t xml:space="preserve">bane on </w:t>
      </w:r>
      <w:r w:rsidR="007447D4">
        <w:t xml:space="preserve">gas day </w:t>
      </w:r>
      <w:r w:rsidRPr="00433D0D">
        <w:t xml:space="preserve">D-1, participants </w:t>
      </w:r>
      <w:r w:rsidR="00433D0D" w:rsidRPr="00433D0D">
        <w:t xml:space="preserve">would </w:t>
      </w:r>
      <w:r w:rsidRPr="00433D0D">
        <w:t xml:space="preserve">need to have purchased capacity and had </w:t>
      </w:r>
      <w:r w:rsidR="00433D0D" w:rsidRPr="00433D0D">
        <w:t>the capacity</w:t>
      </w:r>
      <w:r w:rsidRPr="00433D0D">
        <w:t xml:space="preserve"> and STTM trading rights transferred prior to the </w:t>
      </w:r>
      <w:r w:rsidR="002D5C8A">
        <w:t>ex-ante</w:t>
      </w:r>
      <w:r w:rsidR="00433D0D" w:rsidRPr="00433D0D">
        <w:t xml:space="preserve"> schedule </w:t>
      </w:r>
      <w:r w:rsidRPr="00433D0D">
        <w:t>cut-off time</w:t>
      </w:r>
      <w:r w:rsidR="00433D0D" w:rsidRPr="00433D0D">
        <w:rPr>
          <w:rFonts w:cs="Arial"/>
        </w:rPr>
        <w:t xml:space="preserve"> on D-1</w:t>
      </w:r>
      <w:r w:rsidRPr="00433D0D">
        <w:t>.</w:t>
      </w:r>
      <w:r w:rsidR="00520EF9" w:rsidRPr="00433D0D">
        <w:rPr>
          <w:rStyle w:val="FootnoteReference"/>
        </w:rPr>
        <w:footnoteReference w:id="100"/>
      </w:r>
      <w:r w:rsidRPr="008B1B73">
        <w:t xml:space="preserve"> </w:t>
      </w:r>
      <w:r w:rsidR="00433D0D">
        <w:t xml:space="preserve">Given all the activities that would be required to enable this to occur, shippers that want to participate in the </w:t>
      </w:r>
      <w:r w:rsidR="002D5C8A">
        <w:t>ex-ante</w:t>
      </w:r>
      <w:r w:rsidR="00433D0D">
        <w:t xml:space="preserve"> schedule on D-1 would need to purchase </w:t>
      </w:r>
      <w:r w:rsidR="00433D0D" w:rsidRPr="008B1B73">
        <w:t xml:space="preserve">capacity </w:t>
      </w:r>
      <w:r w:rsidR="007372B2">
        <w:t xml:space="preserve">for gas day D </w:t>
      </w:r>
      <w:r w:rsidR="00433D0D" w:rsidRPr="008B1B73">
        <w:t xml:space="preserve">by close of </w:t>
      </w:r>
      <w:r w:rsidR="007372B2">
        <w:t xml:space="preserve">trade </w:t>
      </w:r>
      <w:r w:rsidR="00AA17FC">
        <w:t xml:space="preserve">of the day-ahead product </w:t>
      </w:r>
      <w:r w:rsidR="00433D0D" w:rsidRPr="008B1B73">
        <w:t xml:space="preserve">on D-2. </w:t>
      </w:r>
      <w:r w:rsidR="007372B2">
        <w:t xml:space="preserve">The </w:t>
      </w:r>
      <w:r w:rsidR="00723C4D">
        <w:t>capacity</w:t>
      </w:r>
      <w:r w:rsidR="00433D0D" w:rsidRPr="008B1B73">
        <w:t xml:space="preserve"> and STTM trading rights would </w:t>
      </w:r>
      <w:r w:rsidR="007372B2">
        <w:t xml:space="preserve">then </w:t>
      </w:r>
      <w:r w:rsidR="00433D0D" w:rsidRPr="008B1B73">
        <w:t xml:space="preserve">be transferred on </w:t>
      </w:r>
      <w:r w:rsidR="007372B2">
        <w:t xml:space="preserve">gas day </w:t>
      </w:r>
      <w:r w:rsidR="00433D0D" w:rsidRPr="008B1B73">
        <w:t xml:space="preserve">D-2, allowing the shipper to participate in the </w:t>
      </w:r>
      <w:r w:rsidR="002D5C8A">
        <w:t>ex-ante</w:t>
      </w:r>
      <w:r w:rsidR="00433D0D" w:rsidRPr="008B1B73">
        <w:t xml:space="preserve"> schedule on D-1</w:t>
      </w:r>
      <w:r w:rsidR="007372B2">
        <w:t xml:space="preserve"> (see </w:t>
      </w:r>
      <w:r w:rsidR="007372B2">
        <w:fldChar w:fldCharType="begin"/>
      </w:r>
      <w:r w:rsidR="007372B2">
        <w:instrText xml:space="preserve"> REF _Ref491973056 \h </w:instrText>
      </w:r>
      <w:r w:rsidR="007372B2">
        <w:fldChar w:fldCharType="separate"/>
      </w:r>
      <w:r w:rsidR="00947034">
        <w:t xml:space="preserve">Box </w:t>
      </w:r>
      <w:r w:rsidR="00947034">
        <w:rPr>
          <w:noProof/>
        </w:rPr>
        <w:t>8</w:t>
      </w:r>
      <w:r w:rsidR="00947034">
        <w:t>.</w:t>
      </w:r>
      <w:r w:rsidR="00947034">
        <w:rPr>
          <w:noProof/>
        </w:rPr>
        <w:t>7</w:t>
      </w:r>
      <w:r w:rsidR="007372B2">
        <w:fldChar w:fldCharType="end"/>
      </w:r>
      <w:r w:rsidR="007372B2">
        <w:t>)</w:t>
      </w:r>
      <w:r w:rsidR="00433D0D" w:rsidRPr="008B1B73">
        <w:t xml:space="preserve">. </w:t>
      </w:r>
      <w:r w:rsidR="007372B2">
        <w:t>Trades conducted after this time would need to use a MSV to avoid financial penalties.</w:t>
      </w:r>
    </w:p>
    <w:p w14:paraId="39BF228C" w14:textId="1B07898C" w:rsidR="007372B2" w:rsidRPr="008B1B73" w:rsidRDefault="007372B2" w:rsidP="007372B2">
      <w:pPr>
        <w:pStyle w:val="BodyText"/>
        <w:keepNext/>
        <w:spacing w:after="0"/>
        <w:rPr>
          <w:rStyle w:val="Bold"/>
        </w:rPr>
      </w:pPr>
      <w:bookmarkStart w:id="189" w:name="_Ref491917561"/>
      <w:r w:rsidRPr="00446B58">
        <w:rPr>
          <w:b/>
        </w:rPr>
        <w:lastRenderedPageBreak/>
        <w:t xml:space="preserve">Table </w:t>
      </w:r>
      <w:r w:rsidR="001C4739">
        <w:rPr>
          <w:b/>
        </w:rPr>
        <w:fldChar w:fldCharType="begin"/>
      </w:r>
      <w:r w:rsidR="001C4739">
        <w:rPr>
          <w:b/>
        </w:rPr>
        <w:instrText xml:space="preserve"> STYLEREF 1 \s </w:instrText>
      </w:r>
      <w:r w:rsidR="001C4739">
        <w:rPr>
          <w:b/>
        </w:rPr>
        <w:fldChar w:fldCharType="separate"/>
      </w:r>
      <w:r w:rsidR="00947034">
        <w:rPr>
          <w:b/>
          <w:noProof/>
        </w:rPr>
        <w:t>8</w:t>
      </w:r>
      <w:r w:rsidR="001C4739">
        <w:rPr>
          <w:b/>
        </w:rPr>
        <w:fldChar w:fldCharType="end"/>
      </w:r>
      <w:r w:rsidR="001C4739">
        <w:rPr>
          <w:b/>
        </w:rPr>
        <w:t>.</w:t>
      </w:r>
      <w:r w:rsidR="001C4739">
        <w:rPr>
          <w:b/>
        </w:rPr>
        <w:fldChar w:fldCharType="begin"/>
      </w:r>
      <w:r w:rsidR="001C4739">
        <w:rPr>
          <w:b/>
        </w:rPr>
        <w:instrText xml:space="preserve"> SEQ Table \* ARABIC \s 1 </w:instrText>
      </w:r>
      <w:r w:rsidR="001C4739">
        <w:rPr>
          <w:b/>
        </w:rPr>
        <w:fldChar w:fldCharType="separate"/>
      </w:r>
      <w:r w:rsidR="00947034">
        <w:rPr>
          <w:b/>
          <w:noProof/>
        </w:rPr>
        <w:t>1</w:t>
      </w:r>
      <w:r w:rsidR="001C4739">
        <w:rPr>
          <w:b/>
        </w:rPr>
        <w:fldChar w:fldCharType="end"/>
      </w:r>
      <w:bookmarkEnd w:id="189"/>
      <w:r w:rsidRPr="00446B58">
        <w:rPr>
          <w:b/>
        </w:rPr>
        <w:t>:</w:t>
      </w:r>
      <w:r>
        <w:t xml:space="preserve"> </w:t>
      </w:r>
      <w:r w:rsidRPr="008B1B73">
        <w:rPr>
          <w:rStyle w:val="Bold"/>
        </w:rPr>
        <w:t xml:space="preserve">STTM and DWGM key </w:t>
      </w:r>
      <w:r>
        <w:rPr>
          <w:rStyle w:val="Bold"/>
        </w:rPr>
        <w:t>timings (AEST)</w:t>
      </w:r>
    </w:p>
    <w:tbl>
      <w:tblPr>
        <w:tblStyle w:val="TableGrid"/>
        <w:tblW w:w="5015" w:type="pct"/>
        <w:tblLook w:val="0420" w:firstRow="1" w:lastRow="0" w:firstColumn="0" w:lastColumn="0" w:noHBand="0" w:noVBand="1"/>
        <w:tblCaption w:val="Table 8.1: STTM and DWGM key timings (AEST)"/>
        <w:tblDescription w:val="STTM and DWGM key timings (AEST)"/>
      </w:tblPr>
      <w:tblGrid>
        <w:gridCol w:w="1562"/>
        <w:gridCol w:w="1498"/>
        <w:gridCol w:w="2327"/>
        <w:gridCol w:w="1842"/>
        <w:gridCol w:w="1585"/>
      </w:tblGrid>
      <w:tr w:rsidR="007372B2" w:rsidRPr="008B1B73" w14:paraId="4BF4B7F2" w14:textId="77777777" w:rsidTr="007372B2">
        <w:trPr>
          <w:cnfStyle w:val="100000000000" w:firstRow="1" w:lastRow="0" w:firstColumn="0" w:lastColumn="0" w:oddVBand="0" w:evenVBand="0" w:oddHBand="0" w:evenHBand="0" w:firstRowFirstColumn="0" w:firstRowLastColumn="0" w:lastRowFirstColumn="0" w:lastRowLastColumn="0"/>
          <w:tblHeader/>
        </w:trPr>
        <w:tc>
          <w:tcPr>
            <w:tcW w:w="886" w:type="pct"/>
            <w:shd w:val="clear" w:color="auto" w:fill="0099CC"/>
          </w:tcPr>
          <w:p w14:paraId="749D2B79" w14:textId="77777777" w:rsidR="007372B2" w:rsidRPr="008B1B73" w:rsidRDefault="007372B2" w:rsidP="007372B2">
            <w:pPr>
              <w:pStyle w:val="TableHeading"/>
              <w:keepNext/>
            </w:pPr>
            <w:r w:rsidRPr="008B1B73">
              <w:t>Market</w:t>
            </w:r>
          </w:p>
        </w:tc>
        <w:tc>
          <w:tcPr>
            <w:tcW w:w="850" w:type="pct"/>
            <w:shd w:val="clear" w:color="auto" w:fill="0099CC"/>
          </w:tcPr>
          <w:p w14:paraId="4C99C042" w14:textId="77777777" w:rsidR="007372B2" w:rsidRPr="008B1B73" w:rsidRDefault="007372B2" w:rsidP="007372B2">
            <w:pPr>
              <w:pStyle w:val="TableHeading"/>
              <w:keepNext/>
            </w:pPr>
            <w:r w:rsidRPr="008B1B73">
              <w:t>Pipelines</w:t>
            </w:r>
          </w:p>
        </w:tc>
        <w:tc>
          <w:tcPr>
            <w:tcW w:w="1320" w:type="pct"/>
            <w:shd w:val="clear" w:color="auto" w:fill="0099CC"/>
          </w:tcPr>
          <w:p w14:paraId="41719532" w14:textId="2B7AAA56" w:rsidR="007372B2" w:rsidRPr="008B1B73" w:rsidRDefault="002D5C8A" w:rsidP="007372B2">
            <w:pPr>
              <w:pStyle w:val="TableHeading"/>
              <w:keepNext/>
            </w:pPr>
            <w:r>
              <w:t>Ex-ante</w:t>
            </w:r>
            <w:r w:rsidR="007372B2" w:rsidRPr="008B1B73">
              <w:t xml:space="preserve"> bids and offers close </w:t>
            </w:r>
          </w:p>
        </w:tc>
        <w:tc>
          <w:tcPr>
            <w:tcW w:w="1045" w:type="pct"/>
            <w:shd w:val="clear" w:color="auto" w:fill="0099CC"/>
          </w:tcPr>
          <w:p w14:paraId="3D756440" w14:textId="4C241300" w:rsidR="007372B2" w:rsidRPr="008B1B73" w:rsidRDefault="002D5C8A" w:rsidP="007372B2">
            <w:pPr>
              <w:pStyle w:val="TableHeading"/>
              <w:keepNext/>
            </w:pPr>
            <w:r>
              <w:t>Ex-ante</w:t>
            </w:r>
            <w:r w:rsidR="007372B2" w:rsidRPr="008B1B73">
              <w:t xml:space="preserve"> schedule published (D-1)</w:t>
            </w:r>
          </w:p>
        </w:tc>
        <w:tc>
          <w:tcPr>
            <w:tcW w:w="899" w:type="pct"/>
            <w:shd w:val="clear" w:color="auto" w:fill="0099CC"/>
          </w:tcPr>
          <w:p w14:paraId="5B93B0DB" w14:textId="77777777" w:rsidR="007372B2" w:rsidRPr="008B1B73" w:rsidRDefault="007372B2" w:rsidP="007372B2">
            <w:pPr>
              <w:pStyle w:val="TableHeading"/>
              <w:keepNext/>
            </w:pPr>
            <w:r w:rsidRPr="008B1B73">
              <w:t>Gas day start time (D)</w:t>
            </w:r>
          </w:p>
        </w:tc>
      </w:tr>
      <w:tr w:rsidR="007372B2" w:rsidRPr="008B1B73" w14:paraId="06D9100F" w14:textId="77777777" w:rsidTr="007372B2">
        <w:tc>
          <w:tcPr>
            <w:tcW w:w="886" w:type="pct"/>
          </w:tcPr>
          <w:p w14:paraId="06419875" w14:textId="77777777" w:rsidR="007372B2" w:rsidRPr="008B1B73" w:rsidRDefault="007372B2" w:rsidP="007372B2">
            <w:pPr>
              <w:pStyle w:val="TableBodyText"/>
              <w:keepNext/>
            </w:pPr>
            <w:r w:rsidRPr="008B1B73">
              <w:t>Adelaide STTM</w:t>
            </w:r>
          </w:p>
        </w:tc>
        <w:tc>
          <w:tcPr>
            <w:tcW w:w="850" w:type="pct"/>
          </w:tcPr>
          <w:p w14:paraId="1D82764E" w14:textId="77777777" w:rsidR="007372B2" w:rsidRPr="008B1B73" w:rsidRDefault="007372B2" w:rsidP="007372B2">
            <w:pPr>
              <w:pStyle w:val="TableBodyText"/>
              <w:keepNext/>
            </w:pPr>
            <w:r w:rsidRPr="008B1B73">
              <w:t xml:space="preserve">MAPS and </w:t>
            </w:r>
            <w:proofErr w:type="spellStart"/>
            <w:r w:rsidRPr="008B1B73">
              <w:t>SEAGas</w:t>
            </w:r>
            <w:proofErr w:type="spellEnd"/>
          </w:p>
        </w:tc>
        <w:tc>
          <w:tcPr>
            <w:tcW w:w="1320" w:type="pct"/>
          </w:tcPr>
          <w:p w14:paraId="310151D9" w14:textId="77777777" w:rsidR="007372B2" w:rsidRPr="008B1B73" w:rsidRDefault="007372B2" w:rsidP="007372B2">
            <w:pPr>
              <w:pStyle w:val="TableBodyText"/>
              <w:keepNext/>
            </w:pPr>
            <w:r w:rsidRPr="008B1B73">
              <w:t>Midday (D-1)</w:t>
            </w:r>
          </w:p>
        </w:tc>
        <w:tc>
          <w:tcPr>
            <w:tcW w:w="1045" w:type="pct"/>
          </w:tcPr>
          <w:p w14:paraId="1AADBE90" w14:textId="77777777" w:rsidR="007372B2" w:rsidRPr="008B1B73" w:rsidRDefault="007372B2" w:rsidP="007372B2">
            <w:pPr>
              <w:pStyle w:val="TableBodyText"/>
              <w:keepNext/>
            </w:pPr>
            <w:r w:rsidRPr="008B1B73">
              <w:t>13:00 (D-1)</w:t>
            </w:r>
          </w:p>
        </w:tc>
        <w:tc>
          <w:tcPr>
            <w:tcW w:w="899" w:type="pct"/>
          </w:tcPr>
          <w:p w14:paraId="16744DCB" w14:textId="77777777" w:rsidR="007372B2" w:rsidRPr="008B1B73" w:rsidRDefault="007372B2" w:rsidP="007372B2">
            <w:pPr>
              <w:pStyle w:val="TableBodyText"/>
              <w:keepNext/>
            </w:pPr>
            <w:r w:rsidRPr="008B1B73">
              <w:t>06:30</w:t>
            </w:r>
          </w:p>
        </w:tc>
      </w:tr>
      <w:tr w:rsidR="007372B2" w:rsidRPr="008B1B73" w14:paraId="547BE4FA" w14:textId="77777777" w:rsidTr="007372B2">
        <w:trPr>
          <w:cnfStyle w:val="000000010000" w:firstRow="0" w:lastRow="0" w:firstColumn="0" w:lastColumn="0" w:oddVBand="0" w:evenVBand="0" w:oddHBand="0" w:evenHBand="1" w:firstRowFirstColumn="0" w:firstRowLastColumn="0" w:lastRowFirstColumn="0" w:lastRowLastColumn="0"/>
        </w:trPr>
        <w:tc>
          <w:tcPr>
            <w:tcW w:w="886" w:type="pct"/>
          </w:tcPr>
          <w:p w14:paraId="5049C27A" w14:textId="77777777" w:rsidR="007372B2" w:rsidRPr="008B1B73" w:rsidRDefault="007372B2" w:rsidP="007372B2">
            <w:pPr>
              <w:pStyle w:val="TableBodyText"/>
              <w:keepNext/>
            </w:pPr>
            <w:r w:rsidRPr="008B1B73">
              <w:t>Brisbane STTM</w:t>
            </w:r>
          </w:p>
        </w:tc>
        <w:tc>
          <w:tcPr>
            <w:tcW w:w="850" w:type="pct"/>
          </w:tcPr>
          <w:p w14:paraId="38B6908C" w14:textId="77777777" w:rsidR="007372B2" w:rsidRPr="008B1B73" w:rsidRDefault="007372B2" w:rsidP="007372B2">
            <w:pPr>
              <w:pStyle w:val="TableBodyText"/>
              <w:keepNext/>
            </w:pPr>
            <w:r w:rsidRPr="008B1B73">
              <w:t>RBP</w:t>
            </w:r>
          </w:p>
        </w:tc>
        <w:tc>
          <w:tcPr>
            <w:tcW w:w="1320" w:type="pct"/>
          </w:tcPr>
          <w:p w14:paraId="4ED4169C" w14:textId="77777777" w:rsidR="007372B2" w:rsidRPr="008B1B73" w:rsidRDefault="007372B2" w:rsidP="007372B2">
            <w:pPr>
              <w:pStyle w:val="TableBodyText"/>
              <w:keepNext/>
            </w:pPr>
            <w:r w:rsidRPr="008B1B73">
              <w:t>13:30 (D-1)</w:t>
            </w:r>
          </w:p>
        </w:tc>
        <w:tc>
          <w:tcPr>
            <w:tcW w:w="1045" w:type="pct"/>
          </w:tcPr>
          <w:p w14:paraId="39745103" w14:textId="77777777" w:rsidR="007372B2" w:rsidRPr="008B1B73" w:rsidRDefault="007372B2" w:rsidP="007372B2">
            <w:pPr>
              <w:pStyle w:val="TableBodyText"/>
              <w:keepNext/>
            </w:pPr>
            <w:r w:rsidRPr="008B1B73">
              <w:t>14:30 (D-1)</w:t>
            </w:r>
          </w:p>
        </w:tc>
        <w:tc>
          <w:tcPr>
            <w:tcW w:w="899" w:type="pct"/>
          </w:tcPr>
          <w:p w14:paraId="3E54C0F9" w14:textId="77777777" w:rsidR="007372B2" w:rsidRPr="008B1B73" w:rsidRDefault="007372B2" w:rsidP="007372B2">
            <w:pPr>
              <w:pStyle w:val="TableBodyText"/>
              <w:keepNext/>
            </w:pPr>
            <w:r w:rsidRPr="008B1B73">
              <w:t>08:00</w:t>
            </w:r>
          </w:p>
        </w:tc>
      </w:tr>
      <w:tr w:rsidR="007372B2" w:rsidRPr="008B1B73" w14:paraId="41055EB4" w14:textId="77777777" w:rsidTr="007372B2">
        <w:tc>
          <w:tcPr>
            <w:tcW w:w="886" w:type="pct"/>
          </w:tcPr>
          <w:p w14:paraId="300C2077" w14:textId="77777777" w:rsidR="007372B2" w:rsidRPr="008B1B73" w:rsidRDefault="007372B2" w:rsidP="007372B2">
            <w:pPr>
              <w:pStyle w:val="TableBodyText"/>
              <w:keepNext/>
            </w:pPr>
            <w:r w:rsidRPr="008B1B73">
              <w:t>Sydney STTM</w:t>
            </w:r>
          </w:p>
        </w:tc>
        <w:tc>
          <w:tcPr>
            <w:tcW w:w="850" w:type="pct"/>
          </w:tcPr>
          <w:p w14:paraId="5C46404F" w14:textId="77777777" w:rsidR="007372B2" w:rsidRPr="008B1B73" w:rsidRDefault="007372B2" w:rsidP="007372B2">
            <w:pPr>
              <w:pStyle w:val="TableBodyText"/>
              <w:keepNext/>
            </w:pPr>
            <w:r w:rsidRPr="008B1B73">
              <w:t>MSP and EGP</w:t>
            </w:r>
          </w:p>
        </w:tc>
        <w:tc>
          <w:tcPr>
            <w:tcW w:w="1320" w:type="pct"/>
          </w:tcPr>
          <w:p w14:paraId="0E1DF0B1" w14:textId="77777777" w:rsidR="007372B2" w:rsidRPr="008B1B73" w:rsidRDefault="007372B2" w:rsidP="007372B2">
            <w:pPr>
              <w:pStyle w:val="TableBodyText"/>
              <w:keepNext/>
            </w:pPr>
            <w:r w:rsidRPr="008B1B73">
              <w:t>Midday (D-1)</w:t>
            </w:r>
          </w:p>
        </w:tc>
        <w:tc>
          <w:tcPr>
            <w:tcW w:w="1045" w:type="pct"/>
          </w:tcPr>
          <w:p w14:paraId="2DA76F8C" w14:textId="77777777" w:rsidR="007372B2" w:rsidRPr="008B1B73" w:rsidRDefault="007372B2" w:rsidP="007372B2">
            <w:pPr>
              <w:pStyle w:val="TableBodyText"/>
              <w:keepNext/>
            </w:pPr>
            <w:r w:rsidRPr="008B1B73">
              <w:t>13:00 (D-1)</w:t>
            </w:r>
          </w:p>
        </w:tc>
        <w:tc>
          <w:tcPr>
            <w:tcW w:w="899" w:type="pct"/>
          </w:tcPr>
          <w:p w14:paraId="0B6F1F03" w14:textId="77777777" w:rsidR="007372B2" w:rsidRPr="008B1B73" w:rsidRDefault="007372B2" w:rsidP="007372B2">
            <w:pPr>
              <w:pStyle w:val="TableBodyText"/>
              <w:keepNext/>
            </w:pPr>
            <w:r w:rsidRPr="008B1B73">
              <w:t>06:30</w:t>
            </w:r>
          </w:p>
        </w:tc>
      </w:tr>
      <w:tr w:rsidR="007372B2" w:rsidRPr="008B1B73" w14:paraId="18B45103" w14:textId="77777777" w:rsidTr="007372B2">
        <w:trPr>
          <w:cnfStyle w:val="000000010000" w:firstRow="0" w:lastRow="0" w:firstColumn="0" w:lastColumn="0" w:oddVBand="0" w:evenVBand="0" w:oddHBand="0" w:evenHBand="1" w:firstRowFirstColumn="0" w:firstRowLastColumn="0" w:lastRowFirstColumn="0" w:lastRowLastColumn="0"/>
        </w:trPr>
        <w:tc>
          <w:tcPr>
            <w:tcW w:w="886" w:type="pct"/>
          </w:tcPr>
          <w:p w14:paraId="060EE41B" w14:textId="77777777" w:rsidR="007372B2" w:rsidRPr="008B1B73" w:rsidRDefault="007372B2" w:rsidP="007372B2">
            <w:pPr>
              <w:pStyle w:val="TableBodyText"/>
              <w:keepNext/>
            </w:pPr>
            <w:r w:rsidRPr="008B1B73">
              <w:t>DWGM</w:t>
            </w:r>
          </w:p>
        </w:tc>
        <w:tc>
          <w:tcPr>
            <w:tcW w:w="850" w:type="pct"/>
          </w:tcPr>
          <w:p w14:paraId="04518294" w14:textId="77777777" w:rsidR="007372B2" w:rsidRPr="008B1B73" w:rsidRDefault="007372B2" w:rsidP="007372B2">
            <w:pPr>
              <w:pStyle w:val="TableBodyText"/>
              <w:keepNext/>
            </w:pPr>
            <w:r w:rsidRPr="008B1B73">
              <w:t>DTS</w:t>
            </w:r>
          </w:p>
        </w:tc>
        <w:tc>
          <w:tcPr>
            <w:tcW w:w="1320" w:type="pct"/>
          </w:tcPr>
          <w:p w14:paraId="460B2608" w14:textId="77777777" w:rsidR="007372B2" w:rsidRPr="008B1B73" w:rsidRDefault="007372B2" w:rsidP="007372B2">
            <w:pPr>
              <w:pStyle w:val="TableBodyText"/>
              <w:keepNext/>
              <w:rPr>
                <w:highlight w:val="yellow"/>
              </w:rPr>
            </w:pPr>
            <w:r w:rsidRPr="008B1B73">
              <w:t>05:00 for 06:00 schedule</w:t>
            </w:r>
          </w:p>
        </w:tc>
        <w:tc>
          <w:tcPr>
            <w:tcW w:w="1045" w:type="pct"/>
          </w:tcPr>
          <w:p w14:paraId="34BED893" w14:textId="77777777" w:rsidR="007372B2" w:rsidRPr="008B1B73" w:rsidRDefault="007372B2" w:rsidP="007372B2">
            <w:pPr>
              <w:pStyle w:val="TableBodyText"/>
              <w:keepNext/>
              <w:rPr>
                <w:highlight w:val="yellow"/>
              </w:rPr>
            </w:pPr>
            <w:r w:rsidRPr="008B1B73">
              <w:t>By 06:00</w:t>
            </w:r>
          </w:p>
        </w:tc>
        <w:tc>
          <w:tcPr>
            <w:tcW w:w="899" w:type="pct"/>
          </w:tcPr>
          <w:p w14:paraId="188746D0" w14:textId="77777777" w:rsidR="007372B2" w:rsidRPr="008B1B73" w:rsidRDefault="007372B2" w:rsidP="007372B2">
            <w:pPr>
              <w:pStyle w:val="TableBodyText"/>
              <w:keepNext/>
            </w:pPr>
            <w:r w:rsidRPr="008B1B73">
              <w:t>06:00</w:t>
            </w:r>
          </w:p>
        </w:tc>
      </w:tr>
    </w:tbl>
    <w:p w14:paraId="1C4E2076" w14:textId="316E26B1" w:rsidR="00433D0D" w:rsidRDefault="00433D0D" w:rsidP="00B91FFF">
      <w:pPr>
        <w:pStyle w:val="Caption"/>
        <w:spacing w:before="0" w:after="0" w:line="240" w:lineRule="auto"/>
      </w:pPr>
    </w:p>
    <w:tbl>
      <w:tblPr>
        <w:tblStyle w:val="PullOutBoxTable"/>
        <w:tblW w:w="5000" w:type="pct"/>
        <w:tblLook w:val="0600" w:firstRow="0" w:lastRow="0" w:firstColumn="0" w:lastColumn="0" w:noHBand="1" w:noVBand="1"/>
        <w:tblCaption w:val="Box 8.7: Process for procuring capacity through the exchange to participate in STTM ex-ante schedule"/>
        <w:tblDescription w:val="Process for procuring capacity through the exchange to participate in STTM ex-ante schedule"/>
      </w:tblPr>
      <w:tblGrid>
        <w:gridCol w:w="8788"/>
      </w:tblGrid>
      <w:tr w:rsidR="00433D0D" w:rsidRPr="007372B2" w14:paraId="6EF0A634" w14:textId="77777777" w:rsidTr="00B91FFF">
        <w:trPr>
          <w:tblHeader/>
        </w:trPr>
        <w:tc>
          <w:tcPr>
            <w:tcW w:w="5000" w:type="pct"/>
            <w:shd w:val="clear" w:color="auto" w:fill="auto"/>
          </w:tcPr>
          <w:p w14:paraId="079B614E" w14:textId="01E8CEBD" w:rsidR="00433D0D" w:rsidRPr="00B91FFF" w:rsidRDefault="00B91FFF" w:rsidP="00B91FFF">
            <w:pPr>
              <w:pStyle w:val="ListBullet"/>
              <w:numPr>
                <w:ilvl w:val="0"/>
                <w:numId w:val="0"/>
              </w:numPr>
              <w:spacing w:before="0" w:after="0"/>
              <w:rPr>
                <w:b/>
                <w:sz w:val="20"/>
                <w:szCs w:val="20"/>
              </w:rPr>
            </w:pPr>
            <w:bookmarkStart w:id="190" w:name="_Ref491973056"/>
            <w:r w:rsidRPr="00B91FFF">
              <w:rPr>
                <w:b/>
              </w:rPr>
              <w:t xml:space="preserve">Box </w:t>
            </w:r>
            <w:r w:rsidRPr="00B91FFF">
              <w:rPr>
                <w:b/>
              </w:rPr>
              <w:fldChar w:fldCharType="begin"/>
            </w:r>
            <w:r w:rsidRPr="00B91FFF">
              <w:rPr>
                <w:b/>
              </w:rPr>
              <w:instrText xml:space="preserve"> STYLEREF 1 \s </w:instrText>
            </w:r>
            <w:r w:rsidRPr="00B91FFF">
              <w:rPr>
                <w:b/>
              </w:rPr>
              <w:fldChar w:fldCharType="separate"/>
            </w:r>
            <w:r w:rsidRPr="00B91FFF">
              <w:rPr>
                <w:b/>
                <w:noProof/>
              </w:rPr>
              <w:t>8</w:t>
            </w:r>
            <w:r w:rsidRPr="00B91FFF">
              <w:rPr>
                <w:b/>
                <w:noProof/>
              </w:rPr>
              <w:fldChar w:fldCharType="end"/>
            </w:r>
            <w:r w:rsidRPr="00B91FFF">
              <w:rPr>
                <w:b/>
              </w:rPr>
              <w:t>.</w:t>
            </w:r>
            <w:r w:rsidRPr="00B91FFF">
              <w:rPr>
                <w:b/>
              </w:rPr>
              <w:fldChar w:fldCharType="begin"/>
            </w:r>
            <w:r w:rsidRPr="00B91FFF">
              <w:rPr>
                <w:b/>
              </w:rPr>
              <w:instrText xml:space="preserve"> SEQ Box \* ARABIC \s 1 </w:instrText>
            </w:r>
            <w:r w:rsidRPr="00B91FFF">
              <w:rPr>
                <w:b/>
              </w:rPr>
              <w:fldChar w:fldCharType="separate"/>
            </w:r>
            <w:r w:rsidRPr="00B91FFF">
              <w:rPr>
                <w:b/>
                <w:noProof/>
              </w:rPr>
              <w:t>7</w:t>
            </w:r>
            <w:r w:rsidRPr="00B91FFF">
              <w:rPr>
                <w:b/>
                <w:noProof/>
              </w:rPr>
              <w:fldChar w:fldCharType="end"/>
            </w:r>
            <w:bookmarkEnd w:id="190"/>
            <w:r w:rsidRPr="00B91FFF">
              <w:rPr>
                <w:b/>
              </w:rPr>
              <w:t>: Process for procuring capacity through the exchange to participate in STTM ex-ante schedule</w:t>
            </w:r>
          </w:p>
        </w:tc>
      </w:tr>
      <w:tr w:rsidR="00B91FFF" w:rsidRPr="007372B2" w14:paraId="5D793242" w14:textId="77777777" w:rsidTr="00B91FFF">
        <w:trPr>
          <w:tblHeader/>
        </w:trPr>
        <w:tc>
          <w:tcPr>
            <w:tcW w:w="5000" w:type="pct"/>
          </w:tcPr>
          <w:p w14:paraId="227094D6" w14:textId="77777777" w:rsidR="00B91FFF" w:rsidRPr="007372B2" w:rsidRDefault="00B91FFF" w:rsidP="00B91FFF">
            <w:pPr>
              <w:pStyle w:val="BodyText"/>
              <w:spacing w:before="0"/>
              <w:rPr>
                <w:sz w:val="20"/>
                <w:szCs w:val="20"/>
              </w:rPr>
            </w:pPr>
            <w:r w:rsidRPr="007372B2">
              <w:rPr>
                <w:sz w:val="20"/>
                <w:szCs w:val="20"/>
              </w:rPr>
              <w:t xml:space="preserve">The process for purchasing capacity on the exchange to participate in the </w:t>
            </w:r>
            <w:r>
              <w:rPr>
                <w:sz w:val="20"/>
                <w:szCs w:val="20"/>
              </w:rPr>
              <w:t>ex-ante</w:t>
            </w:r>
            <w:r w:rsidRPr="007372B2">
              <w:rPr>
                <w:sz w:val="20"/>
                <w:szCs w:val="20"/>
              </w:rPr>
              <w:t xml:space="preserve"> STTM schedule is as follows:</w:t>
            </w:r>
            <w:r>
              <w:rPr>
                <w:sz w:val="20"/>
                <w:szCs w:val="20"/>
              </w:rPr>
              <w:t xml:space="preserve"> </w:t>
            </w:r>
          </w:p>
          <w:p w14:paraId="540A8C10" w14:textId="77777777" w:rsidR="00B91FFF" w:rsidRPr="007372B2" w:rsidRDefault="00B91FFF" w:rsidP="00B91FFF">
            <w:pPr>
              <w:pStyle w:val="ListBullet"/>
              <w:numPr>
                <w:ilvl w:val="0"/>
                <w:numId w:val="48"/>
              </w:numPr>
              <w:rPr>
                <w:sz w:val="20"/>
                <w:szCs w:val="20"/>
              </w:rPr>
            </w:pPr>
            <w:r w:rsidRPr="007372B2">
              <w:rPr>
                <w:sz w:val="20"/>
                <w:szCs w:val="20"/>
              </w:rPr>
              <w:t>D-2: Shipper A purchases capacity on a pipeline connecting to a STTM prior to the close of trading for the day-ahead product.</w:t>
            </w:r>
          </w:p>
          <w:p w14:paraId="33AC361A" w14:textId="77777777" w:rsidR="00B91FFF" w:rsidRPr="007372B2" w:rsidRDefault="00B91FFF" w:rsidP="00B91FFF">
            <w:pPr>
              <w:pStyle w:val="ListBullet"/>
              <w:numPr>
                <w:ilvl w:val="0"/>
                <w:numId w:val="47"/>
              </w:numPr>
              <w:rPr>
                <w:sz w:val="20"/>
                <w:szCs w:val="20"/>
              </w:rPr>
            </w:pPr>
            <w:r w:rsidRPr="007372B2">
              <w:rPr>
                <w:sz w:val="20"/>
                <w:szCs w:val="20"/>
              </w:rPr>
              <w:t xml:space="preserve">D-2: After the close of trading for the day-ahead product the service provider transfers </w:t>
            </w:r>
            <w:r>
              <w:rPr>
                <w:sz w:val="20"/>
                <w:szCs w:val="20"/>
              </w:rPr>
              <w:t>capacity</w:t>
            </w:r>
            <w:r w:rsidRPr="007372B2">
              <w:rPr>
                <w:sz w:val="20"/>
                <w:szCs w:val="20"/>
              </w:rPr>
              <w:t xml:space="preserve"> for all transactions. </w:t>
            </w:r>
          </w:p>
          <w:p w14:paraId="70A459AF" w14:textId="77777777" w:rsidR="00B91FFF" w:rsidRPr="007372B2" w:rsidRDefault="00B91FFF" w:rsidP="00B91FFF">
            <w:pPr>
              <w:pStyle w:val="ListBullet"/>
              <w:numPr>
                <w:ilvl w:val="0"/>
                <w:numId w:val="47"/>
              </w:numPr>
              <w:rPr>
                <w:sz w:val="20"/>
                <w:szCs w:val="20"/>
              </w:rPr>
            </w:pPr>
            <w:r w:rsidRPr="007372B2">
              <w:rPr>
                <w:sz w:val="20"/>
                <w:szCs w:val="20"/>
              </w:rPr>
              <w:t xml:space="preserve">D-2: AEMO receives confirmation from the service provider that </w:t>
            </w:r>
            <w:r>
              <w:rPr>
                <w:sz w:val="20"/>
                <w:szCs w:val="20"/>
              </w:rPr>
              <w:t>capacity</w:t>
            </w:r>
            <w:r w:rsidRPr="007372B2">
              <w:rPr>
                <w:sz w:val="20"/>
                <w:szCs w:val="20"/>
              </w:rPr>
              <w:t xml:space="preserve"> has been transferred and transfers STTM trading rights from the seller to Shipper A. </w:t>
            </w:r>
          </w:p>
          <w:p w14:paraId="6C119166" w14:textId="77777777" w:rsidR="00B91FFF" w:rsidRPr="007372B2" w:rsidRDefault="00B91FFF" w:rsidP="00B91FFF">
            <w:pPr>
              <w:pStyle w:val="ListBullet"/>
              <w:numPr>
                <w:ilvl w:val="0"/>
                <w:numId w:val="47"/>
              </w:numPr>
              <w:rPr>
                <w:sz w:val="20"/>
                <w:szCs w:val="20"/>
              </w:rPr>
            </w:pPr>
            <w:r w:rsidRPr="007372B2">
              <w:rPr>
                <w:sz w:val="20"/>
                <w:szCs w:val="20"/>
              </w:rPr>
              <w:t>D-2 to D-1: Shipper A can make bids and offers into the STTM ex-ante market once STTM trading rights have been transferred.</w:t>
            </w:r>
          </w:p>
          <w:p w14:paraId="4A04A2DB" w14:textId="77777777" w:rsidR="00B91FFF" w:rsidRDefault="00B91FFF" w:rsidP="00B91FFF">
            <w:pPr>
              <w:pStyle w:val="ListBullet"/>
              <w:numPr>
                <w:ilvl w:val="0"/>
                <w:numId w:val="47"/>
              </w:numPr>
              <w:rPr>
                <w:sz w:val="20"/>
                <w:szCs w:val="20"/>
              </w:rPr>
            </w:pPr>
            <w:r w:rsidRPr="007372B2">
              <w:rPr>
                <w:sz w:val="20"/>
                <w:szCs w:val="20"/>
              </w:rPr>
              <w:t xml:space="preserve">D-1: STTM </w:t>
            </w:r>
            <w:r>
              <w:rPr>
                <w:sz w:val="20"/>
                <w:szCs w:val="20"/>
              </w:rPr>
              <w:t>ex-ante</w:t>
            </w:r>
            <w:r w:rsidRPr="007372B2">
              <w:rPr>
                <w:sz w:val="20"/>
                <w:szCs w:val="20"/>
              </w:rPr>
              <w:t xml:space="preserve"> schedule runs and Shipper A receives its schedule.</w:t>
            </w:r>
          </w:p>
          <w:p w14:paraId="2252CC6D" w14:textId="2EE885A0" w:rsidR="00B91FFF" w:rsidRPr="00B91FFF" w:rsidRDefault="00B91FFF" w:rsidP="00B91FFF">
            <w:pPr>
              <w:pStyle w:val="ListBullet"/>
              <w:numPr>
                <w:ilvl w:val="0"/>
                <w:numId w:val="47"/>
              </w:numPr>
              <w:rPr>
                <w:sz w:val="20"/>
                <w:szCs w:val="20"/>
              </w:rPr>
            </w:pPr>
            <w:r w:rsidRPr="00B91FFF">
              <w:rPr>
                <w:sz w:val="20"/>
                <w:szCs w:val="20"/>
              </w:rPr>
              <w:t>D: Shipper A flows and/or withdraws gas from the STTM hub.</w:t>
            </w:r>
          </w:p>
        </w:tc>
      </w:tr>
    </w:tbl>
    <w:p w14:paraId="046074D8" w14:textId="77777777" w:rsidR="004C1EF9" w:rsidRPr="007372B2" w:rsidRDefault="004C1EF9" w:rsidP="007372B2">
      <w:pPr>
        <w:pStyle w:val="BoldHeading"/>
        <w:rPr>
          <w:color w:val="0099CC"/>
        </w:rPr>
      </w:pPr>
      <w:r w:rsidRPr="007372B2">
        <w:rPr>
          <w:color w:val="0099CC"/>
        </w:rPr>
        <w:t>STTM trading rights</w:t>
      </w:r>
    </w:p>
    <w:p w14:paraId="5B941FD9" w14:textId="67AB40D7" w:rsidR="004C1EF9" w:rsidRPr="008B1B73" w:rsidRDefault="004C1EF9" w:rsidP="004C1EF9">
      <w:pPr>
        <w:pStyle w:val="BodyText"/>
      </w:pPr>
      <w:r w:rsidRPr="008B1B73">
        <w:rPr>
          <w:rFonts w:cs="Arial"/>
        </w:rPr>
        <w:t xml:space="preserve">A condition of offering gas to a STTM is that a shipper must have the ability to schedule gas under a pipeline contract to a STTM hub. </w:t>
      </w:r>
      <w:r w:rsidRPr="008B1B73">
        <w:t xml:space="preserve">Shippers’ pipeline services must be registered with AEMO before the shipper can use that contract to participate in the STTM. A shipper registers the pipeline service with AEMO and the </w:t>
      </w:r>
      <w:r>
        <w:t>service provider</w:t>
      </w:r>
      <w:r w:rsidRPr="008B1B73">
        <w:t xml:space="preserve"> subsequently confirms the contract details with AEMO.</w:t>
      </w:r>
      <w:r w:rsidR="00FF176A">
        <w:t xml:space="preserve"> </w:t>
      </w:r>
      <w:r w:rsidRPr="008B1B73">
        <w:t xml:space="preserve">If the contract between the contract issuer and contract holder contains multiple services, each service must be registered separately. For example, a contract between a facility operator and a shipper might contain services for forward haul with firm capacity and as-available capacity. In this case, two facility services would be registered. </w:t>
      </w:r>
    </w:p>
    <w:p w14:paraId="5C96B5AD" w14:textId="77777777" w:rsidR="004C1EF9" w:rsidRPr="008B1B73" w:rsidRDefault="004C1EF9" w:rsidP="004C1EF9">
      <w:pPr>
        <w:pStyle w:val="BodyText"/>
      </w:pPr>
      <w:r w:rsidRPr="008B1B73">
        <w:t xml:space="preserve">When a facility service is registered the shipper is granted a trading right in the STTM. Trading rights are used to validate bids and offers and to limit the quantities of gas that each shipper and user are scheduled to supply or withdraw. The contract holder must register this primary trading right before it can place bids or offers in the STTM. </w:t>
      </w:r>
    </w:p>
    <w:p w14:paraId="1CC492A1" w14:textId="153CA24C" w:rsidR="004C1EF9" w:rsidRPr="008B1B73" w:rsidRDefault="004C1EF9" w:rsidP="004C1EF9">
      <w:pPr>
        <w:pStyle w:val="BodyText"/>
      </w:pPr>
      <w:r w:rsidRPr="008B1B73">
        <w:t xml:space="preserve">Trading rights can currently only be transferred from one shipper to another through a </w:t>
      </w:r>
      <w:r w:rsidRPr="008B1B73">
        <w:rPr>
          <w:rStyle w:val="Italics"/>
        </w:rPr>
        <w:t>bare</w:t>
      </w:r>
      <w:r w:rsidRPr="008B1B73">
        <w:t xml:space="preserve"> </w:t>
      </w:r>
      <w:r w:rsidRPr="008B1B73">
        <w:rPr>
          <w:rStyle w:val="Italics"/>
        </w:rPr>
        <w:t>transfer</w:t>
      </w:r>
      <w:r w:rsidRPr="008B1B73">
        <w:t>. That i</w:t>
      </w:r>
      <w:r w:rsidRPr="00D74E82">
        <w:t>s, under the NGR, there is no relationship between the service provider and buyer of secondary capacity. When a capacity trade occurs, the seller makes nominations to the service provider on behalf of the buyer. This rela</w:t>
      </w:r>
      <w:r w:rsidR="00FF176A" w:rsidRPr="00D74E82">
        <w:t xml:space="preserve">tionship is shown below where </w:t>
      </w:r>
      <w:r w:rsidR="00D74E82" w:rsidRPr="00D74E82">
        <w:rPr>
          <w:rStyle w:val="Bold"/>
          <w:b w:val="0"/>
        </w:rPr>
        <w:t>S</w:t>
      </w:r>
      <w:r w:rsidRPr="00D74E82">
        <w:rPr>
          <w:rStyle w:val="Bold"/>
          <w:b w:val="0"/>
        </w:rPr>
        <w:t>hipper A</w:t>
      </w:r>
      <w:r w:rsidRPr="00D74E82">
        <w:t xml:space="preserve"> has undertaken a capacity trade with </w:t>
      </w:r>
      <w:r w:rsidR="00D74E82" w:rsidRPr="00D74E82">
        <w:rPr>
          <w:rStyle w:val="Bold"/>
          <w:b w:val="0"/>
        </w:rPr>
        <w:t>S</w:t>
      </w:r>
      <w:r w:rsidRPr="00D74E82">
        <w:rPr>
          <w:rStyle w:val="Bold"/>
          <w:b w:val="0"/>
        </w:rPr>
        <w:t>hipper C</w:t>
      </w:r>
      <w:r w:rsidRPr="00D74E82">
        <w:rPr>
          <w:b/>
        </w:rPr>
        <w:t xml:space="preserve">. </w:t>
      </w:r>
      <w:r w:rsidRPr="00D74E82">
        <w:t xml:space="preserve"> </w:t>
      </w:r>
    </w:p>
    <w:p w14:paraId="3C39E9BA" w14:textId="350FD1E6" w:rsidR="004C1EF9" w:rsidRPr="00446B58" w:rsidRDefault="004C1EF9" w:rsidP="004C1EF9">
      <w:pPr>
        <w:pStyle w:val="Caption"/>
        <w:rPr>
          <w:rStyle w:val="Bold"/>
          <w:b/>
        </w:rPr>
      </w:pPr>
      <w:r>
        <w:lastRenderedPageBreak/>
        <w:t xml:space="preserve">Figure </w:t>
      </w:r>
      <w:r w:rsidR="00926D7E">
        <w:fldChar w:fldCharType="begin"/>
      </w:r>
      <w:r w:rsidR="00926D7E">
        <w:instrText xml:space="preserve"> STYLEREF 1 \s </w:instrText>
      </w:r>
      <w:r w:rsidR="00926D7E">
        <w:fldChar w:fldCharType="separate"/>
      </w:r>
      <w:r w:rsidR="00947034">
        <w:rPr>
          <w:noProof/>
        </w:rPr>
        <w:t>8</w:t>
      </w:r>
      <w:r w:rsidR="00926D7E">
        <w:rPr>
          <w:noProof/>
        </w:rPr>
        <w:fldChar w:fldCharType="end"/>
      </w:r>
      <w:r>
        <w:t>.</w:t>
      </w:r>
      <w:r w:rsidR="00926D7E">
        <w:fldChar w:fldCharType="begin"/>
      </w:r>
      <w:r w:rsidR="00926D7E">
        <w:instrText xml:space="preserve"> SEQ Figure \* ARABIC \s 1 </w:instrText>
      </w:r>
      <w:r w:rsidR="00926D7E">
        <w:fldChar w:fldCharType="separate"/>
      </w:r>
      <w:r w:rsidR="00947034">
        <w:rPr>
          <w:noProof/>
        </w:rPr>
        <w:t>4</w:t>
      </w:r>
      <w:r w:rsidR="00926D7E">
        <w:rPr>
          <w:noProof/>
        </w:rPr>
        <w:fldChar w:fldCharType="end"/>
      </w:r>
      <w:r>
        <w:t xml:space="preserve">: </w:t>
      </w:r>
      <w:r w:rsidRPr="00446B58">
        <w:rPr>
          <w:rStyle w:val="Bold"/>
          <w:b/>
        </w:rPr>
        <w:t xml:space="preserve">No NGR link between secondary buyer and </w:t>
      </w:r>
      <w:r>
        <w:rPr>
          <w:rStyle w:val="Bold"/>
          <w:b/>
        </w:rPr>
        <w:t>service provider</w:t>
      </w:r>
    </w:p>
    <w:p w14:paraId="14C86A1A" w14:textId="77777777" w:rsidR="004C1EF9" w:rsidRPr="008B1B73" w:rsidRDefault="004C1EF9" w:rsidP="004C1EF9">
      <w:pPr>
        <w:pStyle w:val="BodyText"/>
      </w:pPr>
      <w:r w:rsidRPr="008B1B73">
        <w:rPr>
          <w:noProof/>
        </w:rPr>
        <w:drawing>
          <wp:inline distT="0" distB="0" distL="0" distR="0" wp14:anchorId="552414F1" wp14:editId="7E061DDF">
            <wp:extent cx="4037611" cy="2540841"/>
            <wp:effectExtent l="0" t="0" r="1270" b="0"/>
            <wp:docPr id="89" name="Picture 89" descr="No NGR link between secondary buyer and service provider" title="Figure 8.4: No NGR link between secondary buyer and service provi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059553" cy="2554649"/>
                    </a:xfrm>
                    <a:prstGeom prst="rect">
                      <a:avLst/>
                    </a:prstGeom>
                  </pic:spPr>
                </pic:pic>
              </a:graphicData>
            </a:graphic>
          </wp:inline>
        </w:drawing>
      </w:r>
    </w:p>
    <w:p w14:paraId="562C34B9" w14:textId="7BA70A0E" w:rsidR="00FF176A" w:rsidRDefault="004C1EF9" w:rsidP="004C1EF9">
      <w:pPr>
        <w:pStyle w:val="BodyText"/>
      </w:pPr>
      <w:r w:rsidRPr="008B1B73">
        <w:t>A</w:t>
      </w:r>
      <w:r w:rsidR="00FF176A">
        <w:t>s outlined in Part A, a</w:t>
      </w:r>
      <w:r w:rsidRPr="008B1B73">
        <w:t xml:space="preserve"> required </w:t>
      </w:r>
      <w:r w:rsidR="00FF176A">
        <w:t xml:space="preserve">outcome </w:t>
      </w:r>
      <w:r w:rsidR="007372B2">
        <w:t xml:space="preserve">under </w:t>
      </w:r>
      <w:r w:rsidRPr="008B1B73">
        <w:t>the AEMC</w:t>
      </w:r>
      <w:r w:rsidR="00FF176A">
        <w:t xml:space="preserve">’s recommendations is that trades carried out through the exchange and day-ahead auction </w:t>
      </w:r>
      <w:r w:rsidR="007372B2">
        <w:t xml:space="preserve">be </w:t>
      </w:r>
      <w:r w:rsidR="00FF176A">
        <w:t>given effect through an operational transfer</w:t>
      </w:r>
      <w:r w:rsidRPr="008B1B73">
        <w:t xml:space="preserve">. Under </w:t>
      </w:r>
      <w:r w:rsidR="00FF176A">
        <w:t xml:space="preserve">this </w:t>
      </w:r>
      <w:r w:rsidRPr="008B1B73">
        <w:t>transfer</w:t>
      </w:r>
      <w:r w:rsidR="00FF176A">
        <w:t xml:space="preserve"> mechanism</w:t>
      </w:r>
      <w:r w:rsidRPr="008B1B73">
        <w:t xml:space="preserve">, a relationship is established between the buyer of secondary capacity and the relevant </w:t>
      </w:r>
      <w:r>
        <w:t>service provider</w:t>
      </w:r>
      <w:r w:rsidRPr="008B1B73">
        <w:t xml:space="preserve">. A new relationship and process </w:t>
      </w:r>
      <w:r w:rsidR="00FF176A">
        <w:t xml:space="preserve">therefore </w:t>
      </w:r>
      <w:r w:rsidRPr="008B1B73">
        <w:t xml:space="preserve">needs to be implemented </w:t>
      </w:r>
      <w:r w:rsidR="00FF176A">
        <w:t xml:space="preserve">in the NGR to enable </w:t>
      </w:r>
      <w:r w:rsidRPr="008B1B73">
        <w:t xml:space="preserve">STTM trading rights </w:t>
      </w:r>
      <w:r w:rsidR="00FF176A">
        <w:t xml:space="preserve">to be transferred </w:t>
      </w:r>
      <w:r w:rsidRPr="008B1B73">
        <w:t xml:space="preserve">between shippers </w:t>
      </w:r>
      <w:r w:rsidR="00FF176A">
        <w:t xml:space="preserve">via </w:t>
      </w:r>
      <w:r w:rsidRPr="008B1B73">
        <w:t xml:space="preserve">an operational transfer. </w:t>
      </w:r>
    </w:p>
    <w:p w14:paraId="4519B942" w14:textId="2D7CBCF0" w:rsidR="004C1EF9" w:rsidRPr="008B1B73" w:rsidRDefault="00FF176A" w:rsidP="004C1EF9">
      <w:pPr>
        <w:pStyle w:val="BodyText"/>
      </w:pPr>
      <w:r>
        <w:t xml:space="preserve">The way in which the operational transfer mechanism could be recognised if the relevant changes are made to the NGR, </w:t>
      </w:r>
      <w:r w:rsidR="004C1EF9" w:rsidRPr="008B1B73">
        <w:t xml:space="preserve">can be seen in </w:t>
      </w:r>
      <w:r w:rsidR="004C1EF9">
        <w:fldChar w:fldCharType="begin"/>
      </w:r>
      <w:r w:rsidR="004C1EF9">
        <w:instrText xml:space="preserve"> REF _Ref491917419 \h </w:instrText>
      </w:r>
      <w:r>
        <w:instrText xml:space="preserve"> \* MERGEFORMAT </w:instrText>
      </w:r>
      <w:r w:rsidR="004C1EF9">
        <w:fldChar w:fldCharType="separate"/>
      </w:r>
      <w:r w:rsidR="00947034" w:rsidRPr="00446B58">
        <w:t xml:space="preserve"> </w:t>
      </w:r>
      <w:r w:rsidR="00947034" w:rsidRPr="00947034">
        <w:t xml:space="preserve">Figure </w:t>
      </w:r>
      <w:r w:rsidR="00947034" w:rsidRPr="00947034">
        <w:rPr>
          <w:noProof/>
        </w:rPr>
        <w:t>8.5</w:t>
      </w:r>
      <w:r w:rsidR="004C1EF9">
        <w:fldChar w:fldCharType="end"/>
      </w:r>
      <w:r>
        <w:t xml:space="preserve">. In </w:t>
      </w:r>
      <w:r w:rsidR="007372B2">
        <w:t>brief</w:t>
      </w:r>
      <w:r w:rsidR="004C1EF9" w:rsidRPr="008B1B73">
        <w:t xml:space="preserve">, the shipper’s operational GTA would be registered in the STTM and a registered facility service created. If </w:t>
      </w:r>
      <w:r>
        <w:t xml:space="preserve">the </w:t>
      </w:r>
      <w:r w:rsidR="004C1EF9" w:rsidRPr="008B1B73">
        <w:t xml:space="preserve">shipper buys capacity on a STTM pipeline prior to the ex-ante schedule, then a trading right (green box) would be created allowing it to participate in the ex-ante schedule. </w:t>
      </w:r>
    </w:p>
    <w:p w14:paraId="06E4FB49" w14:textId="4E856464" w:rsidR="004C1EF9" w:rsidRDefault="004C1EF9" w:rsidP="004C1EF9">
      <w:pPr>
        <w:pStyle w:val="BodyText"/>
        <w:rPr>
          <w:rStyle w:val="Bold"/>
        </w:rPr>
      </w:pPr>
      <w:bookmarkStart w:id="191" w:name="_Ref491917419"/>
      <w:r w:rsidRPr="00446B58">
        <w:t xml:space="preserve"> </w:t>
      </w:r>
      <w:r w:rsidRPr="00446B58">
        <w:rPr>
          <w:b/>
        </w:rPr>
        <w:t xml:space="preserve">Figure </w:t>
      </w:r>
      <w:r w:rsidRPr="00446B58">
        <w:rPr>
          <w:b/>
        </w:rPr>
        <w:fldChar w:fldCharType="begin"/>
      </w:r>
      <w:r w:rsidRPr="00446B58">
        <w:rPr>
          <w:b/>
        </w:rPr>
        <w:instrText xml:space="preserve"> STYLEREF 1 \s </w:instrText>
      </w:r>
      <w:r w:rsidRPr="00446B58">
        <w:rPr>
          <w:b/>
        </w:rPr>
        <w:fldChar w:fldCharType="separate"/>
      </w:r>
      <w:r w:rsidR="00947034">
        <w:rPr>
          <w:b/>
          <w:noProof/>
        </w:rPr>
        <w:t>8</w:t>
      </w:r>
      <w:r w:rsidRPr="00446B58">
        <w:rPr>
          <w:b/>
        </w:rPr>
        <w:fldChar w:fldCharType="end"/>
      </w:r>
      <w:r w:rsidRPr="00446B58">
        <w:rPr>
          <w:b/>
        </w:rPr>
        <w:t>.</w:t>
      </w:r>
      <w:r w:rsidRPr="00446B58">
        <w:rPr>
          <w:b/>
        </w:rPr>
        <w:fldChar w:fldCharType="begin"/>
      </w:r>
      <w:r w:rsidRPr="00446B58">
        <w:rPr>
          <w:b/>
        </w:rPr>
        <w:instrText xml:space="preserve"> SEQ Figure \* ARABIC \s 1 </w:instrText>
      </w:r>
      <w:r w:rsidRPr="00446B58">
        <w:rPr>
          <w:b/>
        </w:rPr>
        <w:fldChar w:fldCharType="separate"/>
      </w:r>
      <w:r w:rsidR="00947034">
        <w:rPr>
          <w:b/>
          <w:noProof/>
        </w:rPr>
        <w:t>5</w:t>
      </w:r>
      <w:r w:rsidRPr="00446B58">
        <w:rPr>
          <w:b/>
        </w:rPr>
        <w:fldChar w:fldCharType="end"/>
      </w:r>
      <w:bookmarkEnd w:id="191"/>
      <w:r w:rsidRPr="00446B58">
        <w:rPr>
          <w:b/>
        </w:rPr>
        <w:t>:</w:t>
      </w:r>
      <w:r>
        <w:t xml:space="preserve"> </w:t>
      </w:r>
      <w:r w:rsidRPr="008B1B73">
        <w:rPr>
          <w:rStyle w:val="Bold"/>
        </w:rPr>
        <w:t>Operational transfer relationship to be established in NGR</w:t>
      </w:r>
    </w:p>
    <w:p w14:paraId="1988DEFD" w14:textId="77777777" w:rsidR="004C1EF9" w:rsidRPr="008B1B73" w:rsidRDefault="004C1EF9" w:rsidP="004C1EF9">
      <w:pPr>
        <w:pStyle w:val="BodyText"/>
      </w:pPr>
      <w:r>
        <w:rPr>
          <w:noProof/>
        </w:rPr>
        <w:drawing>
          <wp:inline distT="0" distB="0" distL="0" distR="0" wp14:anchorId="2C8CB020" wp14:editId="495FA466">
            <wp:extent cx="4237355" cy="2761615"/>
            <wp:effectExtent l="0" t="0" r="0" b="635"/>
            <wp:docPr id="22" name="Picture 22" descr="Operational transfer relationship to be established in NGR" title=" Figure 8.5: Operational transfer relationship to be established in NG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37355" cy="2761615"/>
                    </a:xfrm>
                    <a:prstGeom prst="rect">
                      <a:avLst/>
                    </a:prstGeom>
                    <a:noFill/>
                  </pic:spPr>
                </pic:pic>
              </a:graphicData>
            </a:graphic>
          </wp:inline>
        </w:drawing>
      </w:r>
    </w:p>
    <w:p w14:paraId="32DF3D9E" w14:textId="52C6F31F" w:rsidR="004C1EF9" w:rsidRPr="008B1B73" w:rsidRDefault="004C1EF9" w:rsidP="004C1EF9">
      <w:pPr>
        <w:pStyle w:val="BodyText"/>
      </w:pPr>
      <w:r w:rsidRPr="008B1B73">
        <w:lastRenderedPageBreak/>
        <w:t xml:space="preserve">A key design question </w:t>
      </w:r>
      <w:r w:rsidR="00FF176A">
        <w:t xml:space="preserve">that needs to be considered in relation to the integration of the capacity trading platform and the STTM is whether the transfer of </w:t>
      </w:r>
      <w:r w:rsidRPr="008B1B73">
        <w:t xml:space="preserve">STTM trading rights </w:t>
      </w:r>
      <w:r w:rsidR="00266CF8">
        <w:t xml:space="preserve">should be carried out </w:t>
      </w:r>
      <w:r w:rsidR="00FF176A">
        <w:t>on</w:t>
      </w:r>
      <w:r w:rsidRPr="008B1B73">
        <w:t xml:space="preserve">: </w:t>
      </w:r>
    </w:p>
    <w:p w14:paraId="394BA898" w14:textId="26390C1F" w:rsidR="004C1EF9" w:rsidRPr="008B1B73" w:rsidRDefault="00FF176A" w:rsidP="00B318B7">
      <w:pPr>
        <w:pStyle w:val="ListBullet"/>
        <w:numPr>
          <w:ilvl w:val="0"/>
          <w:numId w:val="44"/>
        </w:numPr>
      </w:pPr>
      <w:r>
        <w:t>a m</w:t>
      </w:r>
      <w:r w:rsidR="004C1EF9" w:rsidRPr="008B1B73">
        <w:t>anual and partially anonymous</w:t>
      </w:r>
      <w:r>
        <w:t xml:space="preserve"> basis</w:t>
      </w:r>
      <w:r w:rsidR="004C1EF9" w:rsidRPr="008B1B73">
        <w:t xml:space="preserve">; </w:t>
      </w:r>
    </w:p>
    <w:p w14:paraId="268FB306" w14:textId="3B6AF0AA" w:rsidR="004C1EF9" w:rsidRDefault="00FF176A" w:rsidP="00B318B7">
      <w:pPr>
        <w:pStyle w:val="ListBullet"/>
        <w:numPr>
          <w:ilvl w:val="0"/>
          <w:numId w:val="43"/>
        </w:numPr>
      </w:pPr>
      <w:r>
        <w:t>an a</w:t>
      </w:r>
      <w:r w:rsidR="004C1EF9" w:rsidRPr="008B1B73">
        <w:t>utomatic and fully anonymous</w:t>
      </w:r>
      <w:r>
        <w:t xml:space="preserve"> basis</w:t>
      </w:r>
      <w:r w:rsidR="00266CF8">
        <w:t>; or</w:t>
      </w:r>
    </w:p>
    <w:p w14:paraId="109F6BEC" w14:textId="1E45E3CB" w:rsidR="00266CF8" w:rsidRDefault="00266CF8" w:rsidP="00B318B7">
      <w:pPr>
        <w:pStyle w:val="ListBullet"/>
        <w:numPr>
          <w:ilvl w:val="0"/>
          <w:numId w:val="43"/>
        </w:numPr>
      </w:pPr>
      <w:r>
        <w:t>a manual and fully anonymous basis (hybrid option).</w:t>
      </w:r>
    </w:p>
    <w:p w14:paraId="5A61B413" w14:textId="71E886B1" w:rsidR="00266CF8" w:rsidRDefault="00266CF8" w:rsidP="00266CF8">
      <w:pPr>
        <w:pStyle w:val="ListBullet"/>
        <w:numPr>
          <w:ilvl w:val="0"/>
          <w:numId w:val="0"/>
        </w:numPr>
      </w:pPr>
      <w:r>
        <w:t>The difference</w:t>
      </w:r>
      <w:r w:rsidR="004E0CBC">
        <w:t>s</w:t>
      </w:r>
      <w:r>
        <w:t xml:space="preserve"> between these </w:t>
      </w:r>
      <w:r w:rsidR="004E0CBC">
        <w:t>three</w:t>
      </w:r>
      <w:r>
        <w:t xml:space="preserve"> options </w:t>
      </w:r>
      <w:r w:rsidR="004E0CBC">
        <w:t xml:space="preserve">are </w:t>
      </w:r>
      <w:r>
        <w:t xml:space="preserve">summarised in </w:t>
      </w:r>
      <w:r w:rsidR="007372B2">
        <w:fldChar w:fldCharType="begin"/>
      </w:r>
      <w:r w:rsidR="007372B2">
        <w:instrText xml:space="preserve"> REF _Ref492104168 \h </w:instrText>
      </w:r>
      <w:r w:rsidR="007372B2">
        <w:fldChar w:fldCharType="separate"/>
      </w:r>
      <w:r w:rsidR="00947034">
        <w:t xml:space="preserve">Table </w:t>
      </w:r>
      <w:r w:rsidR="00947034">
        <w:rPr>
          <w:noProof/>
        </w:rPr>
        <w:t>8</w:t>
      </w:r>
      <w:r w:rsidR="00947034">
        <w:t>.</w:t>
      </w:r>
      <w:r w:rsidR="00947034">
        <w:rPr>
          <w:noProof/>
        </w:rPr>
        <w:t>2</w:t>
      </w:r>
      <w:r w:rsidR="007372B2">
        <w:fldChar w:fldCharType="end"/>
      </w:r>
      <w:r>
        <w:t>.</w:t>
      </w:r>
    </w:p>
    <w:p w14:paraId="18D79628" w14:textId="6A215325" w:rsidR="004E0CBC" w:rsidRDefault="007372B2" w:rsidP="004E0CBC">
      <w:pPr>
        <w:pStyle w:val="BodyText"/>
      </w:pPr>
      <w:r>
        <w:t xml:space="preserve">As this table highlights, the main </w:t>
      </w:r>
      <w:r w:rsidR="004E0CBC">
        <w:t xml:space="preserve">problem with the </w:t>
      </w:r>
      <w:r>
        <w:t>manual and partially anonymous option</w:t>
      </w:r>
      <w:r w:rsidR="004E0CBC">
        <w:t xml:space="preserve"> is that it would not maintain the anonymity of the trading parties post transaction, which is the GMRG’s preferred approach (see section </w:t>
      </w:r>
      <w:r w:rsidR="004E0CBC">
        <w:fldChar w:fldCharType="begin"/>
      </w:r>
      <w:r w:rsidR="004E0CBC">
        <w:instrText xml:space="preserve"> REF _Ref492066101 \r \h </w:instrText>
      </w:r>
      <w:r w:rsidR="004E0CBC">
        <w:fldChar w:fldCharType="separate"/>
      </w:r>
      <w:r w:rsidR="00947034">
        <w:t>8.1.1</w:t>
      </w:r>
      <w:r w:rsidR="004E0CBC">
        <w:fldChar w:fldCharType="end"/>
      </w:r>
      <w:r w:rsidR="004E0CBC">
        <w:t>). Of the remaining two options, the automatic and fully anonymous option appears to be more robust and</w:t>
      </w:r>
      <w:r>
        <w:t>,</w:t>
      </w:r>
      <w:r w:rsidR="004E0CBC">
        <w:t xml:space="preserve"> as AEMO pointed out</w:t>
      </w:r>
      <w:r>
        <w:t>,</w:t>
      </w:r>
      <w:r w:rsidR="004E0CBC">
        <w:t xml:space="preserve"> there are </w:t>
      </w:r>
      <w:r w:rsidR="007447D4">
        <w:t>unlikely to be significant cost</w:t>
      </w:r>
      <w:r w:rsidR="004E0CBC" w:rsidRPr="008B1B73">
        <w:t xml:space="preserve"> savings from </w:t>
      </w:r>
      <w:r w:rsidR="004E0CBC">
        <w:t>employing a manual and fully anonymous approach. The GMRG’s preliminary view is therefore that the automatic and fully anonymous option should be implemen</w:t>
      </w:r>
      <w:r>
        <w:t xml:space="preserve">ted. </w:t>
      </w:r>
      <w:r w:rsidR="002D5C8A">
        <w:t xml:space="preserve">The </w:t>
      </w:r>
      <w:r>
        <w:t xml:space="preserve">GMRG </w:t>
      </w:r>
      <w:r w:rsidR="004E0CBC">
        <w:t xml:space="preserve">is interested in other stakeholders’ views on this option and </w:t>
      </w:r>
      <w:r>
        <w:t xml:space="preserve">whether the benefits of implementing this option are likely to outweigh the cost, or if the hybrid option should be pursued. </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8.8: Questions on STTM participation and integration"/>
        <w:tblDescription w:val="Questions on STTM participation and integration"/>
      </w:tblPr>
      <w:tblGrid>
        <w:gridCol w:w="8788"/>
      </w:tblGrid>
      <w:tr w:rsidR="00266CF8" w:rsidRPr="0057020B" w14:paraId="0E4D4057" w14:textId="77777777" w:rsidTr="00B91FFF">
        <w:trPr>
          <w:tblHeader/>
        </w:trPr>
        <w:tc>
          <w:tcPr>
            <w:tcW w:w="5000" w:type="pct"/>
            <w:shd w:val="clear" w:color="auto" w:fill="auto"/>
          </w:tcPr>
          <w:p w14:paraId="0F6AC67C" w14:textId="4DE52DE1" w:rsidR="004E0CBC" w:rsidRPr="00BD0988" w:rsidRDefault="00B91FFF" w:rsidP="00B91FFF">
            <w:pPr>
              <w:pStyle w:val="ListNumber"/>
              <w:numPr>
                <w:ilvl w:val="0"/>
                <w:numId w:val="0"/>
              </w:numPr>
              <w:spacing w:after="0"/>
              <w:ind w:left="357" w:hanging="357"/>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8</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8</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STTM participation and integration</w:t>
            </w:r>
          </w:p>
        </w:tc>
      </w:tr>
      <w:tr w:rsidR="00B91FFF" w:rsidRPr="0057020B" w14:paraId="3B784DEA" w14:textId="77777777" w:rsidTr="00B91FFF">
        <w:trPr>
          <w:tblHeader/>
        </w:trPr>
        <w:tc>
          <w:tcPr>
            <w:tcW w:w="5000" w:type="pct"/>
            <w:shd w:val="clear" w:color="auto" w:fill="B7E7FF"/>
          </w:tcPr>
          <w:p w14:paraId="487A433D" w14:textId="77777777" w:rsidR="00B91FFF" w:rsidRDefault="00B91FFF" w:rsidP="00B91FFF">
            <w:pPr>
              <w:pStyle w:val="ListNumber"/>
              <w:numPr>
                <w:ilvl w:val="0"/>
                <w:numId w:val="23"/>
              </w:numPr>
            </w:pPr>
            <w:r>
              <w:t xml:space="preserve">Do you have any concerns about the proposal that shippers wanting to participate in the ex-ante STTM schedule would need to purchase the capacity on D-2? If so, please explain how you think this could be addressed. </w:t>
            </w:r>
          </w:p>
          <w:p w14:paraId="4EF8D7B6" w14:textId="15724617" w:rsidR="00B91FFF" w:rsidRPr="00B91FFF" w:rsidRDefault="00B91FFF" w:rsidP="00B91FFF">
            <w:pPr>
              <w:pStyle w:val="ListNumber"/>
              <w:numPr>
                <w:ilvl w:val="0"/>
                <w:numId w:val="23"/>
              </w:numPr>
            </w:pPr>
            <w:r>
              <w:t xml:space="preserve">Do you think there is value in trying to integrate the </w:t>
            </w:r>
            <w:r w:rsidRPr="008B1B73">
              <w:t xml:space="preserve">capacity trading platform </w:t>
            </w:r>
            <w:r>
              <w:t xml:space="preserve">and </w:t>
            </w:r>
            <w:r w:rsidRPr="008B1B73">
              <w:t>the STTM?</w:t>
            </w:r>
            <w:r>
              <w:t xml:space="preserve"> If so, do you think the manual and </w:t>
            </w:r>
            <w:r w:rsidRPr="008B1B73">
              <w:t xml:space="preserve">partially anonymous, </w:t>
            </w:r>
            <w:r>
              <w:t xml:space="preserve">the automatic and </w:t>
            </w:r>
            <w:r w:rsidRPr="008B1B73">
              <w:t>fully anonymous</w:t>
            </w:r>
            <w:r>
              <w:t xml:space="preserve"> or the hybrid option should be implemented? Or are there other options you think should be considered?</w:t>
            </w:r>
          </w:p>
        </w:tc>
      </w:tr>
    </w:tbl>
    <w:p w14:paraId="09075C75" w14:textId="14828FFB" w:rsidR="00266CF8" w:rsidRDefault="00266CF8" w:rsidP="00266CF8">
      <w:pPr>
        <w:pStyle w:val="ListBullet"/>
        <w:numPr>
          <w:ilvl w:val="0"/>
          <w:numId w:val="0"/>
        </w:numPr>
        <w:ind w:left="357" w:hanging="357"/>
      </w:pPr>
    </w:p>
    <w:p w14:paraId="6FDA5E68" w14:textId="77777777" w:rsidR="00266CF8" w:rsidRDefault="00266CF8" w:rsidP="00266CF8">
      <w:pPr>
        <w:pStyle w:val="ListBullet"/>
        <w:numPr>
          <w:ilvl w:val="0"/>
          <w:numId w:val="0"/>
        </w:numPr>
        <w:ind w:left="357" w:hanging="357"/>
        <w:sectPr w:rsidR="00266CF8" w:rsidSect="00CF1252">
          <w:headerReference w:type="default" r:id="rId40"/>
          <w:footerReference w:type="default" r:id="rId41"/>
          <w:pgSz w:w="11907" w:h="16839" w:code="9"/>
          <w:pgMar w:top="1361" w:right="1418" w:bottom="992" w:left="1701" w:header="567" w:footer="397" w:gutter="0"/>
          <w:cols w:space="708"/>
          <w:docGrid w:linePitch="360"/>
        </w:sectPr>
      </w:pPr>
    </w:p>
    <w:p w14:paraId="7879CFE9" w14:textId="0A79FC09" w:rsidR="00266CF8" w:rsidRDefault="00266CF8" w:rsidP="00266CF8">
      <w:pPr>
        <w:pStyle w:val="Caption"/>
        <w:spacing w:before="0" w:after="0"/>
      </w:pPr>
      <w:bookmarkStart w:id="192" w:name="_Ref492104168"/>
      <w:r>
        <w:lastRenderedPageBreak/>
        <w:t xml:space="preserve">Table </w:t>
      </w:r>
      <w:r w:rsidR="00926D7E">
        <w:fldChar w:fldCharType="begin"/>
      </w:r>
      <w:r w:rsidR="00926D7E">
        <w:instrText xml:space="preserve"> STYLEREF 1 \s </w:instrText>
      </w:r>
      <w:r w:rsidR="00926D7E">
        <w:fldChar w:fldCharType="separate"/>
      </w:r>
      <w:r w:rsidR="00947034">
        <w:rPr>
          <w:noProof/>
        </w:rPr>
        <w:t>8</w:t>
      </w:r>
      <w:r w:rsidR="00926D7E">
        <w:rPr>
          <w:noProof/>
        </w:rPr>
        <w:fldChar w:fldCharType="end"/>
      </w:r>
      <w:r w:rsidR="001C4739">
        <w:t>.</w:t>
      </w:r>
      <w:r w:rsidR="00926D7E">
        <w:fldChar w:fldCharType="begin"/>
      </w:r>
      <w:r w:rsidR="00926D7E">
        <w:instrText xml:space="preserve"> SEQ Table \* ARABIC \s 1 </w:instrText>
      </w:r>
      <w:r w:rsidR="00926D7E">
        <w:fldChar w:fldCharType="separate"/>
      </w:r>
      <w:r w:rsidR="00947034">
        <w:rPr>
          <w:noProof/>
        </w:rPr>
        <w:t>2</w:t>
      </w:r>
      <w:r w:rsidR="00926D7E">
        <w:rPr>
          <w:noProof/>
        </w:rPr>
        <w:fldChar w:fldCharType="end"/>
      </w:r>
      <w:bookmarkEnd w:id="192"/>
      <w:r>
        <w:t>: Manual and partially anonymous vs automatic and fully anonymous vs hybrid model</w:t>
      </w:r>
    </w:p>
    <w:tbl>
      <w:tblPr>
        <w:tblStyle w:val="TableGrid"/>
        <w:tblW w:w="13892" w:type="dxa"/>
        <w:tblLook w:val="04A0" w:firstRow="1" w:lastRow="0" w:firstColumn="1" w:lastColumn="0" w:noHBand="0" w:noVBand="1"/>
        <w:tblCaption w:val="Table 8.2: Manual and partially anonymous vs automatic and fully anonymous vs hybrid model"/>
        <w:tblDescription w:val="Manual and partially anonymous vs automatic and fully anonymous vs hybrid model"/>
      </w:tblPr>
      <w:tblGrid>
        <w:gridCol w:w="1134"/>
        <w:gridCol w:w="4307"/>
        <w:gridCol w:w="4222"/>
        <w:gridCol w:w="4229"/>
      </w:tblGrid>
      <w:tr w:rsidR="00266CF8" w14:paraId="6EAD1177" w14:textId="68F4205E" w:rsidTr="004A29FC">
        <w:trPr>
          <w:cnfStyle w:val="100000000000" w:firstRow="1" w:lastRow="0" w:firstColumn="0" w:lastColumn="0" w:oddVBand="0" w:evenVBand="0" w:oddHBand="0" w:evenHBand="0" w:firstRowFirstColumn="0" w:firstRowLastColumn="0" w:lastRowFirstColumn="0" w:lastRowLastColumn="0"/>
          <w:tblHeader/>
        </w:trPr>
        <w:tc>
          <w:tcPr>
            <w:tcW w:w="1134" w:type="dxa"/>
            <w:shd w:val="clear" w:color="auto" w:fill="0099CC"/>
          </w:tcPr>
          <w:p w14:paraId="7787E2B9" w14:textId="77777777" w:rsidR="00266CF8" w:rsidRDefault="00266CF8" w:rsidP="00266CF8">
            <w:pPr>
              <w:pStyle w:val="ListBullet"/>
              <w:numPr>
                <w:ilvl w:val="0"/>
                <w:numId w:val="0"/>
              </w:numPr>
              <w:spacing w:line="240" w:lineRule="auto"/>
            </w:pPr>
          </w:p>
        </w:tc>
        <w:tc>
          <w:tcPr>
            <w:tcW w:w="4307" w:type="dxa"/>
            <w:shd w:val="clear" w:color="auto" w:fill="0099CC"/>
          </w:tcPr>
          <w:p w14:paraId="3311BA76" w14:textId="77777777" w:rsidR="00266CF8" w:rsidRDefault="00266CF8" w:rsidP="00266CF8">
            <w:pPr>
              <w:pStyle w:val="TableHeading"/>
              <w:spacing w:line="240" w:lineRule="auto"/>
            </w:pPr>
            <w:r>
              <w:t>Manual and partially anonymous</w:t>
            </w:r>
          </w:p>
        </w:tc>
        <w:tc>
          <w:tcPr>
            <w:tcW w:w="4222" w:type="dxa"/>
            <w:shd w:val="clear" w:color="auto" w:fill="0099CC"/>
          </w:tcPr>
          <w:p w14:paraId="4A2B0008" w14:textId="77777777" w:rsidR="00266CF8" w:rsidRDefault="00266CF8" w:rsidP="00266CF8">
            <w:pPr>
              <w:pStyle w:val="TableHeading"/>
              <w:spacing w:line="240" w:lineRule="auto"/>
            </w:pPr>
            <w:r>
              <w:t>Automatic and fully anonymous</w:t>
            </w:r>
          </w:p>
        </w:tc>
        <w:tc>
          <w:tcPr>
            <w:tcW w:w="4229" w:type="dxa"/>
            <w:shd w:val="clear" w:color="auto" w:fill="0099CC"/>
          </w:tcPr>
          <w:p w14:paraId="788AA68A" w14:textId="5158E63C" w:rsidR="00266CF8" w:rsidRDefault="00266CF8" w:rsidP="00266CF8">
            <w:pPr>
              <w:pStyle w:val="TableHeading"/>
              <w:spacing w:line="240" w:lineRule="auto"/>
            </w:pPr>
            <w:r>
              <w:t>Manual and fully anonymous (hybrid)</w:t>
            </w:r>
          </w:p>
        </w:tc>
      </w:tr>
      <w:tr w:rsidR="00266CF8" w14:paraId="0D9B4062" w14:textId="7A23E7A7" w:rsidTr="00266CF8">
        <w:tc>
          <w:tcPr>
            <w:tcW w:w="1134" w:type="dxa"/>
          </w:tcPr>
          <w:p w14:paraId="0083E4EA" w14:textId="77777777" w:rsidR="00266CF8" w:rsidRDefault="00266CF8" w:rsidP="00266CF8">
            <w:pPr>
              <w:pStyle w:val="TableBodyText"/>
              <w:spacing w:line="240" w:lineRule="auto"/>
            </w:pPr>
            <w:r>
              <w:t>Description</w:t>
            </w:r>
          </w:p>
        </w:tc>
        <w:tc>
          <w:tcPr>
            <w:tcW w:w="4307" w:type="dxa"/>
          </w:tcPr>
          <w:p w14:paraId="5EF1A106" w14:textId="36107602" w:rsidR="00266CF8" w:rsidRPr="008B1B73" w:rsidRDefault="00266CF8" w:rsidP="00266CF8">
            <w:pPr>
              <w:pStyle w:val="TableBodyText"/>
              <w:spacing w:line="240" w:lineRule="auto"/>
            </w:pPr>
            <w:r>
              <w:t>Under this option, s</w:t>
            </w:r>
            <w:r w:rsidRPr="008B1B73">
              <w:t xml:space="preserve">hippers’ names would be revealed by AEMO, after which shippers would contact the </w:t>
            </w:r>
            <w:r>
              <w:t>service provider</w:t>
            </w:r>
            <w:r w:rsidRPr="008B1B73">
              <w:t xml:space="preserve"> and jointly request the </w:t>
            </w:r>
            <w:r w:rsidR="00723C4D">
              <w:t>capacity</w:t>
            </w:r>
            <w:r w:rsidRPr="008B1B73">
              <w:t xml:space="preserve"> to be transferred. </w:t>
            </w:r>
          </w:p>
          <w:p w14:paraId="5CD4ED50" w14:textId="1F492753" w:rsidR="00266CF8" w:rsidRDefault="00266CF8" w:rsidP="00266CF8">
            <w:pPr>
              <w:pStyle w:val="TableBodyText"/>
              <w:spacing w:line="240" w:lineRule="auto"/>
            </w:pPr>
            <w:r w:rsidRPr="008B1B73">
              <w:t xml:space="preserve">If the buyer wishes to offer into the ex-ante schedule, shippers would need to </w:t>
            </w:r>
            <w:r>
              <w:t xml:space="preserve">ask </w:t>
            </w:r>
            <w:r w:rsidRPr="008B1B73">
              <w:t xml:space="preserve">AEMO </w:t>
            </w:r>
            <w:r>
              <w:t xml:space="preserve">to </w:t>
            </w:r>
            <w:r w:rsidRPr="008B1B73">
              <w:t xml:space="preserve">transfer STTM trading rights through the STTM Web Exchange (SWEX) system. STTM participants currently use SWEX to transfer STTM trading rights between themselves after undertaking a bare transfer capacity trade. AEMO would not transfer </w:t>
            </w:r>
            <w:r>
              <w:t xml:space="preserve">the </w:t>
            </w:r>
            <w:r w:rsidRPr="008B1B73">
              <w:t xml:space="preserve">STTM trading rights until notification had been received that the </w:t>
            </w:r>
            <w:r>
              <w:t>service provider</w:t>
            </w:r>
            <w:r w:rsidRPr="008B1B73">
              <w:t xml:space="preserve"> had successfully transferred </w:t>
            </w:r>
            <w:r w:rsidR="00723C4D">
              <w:t>capacity</w:t>
            </w:r>
            <w:r w:rsidRPr="008B1B73">
              <w:t xml:space="preserve">. </w:t>
            </w:r>
          </w:p>
          <w:p w14:paraId="2120E145" w14:textId="45E77DE1" w:rsidR="00266CF8" w:rsidRDefault="00266CF8" w:rsidP="00266CF8">
            <w:pPr>
              <w:pStyle w:val="TableBodyText"/>
              <w:spacing w:line="240" w:lineRule="auto"/>
            </w:pPr>
            <w:r w:rsidRPr="008B1B73">
              <w:t xml:space="preserve">A new process would need to be implemented to facilitate operational transfers so that STTM trading rights </w:t>
            </w:r>
            <w:r>
              <w:t xml:space="preserve">are </w:t>
            </w:r>
            <w:r w:rsidRPr="008B1B73">
              <w:t xml:space="preserve">not transferred until confirmation from </w:t>
            </w:r>
            <w:r>
              <w:t>service provider</w:t>
            </w:r>
            <w:r w:rsidRPr="008B1B73">
              <w:t xml:space="preserve">s had been received. This could be where both counterparties enter the request into SWEX, upon which a notification is sent to the </w:t>
            </w:r>
            <w:r>
              <w:t>service provider</w:t>
            </w:r>
            <w:r w:rsidRPr="008B1B73">
              <w:t xml:space="preserve"> to confirm. </w:t>
            </w:r>
            <w:r>
              <w:t xml:space="preserve"> </w:t>
            </w:r>
            <w:r w:rsidRPr="008B1B73">
              <w:t>If a buyer missed the ex-ante schedule, it could use a MSV with itself or a counterparty to register an offsetting position and avoid deviation payments or charges; SWEX would not be</w:t>
            </w:r>
            <w:r>
              <w:t xml:space="preserve"> required under this scenario. </w:t>
            </w:r>
          </w:p>
        </w:tc>
        <w:tc>
          <w:tcPr>
            <w:tcW w:w="4222" w:type="dxa"/>
          </w:tcPr>
          <w:p w14:paraId="056EEA2A" w14:textId="77777777" w:rsidR="00266CF8" w:rsidRPr="008B1B73" w:rsidRDefault="00266CF8" w:rsidP="00266CF8">
            <w:pPr>
              <w:pStyle w:val="TableBodyText"/>
              <w:spacing w:line="240" w:lineRule="auto"/>
            </w:pPr>
            <w:r w:rsidRPr="008B1B73">
              <w:t xml:space="preserve">If a shipper purchases capacity on the exchange to a STTM delivery point, and there is sufficient time to participate in the ex-ante schedule, a process would automatically be triggered to transfer STTM trading rights from the seller to the buyer. </w:t>
            </w:r>
          </w:p>
          <w:p w14:paraId="0B19F56C" w14:textId="77777777" w:rsidR="00266CF8" w:rsidRPr="008B1B73" w:rsidRDefault="00266CF8" w:rsidP="00266CF8">
            <w:pPr>
              <w:pStyle w:val="BodyText"/>
              <w:spacing w:line="240" w:lineRule="auto"/>
            </w:pPr>
            <w:r w:rsidRPr="008B1B73">
              <w:t>The process would need to occur in the following sequence:</w:t>
            </w:r>
          </w:p>
          <w:p w14:paraId="7DE8F17E" w14:textId="77777777" w:rsidR="00266CF8" w:rsidRPr="008B1B73" w:rsidRDefault="00266CF8" w:rsidP="00266CF8">
            <w:pPr>
              <w:pStyle w:val="TableBullet1"/>
              <w:spacing w:line="240" w:lineRule="auto"/>
            </w:pPr>
            <w:r w:rsidRPr="008B1B73">
              <w:t>Capacity trade takes place on the platform.</w:t>
            </w:r>
          </w:p>
          <w:p w14:paraId="6C8576FE" w14:textId="77777777" w:rsidR="00266CF8" w:rsidRPr="008B1B73" w:rsidRDefault="00266CF8" w:rsidP="00266CF8">
            <w:pPr>
              <w:pStyle w:val="TableBullet1"/>
              <w:spacing w:line="240" w:lineRule="auto"/>
            </w:pPr>
            <w:r w:rsidRPr="008B1B73">
              <w:t xml:space="preserve">AEMO sends capacity positions to </w:t>
            </w:r>
            <w:r>
              <w:t>service provider</w:t>
            </w:r>
            <w:r w:rsidRPr="008B1B73">
              <w:t xml:space="preserve">s. </w:t>
            </w:r>
          </w:p>
          <w:p w14:paraId="5732D0CE" w14:textId="7306697F" w:rsidR="00266CF8" w:rsidRPr="008B1B73" w:rsidRDefault="00266CF8" w:rsidP="00266CF8">
            <w:pPr>
              <w:pStyle w:val="TableBullet1"/>
              <w:spacing w:line="240" w:lineRule="auto"/>
            </w:pPr>
            <w:r w:rsidRPr="008B1B73">
              <w:t xml:space="preserve">The relevant </w:t>
            </w:r>
            <w:r>
              <w:t>service provider</w:t>
            </w:r>
            <w:r w:rsidRPr="008B1B73">
              <w:t xml:space="preserve"> transfers </w:t>
            </w:r>
            <w:r w:rsidR="00723C4D">
              <w:t>capacity</w:t>
            </w:r>
            <w:r w:rsidRPr="008B1B73">
              <w:t xml:space="preserve"> from the seller to the buyer.</w:t>
            </w:r>
          </w:p>
          <w:p w14:paraId="53814347" w14:textId="77777777" w:rsidR="00266CF8" w:rsidRPr="008B1B73" w:rsidRDefault="00266CF8" w:rsidP="00266CF8">
            <w:pPr>
              <w:pStyle w:val="TableBullet1"/>
              <w:spacing w:line="240" w:lineRule="auto"/>
            </w:pPr>
            <w:r w:rsidRPr="008B1B73">
              <w:t xml:space="preserve">AEMO receives confirmation from the </w:t>
            </w:r>
            <w:r>
              <w:t>service provider</w:t>
            </w:r>
            <w:r w:rsidRPr="008B1B73">
              <w:t xml:space="preserve"> that capacity has been transferred. </w:t>
            </w:r>
          </w:p>
          <w:p w14:paraId="20FEEFD5" w14:textId="77777777" w:rsidR="00266CF8" w:rsidRPr="008B1B73" w:rsidRDefault="00266CF8" w:rsidP="00266CF8">
            <w:pPr>
              <w:pStyle w:val="TableBullet1"/>
              <w:spacing w:line="240" w:lineRule="auto"/>
            </w:pPr>
            <w:r w:rsidRPr="008B1B73">
              <w:t xml:space="preserve">AEMO transfers STTM trading rights and provides a confirmation to the buyer and seller. </w:t>
            </w:r>
          </w:p>
          <w:p w14:paraId="6F438D93" w14:textId="77777777" w:rsidR="00266CF8" w:rsidRDefault="00266CF8" w:rsidP="00266CF8">
            <w:pPr>
              <w:pStyle w:val="ListBullet"/>
              <w:numPr>
                <w:ilvl w:val="0"/>
                <w:numId w:val="0"/>
              </w:numPr>
              <w:spacing w:line="240" w:lineRule="auto"/>
            </w:pPr>
          </w:p>
        </w:tc>
        <w:tc>
          <w:tcPr>
            <w:tcW w:w="4229" w:type="dxa"/>
          </w:tcPr>
          <w:p w14:paraId="56C7D3F2" w14:textId="77777777" w:rsidR="00266CF8" w:rsidRPr="008B1B73" w:rsidRDefault="00266CF8" w:rsidP="00266CF8">
            <w:pPr>
              <w:pStyle w:val="TableBodyText"/>
              <w:spacing w:line="240" w:lineRule="auto"/>
            </w:pPr>
            <w:r w:rsidRPr="008B1B73">
              <w:t xml:space="preserve">In order to use SWEX, market participants must know their trade counterparties. The process is buyer initiated, after which the seller confirms, then AEMO transfers trading rights. Under a manual but anonymous approach, AEMO would need information from </w:t>
            </w:r>
            <w:r>
              <w:t>service provider</w:t>
            </w:r>
            <w:r w:rsidRPr="008B1B73">
              <w:t xml:space="preserve">s to confirm the transactions, prior to transferring the STTM trading rights.  </w:t>
            </w:r>
          </w:p>
          <w:p w14:paraId="4B1AC7FA" w14:textId="77777777" w:rsidR="00266CF8" w:rsidRPr="008B1B73" w:rsidRDefault="00266CF8" w:rsidP="00266CF8">
            <w:pPr>
              <w:pStyle w:val="TableBodyText"/>
              <w:spacing w:line="240" w:lineRule="auto"/>
            </w:pPr>
            <w:r w:rsidRPr="008B1B73">
              <w:t>The process would occur in the following sequence:</w:t>
            </w:r>
          </w:p>
          <w:p w14:paraId="5D768C39" w14:textId="77777777" w:rsidR="00266CF8" w:rsidRPr="008B1B73" w:rsidRDefault="00266CF8" w:rsidP="00266CF8">
            <w:pPr>
              <w:pStyle w:val="TableBullet1"/>
              <w:spacing w:line="240" w:lineRule="auto"/>
            </w:pPr>
            <w:r w:rsidRPr="008B1B73">
              <w:t>Capacity trade takes place on the platform.</w:t>
            </w:r>
          </w:p>
          <w:p w14:paraId="27EE4EB6" w14:textId="77777777" w:rsidR="00266CF8" w:rsidRPr="008B1B73" w:rsidRDefault="00266CF8" w:rsidP="00266CF8">
            <w:pPr>
              <w:pStyle w:val="TableBullet1"/>
              <w:spacing w:line="240" w:lineRule="auto"/>
            </w:pPr>
            <w:r w:rsidRPr="008B1B73">
              <w:t xml:space="preserve">AEMO sends capacity positions to </w:t>
            </w:r>
            <w:r>
              <w:t>service provider</w:t>
            </w:r>
            <w:r w:rsidRPr="008B1B73">
              <w:t xml:space="preserve">s. </w:t>
            </w:r>
          </w:p>
          <w:p w14:paraId="7C4E5416" w14:textId="1616A55F" w:rsidR="00266CF8" w:rsidRPr="008B1B73" w:rsidRDefault="00266CF8" w:rsidP="00266CF8">
            <w:pPr>
              <w:pStyle w:val="TableBullet1"/>
              <w:spacing w:line="240" w:lineRule="auto"/>
            </w:pPr>
            <w:r w:rsidRPr="008B1B73">
              <w:t xml:space="preserve">The relevant </w:t>
            </w:r>
            <w:r>
              <w:t>service provider</w:t>
            </w:r>
            <w:r w:rsidRPr="008B1B73">
              <w:t xml:space="preserve"> transfers </w:t>
            </w:r>
            <w:r w:rsidR="00723C4D">
              <w:t>capacity</w:t>
            </w:r>
            <w:r w:rsidRPr="008B1B73">
              <w:t xml:space="preserve"> from the seller to the buyer.</w:t>
            </w:r>
          </w:p>
          <w:p w14:paraId="63FCC421" w14:textId="77777777" w:rsidR="00266CF8" w:rsidRPr="008B1B73" w:rsidRDefault="00266CF8" w:rsidP="00266CF8">
            <w:pPr>
              <w:pStyle w:val="TableBullet1"/>
              <w:spacing w:line="240" w:lineRule="auto"/>
            </w:pPr>
            <w:r w:rsidRPr="008B1B73">
              <w:t xml:space="preserve">AEMO receives confirmation from the </w:t>
            </w:r>
            <w:r>
              <w:t>service provider</w:t>
            </w:r>
            <w:r w:rsidRPr="008B1B73">
              <w:t xml:space="preserve"> that capacity has been transferred. </w:t>
            </w:r>
          </w:p>
          <w:p w14:paraId="72FD14CE" w14:textId="77777777" w:rsidR="00266CF8" w:rsidRPr="008B1B73" w:rsidRDefault="00266CF8" w:rsidP="00266CF8">
            <w:pPr>
              <w:pStyle w:val="TableBullet1"/>
              <w:spacing w:line="240" w:lineRule="auto"/>
            </w:pPr>
            <w:r w:rsidRPr="008B1B73">
              <w:t>Buyer uses SWEX to request STTM trading right transfer.</w:t>
            </w:r>
          </w:p>
          <w:p w14:paraId="72141579" w14:textId="089F6A99" w:rsidR="00266CF8" w:rsidRPr="008B1B73" w:rsidRDefault="00266CF8" w:rsidP="00266CF8">
            <w:pPr>
              <w:pStyle w:val="TableBullet1"/>
              <w:spacing w:line="240" w:lineRule="auto"/>
            </w:pPr>
            <w:r w:rsidRPr="008B1B73">
              <w:t>Seller notified and confirms in SWEX.</w:t>
            </w:r>
          </w:p>
          <w:p w14:paraId="0788BFDE" w14:textId="0D91D916" w:rsidR="00266CF8" w:rsidRPr="008B1B73" w:rsidRDefault="00266CF8" w:rsidP="00266CF8">
            <w:pPr>
              <w:pStyle w:val="TableBullet1"/>
              <w:spacing w:line="240" w:lineRule="auto"/>
            </w:pPr>
            <w:r>
              <w:t>Service provider</w:t>
            </w:r>
            <w:r w:rsidRPr="008B1B73">
              <w:t xml:space="preserve"> notified and confirms with AEMO. </w:t>
            </w:r>
          </w:p>
          <w:p w14:paraId="4E7AE4AF" w14:textId="278F49C8" w:rsidR="00266CF8" w:rsidRPr="008B1B73" w:rsidRDefault="00266CF8" w:rsidP="00266CF8">
            <w:pPr>
              <w:pStyle w:val="TableBullet1"/>
              <w:spacing w:line="240" w:lineRule="auto"/>
            </w:pPr>
            <w:r w:rsidRPr="008B1B73">
              <w:t xml:space="preserve">AEMO transfers STTM trading rights. </w:t>
            </w:r>
          </w:p>
        </w:tc>
      </w:tr>
      <w:tr w:rsidR="00266CF8" w14:paraId="080FE423" w14:textId="5BA3E085" w:rsidTr="00266CF8">
        <w:trPr>
          <w:cnfStyle w:val="000000010000" w:firstRow="0" w:lastRow="0" w:firstColumn="0" w:lastColumn="0" w:oddVBand="0" w:evenVBand="0" w:oddHBand="0" w:evenHBand="1" w:firstRowFirstColumn="0" w:firstRowLastColumn="0" w:lastRowFirstColumn="0" w:lastRowLastColumn="0"/>
        </w:trPr>
        <w:tc>
          <w:tcPr>
            <w:tcW w:w="1134" w:type="dxa"/>
          </w:tcPr>
          <w:p w14:paraId="1801AC5F" w14:textId="77777777" w:rsidR="00266CF8" w:rsidRDefault="00266CF8" w:rsidP="00266CF8">
            <w:pPr>
              <w:pStyle w:val="TableBodyText"/>
              <w:spacing w:line="240" w:lineRule="auto"/>
            </w:pPr>
            <w:r>
              <w:t>Pros</w:t>
            </w:r>
          </w:p>
        </w:tc>
        <w:tc>
          <w:tcPr>
            <w:tcW w:w="4307" w:type="dxa"/>
          </w:tcPr>
          <w:p w14:paraId="133E77E7" w14:textId="77777777" w:rsidR="00266CF8" w:rsidRDefault="00266CF8" w:rsidP="00266CF8">
            <w:pPr>
              <w:pStyle w:val="TableBodyText"/>
              <w:spacing w:line="240" w:lineRule="auto"/>
            </w:pPr>
            <w:r w:rsidRPr="008B1B73">
              <w:t>A manual and partially anonymous approach would require less IT system development and would therefore be expected to result in lower establishment costs than an automated approach.</w:t>
            </w:r>
          </w:p>
        </w:tc>
        <w:tc>
          <w:tcPr>
            <w:tcW w:w="4222" w:type="dxa"/>
          </w:tcPr>
          <w:p w14:paraId="5E8AA605" w14:textId="36AFB387" w:rsidR="00266CF8" w:rsidRDefault="00266CF8" w:rsidP="00266CF8">
            <w:pPr>
              <w:pStyle w:val="TableBodyText"/>
              <w:spacing w:line="240" w:lineRule="auto"/>
            </w:pPr>
            <w:r>
              <w:t xml:space="preserve">Maintains anonymity. </w:t>
            </w:r>
            <w:r w:rsidRPr="008B1B73">
              <w:t xml:space="preserve">Seamless process for traders to purchase capacity on the exchange and participate in the STTM </w:t>
            </w:r>
            <w:r w:rsidR="002D5C8A">
              <w:t>ex-ante</w:t>
            </w:r>
            <w:r w:rsidRPr="008B1B73">
              <w:t xml:space="preserve"> schedule. Once implemented, low ongoing administrative costs. Engender confidence in using the exchange to purchase capacity and participate in the STTM.</w:t>
            </w:r>
          </w:p>
        </w:tc>
        <w:tc>
          <w:tcPr>
            <w:tcW w:w="4229" w:type="dxa"/>
          </w:tcPr>
          <w:p w14:paraId="38E92B14" w14:textId="08572DD9" w:rsidR="00266CF8" w:rsidRPr="008B1B73" w:rsidRDefault="00266CF8" w:rsidP="00266CF8">
            <w:pPr>
              <w:pStyle w:val="TableBodyText"/>
              <w:spacing w:line="240" w:lineRule="auto"/>
            </w:pPr>
            <w:r>
              <w:t>Maintains anonymity.</w:t>
            </w:r>
          </w:p>
        </w:tc>
      </w:tr>
      <w:tr w:rsidR="00266CF8" w14:paraId="6CFD7C82" w14:textId="64267328" w:rsidTr="00266CF8">
        <w:tc>
          <w:tcPr>
            <w:tcW w:w="1134" w:type="dxa"/>
          </w:tcPr>
          <w:p w14:paraId="64AFCFC8" w14:textId="77777777" w:rsidR="00266CF8" w:rsidRDefault="00266CF8" w:rsidP="00266CF8">
            <w:pPr>
              <w:pStyle w:val="TableBodyText"/>
              <w:spacing w:line="240" w:lineRule="auto"/>
            </w:pPr>
            <w:r>
              <w:t>Cons</w:t>
            </w:r>
          </w:p>
        </w:tc>
        <w:tc>
          <w:tcPr>
            <w:tcW w:w="4307" w:type="dxa"/>
          </w:tcPr>
          <w:p w14:paraId="47C306EB" w14:textId="77777777" w:rsidR="00266CF8" w:rsidRDefault="00266CF8" w:rsidP="00266CF8">
            <w:pPr>
              <w:pStyle w:val="TableBodyText"/>
              <w:spacing w:line="240" w:lineRule="auto"/>
            </w:pPr>
            <w:r w:rsidRPr="008B1B73">
              <w:t xml:space="preserve">Higher degree of administrative burden on traders, </w:t>
            </w:r>
            <w:r>
              <w:t>service provider</w:t>
            </w:r>
            <w:r w:rsidRPr="008B1B73">
              <w:t>s and AEMO and a greater potential for errors occurring, relative to automation. This combination of process and risk could result in shippers undertaking bilateral transactions and the exchange failing to fulfil its objective of being a ‘platform of choice’.</w:t>
            </w:r>
          </w:p>
        </w:tc>
        <w:tc>
          <w:tcPr>
            <w:tcW w:w="4222" w:type="dxa"/>
          </w:tcPr>
          <w:p w14:paraId="1FED485B" w14:textId="1EB0D711" w:rsidR="00266CF8" w:rsidRDefault="00266CF8" w:rsidP="00266CF8">
            <w:pPr>
              <w:pStyle w:val="TableBodyText"/>
              <w:spacing w:line="240" w:lineRule="auto"/>
            </w:pPr>
            <w:r w:rsidRPr="008B1B73">
              <w:t>Higher establishment costs for pipelines, shippers and AEMO when compared to the manually, partially anonymous approach</w:t>
            </w:r>
            <w:r w:rsidR="004E0CBC">
              <w:t>, although AEMO proposes to use the same communication systems to transfer information as will be used for the trading platform</w:t>
            </w:r>
            <w:r w:rsidRPr="008B1B73">
              <w:t>.</w:t>
            </w:r>
          </w:p>
        </w:tc>
        <w:tc>
          <w:tcPr>
            <w:tcW w:w="4229" w:type="dxa"/>
          </w:tcPr>
          <w:p w14:paraId="321CBE04" w14:textId="130E20B2" w:rsidR="00266CF8" w:rsidRPr="008B1B73" w:rsidRDefault="00266CF8" w:rsidP="00266CF8">
            <w:pPr>
              <w:pStyle w:val="TableBodyText"/>
              <w:spacing w:line="240" w:lineRule="auto"/>
            </w:pPr>
            <w:r w:rsidRPr="008B1B73">
              <w:t xml:space="preserve">Because maintaining anonymity will require some level of data link between AEMO and the </w:t>
            </w:r>
            <w:r>
              <w:t>service provider</w:t>
            </w:r>
            <w:r w:rsidRPr="008B1B73">
              <w:t>, AEMO’s preliminary view is that there are unlikely to be significant costs savings from having half the approach automated and half manual.</w:t>
            </w:r>
          </w:p>
        </w:tc>
      </w:tr>
    </w:tbl>
    <w:p w14:paraId="4D31D996" w14:textId="77777777" w:rsidR="00266CF8" w:rsidRDefault="00266CF8" w:rsidP="00266CF8">
      <w:pPr>
        <w:pStyle w:val="ListBullet"/>
        <w:numPr>
          <w:ilvl w:val="0"/>
          <w:numId w:val="0"/>
        </w:numPr>
        <w:ind w:left="357" w:hanging="357"/>
        <w:sectPr w:rsidR="00266CF8" w:rsidSect="00CF1252">
          <w:pgSz w:w="16839" w:h="11907" w:orient="landscape" w:code="9"/>
          <w:pgMar w:top="315" w:right="1418" w:bottom="709" w:left="1701" w:header="567" w:footer="397" w:gutter="0"/>
          <w:cols w:space="708"/>
          <w:docGrid w:linePitch="360"/>
        </w:sectPr>
      </w:pPr>
    </w:p>
    <w:p w14:paraId="5E0A64DA" w14:textId="249F6E63" w:rsidR="004C1EF9" w:rsidRPr="008B1B73" w:rsidRDefault="007372B2" w:rsidP="007372B2">
      <w:pPr>
        <w:pStyle w:val="Heading3"/>
      </w:pPr>
      <w:bookmarkStart w:id="193" w:name="_Toc489442967"/>
      <w:bookmarkStart w:id="194" w:name="_Toc489443067"/>
      <w:bookmarkStart w:id="195" w:name="_Toc489443168"/>
      <w:bookmarkStart w:id="196" w:name="_Toc489443262"/>
      <w:bookmarkStart w:id="197" w:name="_Toc489443356"/>
      <w:bookmarkStart w:id="198" w:name="_Toc489464875"/>
      <w:bookmarkEnd w:id="193"/>
      <w:bookmarkEnd w:id="194"/>
      <w:bookmarkEnd w:id="195"/>
      <w:bookmarkEnd w:id="196"/>
      <w:bookmarkEnd w:id="197"/>
      <w:bookmarkEnd w:id="198"/>
      <w:r>
        <w:lastRenderedPageBreak/>
        <w:t xml:space="preserve">Interaction with the </w:t>
      </w:r>
      <w:r w:rsidR="004C1EF9" w:rsidRPr="008B1B73">
        <w:t>DWGM</w:t>
      </w:r>
    </w:p>
    <w:p w14:paraId="17E6FB9A" w14:textId="77777777" w:rsidR="004C2EDF" w:rsidRDefault="007372B2" w:rsidP="00230209">
      <w:pPr>
        <w:pStyle w:val="BodyText"/>
        <w:rPr>
          <w:rFonts w:cs="Arial"/>
        </w:rPr>
      </w:pPr>
      <w:r>
        <w:rPr>
          <w:rFonts w:cs="Arial"/>
        </w:rPr>
        <w:t>In contrast to the STTM, the DWGM runs five schedules during the gas day</w:t>
      </w:r>
      <w:r w:rsidR="007332E1">
        <w:rPr>
          <w:rFonts w:cs="Arial"/>
        </w:rPr>
        <w:t>. S</w:t>
      </w:r>
      <w:r>
        <w:rPr>
          <w:rFonts w:cs="Arial"/>
        </w:rPr>
        <w:t xml:space="preserve">hippers that procure </w:t>
      </w:r>
      <w:r w:rsidRPr="007372B2">
        <w:rPr>
          <w:rFonts w:cs="Arial"/>
        </w:rPr>
        <w:t xml:space="preserve">capacity through the capacity trading platform </w:t>
      </w:r>
      <w:r>
        <w:rPr>
          <w:rFonts w:cs="Arial"/>
        </w:rPr>
        <w:t xml:space="preserve">on gas day D-1 </w:t>
      </w:r>
      <w:r w:rsidR="007332E1">
        <w:rPr>
          <w:rFonts w:cs="Arial"/>
        </w:rPr>
        <w:t>for supply to the edge of the DTS (i.e. to the L</w:t>
      </w:r>
      <w:r w:rsidR="007332E1" w:rsidRPr="008B1B73">
        <w:t>ongford Close Proximity Point;</w:t>
      </w:r>
      <w:r w:rsidR="007332E1">
        <w:t xml:space="preserve"> </w:t>
      </w:r>
      <w:r w:rsidR="007332E1" w:rsidRPr="008B1B73">
        <w:t>Culcairn System Injection Point and System Withdrawal Point; and</w:t>
      </w:r>
      <w:r w:rsidR="007332E1">
        <w:t xml:space="preserve"> </w:t>
      </w:r>
      <w:r w:rsidR="007332E1" w:rsidRPr="008B1B73">
        <w:t>Iona Close Proximity Point</w:t>
      </w:r>
      <w:r w:rsidR="007332E1">
        <w:t xml:space="preserve">) on gas day D </w:t>
      </w:r>
      <w:r>
        <w:rPr>
          <w:rFonts w:cs="Arial"/>
        </w:rPr>
        <w:t xml:space="preserve">will still </w:t>
      </w:r>
      <w:r w:rsidR="007332E1">
        <w:rPr>
          <w:rFonts w:cs="Arial"/>
        </w:rPr>
        <w:t xml:space="preserve">therefore </w:t>
      </w:r>
      <w:r>
        <w:rPr>
          <w:rFonts w:cs="Arial"/>
        </w:rPr>
        <w:t xml:space="preserve">be able to participate in the </w:t>
      </w:r>
      <w:r w:rsidR="007332E1">
        <w:rPr>
          <w:rFonts w:cs="Arial"/>
        </w:rPr>
        <w:t xml:space="preserve">DWGM’s scheduling processes on gas day D if they are a registered DWGM market participant. </w:t>
      </w:r>
    </w:p>
    <w:p w14:paraId="7E085D05" w14:textId="63DE9432" w:rsidR="007332E1" w:rsidRDefault="007332E1" w:rsidP="00230209">
      <w:pPr>
        <w:pStyle w:val="BodyText"/>
        <w:rPr>
          <w:rFonts w:cs="Arial"/>
        </w:rPr>
      </w:pPr>
      <w:r>
        <w:rPr>
          <w:rFonts w:cs="Arial"/>
        </w:rPr>
        <w:t xml:space="preserve">The only potential complexity that the integration of the capacity trading platform and DWGM therefore raises is that AEMO, in its capacity as DWGM operator, would need to know what accreditation constraint to apply to the capacity that is to be supplied into </w:t>
      </w:r>
      <w:r>
        <w:t>System Injection Points or withdrawn from System Withdrawal Points</w:t>
      </w:r>
      <w:r w:rsidRPr="008B1B73">
        <w:t>.</w:t>
      </w:r>
      <w:r w:rsidRPr="008B1B73">
        <w:rPr>
          <w:rStyle w:val="FootnoteReference"/>
          <w:rFonts w:eastAsia="Cambria"/>
        </w:rPr>
        <w:footnoteReference w:id="101"/>
      </w:r>
      <w:r>
        <w:rPr>
          <w:rStyle w:val="MySuperscript"/>
          <w:rFonts w:eastAsia="Cambria"/>
        </w:rPr>
        <w:t>,</w:t>
      </w:r>
      <w:r>
        <w:rPr>
          <w:rStyle w:val="FootnoteReference"/>
          <w:rFonts w:eastAsia="Cambria"/>
        </w:rPr>
        <w:footnoteReference w:id="102"/>
      </w:r>
    </w:p>
    <w:p w14:paraId="4BD7F244" w14:textId="12E677CA" w:rsidR="004C1EF9" w:rsidRPr="008B1B73" w:rsidRDefault="004C1EF9" w:rsidP="004C1EF9">
      <w:pPr>
        <w:pStyle w:val="BodyText"/>
      </w:pPr>
      <w:r w:rsidRPr="008B1B73">
        <w:rPr>
          <w:rFonts w:cs="Arial"/>
        </w:rPr>
        <w:t xml:space="preserve">Accreditation </w:t>
      </w:r>
      <w:r w:rsidR="007332E1">
        <w:rPr>
          <w:rFonts w:cs="Arial"/>
        </w:rPr>
        <w:t xml:space="preserve">constraints </w:t>
      </w:r>
      <w:r w:rsidRPr="008B1B73">
        <w:rPr>
          <w:rFonts w:cs="Arial"/>
        </w:rPr>
        <w:t xml:space="preserve">reflect </w:t>
      </w:r>
      <w:r w:rsidR="007332E1">
        <w:rPr>
          <w:rFonts w:cs="Arial"/>
        </w:rPr>
        <w:t xml:space="preserve">the </w:t>
      </w:r>
      <w:r w:rsidRPr="008B1B73">
        <w:rPr>
          <w:rFonts w:cs="Arial"/>
        </w:rPr>
        <w:t xml:space="preserve">contractual or operational constraints, such as </w:t>
      </w:r>
      <w:r w:rsidR="007332E1">
        <w:rPr>
          <w:rFonts w:cs="Arial"/>
        </w:rPr>
        <w:t xml:space="preserve">the </w:t>
      </w:r>
      <w:r w:rsidRPr="008B1B73">
        <w:rPr>
          <w:rFonts w:cs="Arial"/>
        </w:rPr>
        <w:t xml:space="preserve">MHQ, </w:t>
      </w:r>
      <w:r w:rsidR="007332E1">
        <w:rPr>
          <w:rFonts w:cs="Arial"/>
        </w:rPr>
        <w:t>that are to be taken into account by AEMO</w:t>
      </w:r>
      <w:r w:rsidR="007332E1" w:rsidRPr="008B1B73">
        <w:rPr>
          <w:rFonts w:cs="Arial"/>
        </w:rPr>
        <w:t xml:space="preserve"> </w:t>
      </w:r>
      <w:r w:rsidRPr="008B1B73">
        <w:rPr>
          <w:rFonts w:cs="Arial"/>
        </w:rPr>
        <w:t xml:space="preserve">in the scheduling process. For example, </w:t>
      </w:r>
      <w:r w:rsidR="003C5C66">
        <w:rPr>
          <w:rFonts w:cs="Arial"/>
        </w:rPr>
        <w:t xml:space="preserve">if </w:t>
      </w:r>
      <w:r w:rsidRPr="008B1B73">
        <w:rPr>
          <w:rFonts w:cs="Arial"/>
        </w:rPr>
        <w:t xml:space="preserve">a participant has purchased 10 TJ of capacity for one day with </w:t>
      </w:r>
      <w:r w:rsidR="003C5C66">
        <w:rPr>
          <w:rFonts w:cs="Arial"/>
        </w:rPr>
        <w:t>an MHQ factor of 1/24, t</w:t>
      </w:r>
      <w:r w:rsidRPr="008B1B73">
        <w:rPr>
          <w:rFonts w:cs="Arial"/>
        </w:rPr>
        <w:t>his would imply a MHQ of 417 GJ per hour (10,000 GJ</w:t>
      </w:r>
      <w:r w:rsidR="004C2EDF">
        <w:rPr>
          <w:rFonts w:cs="Arial"/>
        </w:rPr>
        <w:t>÷</w:t>
      </w:r>
      <w:r w:rsidRPr="008B1B73">
        <w:rPr>
          <w:rFonts w:cs="Arial"/>
        </w:rPr>
        <w:t xml:space="preserve">24 hours) and this constraint would be reflected in how AEMO schedules the participant in the DWGM. </w:t>
      </w:r>
    </w:p>
    <w:p w14:paraId="36760301" w14:textId="77E9429A" w:rsidR="004C1EF9" w:rsidRPr="008B1B73" w:rsidRDefault="004C1EF9" w:rsidP="004C1EF9">
      <w:pPr>
        <w:pStyle w:val="BodyText"/>
      </w:pPr>
      <w:r w:rsidRPr="008B1B73">
        <w:t xml:space="preserve">Accreditation constraints for </w:t>
      </w:r>
      <w:r w:rsidR="004C2EDF">
        <w:t xml:space="preserve">capacity purchased through the </w:t>
      </w:r>
      <w:r w:rsidRPr="008B1B73">
        <w:t xml:space="preserve">capacity trading platform could be </w:t>
      </w:r>
      <w:r w:rsidR="004C2EDF">
        <w:t xml:space="preserve">dealt with </w:t>
      </w:r>
      <w:r w:rsidRPr="008B1B73">
        <w:t>in the following way</w:t>
      </w:r>
      <w:r w:rsidR="003C5C66">
        <w:t>s</w:t>
      </w:r>
      <w:r w:rsidRPr="008B1B73">
        <w:t>:</w:t>
      </w:r>
    </w:p>
    <w:p w14:paraId="685E1135" w14:textId="2F7797A3" w:rsidR="004C1EF9" w:rsidRPr="008B1B73" w:rsidRDefault="004C1EF9" w:rsidP="004C1EF9">
      <w:pPr>
        <w:pStyle w:val="ListBullet"/>
        <w:numPr>
          <w:ilvl w:val="0"/>
          <w:numId w:val="42"/>
        </w:numPr>
      </w:pPr>
      <w:r w:rsidRPr="008B1B73">
        <w:rPr>
          <w:rStyle w:val="Bold"/>
        </w:rPr>
        <w:t>Standing accreditation constraint</w:t>
      </w:r>
      <w:r w:rsidRPr="008B1B73">
        <w:t xml:space="preserve">: A default accreditation constraint </w:t>
      </w:r>
      <w:r w:rsidR="004C2EDF">
        <w:t>could remain</w:t>
      </w:r>
      <w:r w:rsidRPr="008B1B73">
        <w:t xml:space="preserve"> in place for all transactions unless a participant requests a change. </w:t>
      </w:r>
    </w:p>
    <w:p w14:paraId="7BC701E8" w14:textId="30D0945A" w:rsidR="004C1EF9" w:rsidRPr="008B1B73" w:rsidRDefault="004C1EF9" w:rsidP="005C4789">
      <w:pPr>
        <w:pStyle w:val="ListBullet"/>
        <w:numPr>
          <w:ilvl w:val="0"/>
          <w:numId w:val="62"/>
        </w:numPr>
      </w:pPr>
      <w:r w:rsidRPr="008B1B73">
        <w:rPr>
          <w:rStyle w:val="Bold"/>
        </w:rPr>
        <w:t>Automatic accreditation constraints</w:t>
      </w:r>
      <w:r w:rsidRPr="008B1B73">
        <w:t xml:space="preserve">: Constraints </w:t>
      </w:r>
      <w:r w:rsidR="004C2EDF">
        <w:t xml:space="preserve">could </w:t>
      </w:r>
      <w:r w:rsidRPr="008B1B73">
        <w:t xml:space="preserve">automatically </w:t>
      </w:r>
      <w:r w:rsidR="004C2EDF">
        <w:t xml:space="preserve">be </w:t>
      </w:r>
      <w:r w:rsidRPr="008B1B73">
        <w:t xml:space="preserve">updated when capacity is purchased on the </w:t>
      </w:r>
      <w:r w:rsidR="003C5C66">
        <w:t xml:space="preserve">capacity trading </w:t>
      </w:r>
      <w:r w:rsidRPr="008B1B73">
        <w:t xml:space="preserve">platform. </w:t>
      </w:r>
    </w:p>
    <w:p w14:paraId="1CA11174" w14:textId="346E0B4B" w:rsidR="004C1EF9" w:rsidRDefault="004C1EF9" w:rsidP="005C4789">
      <w:pPr>
        <w:pStyle w:val="ListBullet"/>
        <w:numPr>
          <w:ilvl w:val="0"/>
          <w:numId w:val="62"/>
        </w:numPr>
      </w:pPr>
      <w:r w:rsidRPr="008B1B73">
        <w:rPr>
          <w:rStyle w:val="Bold"/>
        </w:rPr>
        <w:t>Blank accreditation constraints</w:t>
      </w:r>
      <w:r w:rsidRPr="008B1B73">
        <w:t xml:space="preserve">: No accreditation constraint is entered for capacity purchased on the platform or auction. </w:t>
      </w:r>
    </w:p>
    <w:p w14:paraId="7CB3FCFB" w14:textId="47E3578B" w:rsidR="00230209" w:rsidRPr="00230209" w:rsidRDefault="00230209" w:rsidP="00230209">
      <w:pPr>
        <w:pStyle w:val="ListBullet"/>
        <w:numPr>
          <w:ilvl w:val="0"/>
          <w:numId w:val="0"/>
        </w:numPr>
        <w:rPr>
          <w:b/>
        </w:rPr>
      </w:pPr>
      <w:r w:rsidRPr="00230209">
        <w:rPr>
          <w:rStyle w:val="Bold"/>
          <w:b w:val="0"/>
        </w:rPr>
        <w:t>Further detail on these options is provided below</w:t>
      </w:r>
      <w:r w:rsidRPr="00230209">
        <w:rPr>
          <w:b/>
        </w:rPr>
        <w:t>.</w:t>
      </w:r>
    </w:p>
    <w:p w14:paraId="6A273F78" w14:textId="77777777" w:rsidR="004C1EF9" w:rsidRPr="003C5C66" w:rsidRDefault="004C1EF9" w:rsidP="004C1EF9">
      <w:pPr>
        <w:pStyle w:val="BodyText"/>
        <w:rPr>
          <w:rStyle w:val="Bold"/>
          <w:color w:val="0099CC"/>
        </w:rPr>
      </w:pPr>
      <w:r w:rsidRPr="003C5C66">
        <w:rPr>
          <w:rStyle w:val="Bold"/>
          <w:color w:val="0099CC"/>
        </w:rPr>
        <w:t>Standing accreditation constraint</w:t>
      </w:r>
    </w:p>
    <w:p w14:paraId="7EBABE80" w14:textId="4DE08D5B" w:rsidR="004C1EF9" w:rsidRPr="008B1B73" w:rsidRDefault="004C1EF9" w:rsidP="004C1EF9">
      <w:pPr>
        <w:pStyle w:val="BodyText"/>
        <w:rPr>
          <w:rFonts w:cs="Arial"/>
        </w:rPr>
      </w:pPr>
      <w:r w:rsidRPr="008B1B73">
        <w:rPr>
          <w:rFonts w:cs="Arial"/>
        </w:rPr>
        <w:t>Participants would provide AEMO with a default MHQ that remains in place unless a change is requested. The default M</w:t>
      </w:r>
      <w:r w:rsidR="00230209">
        <w:rPr>
          <w:rFonts w:cs="Arial"/>
        </w:rPr>
        <w:t>H</w:t>
      </w:r>
      <w:r w:rsidRPr="008B1B73">
        <w:rPr>
          <w:rFonts w:cs="Arial"/>
        </w:rPr>
        <w:t>Q might represent an average size capacity product a participant expected to purchase. For example, if a participant generally expected to purchase a 5 TJ product, then the accreditation constraint for that participant could be 208</w:t>
      </w:r>
      <w:r w:rsidR="00D74E82">
        <w:rPr>
          <w:rFonts w:cs="Arial"/>
        </w:rPr>
        <w:t> </w:t>
      </w:r>
      <w:r w:rsidRPr="008B1B73">
        <w:rPr>
          <w:rFonts w:cs="Arial"/>
        </w:rPr>
        <w:t xml:space="preserve">GJ per hour (5,000 GJ/24 hours). </w:t>
      </w:r>
    </w:p>
    <w:p w14:paraId="5D2B2185" w14:textId="05154123" w:rsidR="004C1EF9" w:rsidRPr="008B1B73" w:rsidRDefault="004C1EF9" w:rsidP="004C1EF9">
      <w:pPr>
        <w:pStyle w:val="BodyText"/>
        <w:rPr>
          <w:rFonts w:cs="Arial"/>
        </w:rPr>
      </w:pPr>
      <w:r w:rsidRPr="008B1B73">
        <w:rPr>
          <w:rFonts w:cs="Arial"/>
        </w:rPr>
        <w:t xml:space="preserve">The issue with this approach is that if the participant purchased a larger capacity product, say 10 TJ, its MHQ flows would be constrained below what it was entitled to flow (417 GJ per hour). Conversely, if the participant purchased a smaller capacity product, say 2 TJ, </w:t>
      </w:r>
      <w:r w:rsidRPr="008B1B73">
        <w:rPr>
          <w:rFonts w:cs="Arial"/>
        </w:rPr>
        <w:lastRenderedPageBreak/>
        <w:t xml:space="preserve">this would imply a MHQ of only 83 GJ per hour, which would likely be exceeded if the accreditation constraint remained at 208 GJ per hour, unless managed using intraday schedules.  </w:t>
      </w:r>
    </w:p>
    <w:p w14:paraId="5AB1D03E" w14:textId="4D86B1C1" w:rsidR="004C1EF9" w:rsidRPr="008B1B73" w:rsidRDefault="003C5C66" w:rsidP="004C1EF9">
      <w:pPr>
        <w:pStyle w:val="BodyText"/>
        <w:rPr>
          <w:rFonts w:cs="Arial"/>
        </w:rPr>
      </w:pPr>
      <w:r>
        <w:rPr>
          <w:rFonts w:cs="Arial"/>
        </w:rPr>
        <w:t xml:space="preserve">Another </w:t>
      </w:r>
      <w:r w:rsidR="004C1EF9" w:rsidRPr="008B1B73">
        <w:rPr>
          <w:rFonts w:cs="Arial"/>
        </w:rPr>
        <w:t xml:space="preserve">option </w:t>
      </w:r>
      <w:r>
        <w:rPr>
          <w:rFonts w:cs="Arial"/>
        </w:rPr>
        <w:t>that could be employed would involve the development of an interface that participants</w:t>
      </w:r>
      <w:r w:rsidR="004C1EF9" w:rsidRPr="008B1B73">
        <w:rPr>
          <w:rFonts w:cs="Arial"/>
        </w:rPr>
        <w:t xml:space="preserve"> </w:t>
      </w:r>
      <w:r>
        <w:rPr>
          <w:rFonts w:cs="Arial"/>
        </w:rPr>
        <w:t>can</w:t>
      </w:r>
      <w:r w:rsidR="004C1EF9" w:rsidRPr="008B1B73">
        <w:rPr>
          <w:rFonts w:cs="Arial"/>
        </w:rPr>
        <w:t xml:space="preserve"> use to update their accreditation constraints after undertaking </w:t>
      </w:r>
      <w:r>
        <w:rPr>
          <w:rFonts w:cs="Arial"/>
        </w:rPr>
        <w:t>trades</w:t>
      </w:r>
      <w:r w:rsidR="004C1EF9" w:rsidRPr="008B1B73">
        <w:rPr>
          <w:rFonts w:cs="Arial"/>
        </w:rPr>
        <w:t xml:space="preserve">. If the shipper did not nominate a constraint, the standing constraint would be used.  </w:t>
      </w:r>
    </w:p>
    <w:p w14:paraId="728ECE0F" w14:textId="77777777" w:rsidR="004C1EF9" w:rsidRPr="003C5C66" w:rsidRDefault="004C1EF9" w:rsidP="004C1EF9">
      <w:pPr>
        <w:pStyle w:val="BodyText"/>
        <w:rPr>
          <w:rFonts w:cs="Arial"/>
          <w:color w:val="0099CC"/>
        </w:rPr>
      </w:pPr>
      <w:r w:rsidRPr="003C5C66">
        <w:rPr>
          <w:rStyle w:val="Bold"/>
          <w:color w:val="0099CC"/>
        </w:rPr>
        <w:t>Automatic accreditation constraints</w:t>
      </w:r>
    </w:p>
    <w:p w14:paraId="45C3B377" w14:textId="122D4EF3" w:rsidR="004C1EF9" w:rsidRPr="008B1B73" w:rsidRDefault="004C1EF9" w:rsidP="004C1EF9">
      <w:pPr>
        <w:pStyle w:val="BodyText"/>
        <w:rPr>
          <w:rFonts w:cs="Arial"/>
        </w:rPr>
      </w:pPr>
      <w:r w:rsidRPr="008B1B73">
        <w:rPr>
          <w:rFonts w:cs="Arial"/>
        </w:rPr>
        <w:t xml:space="preserve">To resolve the issue discussed above, automatic accreditation constraints could be implemented. This would require a system to be developed such that, after a capacity trade had taken place, and </w:t>
      </w:r>
      <w:r w:rsidR="004C2EDF">
        <w:rPr>
          <w:rFonts w:cs="Arial"/>
        </w:rPr>
        <w:t xml:space="preserve">capacity </w:t>
      </w:r>
      <w:r w:rsidRPr="008B1B73">
        <w:rPr>
          <w:rFonts w:cs="Arial"/>
        </w:rPr>
        <w:t>was transferred, the DWGM system would receive information on the size of the capacity product purchased. The DWGM system would then convert this into a MHQ constraint in accordance with a pre-determined factor, such as 1/24.</w:t>
      </w:r>
      <w:r w:rsidR="00230209">
        <w:rPr>
          <w:rFonts w:cs="Arial"/>
        </w:rPr>
        <w:t xml:space="preserve"> </w:t>
      </w:r>
      <w:r w:rsidRPr="008B1B73">
        <w:rPr>
          <w:rFonts w:cs="Arial"/>
        </w:rPr>
        <w:t>Automatic accreditation constraints would require AEMO to implement system changes to the GSH and DWGM</w:t>
      </w:r>
      <w:r w:rsidR="00D74E82">
        <w:rPr>
          <w:rFonts w:cs="Arial"/>
        </w:rPr>
        <w:t xml:space="preserve">, the cost of which has not yet </w:t>
      </w:r>
      <w:r w:rsidRPr="008B1B73">
        <w:rPr>
          <w:rFonts w:cs="Arial"/>
        </w:rPr>
        <w:t>been estimated.</w:t>
      </w:r>
    </w:p>
    <w:p w14:paraId="7FC8BEE8" w14:textId="77777777" w:rsidR="004C1EF9" w:rsidRPr="003C5C66" w:rsidRDefault="004C1EF9" w:rsidP="004C1EF9">
      <w:pPr>
        <w:pStyle w:val="BodyText"/>
        <w:rPr>
          <w:rFonts w:cs="Arial"/>
          <w:color w:val="0099CC"/>
        </w:rPr>
      </w:pPr>
      <w:r w:rsidRPr="003C5C66">
        <w:rPr>
          <w:rStyle w:val="Bold"/>
          <w:color w:val="0099CC"/>
        </w:rPr>
        <w:t>Blank accreditation constraints</w:t>
      </w:r>
    </w:p>
    <w:p w14:paraId="5350D2F3" w14:textId="33A3DD72" w:rsidR="004C1EF9" w:rsidRDefault="004C1EF9" w:rsidP="004C1EF9">
      <w:pPr>
        <w:pStyle w:val="BodyText"/>
        <w:rPr>
          <w:rFonts w:cs="Arial"/>
        </w:rPr>
      </w:pPr>
      <w:r w:rsidRPr="008B1B73">
        <w:rPr>
          <w:rFonts w:cs="Arial"/>
        </w:rPr>
        <w:t xml:space="preserve">A third option is for the accreditation constraint to be left blank. While this would not require any additional implementation costs to be incurred, participants may be required to manage their MHQ through the </w:t>
      </w:r>
      <w:r w:rsidR="004C2EDF">
        <w:rPr>
          <w:rFonts w:cs="Arial"/>
        </w:rPr>
        <w:t xml:space="preserve">DWGM </w:t>
      </w:r>
      <w:r w:rsidRPr="008B1B73">
        <w:rPr>
          <w:rFonts w:cs="Arial"/>
        </w:rPr>
        <w:t xml:space="preserve">intraday schedules to avoid penalties on contract carriage pipelines connecting to the DTS, as described above. </w:t>
      </w:r>
    </w:p>
    <w:p w14:paraId="13F0D885" w14:textId="4851A069" w:rsidR="00230209" w:rsidRPr="003C5C66" w:rsidRDefault="00230209" w:rsidP="00230209">
      <w:pPr>
        <w:pStyle w:val="BodyText"/>
        <w:rPr>
          <w:rFonts w:cs="Arial"/>
          <w:color w:val="0099CC"/>
        </w:rPr>
      </w:pPr>
      <w:r>
        <w:rPr>
          <w:rStyle w:val="Bold"/>
          <w:color w:val="0099CC"/>
        </w:rPr>
        <w:t>Preliminary view and questions for stakeholders</w:t>
      </w:r>
      <w:r w:rsidRPr="003C5C66">
        <w:rPr>
          <w:rStyle w:val="Bold"/>
          <w:color w:val="0099CC"/>
        </w:rPr>
        <w:t xml:space="preserve"> </w:t>
      </w:r>
    </w:p>
    <w:p w14:paraId="295A6E48" w14:textId="25CFDBA7" w:rsidR="00230209" w:rsidRDefault="004C2EDF" w:rsidP="004C1EF9">
      <w:pPr>
        <w:pStyle w:val="BodyText"/>
        <w:rPr>
          <w:rFonts w:cs="Arial"/>
        </w:rPr>
      </w:pPr>
      <w:r>
        <w:rPr>
          <w:rStyle w:val="Bold"/>
          <w:b w:val="0"/>
        </w:rPr>
        <w:t>It is not clear on the information currently before t</w:t>
      </w:r>
      <w:r w:rsidR="00230209">
        <w:rPr>
          <w:rStyle w:val="Bold"/>
          <w:b w:val="0"/>
        </w:rPr>
        <w:t xml:space="preserve">he GMRG </w:t>
      </w:r>
      <w:r w:rsidR="002D5C8A">
        <w:rPr>
          <w:rStyle w:val="Bold"/>
          <w:b w:val="0"/>
        </w:rPr>
        <w:t xml:space="preserve">the significance of the </w:t>
      </w:r>
      <w:r w:rsidR="00230209">
        <w:rPr>
          <w:rStyle w:val="Bold"/>
          <w:b w:val="0"/>
        </w:rPr>
        <w:t xml:space="preserve">accreditation constraint issue or the costs and benefits that are associated with these options. </w:t>
      </w:r>
      <w:r w:rsidR="00D74E82">
        <w:rPr>
          <w:rStyle w:val="Bold"/>
          <w:b w:val="0"/>
        </w:rPr>
        <w:t xml:space="preserve">The GMRG </w:t>
      </w:r>
      <w:r w:rsidR="00230209">
        <w:rPr>
          <w:rStyle w:val="Bold"/>
          <w:b w:val="0"/>
        </w:rPr>
        <w:t>is therefore interested in obtaining feedback on these options.</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8.9: Questions on DWGM integration "/>
        <w:tblDescription w:val="Questions on DWGM integration "/>
      </w:tblPr>
      <w:tblGrid>
        <w:gridCol w:w="8788"/>
      </w:tblGrid>
      <w:tr w:rsidR="004C1EF9" w:rsidRPr="0057020B" w14:paraId="49D05FCF" w14:textId="77777777" w:rsidTr="00B91FFF">
        <w:trPr>
          <w:tblHeader/>
        </w:trPr>
        <w:tc>
          <w:tcPr>
            <w:tcW w:w="5000" w:type="pct"/>
            <w:shd w:val="clear" w:color="auto" w:fill="auto"/>
          </w:tcPr>
          <w:p w14:paraId="6546023A" w14:textId="27D826B2" w:rsidR="004C1EF9" w:rsidRPr="00BD0988" w:rsidRDefault="00B91FFF" w:rsidP="00B91FFF">
            <w:pPr>
              <w:pStyle w:val="ListNumber"/>
              <w:numPr>
                <w:ilvl w:val="0"/>
                <w:numId w:val="0"/>
              </w:numPr>
              <w:spacing w:after="0"/>
              <w:ind w:left="357" w:hanging="357"/>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8</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9</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DWGM integration</w:t>
            </w:r>
          </w:p>
        </w:tc>
      </w:tr>
      <w:tr w:rsidR="00B91FFF" w:rsidRPr="0057020B" w14:paraId="12B5A73E" w14:textId="77777777" w:rsidTr="00B91FFF">
        <w:trPr>
          <w:tblHeader/>
        </w:trPr>
        <w:tc>
          <w:tcPr>
            <w:tcW w:w="5000" w:type="pct"/>
            <w:shd w:val="clear" w:color="auto" w:fill="B7E7FF"/>
          </w:tcPr>
          <w:p w14:paraId="28221911" w14:textId="77777777" w:rsidR="00B91FFF" w:rsidRDefault="00B91FFF" w:rsidP="00B91FFF">
            <w:pPr>
              <w:pStyle w:val="ListNumber"/>
              <w:numPr>
                <w:ilvl w:val="0"/>
                <w:numId w:val="23"/>
              </w:numPr>
            </w:pPr>
            <w:r w:rsidRPr="008B1B73">
              <w:t xml:space="preserve">How do </w:t>
            </w:r>
            <w:r>
              <w:t xml:space="preserve">market </w:t>
            </w:r>
            <w:r w:rsidRPr="008B1B73">
              <w:t xml:space="preserve">participants </w:t>
            </w:r>
            <w:r>
              <w:t xml:space="preserve">currently </w:t>
            </w:r>
            <w:r w:rsidRPr="008B1B73">
              <w:t>manage MHQ constraints in the DWGM</w:t>
            </w:r>
            <w:r>
              <w:t xml:space="preserve"> and how significant an issue do you think it is</w:t>
            </w:r>
            <w:r w:rsidRPr="008B1B73">
              <w:t>?</w:t>
            </w:r>
          </w:p>
          <w:p w14:paraId="0F6AEBF9" w14:textId="77777777" w:rsidR="00B91FFF" w:rsidRDefault="00B91FFF" w:rsidP="00B91FFF">
            <w:pPr>
              <w:pStyle w:val="ListNumber"/>
              <w:numPr>
                <w:ilvl w:val="0"/>
                <w:numId w:val="23"/>
              </w:numPr>
            </w:pPr>
            <w:r>
              <w:t xml:space="preserve">Do you think any of the options that have been identified to deal with </w:t>
            </w:r>
            <w:r w:rsidRPr="008B1B73">
              <w:t xml:space="preserve">accreditation constraints should be </w:t>
            </w:r>
            <w:r>
              <w:t xml:space="preserve">implemented? If so, please state which option you think should be implemented and why. </w:t>
            </w:r>
          </w:p>
          <w:p w14:paraId="0A950A37" w14:textId="13EB773E" w:rsidR="00B91FFF" w:rsidRPr="00B91FFF" w:rsidRDefault="00B91FFF" w:rsidP="00B91FFF">
            <w:pPr>
              <w:pStyle w:val="ListNumber"/>
              <w:numPr>
                <w:ilvl w:val="0"/>
                <w:numId w:val="23"/>
              </w:numPr>
            </w:pPr>
            <w:r w:rsidRPr="008B1B73">
              <w:t>To minimise implementation costs for industry, could standing or blank accreditation constraints be used?</w:t>
            </w:r>
          </w:p>
        </w:tc>
      </w:tr>
    </w:tbl>
    <w:p w14:paraId="084A5B92" w14:textId="198B5E81" w:rsidR="00C34E9D" w:rsidRPr="008B1B73" w:rsidRDefault="00F84124" w:rsidP="00C34E9D">
      <w:pPr>
        <w:pStyle w:val="Heading2"/>
      </w:pPr>
      <w:bookmarkStart w:id="199" w:name="_Toc492524766"/>
      <w:r>
        <w:t>Key t</w:t>
      </w:r>
      <w:r w:rsidR="0092582A">
        <w:t>iming</w:t>
      </w:r>
      <w:r>
        <w:t>s on the capacity trading platform</w:t>
      </w:r>
      <w:bookmarkEnd w:id="199"/>
      <w:r>
        <w:t xml:space="preserve"> </w:t>
      </w:r>
    </w:p>
    <w:p w14:paraId="3002FF6D" w14:textId="3653B6D6" w:rsidR="00C34E9D" w:rsidRPr="008B1B73" w:rsidRDefault="004C1EF9" w:rsidP="00BE0FDE">
      <w:pPr>
        <w:pStyle w:val="BodyText"/>
      </w:pPr>
      <w:r>
        <w:rPr>
          <w:rFonts w:cs="Arial"/>
        </w:rPr>
        <w:t>As the preceding discussion highlights, a</w:t>
      </w:r>
      <w:r w:rsidR="00C34E9D" w:rsidRPr="008B1B73">
        <w:rPr>
          <w:rFonts w:cs="Arial"/>
        </w:rPr>
        <w:t xml:space="preserve"> number of activities will need to occur the day prior to the gas day (D-1) for the capacity trading platform and day-ahead auction to </w:t>
      </w:r>
      <w:r>
        <w:rPr>
          <w:rFonts w:cs="Arial"/>
        </w:rPr>
        <w:t xml:space="preserve">function effectively and </w:t>
      </w:r>
      <w:r w:rsidR="0092582A">
        <w:rPr>
          <w:rFonts w:cs="Arial"/>
        </w:rPr>
        <w:t>in the manner envisaged by the AEMC</w:t>
      </w:r>
      <w:r w:rsidR="00C34E9D" w:rsidRPr="008B1B73">
        <w:rPr>
          <w:rFonts w:cs="Arial"/>
        </w:rPr>
        <w:t xml:space="preserve">. </w:t>
      </w:r>
      <w:r w:rsidR="0092582A">
        <w:rPr>
          <w:rFonts w:cs="Arial"/>
        </w:rPr>
        <w:t xml:space="preserve">These activities are illustrated in </w:t>
      </w:r>
      <w:r w:rsidR="00446B58" w:rsidRPr="005A3DCB">
        <w:fldChar w:fldCharType="begin"/>
      </w:r>
      <w:r w:rsidR="00446B58" w:rsidRPr="005A3DCB">
        <w:instrText xml:space="preserve"> REF _Ref491917343 \h </w:instrText>
      </w:r>
      <w:r w:rsidR="005A3DCB" w:rsidRPr="005A3DCB">
        <w:instrText xml:space="preserve"> \* MERGEFORMAT </w:instrText>
      </w:r>
      <w:r w:rsidR="00446B58" w:rsidRPr="005A3DCB">
        <w:fldChar w:fldCharType="separate"/>
      </w:r>
      <w:r w:rsidR="00947034" w:rsidRPr="00947034">
        <w:t xml:space="preserve">Figure </w:t>
      </w:r>
      <w:r w:rsidR="00947034" w:rsidRPr="00947034">
        <w:rPr>
          <w:noProof/>
        </w:rPr>
        <w:t>8.6</w:t>
      </w:r>
      <w:r w:rsidR="00446B58" w:rsidRPr="005A3DCB">
        <w:fldChar w:fldCharType="end"/>
      </w:r>
      <w:r w:rsidR="00BE0FDE">
        <w:t xml:space="preserve"> using an indicative nomination cut-off time of 4 pm</w:t>
      </w:r>
      <w:r w:rsidR="004C2EDF">
        <w:t xml:space="preserve"> and assuming a </w:t>
      </w:r>
      <w:r w:rsidR="004C2EDF" w:rsidRPr="008B1B73">
        <w:rPr>
          <w:rFonts w:cs="Arial"/>
        </w:rPr>
        <w:t>fully anonymous and automated approach to transferring capacity.</w:t>
      </w:r>
    </w:p>
    <w:p w14:paraId="194D453C" w14:textId="7F056BE7" w:rsidR="00446B58" w:rsidRPr="00446B58" w:rsidRDefault="00446B58" w:rsidP="004C2EDF">
      <w:pPr>
        <w:pStyle w:val="BodyText"/>
        <w:keepNext/>
        <w:rPr>
          <w:b/>
        </w:rPr>
      </w:pPr>
      <w:bookmarkStart w:id="200" w:name="_Ref491917343"/>
      <w:r w:rsidRPr="00446B58">
        <w:rPr>
          <w:b/>
        </w:rPr>
        <w:lastRenderedPageBreak/>
        <w:t xml:space="preserve">Figure </w:t>
      </w:r>
      <w:r>
        <w:rPr>
          <w:b/>
        </w:rPr>
        <w:fldChar w:fldCharType="begin"/>
      </w:r>
      <w:r>
        <w:rPr>
          <w:b/>
        </w:rPr>
        <w:instrText xml:space="preserve"> STYLEREF 1 \s </w:instrText>
      </w:r>
      <w:r>
        <w:rPr>
          <w:b/>
        </w:rPr>
        <w:fldChar w:fldCharType="separate"/>
      </w:r>
      <w:r w:rsidR="00947034">
        <w:rPr>
          <w:b/>
          <w:noProof/>
        </w:rPr>
        <w:t>8</w:t>
      </w:r>
      <w:r>
        <w:rPr>
          <w:b/>
        </w:rPr>
        <w:fldChar w:fldCharType="end"/>
      </w:r>
      <w:r>
        <w:rPr>
          <w:b/>
        </w:rPr>
        <w:t>.</w:t>
      </w:r>
      <w:r>
        <w:rPr>
          <w:b/>
        </w:rPr>
        <w:fldChar w:fldCharType="begin"/>
      </w:r>
      <w:r>
        <w:rPr>
          <w:b/>
        </w:rPr>
        <w:instrText xml:space="preserve"> SEQ Figure \* ARABIC \s 1 </w:instrText>
      </w:r>
      <w:r>
        <w:rPr>
          <w:b/>
        </w:rPr>
        <w:fldChar w:fldCharType="separate"/>
      </w:r>
      <w:r w:rsidR="00947034">
        <w:rPr>
          <w:b/>
          <w:noProof/>
        </w:rPr>
        <w:t>6</w:t>
      </w:r>
      <w:r>
        <w:rPr>
          <w:b/>
        </w:rPr>
        <w:fldChar w:fldCharType="end"/>
      </w:r>
      <w:bookmarkEnd w:id="200"/>
      <w:r w:rsidRPr="00446B58">
        <w:rPr>
          <w:b/>
        </w:rPr>
        <w:t>: Illustrative D-1 timeline</w:t>
      </w:r>
    </w:p>
    <w:p w14:paraId="6FF92AC4" w14:textId="770D674A" w:rsidR="00C34E9D" w:rsidRPr="008B1B73" w:rsidRDefault="00446B58" w:rsidP="00C34E9D">
      <w:pPr>
        <w:pStyle w:val="BodyText"/>
        <w:rPr>
          <w:rStyle w:val="Bold"/>
        </w:rPr>
      </w:pPr>
      <w:r>
        <w:rPr>
          <w:rStyle w:val="Bold"/>
          <w:noProof/>
        </w:rPr>
        <w:drawing>
          <wp:inline distT="0" distB="0" distL="0" distR="0" wp14:anchorId="7B619F20" wp14:editId="6279ABAD">
            <wp:extent cx="5602605" cy="1816735"/>
            <wp:effectExtent l="0" t="0" r="0" b="0"/>
            <wp:docPr id="16" name="Picture 16" descr="Illustrative D-1 timeline" title="Figure 8.6: Illustrative D-1 tim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02605" cy="1816735"/>
                    </a:xfrm>
                    <a:prstGeom prst="rect">
                      <a:avLst/>
                    </a:prstGeom>
                    <a:noFill/>
                  </pic:spPr>
                </pic:pic>
              </a:graphicData>
            </a:graphic>
          </wp:inline>
        </w:drawing>
      </w:r>
    </w:p>
    <w:p w14:paraId="5D88A582" w14:textId="060B1273" w:rsidR="00BE0FDE" w:rsidRDefault="00BE0FDE" w:rsidP="00BE0FDE">
      <w:pPr>
        <w:pStyle w:val="BodyText"/>
      </w:pPr>
      <w:r>
        <w:t xml:space="preserve">As this figure shows, gas day D-1 </w:t>
      </w:r>
      <w:r w:rsidRPr="008B1B73">
        <w:t>can be broken into two periods</w:t>
      </w:r>
      <w:r>
        <w:t xml:space="preserve">, with Period 1 containing all the activities associated with the capacity trading platform, while Period 2 contains all the activities associated with the day-ahead auction. In Period 1, the following assumptions have been made about the timing of the various activities, which have been developed as offsets from the </w:t>
      </w:r>
      <w:r w:rsidR="0076167D">
        <w:t xml:space="preserve">current range of </w:t>
      </w:r>
      <w:r>
        <w:t>nomination cut-off time</w:t>
      </w:r>
      <w:r w:rsidR="0076167D">
        <w:t xml:space="preserve">s in place in the east coast (see </w:t>
      </w:r>
      <w:r w:rsidR="0076167D">
        <w:fldChar w:fldCharType="begin"/>
      </w:r>
      <w:r w:rsidR="0076167D">
        <w:instrText xml:space="preserve"> REF _Ref490636402 \h </w:instrText>
      </w:r>
      <w:r w:rsidR="0076167D">
        <w:fldChar w:fldCharType="separate"/>
      </w:r>
      <w:r w:rsidR="00947034">
        <w:t xml:space="preserve">Table </w:t>
      </w:r>
      <w:r w:rsidR="00947034">
        <w:rPr>
          <w:noProof/>
        </w:rPr>
        <w:t>5</w:t>
      </w:r>
      <w:r w:rsidR="00947034">
        <w:t>.</w:t>
      </w:r>
      <w:r w:rsidR="00947034">
        <w:rPr>
          <w:noProof/>
        </w:rPr>
        <w:t>2</w:t>
      </w:r>
      <w:r w:rsidR="0076167D">
        <w:fldChar w:fldCharType="end"/>
      </w:r>
      <w:r w:rsidR="0076167D">
        <w:t>)</w:t>
      </w:r>
      <w:r>
        <w:t>:</w:t>
      </w:r>
    </w:p>
    <w:p w14:paraId="56DA7CB5" w14:textId="1112AAC1" w:rsidR="00C34E9D" w:rsidRPr="008B1B73" w:rsidRDefault="00BE0FDE" w:rsidP="005C4789">
      <w:pPr>
        <w:pStyle w:val="ListBullet"/>
        <w:numPr>
          <w:ilvl w:val="0"/>
          <w:numId w:val="49"/>
        </w:numPr>
      </w:pPr>
      <w:r>
        <w:t>The trade of d</w:t>
      </w:r>
      <w:r w:rsidR="00C34E9D" w:rsidRPr="008B1B73">
        <w:t xml:space="preserve">ay-ahead </w:t>
      </w:r>
      <w:r w:rsidR="00C34E9D" w:rsidRPr="004C2EDF">
        <w:t>pro</w:t>
      </w:r>
      <w:r w:rsidR="0057787B" w:rsidRPr="004C2EDF">
        <w:t xml:space="preserve">ducts </w:t>
      </w:r>
      <w:r w:rsidR="004C2EDF" w:rsidRPr="004C2EDF">
        <w:t xml:space="preserve">would </w:t>
      </w:r>
      <w:r w:rsidRPr="004C2EDF">
        <w:t xml:space="preserve">cease </w:t>
      </w:r>
      <w:r w:rsidR="0057787B" w:rsidRPr="004C2EDF">
        <w:t>at 11</w:t>
      </w:r>
      <w:r w:rsidR="004C2EDF" w:rsidRPr="004C2EDF">
        <w:t xml:space="preserve"> </w:t>
      </w:r>
      <w:r w:rsidR="0057787B" w:rsidRPr="004C2EDF">
        <w:t>am</w:t>
      </w:r>
      <w:r w:rsidR="004C2EDF" w:rsidRPr="004C2EDF">
        <w:t xml:space="preserve"> (i.e</w:t>
      </w:r>
      <w:r w:rsidR="004C2EDF">
        <w:t>.</w:t>
      </w:r>
      <w:r w:rsidR="004C2EDF" w:rsidRPr="004C2EDF">
        <w:t xml:space="preserve"> 2.5</w:t>
      </w:r>
      <w:r w:rsidR="000A48AC">
        <w:t xml:space="preserve"> to </w:t>
      </w:r>
      <w:r w:rsidR="004C2EDF" w:rsidRPr="004C2EDF">
        <w:t xml:space="preserve">3 hours before the earliest nomination cut-off time in the east coast – see </w:t>
      </w:r>
      <w:r w:rsidR="004C2EDF" w:rsidRPr="004C2EDF">
        <w:fldChar w:fldCharType="begin"/>
      </w:r>
      <w:r w:rsidR="004C2EDF" w:rsidRPr="004C2EDF">
        <w:instrText xml:space="preserve"> REF _Ref490636402 \h </w:instrText>
      </w:r>
      <w:r w:rsidR="004C2EDF">
        <w:instrText xml:space="preserve"> \* MERGEFORMAT </w:instrText>
      </w:r>
      <w:r w:rsidR="004C2EDF" w:rsidRPr="004C2EDF">
        <w:fldChar w:fldCharType="separate"/>
      </w:r>
      <w:r w:rsidR="00947034">
        <w:t xml:space="preserve">Table </w:t>
      </w:r>
      <w:r w:rsidR="00947034">
        <w:rPr>
          <w:noProof/>
        </w:rPr>
        <w:t>5.2</w:t>
      </w:r>
      <w:r w:rsidR="004C2EDF" w:rsidRPr="004C2EDF">
        <w:fldChar w:fldCharType="end"/>
      </w:r>
      <w:r w:rsidR="004C2EDF" w:rsidRPr="004C2EDF">
        <w:t>)</w:t>
      </w:r>
      <w:r w:rsidR="0057787B" w:rsidRPr="004C2EDF">
        <w:t>.</w:t>
      </w:r>
    </w:p>
    <w:p w14:paraId="16EF05F8" w14:textId="304F89E2" w:rsidR="00C34E9D" w:rsidRPr="008B1B73" w:rsidRDefault="00C34E9D" w:rsidP="005C4789">
      <w:pPr>
        <w:pStyle w:val="ListBullet"/>
        <w:numPr>
          <w:ilvl w:val="0"/>
          <w:numId w:val="48"/>
        </w:numPr>
      </w:pPr>
      <w:r w:rsidRPr="008B1B73">
        <w:t xml:space="preserve">Within 15 minutes </w:t>
      </w:r>
      <w:r w:rsidR="00BE0FDE">
        <w:t xml:space="preserve">of trade closing, </w:t>
      </w:r>
      <w:r w:rsidRPr="008B1B73">
        <w:t xml:space="preserve">AEMO </w:t>
      </w:r>
      <w:r w:rsidR="004C2EDF">
        <w:t>would</w:t>
      </w:r>
      <w:r w:rsidR="00BE0FDE">
        <w:t xml:space="preserve"> send</w:t>
      </w:r>
      <w:r w:rsidRPr="008B1B73">
        <w:t xml:space="preserve"> </w:t>
      </w:r>
      <w:r w:rsidR="00BE0FDE">
        <w:t>the net position</w:t>
      </w:r>
      <w:r w:rsidRPr="008B1B73">
        <w:t xml:space="preserve"> to </w:t>
      </w:r>
      <w:r w:rsidR="00734F1F">
        <w:t>service provider</w:t>
      </w:r>
      <w:r w:rsidR="0057787B">
        <w:t>s</w:t>
      </w:r>
      <w:r w:rsidR="00BE0FDE">
        <w:t xml:space="preserve"> for </w:t>
      </w:r>
      <w:r w:rsidR="004C2EDF">
        <w:t>trades conducted in the last 24 hours</w:t>
      </w:r>
      <w:r w:rsidR="0057787B">
        <w:t>.</w:t>
      </w:r>
    </w:p>
    <w:p w14:paraId="6AC4C93E" w14:textId="2279ACDE" w:rsidR="00C34E9D" w:rsidRPr="008B1B73" w:rsidRDefault="00734F1F" w:rsidP="005C4789">
      <w:pPr>
        <w:pStyle w:val="ListBullet"/>
        <w:numPr>
          <w:ilvl w:val="0"/>
          <w:numId w:val="48"/>
        </w:numPr>
      </w:pPr>
      <w:r>
        <w:t>Service provider</w:t>
      </w:r>
      <w:r w:rsidR="00C34E9D" w:rsidRPr="008B1B73">
        <w:t xml:space="preserve">s </w:t>
      </w:r>
      <w:r w:rsidR="004C2EDF">
        <w:t xml:space="preserve">would </w:t>
      </w:r>
      <w:r w:rsidR="00C34E9D" w:rsidRPr="008B1B73">
        <w:t xml:space="preserve">have </w:t>
      </w:r>
      <w:r w:rsidR="0076167D">
        <w:t xml:space="preserve">until one hour prior to nomination cut-off time to </w:t>
      </w:r>
      <w:r w:rsidR="00C34E9D" w:rsidRPr="008B1B73">
        <w:t xml:space="preserve">transfer </w:t>
      </w:r>
      <w:r w:rsidR="0076167D">
        <w:t xml:space="preserve">the </w:t>
      </w:r>
      <w:r w:rsidR="00723C4D">
        <w:t>capacity</w:t>
      </w:r>
      <w:r w:rsidR="00C34E9D" w:rsidRPr="008B1B73">
        <w:t xml:space="preserve"> </w:t>
      </w:r>
      <w:r w:rsidR="00BE0FDE">
        <w:t xml:space="preserve">between the trading shippers </w:t>
      </w:r>
      <w:r w:rsidR="00C34E9D" w:rsidRPr="008B1B73">
        <w:t xml:space="preserve">and </w:t>
      </w:r>
      <w:r w:rsidR="00BE0FDE">
        <w:t xml:space="preserve">to </w:t>
      </w:r>
      <w:r w:rsidR="00C34E9D" w:rsidRPr="008B1B73">
        <w:t xml:space="preserve">send confirmations to </w:t>
      </w:r>
      <w:r w:rsidR="00BE0FDE">
        <w:t xml:space="preserve">AEMO and </w:t>
      </w:r>
      <w:r w:rsidR="006E6F2C">
        <w:t xml:space="preserve">the </w:t>
      </w:r>
      <w:r w:rsidR="004C2EDF">
        <w:t xml:space="preserve">buyer </w:t>
      </w:r>
      <w:r w:rsidR="0057787B">
        <w:t>that the transfers are complete.</w:t>
      </w:r>
    </w:p>
    <w:p w14:paraId="1A693AAC" w14:textId="68EFABAC" w:rsidR="00C34E9D" w:rsidRDefault="00C34E9D" w:rsidP="005C4789">
      <w:pPr>
        <w:pStyle w:val="ListBullet"/>
        <w:numPr>
          <w:ilvl w:val="0"/>
          <w:numId w:val="48"/>
        </w:numPr>
      </w:pPr>
      <w:r w:rsidRPr="008B1B73">
        <w:t xml:space="preserve">Shippers </w:t>
      </w:r>
      <w:r w:rsidR="004C2EDF">
        <w:t xml:space="preserve">would </w:t>
      </w:r>
      <w:r w:rsidRPr="008B1B73">
        <w:t xml:space="preserve">then have </w:t>
      </w:r>
      <w:r w:rsidR="00BE0FDE">
        <w:t>one</w:t>
      </w:r>
      <w:r w:rsidRPr="008B1B73">
        <w:t xml:space="preserve"> hour to </w:t>
      </w:r>
      <w:r w:rsidR="00BE0FDE">
        <w:t xml:space="preserve">submit their </w:t>
      </w:r>
      <w:r w:rsidRPr="008B1B73">
        <w:t xml:space="preserve">nominations </w:t>
      </w:r>
      <w:r w:rsidR="0076167D">
        <w:t xml:space="preserve">for </w:t>
      </w:r>
      <w:r w:rsidR="00BE0FDE">
        <w:t xml:space="preserve">any day-ahead </w:t>
      </w:r>
      <w:r w:rsidRPr="008B1B73">
        <w:t>capacity they have purchased on the exchange.</w:t>
      </w:r>
      <w:r w:rsidR="00BE0FDE">
        <w:t xml:space="preserve"> </w:t>
      </w:r>
    </w:p>
    <w:p w14:paraId="4731B0B2" w14:textId="197C18B7" w:rsidR="00BE0FDE" w:rsidRDefault="00BE0FDE" w:rsidP="005C4789">
      <w:pPr>
        <w:pStyle w:val="ListBullet"/>
        <w:numPr>
          <w:ilvl w:val="0"/>
          <w:numId w:val="48"/>
        </w:numPr>
      </w:pPr>
      <w:r>
        <w:t xml:space="preserve">AEMO </w:t>
      </w:r>
      <w:r w:rsidR="004C2EDF">
        <w:t xml:space="preserve">would </w:t>
      </w:r>
      <w:r>
        <w:t>also have one hour to transfer STTM rights</w:t>
      </w:r>
      <w:r w:rsidR="0076167D">
        <w:t xml:space="preserve"> for gas day D+1.</w:t>
      </w:r>
    </w:p>
    <w:p w14:paraId="2B452FFF" w14:textId="7B432C62" w:rsidR="0076167D" w:rsidRDefault="00063820" w:rsidP="0076167D">
      <w:pPr>
        <w:pStyle w:val="BodyText"/>
      </w:pPr>
      <w:r>
        <w:t xml:space="preserve">The GMRG understands that some market participants may prefer to trade day-ahead products for a longer period than has been assumed in </w:t>
      </w:r>
      <w:r w:rsidRPr="005A3DCB">
        <w:fldChar w:fldCharType="begin"/>
      </w:r>
      <w:r w:rsidRPr="005A3DCB">
        <w:instrText xml:space="preserve"> REF _Ref491917343 \h  \* MERGEFORMAT </w:instrText>
      </w:r>
      <w:r w:rsidRPr="005A3DCB">
        <w:fldChar w:fldCharType="separate"/>
      </w:r>
      <w:r w:rsidR="00947034" w:rsidRPr="00947034">
        <w:t xml:space="preserve">Figure </w:t>
      </w:r>
      <w:r w:rsidR="00947034" w:rsidRPr="00947034">
        <w:rPr>
          <w:noProof/>
        </w:rPr>
        <w:t>8.6</w:t>
      </w:r>
      <w:r w:rsidRPr="005A3DCB">
        <w:fldChar w:fldCharType="end"/>
      </w:r>
      <w:r>
        <w:t xml:space="preserve">, but the only way this could occur is if the </w:t>
      </w:r>
      <w:r w:rsidR="0076167D" w:rsidRPr="008B1B73">
        <w:t xml:space="preserve">time </w:t>
      </w:r>
      <w:r>
        <w:t xml:space="preserve">allowed </w:t>
      </w:r>
      <w:r w:rsidR="0076167D" w:rsidRPr="008B1B73">
        <w:t xml:space="preserve">for </w:t>
      </w:r>
      <w:r w:rsidR="0076167D">
        <w:t>service provider</w:t>
      </w:r>
      <w:r w:rsidR="0076167D" w:rsidRPr="008B1B73">
        <w:t xml:space="preserve">s to transfer </w:t>
      </w:r>
      <w:r>
        <w:t xml:space="preserve">the </w:t>
      </w:r>
      <w:r w:rsidR="00723C4D">
        <w:t>capacity</w:t>
      </w:r>
      <w:r w:rsidR="0076167D" w:rsidRPr="008B1B73">
        <w:t xml:space="preserve"> and </w:t>
      </w:r>
      <w:r>
        <w:t xml:space="preserve">for </w:t>
      </w:r>
      <w:r w:rsidR="0076167D" w:rsidRPr="008B1B73">
        <w:t xml:space="preserve">shippers to </w:t>
      </w:r>
      <w:r>
        <w:t xml:space="preserve">make their nominations was </w:t>
      </w:r>
      <w:r w:rsidR="0076167D" w:rsidRPr="008B1B73">
        <w:t xml:space="preserve">reduced. </w:t>
      </w:r>
      <w:r w:rsidRPr="008B1B73">
        <w:rPr>
          <w:rFonts w:cs="Arial"/>
        </w:rPr>
        <w:t xml:space="preserve">While it is unlikely to take </w:t>
      </w:r>
      <w:r>
        <w:rPr>
          <w:rFonts w:cs="Arial"/>
        </w:rPr>
        <w:t>service provider</w:t>
      </w:r>
      <w:r w:rsidRPr="008B1B73">
        <w:rPr>
          <w:rFonts w:cs="Arial"/>
        </w:rPr>
        <w:t xml:space="preserve">s </w:t>
      </w:r>
      <w:r>
        <w:rPr>
          <w:rFonts w:cs="Arial"/>
        </w:rPr>
        <w:t xml:space="preserve">as long as has been assumed </w:t>
      </w:r>
      <w:r w:rsidR="006E6F2C">
        <w:rPr>
          <w:rFonts w:cs="Arial"/>
        </w:rPr>
        <w:t xml:space="preserve">in </w:t>
      </w:r>
      <w:r w:rsidR="006E6F2C" w:rsidRPr="005A3DCB">
        <w:fldChar w:fldCharType="begin"/>
      </w:r>
      <w:r w:rsidR="006E6F2C" w:rsidRPr="005A3DCB">
        <w:instrText xml:space="preserve"> REF _Ref491917343 \h  \* MERGEFORMAT </w:instrText>
      </w:r>
      <w:r w:rsidR="006E6F2C" w:rsidRPr="005A3DCB">
        <w:fldChar w:fldCharType="separate"/>
      </w:r>
      <w:r w:rsidR="00947034" w:rsidRPr="00947034">
        <w:t xml:space="preserve">Figure </w:t>
      </w:r>
      <w:r w:rsidR="00947034" w:rsidRPr="00947034">
        <w:rPr>
          <w:noProof/>
        </w:rPr>
        <w:t>8.6</w:t>
      </w:r>
      <w:r w:rsidR="006E6F2C" w:rsidRPr="005A3DCB">
        <w:fldChar w:fldCharType="end"/>
      </w:r>
      <w:r w:rsidR="006E6F2C">
        <w:rPr>
          <w:rFonts w:cs="Arial"/>
        </w:rPr>
        <w:t xml:space="preserve"> </w:t>
      </w:r>
      <w:r w:rsidRPr="008B1B73">
        <w:rPr>
          <w:rFonts w:cs="Arial"/>
        </w:rPr>
        <w:t xml:space="preserve">to transfer </w:t>
      </w:r>
      <w:r>
        <w:rPr>
          <w:rFonts w:cs="Arial"/>
        </w:rPr>
        <w:t xml:space="preserve">the </w:t>
      </w:r>
      <w:r w:rsidR="00723C4D">
        <w:rPr>
          <w:rFonts w:cs="Arial"/>
        </w:rPr>
        <w:t>capacity</w:t>
      </w:r>
      <w:r w:rsidRPr="008B1B73">
        <w:rPr>
          <w:rFonts w:cs="Arial"/>
        </w:rPr>
        <w:t xml:space="preserve">, </w:t>
      </w:r>
      <w:r>
        <w:rPr>
          <w:rFonts w:cs="Arial"/>
        </w:rPr>
        <w:t xml:space="preserve">additional </w:t>
      </w:r>
      <w:r w:rsidRPr="008B1B73">
        <w:rPr>
          <w:rFonts w:cs="Arial"/>
        </w:rPr>
        <w:t xml:space="preserve">time has been allowed to </w:t>
      </w:r>
      <w:r w:rsidR="004C2EDF">
        <w:rPr>
          <w:rFonts w:cs="Arial"/>
        </w:rPr>
        <w:t xml:space="preserve">enable </w:t>
      </w:r>
      <w:r w:rsidRPr="008B1B73">
        <w:rPr>
          <w:rFonts w:cs="Arial"/>
        </w:rPr>
        <w:t xml:space="preserve">any unanticipated system and process issues </w:t>
      </w:r>
      <w:r w:rsidR="004C2EDF">
        <w:rPr>
          <w:rFonts w:cs="Arial"/>
        </w:rPr>
        <w:t xml:space="preserve">to be resolved. The GMRG is nevertheless </w:t>
      </w:r>
      <w:r w:rsidR="004C2EDF">
        <w:t>interested in hearing stakeholders’ views on the proposed timings.</w:t>
      </w:r>
    </w:p>
    <w:p w14:paraId="0E7923C8" w14:textId="3568F3BD" w:rsidR="00063820" w:rsidRDefault="00063820" w:rsidP="0076167D">
      <w:pPr>
        <w:pStyle w:val="BodyText"/>
        <w:rPr>
          <w:rFonts w:cs="Arial"/>
        </w:rPr>
      </w:pPr>
      <w:r>
        <w:rPr>
          <w:rFonts w:cs="Arial"/>
        </w:rPr>
        <w:t>Finally, it is worth noting that t</w:t>
      </w:r>
      <w:r w:rsidR="0076167D" w:rsidRPr="008B1B73">
        <w:rPr>
          <w:rFonts w:cs="Arial"/>
        </w:rPr>
        <w:t xml:space="preserve">he GSH exchange can be configured </w:t>
      </w:r>
      <w:r>
        <w:rPr>
          <w:rFonts w:cs="Arial"/>
        </w:rPr>
        <w:t xml:space="preserve">to enable the trade of day-ahead products to </w:t>
      </w:r>
      <w:r w:rsidR="004354FA">
        <w:rPr>
          <w:rFonts w:cs="Arial"/>
        </w:rPr>
        <w:t xml:space="preserve">close at </w:t>
      </w:r>
      <w:r>
        <w:rPr>
          <w:rFonts w:cs="Arial"/>
        </w:rPr>
        <w:t xml:space="preserve">either: </w:t>
      </w:r>
    </w:p>
    <w:p w14:paraId="5AAF6486" w14:textId="22A957A2" w:rsidR="00063820" w:rsidRDefault="00063820" w:rsidP="004354FA">
      <w:pPr>
        <w:pStyle w:val="ListBullet"/>
      </w:pPr>
      <w:r>
        <w:t xml:space="preserve">a </w:t>
      </w:r>
      <w:r w:rsidR="004354FA">
        <w:t xml:space="preserve">uniform </w:t>
      </w:r>
      <w:r>
        <w:t xml:space="preserve">time </w:t>
      </w:r>
      <w:r w:rsidR="004354FA">
        <w:t xml:space="preserve">across all pipelines </w:t>
      </w:r>
      <w:r>
        <w:t>(e.g. 11 am); or</w:t>
      </w:r>
    </w:p>
    <w:p w14:paraId="0CE3B756" w14:textId="77777777" w:rsidR="004354FA" w:rsidRDefault="004354FA" w:rsidP="004354FA">
      <w:pPr>
        <w:pStyle w:val="ListBullet"/>
      </w:pPr>
      <w:r>
        <w:t>different times depending on the pipeline’s nomination cut-off time</w:t>
      </w:r>
      <w:r w:rsidR="0076167D" w:rsidRPr="008B1B73">
        <w:t xml:space="preserve">. </w:t>
      </w:r>
    </w:p>
    <w:p w14:paraId="2A2B3D1D" w14:textId="1EC20D3D" w:rsidR="0076167D" w:rsidRPr="008B1B73" w:rsidRDefault="004354FA" w:rsidP="0076167D">
      <w:pPr>
        <w:pStyle w:val="BodyText"/>
      </w:pPr>
      <w:r>
        <w:rPr>
          <w:rFonts w:cs="Arial"/>
        </w:rPr>
        <w:t xml:space="preserve">While </w:t>
      </w:r>
      <w:r w:rsidR="0076167D" w:rsidRPr="008B1B73">
        <w:rPr>
          <w:rFonts w:cs="Arial"/>
        </w:rPr>
        <w:t xml:space="preserve">different cut-off times for day-ahead products would provide participants with more flexibility, it might add to complexity for little additional benefit. </w:t>
      </w:r>
    </w:p>
    <w:p w14:paraId="075813D8" w14:textId="052F3ED6" w:rsidR="0076167D" w:rsidRDefault="0076167D" w:rsidP="0076167D">
      <w:pPr>
        <w:pStyle w:val="BodyText"/>
      </w:pPr>
      <w:r>
        <w:lastRenderedPageBreak/>
        <w:t xml:space="preserve">The GMRG’s preliminary view is that a </w:t>
      </w:r>
      <w:r w:rsidR="004C2EDF">
        <w:t xml:space="preserve">uniform </w:t>
      </w:r>
      <w:r>
        <w:t>close of trading time should be adopted, but it is interested in obtaining stakeholders’ views on the two options.</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8.10: Questions on the timing of activities on D-1 "/>
        <w:tblDescription w:val="Questions on the timing of activities on D-1 "/>
      </w:tblPr>
      <w:tblGrid>
        <w:gridCol w:w="8788"/>
      </w:tblGrid>
      <w:tr w:rsidR="0076167D" w:rsidRPr="0057020B" w14:paraId="1E4C8795" w14:textId="77777777" w:rsidTr="00B91FFF">
        <w:trPr>
          <w:tblHeader/>
        </w:trPr>
        <w:tc>
          <w:tcPr>
            <w:tcW w:w="5000" w:type="pct"/>
            <w:shd w:val="clear" w:color="auto" w:fill="auto"/>
          </w:tcPr>
          <w:p w14:paraId="25468AEE" w14:textId="67735EC4" w:rsidR="003B1C54" w:rsidRPr="00BD0988" w:rsidRDefault="00B91FFF" w:rsidP="00B91FFF">
            <w:pPr>
              <w:pStyle w:val="ListNumber"/>
              <w:numPr>
                <w:ilvl w:val="0"/>
                <w:numId w:val="0"/>
              </w:numPr>
              <w:ind w:left="360" w:hanging="360"/>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8</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10</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the timing of activities on D-1</w:t>
            </w:r>
          </w:p>
        </w:tc>
      </w:tr>
      <w:tr w:rsidR="00B91FFF" w:rsidRPr="0057020B" w14:paraId="35CFDFAC" w14:textId="77777777" w:rsidTr="00B91FFF">
        <w:trPr>
          <w:tblHeader/>
        </w:trPr>
        <w:tc>
          <w:tcPr>
            <w:tcW w:w="5000" w:type="pct"/>
            <w:shd w:val="clear" w:color="auto" w:fill="B7E7FF"/>
          </w:tcPr>
          <w:p w14:paraId="78450766" w14:textId="77777777" w:rsidR="00B91FFF" w:rsidRDefault="00B91FFF" w:rsidP="00B91FFF">
            <w:pPr>
              <w:pStyle w:val="ListNumber"/>
              <w:numPr>
                <w:ilvl w:val="0"/>
                <w:numId w:val="23"/>
              </w:numPr>
            </w:pPr>
            <w:r>
              <w:t xml:space="preserve">Do you agree with the proposed </w:t>
            </w:r>
            <w:r w:rsidRPr="008B1B73">
              <w:t>timing offsets for D-1 activities</w:t>
            </w:r>
            <w:r>
              <w:t xml:space="preserve">? If not, </w:t>
            </w:r>
            <w:r w:rsidRPr="008B1B73">
              <w:t xml:space="preserve">how long </w:t>
            </w:r>
            <w:r>
              <w:t xml:space="preserve">do you think </w:t>
            </w:r>
            <w:r w:rsidRPr="008B1B73">
              <w:t>should be allowed for each activity?</w:t>
            </w:r>
          </w:p>
          <w:p w14:paraId="6A0AF415" w14:textId="77777777" w:rsidR="00B91FFF" w:rsidRDefault="00B91FFF" w:rsidP="00B91FFF">
            <w:pPr>
              <w:pStyle w:val="ListNumber"/>
              <w:numPr>
                <w:ilvl w:val="0"/>
                <w:numId w:val="23"/>
              </w:numPr>
            </w:pPr>
            <w:r>
              <w:t xml:space="preserve">Do you think a uniform close of trading time should be adopted or different close of trading times? </w:t>
            </w:r>
          </w:p>
          <w:p w14:paraId="4F4C1BB5" w14:textId="4142AA5D" w:rsidR="00B91FFF" w:rsidRPr="00B91FFF" w:rsidRDefault="00B91FFF" w:rsidP="00B91FFF">
            <w:pPr>
              <w:pStyle w:val="ListNumber"/>
              <w:numPr>
                <w:ilvl w:val="0"/>
                <w:numId w:val="23"/>
              </w:numPr>
            </w:pPr>
            <w:r>
              <w:t>If a uniform close of trading time is to be adopted, do you think 11 am is appropriate or do you think another time would be more appropriate (e.g. post the NEM pre-dispatch, which currently occurs shortly after 12.30 pm</w:t>
            </w:r>
            <w:proofErr w:type="gramStart"/>
            <w:r>
              <w:t>) ?</w:t>
            </w:r>
            <w:proofErr w:type="gramEnd"/>
            <w:r>
              <w:t xml:space="preserve"> If you think a later time would be more appropriate, how do you foresee all the activities being carried out prior to nomination cut-off time?</w:t>
            </w:r>
          </w:p>
        </w:tc>
      </w:tr>
    </w:tbl>
    <w:p w14:paraId="455EEFA5" w14:textId="77777777" w:rsidR="0076167D" w:rsidRDefault="0076167D" w:rsidP="0076167D">
      <w:pPr>
        <w:pStyle w:val="ListBullet"/>
        <w:numPr>
          <w:ilvl w:val="0"/>
          <w:numId w:val="0"/>
        </w:numPr>
        <w:ind w:left="357" w:hanging="357"/>
      </w:pPr>
    </w:p>
    <w:p w14:paraId="6120BCD1" w14:textId="0D19CC39" w:rsidR="004D2856" w:rsidRDefault="004D2856" w:rsidP="00446B58">
      <w:pPr>
        <w:pStyle w:val="BodyText"/>
      </w:pPr>
      <w:bookmarkStart w:id="201" w:name="_Toc489464935"/>
      <w:r>
        <w:br w:type="page"/>
      </w:r>
    </w:p>
    <w:p w14:paraId="0911C7D8" w14:textId="43B5456F" w:rsidR="00C34E9D" w:rsidRPr="008B1B73" w:rsidRDefault="00CE2370" w:rsidP="00F65A13">
      <w:pPr>
        <w:pStyle w:val="Heading1"/>
      </w:pPr>
      <w:bookmarkStart w:id="202" w:name="_Toc489464936"/>
      <w:bookmarkStart w:id="203" w:name="_Ref492099928"/>
      <w:bookmarkStart w:id="204" w:name="_Toc492524767"/>
      <w:bookmarkEnd w:id="201"/>
      <w:r>
        <w:lastRenderedPageBreak/>
        <w:t xml:space="preserve">GSH </w:t>
      </w:r>
      <w:r w:rsidR="00F65A13">
        <w:t xml:space="preserve">Settlement and </w:t>
      </w:r>
      <w:r w:rsidR="003529C7">
        <w:t>C</w:t>
      </w:r>
      <w:r w:rsidR="00F65A13">
        <w:t xml:space="preserve">redit </w:t>
      </w:r>
      <w:bookmarkEnd w:id="202"/>
      <w:r w:rsidR="003529C7">
        <w:t>R</w:t>
      </w:r>
      <w:r w:rsidR="00F65A13">
        <w:t xml:space="preserve">isk </w:t>
      </w:r>
      <w:bookmarkEnd w:id="203"/>
      <w:r>
        <w:t>Management</w:t>
      </w:r>
      <w:bookmarkEnd w:id="204"/>
      <w:r>
        <w:t xml:space="preserve"> </w:t>
      </w:r>
    </w:p>
    <w:p w14:paraId="1FC42D5F" w14:textId="6589419E" w:rsidR="00C34E9D" w:rsidRPr="008B1B73" w:rsidRDefault="00C34E9D" w:rsidP="00AE53CB">
      <w:pPr>
        <w:pStyle w:val="BodyText"/>
      </w:pPr>
      <w:r w:rsidRPr="008B1B73">
        <w:rPr>
          <w:rFonts w:cs="Arial"/>
        </w:rPr>
        <w:t xml:space="preserve">Effective settlement and credit risk management processes provide participants with confidence in the integrity of the market. </w:t>
      </w:r>
      <w:r w:rsidR="005958FF">
        <w:rPr>
          <w:rFonts w:cs="Arial"/>
        </w:rPr>
        <w:t xml:space="preserve">The remainder of this chapter provides an overview of the settlement and credit risk management processes </w:t>
      </w:r>
      <w:r w:rsidR="00AE53CB">
        <w:rPr>
          <w:rFonts w:cs="Arial"/>
        </w:rPr>
        <w:t>that are expected to be applied to capacity products purchased through the exchange.</w:t>
      </w:r>
    </w:p>
    <w:p w14:paraId="440D5DF8" w14:textId="21CC1D1F" w:rsidR="00C34E9D" w:rsidRDefault="00B33AD5" w:rsidP="00C34E9D">
      <w:pPr>
        <w:pStyle w:val="Heading2"/>
      </w:pPr>
      <w:bookmarkStart w:id="205" w:name="_Toc492524768"/>
      <w:r>
        <w:t>Centralised s</w:t>
      </w:r>
      <w:r w:rsidR="00C34E9D" w:rsidRPr="008B1B73">
        <w:t xml:space="preserve">ettlement </w:t>
      </w:r>
      <w:r>
        <w:t>system</w:t>
      </w:r>
      <w:bookmarkEnd w:id="205"/>
    </w:p>
    <w:p w14:paraId="566281C8" w14:textId="759415CC" w:rsidR="009E3FEC" w:rsidRPr="008B1B73" w:rsidRDefault="00AE53CB" w:rsidP="009E3FEC">
      <w:pPr>
        <w:pStyle w:val="BodyText"/>
      </w:pPr>
      <w:r>
        <w:t xml:space="preserve">Trades carried out using the screen trading or pre-matched service are settled centrally by AEMO, with settlement amounts calculated </w:t>
      </w:r>
      <w:r w:rsidR="00853064">
        <w:t xml:space="preserve">and reported to each market participant </w:t>
      </w:r>
      <w:r>
        <w:t>on a daily basis.</w:t>
      </w:r>
      <w:r w:rsidR="00853064">
        <w:rPr>
          <w:rStyle w:val="FootnoteReference"/>
        </w:rPr>
        <w:footnoteReference w:id="103"/>
      </w:r>
      <w:r w:rsidR="009E3FEC" w:rsidRPr="008B1B73">
        <w:t xml:space="preserve"> </w:t>
      </w:r>
      <w:r w:rsidR="009E3FEC">
        <w:t xml:space="preserve"> </w:t>
      </w:r>
      <w:r w:rsidR="009E3FEC" w:rsidRPr="008B1B73">
        <w:rPr>
          <w:rFonts w:cs="Arial"/>
        </w:rPr>
        <w:t xml:space="preserve">The daily settlement calculation </w:t>
      </w:r>
      <w:r w:rsidR="009E3FEC">
        <w:rPr>
          <w:rFonts w:cs="Arial"/>
        </w:rPr>
        <w:t xml:space="preserve">enables the </w:t>
      </w:r>
      <w:r w:rsidR="009E3FEC" w:rsidRPr="008B1B73">
        <w:rPr>
          <w:rFonts w:cs="Arial"/>
        </w:rPr>
        <w:t xml:space="preserve">credit risk </w:t>
      </w:r>
      <w:r w:rsidR="009E3FEC">
        <w:rPr>
          <w:rFonts w:cs="Arial"/>
        </w:rPr>
        <w:t>of Trading Participants to be monitored on a daily basis (see section 9.2</w:t>
      </w:r>
      <w:r w:rsidR="00853064">
        <w:rPr>
          <w:rFonts w:cs="Arial"/>
        </w:rPr>
        <w:t xml:space="preserve"> for more detail</w:t>
      </w:r>
      <w:r w:rsidR="009E3FEC">
        <w:rPr>
          <w:rFonts w:cs="Arial"/>
        </w:rPr>
        <w:t>)</w:t>
      </w:r>
      <w:r w:rsidR="009E3FEC" w:rsidRPr="008B1B73">
        <w:rPr>
          <w:rFonts w:cs="Arial"/>
        </w:rPr>
        <w:t xml:space="preserve">. </w:t>
      </w:r>
    </w:p>
    <w:p w14:paraId="31D4888E" w14:textId="37A6C6EC" w:rsidR="00AE53CB" w:rsidRDefault="00AE53CB" w:rsidP="00AE53CB">
      <w:pPr>
        <w:pStyle w:val="BodyText"/>
      </w:pPr>
      <w:r>
        <w:t>The settlement amount for a Trading Participant that has purchased capacity products through the exchange will be calculated having regard to:</w:t>
      </w:r>
    </w:p>
    <w:p w14:paraId="44356A11" w14:textId="7D734322" w:rsidR="00AE53CB" w:rsidRPr="009E3FEC" w:rsidRDefault="00AE53CB" w:rsidP="009E3FEC">
      <w:pPr>
        <w:pStyle w:val="ListBullet"/>
      </w:pPr>
      <w:r w:rsidRPr="009E3FEC">
        <w:t xml:space="preserve">the face value </w:t>
      </w:r>
      <w:r w:rsidR="009E3FEC">
        <w:t xml:space="preserve">(i.e. price x quantity) </w:t>
      </w:r>
      <w:r w:rsidRPr="009E3FEC">
        <w:t>of each transaction the Trading Participant has entered into;</w:t>
      </w:r>
    </w:p>
    <w:p w14:paraId="5032F0A2" w14:textId="27CEF0A9" w:rsidR="00AE53CB" w:rsidRPr="009E3FEC" w:rsidRDefault="00AE53CB" w:rsidP="009E3FEC">
      <w:pPr>
        <w:pStyle w:val="ListBullet"/>
      </w:pPr>
      <w:r w:rsidRPr="009E3FEC">
        <w:rPr>
          <w:rStyle w:val="Bold"/>
          <w:b w:val="0"/>
        </w:rPr>
        <w:t xml:space="preserve">the value of any reallocation that the Trading Participant has entered into (see </w:t>
      </w:r>
      <w:r w:rsidRPr="009E3FEC">
        <w:rPr>
          <w:rStyle w:val="Bold"/>
          <w:b w:val="0"/>
        </w:rPr>
        <w:fldChar w:fldCharType="begin"/>
      </w:r>
      <w:r w:rsidRPr="009E3FEC">
        <w:rPr>
          <w:rStyle w:val="Bold"/>
          <w:b w:val="0"/>
        </w:rPr>
        <w:instrText xml:space="preserve"> REF _Ref492115645 \h </w:instrText>
      </w:r>
      <w:r w:rsidR="009E3FEC" w:rsidRPr="009E3FEC">
        <w:rPr>
          <w:rStyle w:val="Bold"/>
          <w:b w:val="0"/>
        </w:rPr>
        <w:instrText xml:space="preserve"> \* MERGEFORMAT </w:instrText>
      </w:r>
      <w:r w:rsidRPr="009E3FEC">
        <w:rPr>
          <w:rStyle w:val="Bold"/>
          <w:b w:val="0"/>
        </w:rPr>
      </w:r>
      <w:r w:rsidRPr="009E3FEC">
        <w:rPr>
          <w:rStyle w:val="Bold"/>
          <w:b w:val="0"/>
        </w:rPr>
        <w:fldChar w:fldCharType="separate"/>
      </w:r>
      <w:r w:rsidR="00947034" w:rsidRPr="00947034">
        <w:rPr>
          <w:rFonts w:eastAsiaTheme="minorHAnsi" w:cstheme="minorBidi"/>
          <w:bCs/>
          <w:lang w:eastAsia="fr-CA"/>
        </w:rPr>
        <w:t xml:space="preserve">Box </w:t>
      </w:r>
      <w:r w:rsidR="00947034" w:rsidRPr="00947034">
        <w:rPr>
          <w:rFonts w:eastAsiaTheme="minorHAnsi" w:cstheme="minorBidi"/>
          <w:bCs/>
          <w:noProof/>
          <w:lang w:eastAsia="fr-CA"/>
        </w:rPr>
        <w:t>9.1</w:t>
      </w:r>
      <w:r w:rsidRPr="009E3FEC">
        <w:rPr>
          <w:rStyle w:val="Bold"/>
          <w:b w:val="0"/>
        </w:rPr>
        <w:fldChar w:fldCharType="end"/>
      </w:r>
      <w:r w:rsidRPr="009E3FEC">
        <w:rPr>
          <w:rStyle w:val="Bold"/>
          <w:b w:val="0"/>
        </w:rPr>
        <w:t xml:space="preserve"> for more detail on reallocations)</w:t>
      </w:r>
      <w:r w:rsidRPr="009E3FEC">
        <w:t>;</w:t>
      </w:r>
    </w:p>
    <w:p w14:paraId="4D464441" w14:textId="4FD855A5" w:rsidR="00AE53CB" w:rsidRPr="009E3FEC" w:rsidRDefault="00AE53CB" w:rsidP="009E3FEC">
      <w:pPr>
        <w:pStyle w:val="ListBullet"/>
      </w:pPr>
      <w:r w:rsidRPr="009E3FEC">
        <w:rPr>
          <w:rStyle w:val="Bold"/>
          <w:b w:val="0"/>
        </w:rPr>
        <w:t xml:space="preserve">the market fees </w:t>
      </w:r>
      <w:r w:rsidRPr="009E3FEC">
        <w:t>payable by the Trading Participant</w:t>
      </w:r>
      <w:r w:rsidR="009E3FEC" w:rsidRPr="009E3FEC">
        <w:t>; and</w:t>
      </w:r>
    </w:p>
    <w:p w14:paraId="30186837" w14:textId="55F83EFA" w:rsidR="009E3FEC" w:rsidRPr="00AF730D" w:rsidRDefault="00AE53CB" w:rsidP="00AF730D">
      <w:pPr>
        <w:pStyle w:val="ListBullet"/>
      </w:pPr>
      <w:proofErr w:type="gramStart"/>
      <w:r w:rsidRPr="009E3FEC">
        <w:t>any</w:t>
      </w:r>
      <w:proofErr w:type="gramEnd"/>
      <w:r w:rsidRPr="009E3FEC">
        <w:t xml:space="preserve"> miscellaneous settlement items that do not fit into the above categories. </w:t>
      </w:r>
    </w:p>
    <w:tbl>
      <w:tblPr>
        <w:tblStyle w:val="PullOutBoxTable"/>
        <w:tblW w:w="5000" w:type="pct"/>
        <w:tblCellMar>
          <w:top w:w="113" w:type="dxa"/>
          <w:bottom w:w="113" w:type="dxa"/>
        </w:tblCellMar>
        <w:tblLook w:val="0600" w:firstRow="0" w:lastRow="0" w:firstColumn="0" w:lastColumn="0" w:noHBand="1" w:noVBand="1"/>
        <w:tblCaption w:val="Box 9.1: Reallocations "/>
        <w:tblDescription w:val="Reallocations "/>
      </w:tblPr>
      <w:tblGrid>
        <w:gridCol w:w="8788"/>
      </w:tblGrid>
      <w:tr w:rsidR="009E3FEC" w:rsidRPr="00AE53CB" w14:paraId="5886C2FF" w14:textId="77777777" w:rsidTr="00AF730D">
        <w:trPr>
          <w:tblHeader/>
        </w:trPr>
        <w:tc>
          <w:tcPr>
            <w:tcW w:w="5000" w:type="pct"/>
            <w:shd w:val="clear" w:color="auto" w:fill="auto"/>
          </w:tcPr>
          <w:p w14:paraId="4803E576" w14:textId="5AFBA388" w:rsidR="009E3FEC" w:rsidRPr="00AE53CB" w:rsidRDefault="00B91FFF" w:rsidP="00AF730D">
            <w:pPr>
              <w:pStyle w:val="BodyText"/>
              <w:spacing w:before="120" w:after="0"/>
              <w:rPr>
                <w:sz w:val="20"/>
                <w:szCs w:val="20"/>
              </w:rPr>
            </w:pPr>
            <w:bookmarkStart w:id="206" w:name="_Ref492115645"/>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9</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1</w:t>
            </w:r>
            <w:r>
              <w:rPr>
                <w:rFonts w:eastAsiaTheme="minorHAnsi" w:cstheme="minorBidi"/>
                <w:b/>
                <w:bCs/>
                <w:lang w:eastAsia="fr-CA"/>
              </w:rPr>
              <w:fldChar w:fldCharType="end"/>
            </w:r>
            <w:bookmarkEnd w:id="206"/>
            <w:r w:rsidRPr="0057020B">
              <w:rPr>
                <w:rFonts w:eastAsiaTheme="minorHAnsi" w:cstheme="minorBidi"/>
                <w:b/>
                <w:bCs/>
                <w:lang w:eastAsia="fr-CA"/>
              </w:rPr>
              <w:t xml:space="preserve">: </w:t>
            </w:r>
            <w:r>
              <w:rPr>
                <w:rFonts w:eastAsiaTheme="minorHAnsi" w:cstheme="minorBidi"/>
                <w:b/>
                <w:lang w:eastAsia="fr-CA"/>
              </w:rPr>
              <w:t>Reallocations</w:t>
            </w:r>
          </w:p>
        </w:tc>
      </w:tr>
      <w:tr w:rsidR="00B91FFF" w:rsidRPr="00AE53CB" w14:paraId="56991915" w14:textId="77777777" w:rsidTr="00B91FFF">
        <w:trPr>
          <w:tblHeader/>
        </w:trPr>
        <w:tc>
          <w:tcPr>
            <w:tcW w:w="5000" w:type="pct"/>
          </w:tcPr>
          <w:p w14:paraId="636D75C9" w14:textId="77777777" w:rsidR="00B91FFF" w:rsidRPr="00AE53CB" w:rsidRDefault="00B91FFF" w:rsidP="00B91FFF">
            <w:pPr>
              <w:pStyle w:val="BodyText"/>
              <w:spacing w:before="120"/>
              <w:rPr>
                <w:sz w:val="20"/>
                <w:szCs w:val="20"/>
              </w:rPr>
            </w:pPr>
            <w:r w:rsidRPr="00AE53CB">
              <w:rPr>
                <w:rFonts w:cs="Arial"/>
                <w:sz w:val="20"/>
                <w:szCs w:val="20"/>
              </w:rPr>
              <w:t xml:space="preserve">Market participants can use reallocations in the GSH as a way of transferring settlement obligations from one party to another. A reallocation is a financial arrangement between two market participants and AEMO to transfer the settlement commitment between participants. </w:t>
            </w:r>
          </w:p>
          <w:p w14:paraId="794C810C" w14:textId="77777777" w:rsidR="00B91FFF" w:rsidRPr="00AE53CB" w:rsidRDefault="00B91FFF" w:rsidP="00B91FFF">
            <w:pPr>
              <w:pStyle w:val="BodyText"/>
              <w:spacing w:before="120"/>
              <w:rPr>
                <w:sz w:val="20"/>
                <w:szCs w:val="20"/>
              </w:rPr>
            </w:pPr>
            <w:r w:rsidRPr="00AE53CB">
              <w:rPr>
                <w:sz w:val="20"/>
                <w:szCs w:val="20"/>
              </w:rPr>
              <w:t xml:space="preserve">Reallocations can be an efficient way for small market participants to manage their prudential obligations to the GSH because it may be difficult or expensive for a small market participant to secure sufficient credit support from a financial institution. Instead, a participant could enter into a reallocation agreement with a third party, whereby that third party agrees to take on the market participant’s settlement obligation under a commercial arrangement. </w:t>
            </w:r>
          </w:p>
          <w:p w14:paraId="59CADD50" w14:textId="06FFB22F" w:rsidR="00B91FFF" w:rsidRPr="0057020B" w:rsidRDefault="00B91FFF" w:rsidP="00B91FFF">
            <w:pPr>
              <w:pStyle w:val="BodyText"/>
              <w:spacing w:before="120"/>
              <w:rPr>
                <w:rFonts w:eastAsiaTheme="minorHAnsi" w:cstheme="minorBidi"/>
                <w:b/>
                <w:bCs/>
                <w:lang w:eastAsia="fr-CA"/>
              </w:rPr>
            </w:pPr>
            <w:r w:rsidRPr="00AE53CB">
              <w:rPr>
                <w:sz w:val="20"/>
                <w:szCs w:val="20"/>
              </w:rPr>
              <w:t>Reallocations can be used by market participants as an additional tool for managing prudential obligations.</w:t>
            </w:r>
          </w:p>
        </w:tc>
      </w:tr>
    </w:tbl>
    <w:p w14:paraId="11528082" w14:textId="208B7EED" w:rsidR="00C34E9D" w:rsidRPr="008B1B73" w:rsidRDefault="00853064" w:rsidP="00853064">
      <w:pPr>
        <w:pStyle w:val="BodyText"/>
      </w:pPr>
      <w:r>
        <w:t xml:space="preserve">While settlement amounts are calculated on a daily basis, the GSH billing cycle is monthly. </w:t>
      </w:r>
      <w:r w:rsidR="00C34E9D" w:rsidRPr="008B1B73">
        <w:t xml:space="preserve">Final </w:t>
      </w:r>
      <w:r>
        <w:t>s</w:t>
      </w:r>
      <w:r w:rsidR="00C34E9D" w:rsidRPr="008B1B73">
        <w:t xml:space="preserve">ettlement </w:t>
      </w:r>
      <w:r>
        <w:t>s</w:t>
      </w:r>
      <w:r w:rsidR="00C34E9D" w:rsidRPr="008B1B73">
        <w:t xml:space="preserve">tatements are </w:t>
      </w:r>
      <w:r>
        <w:t xml:space="preserve">therefore </w:t>
      </w:r>
      <w:r w:rsidR="00C34E9D" w:rsidRPr="008B1B73">
        <w:t xml:space="preserve">prepared and issued by AEMO to participants </w:t>
      </w:r>
      <w:r>
        <w:t xml:space="preserve">on a </w:t>
      </w:r>
      <w:r w:rsidR="00C34E9D" w:rsidRPr="008B1B73">
        <w:t>monthly</w:t>
      </w:r>
      <w:r>
        <w:t xml:space="preserve"> basis</w:t>
      </w:r>
      <w:r w:rsidR="00B33AD5">
        <w:t>, which is informed by information provided by Trading Participants</w:t>
      </w:r>
      <w:r w:rsidR="00C34E9D" w:rsidRPr="008B1B73">
        <w:t xml:space="preserve">. </w:t>
      </w:r>
      <w:r>
        <w:t>AEMO also prepares r</w:t>
      </w:r>
      <w:r w:rsidR="00C34E9D" w:rsidRPr="008B1B73">
        <w:t xml:space="preserve">evised </w:t>
      </w:r>
      <w:r>
        <w:t>s</w:t>
      </w:r>
      <w:r w:rsidR="00C34E9D" w:rsidRPr="008B1B73">
        <w:t xml:space="preserve">ettlement </w:t>
      </w:r>
      <w:r>
        <w:t>s</w:t>
      </w:r>
      <w:r w:rsidR="00C34E9D" w:rsidRPr="008B1B73">
        <w:t xml:space="preserve">tatements three months after the </w:t>
      </w:r>
      <w:r>
        <w:t>f</w:t>
      </w:r>
      <w:r w:rsidR="00C34E9D" w:rsidRPr="008B1B73">
        <w:t xml:space="preserve">inal </w:t>
      </w:r>
      <w:r>
        <w:t>s</w:t>
      </w:r>
      <w:r w:rsidR="00C34E9D" w:rsidRPr="008B1B73">
        <w:t>ettlement</w:t>
      </w:r>
      <w:r>
        <w:t>, which are</w:t>
      </w:r>
      <w:r w:rsidR="00C34E9D" w:rsidRPr="008B1B73">
        <w:t xml:space="preserve"> based on the most recent </w:t>
      </w:r>
      <w:r>
        <w:t xml:space="preserve">gas delivery </w:t>
      </w:r>
      <w:r w:rsidR="00C34E9D" w:rsidRPr="008B1B73">
        <w:t>information</w:t>
      </w:r>
      <w:r>
        <w:t xml:space="preserve"> and include any adjustment that may be required to account for differences between the settlement </w:t>
      </w:r>
      <w:r>
        <w:lastRenderedPageBreak/>
        <w:t>amount specified in the final settlement statement and the revised settlement statement</w:t>
      </w:r>
      <w:r w:rsidR="00C34E9D" w:rsidRPr="008B1B73">
        <w:t xml:space="preserve">. </w:t>
      </w:r>
      <w:r>
        <w:t xml:space="preserve">Further detail on the GSH </w:t>
      </w:r>
      <w:r w:rsidR="00C34E9D" w:rsidRPr="008B1B73">
        <w:t xml:space="preserve">settlement process is </w:t>
      </w:r>
      <w:r>
        <w:t xml:space="preserve">provided </w:t>
      </w:r>
      <w:r w:rsidR="00C34E9D" w:rsidRPr="008B1B73">
        <w:t xml:space="preserve">in </w:t>
      </w:r>
      <w:r w:rsidR="00446B58" w:rsidRPr="00853064">
        <w:fldChar w:fldCharType="begin"/>
      </w:r>
      <w:r w:rsidR="00446B58" w:rsidRPr="00853064">
        <w:instrText xml:space="preserve"> REF _Ref491917612 \h </w:instrText>
      </w:r>
      <w:r w:rsidRPr="00853064">
        <w:instrText xml:space="preserve"> \* MERGEFORMAT </w:instrText>
      </w:r>
      <w:r w:rsidR="00446B58" w:rsidRPr="00853064">
        <w:fldChar w:fldCharType="separate"/>
      </w:r>
      <w:r w:rsidR="00947034" w:rsidRPr="00947034">
        <w:t xml:space="preserve">Table </w:t>
      </w:r>
      <w:r w:rsidR="00947034" w:rsidRPr="00947034">
        <w:rPr>
          <w:noProof/>
        </w:rPr>
        <w:t>9.1</w:t>
      </w:r>
      <w:r w:rsidR="00446B58" w:rsidRPr="00853064">
        <w:fldChar w:fldCharType="end"/>
      </w:r>
      <w:r w:rsidR="00C34E9D" w:rsidRPr="008B1B73">
        <w:t>.</w:t>
      </w:r>
    </w:p>
    <w:p w14:paraId="2518C3D6" w14:textId="33B184FD" w:rsidR="00C34E9D" w:rsidRPr="008B1B73" w:rsidRDefault="00446B58" w:rsidP="00853064">
      <w:pPr>
        <w:pStyle w:val="BodyText"/>
        <w:keepNext/>
        <w:spacing w:after="0"/>
        <w:rPr>
          <w:rStyle w:val="Bold"/>
        </w:rPr>
      </w:pPr>
      <w:bookmarkStart w:id="207" w:name="_Ref491917612"/>
      <w:r w:rsidRPr="00446B58">
        <w:rPr>
          <w:b/>
        </w:rPr>
        <w:t xml:space="preserve">Table </w:t>
      </w:r>
      <w:r w:rsidR="001C4739">
        <w:rPr>
          <w:b/>
        </w:rPr>
        <w:fldChar w:fldCharType="begin"/>
      </w:r>
      <w:r w:rsidR="001C4739">
        <w:rPr>
          <w:b/>
        </w:rPr>
        <w:instrText xml:space="preserve"> STYLEREF 1 \s </w:instrText>
      </w:r>
      <w:r w:rsidR="001C4739">
        <w:rPr>
          <w:b/>
        </w:rPr>
        <w:fldChar w:fldCharType="separate"/>
      </w:r>
      <w:r w:rsidR="00947034">
        <w:rPr>
          <w:b/>
          <w:noProof/>
        </w:rPr>
        <w:t>9</w:t>
      </w:r>
      <w:r w:rsidR="001C4739">
        <w:rPr>
          <w:b/>
        </w:rPr>
        <w:fldChar w:fldCharType="end"/>
      </w:r>
      <w:r w:rsidR="001C4739">
        <w:rPr>
          <w:b/>
        </w:rPr>
        <w:t>.</w:t>
      </w:r>
      <w:r w:rsidR="001C4739">
        <w:rPr>
          <w:b/>
        </w:rPr>
        <w:fldChar w:fldCharType="begin"/>
      </w:r>
      <w:r w:rsidR="001C4739">
        <w:rPr>
          <w:b/>
        </w:rPr>
        <w:instrText xml:space="preserve"> SEQ Table \* ARABIC \s 1 </w:instrText>
      </w:r>
      <w:r w:rsidR="001C4739">
        <w:rPr>
          <w:b/>
        </w:rPr>
        <w:fldChar w:fldCharType="separate"/>
      </w:r>
      <w:r w:rsidR="00947034">
        <w:rPr>
          <w:b/>
          <w:noProof/>
        </w:rPr>
        <w:t>1</w:t>
      </w:r>
      <w:r w:rsidR="001C4739">
        <w:rPr>
          <w:b/>
        </w:rPr>
        <w:fldChar w:fldCharType="end"/>
      </w:r>
      <w:bookmarkEnd w:id="207"/>
      <w:r w:rsidRPr="00446B58">
        <w:rPr>
          <w:b/>
        </w:rPr>
        <w:t>:</w:t>
      </w:r>
      <w:r w:rsidR="00C34E9D" w:rsidRPr="008B1B73">
        <w:rPr>
          <w:rStyle w:val="Bold"/>
        </w:rPr>
        <w:t xml:space="preserve"> Settlement timeline</w:t>
      </w:r>
    </w:p>
    <w:tbl>
      <w:tblPr>
        <w:tblStyle w:val="TableGrid"/>
        <w:tblW w:w="4839" w:type="pct"/>
        <w:tblLook w:val="0420" w:firstRow="1" w:lastRow="0" w:firstColumn="0" w:lastColumn="0" w:noHBand="0" w:noVBand="1"/>
        <w:tblCaption w:val="Table 9.1: Settlement timeline"/>
        <w:tblDescription w:val="Settlement timeline"/>
      </w:tblPr>
      <w:tblGrid>
        <w:gridCol w:w="3827"/>
        <w:gridCol w:w="2929"/>
        <w:gridCol w:w="1749"/>
      </w:tblGrid>
      <w:tr w:rsidR="00C34E9D" w:rsidRPr="008B1B73" w14:paraId="357299B5" w14:textId="77777777" w:rsidTr="00853064">
        <w:trPr>
          <w:cnfStyle w:val="100000000000" w:firstRow="1" w:lastRow="0" w:firstColumn="0" w:lastColumn="0" w:oddVBand="0" w:evenVBand="0" w:oddHBand="0" w:evenHBand="0" w:firstRowFirstColumn="0" w:firstRowLastColumn="0" w:lastRowFirstColumn="0" w:lastRowLastColumn="0"/>
          <w:tblHeader/>
        </w:trPr>
        <w:tc>
          <w:tcPr>
            <w:tcW w:w="2250" w:type="pct"/>
            <w:shd w:val="clear" w:color="auto" w:fill="0099CC"/>
          </w:tcPr>
          <w:p w14:paraId="421D9C98" w14:textId="77777777" w:rsidR="00C34E9D" w:rsidRPr="008B1B73" w:rsidRDefault="00C34E9D" w:rsidP="00F65A13">
            <w:pPr>
              <w:pStyle w:val="TableHeading"/>
            </w:pPr>
            <w:r w:rsidRPr="008B1B73">
              <w:t>Process</w:t>
            </w:r>
          </w:p>
        </w:tc>
        <w:tc>
          <w:tcPr>
            <w:tcW w:w="1722" w:type="pct"/>
            <w:shd w:val="clear" w:color="auto" w:fill="0099CC"/>
          </w:tcPr>
          <w:p w14:paraId="050D415F" w14:textId="77777777" w:rsidR="00C34E9D" w:rsidRPr="008B1B73" w:rsidRDefault="00C34E9D" w:rsidP="00F65A13">
            <w:pPr>
              <w:pStyle w:val="TableHeading"/>
            </w:pPr>
            <w:r w:rsidRPr="008B1B73">
              <w:t>When</w:t>
            </w:r>
          </w:p>
        </w:tc>
        <w:tc>
          <w:tcPr>
            <w:tcW w:w="1028" w:type="pct"/>
            <w:shd w:val="clear" w:color="auto" w:fill="0099CC"/>
          </w:tcPr>
          <w:p w14:paraId="68919E4B" w14:textId="77777777" w:rsidR="00C34E9D" w:rsidRPr="008B1B73" w:rsidRDefault="00C34E9D" w:rsidP="00F65A13">
            <w:pPr>
              <w:pStyle w:val="TableHeading"/>
            </w:pPr>
            <w:r w:rsidRPr="008B1B73">
              <w:t>Who</w:t>
            </w:r>
          </w:p>
        </w:tc>
      </w:tr>
      <w:tr w:rsidR="00C34E9D" w:rsidRPr="008B1B73" w14:paraId="218E0362" w14:textId="77777777" w:rsidTr="00853064">
        <w:tc>
          <w:tcPr>
            <w:tcW w:w="5000" w:type="pct"/>
            <w:gridSpan w:val="3"/>
          </w:tcPr>
          <w:p w14:paraId="087F9544" w14:textId="77777777" w:rsidR="00C34E9D" w:rsidRPr="008B1B73" w:rsidRDefault="00C34E9D" w:rsidP="00853064">
            <w:pPr>
              <w:pStyle w:val="TableBodyText"/>
              <w:jc w:val="center"/>
              <w:rPr>
                <w:rStyle w:val="Bold"/>
              </w:rPr>
            </w:pPr>
            <w:r w:rsidRPr="008B1B73">
              <w:rPr>
                <w:rStyle w:val="Bold"/>
              </w:rPr>
              <w:t>Daily Settlement</w:t>
            </w:r>
          </w:p>
        </w:tc>
      </w:tr>
      <w:tr w:rsidR="00C34E9D" w:rsidRPr="008B1B73" w14:paraId="235242D7" w14:textId="77777777" w:rsidTr="00853064">
        <w:trPr>
          <w:cnfStyle w:val="000000010000" w:firstRow="0" w:lastRow="0" w:firstColumn="0" w:lastColumn="0" w:oddVBand="0" w:evenVBand="0" w:oddHBand="0" w:evenHBand="1" w:firstRowFirstColumn="0" w:firstRowLastColumn="0" w:lastRowFirstColumn="0" w:lastRowLastColumn="0"/>
        </w:trPr>
        <w:tc>
          <w:tcPr>
            <w:tcW w:w="2250" w:type="pct"/>
          </w:tcPr>
          <w:p w14:paraId="60248A7C" w14:textId="15041495" w:rsidR="00C34E9D" w:rsidRPr="008B1B73" w:rsidRDefault="00C34E9D" w:rsidP="00F65A13">
            <w:pPr>
              <w:pStyle w:val="TableBodyText"/>
            </w:pPr>
            <w:r w:rsidRPr="008B1B73">
              <w:t xml:space="preserve">Determine the Actual Delivered Quantity </w:t>
            </w:r>
          </w:p>
        </w:tc>
        <w:tc>
          <w:tcPr>
            <w:tcW w:w="1722" w:type="pct"/>
          </w:tcPr>
          <w:p w14:paraId="0FC1C0A3" w14:textId="0E975DF6" w:rsidR="00C34E9D" w:rsidRPr="008B1B73" w:rsidRDefault="00C34E9D" w:rsidP="00853064">
            <w:pPr>
              <w:pStyle w:val="TableBodyText"/>
            </w:pPr>
            <w:r w:rsidRPr="008B1B73">
              <w:t>From the end of the</w:t>
            </w:r>
            <w:r w:rsidR="00853064">
              <w:t xml:space="preserve"> </w:t>
            </w:r>
            <w:r w:rsidRPr="008B1B73">
              <w:t>delivery gas day</w:t>
            </w:r>
          </w:p>
        </w:tc>
        <w:tc>
          <w:tcPr>
            <w:tcW w:w="1028" w:type="pct"/>
          </w:tcPr>
          <w:p w14:paraId="1707DA66" w14:textId="44F9D011" w:rsidR="00C34E9D" w:rsidRPr="008B1B73" w:rsidRDefault="002D5C8A" w:rsidP="00F65A13">
            <w:pPr>
              <w:pStyle w:val="TableBodyText"/>
            </w:pPr>
            <w:r>
              <w:t xml:space="preserve">Trading </w:t>
            </w:r>
            <w:r w:rsidR="00C34E9D" w:rsidRPr="008B1B73">
              <w:t>Participants</w:t>
            </w:r>
          </w:p>
        </w:tc>
      </w:tr>
      <w:tr w:rsidR="00C34E9D" w:rsidRPr="008B1B73" w14:paraId="374DBCB5" w14:textId="77777777" w:rsidTr="00853064">
        <w:tc>
          <w:tcPr>
            <w:tcW w:w="2250" w:type="pct"/>
          </w:tcPr>
          <w:p w14:paraId="25DAE608" w14:textId="77777777" w:rsidR="00C34E9D" w:rsidRPr="008B1B73" w:rsidRDefault="00C34E9D" w:rsidP="00F65A13">
            <w:pPr>
              <w:pStyle w:val="TableBodyText"/>
            </w:pPr>
            <w:r w:rsidRPr="008B1B73">
              <w:t>Provide AEMO with actual gas delivery information</w:t>
            </w:r>
          </w:p>
        </w:tc>
        <w:tc>
          <w:tcPr>
            <w:tcW w:w="1722" w:type="pct"/>
          </w:tcPr>
          <w:p w14:paraId="73034B34" w14:textId="4C575F82" w:rsidR="00C34E9D" w:rsidRPr="008B1B73" w:rsidRDefault="00C34E9D" w:rsidP="00853064">
            <w:pPr>
              <w:pStyle w:val="TableBodyText"/>
            </w:pPr>
            <w:r w:rsidRPr="008B1B73">
              <w:t>From the end of the</w:t>
            </w:r>
            <w:r w:rsidR="00853064">
              <w:t xml:space="preserve"> </w:t>
            </w:r>
            <w:r w:rsidRPr="008B1B73">
              <w:t>delivery gas day</w:t>
            </w:r>
          </w:p>
        </w:tc>
        <w:tc>
          <w:tcPr>
            <w:tcW w:w="1028" w:type="pct"/>
          </w:tcPr>
          <w:p w14:paraId="606900BA" w14:textId="13A1A352" w:rsidR="00C34E9D" w:rsidRPr="008B1B73" w:rsidRDefault="002D5C8A" w:rsidP="00F65A13">
            <w:pPr>
              <w:pStyle w:val="TableBodyText"/>
            </w:pPr>
            <w:r>
              <w:t xml:space="preserve">Trading </w:t>
            </w:r>
            <w:r w:rsidR="00C34E9D" w:rsidRPr="008B1B73">
              <w:t>Participants</w:t>
            </w:r>
          </w:p>
        </w:tc>
      </w:tr>
      <w:tr w:rsidR="00C34E9D" w:rsidRPr="008B1B73" w14:paraId="69A6F0A7" w14:textId="77777777" w:rsidTr="00853064">
        <w:trPr>
          <w:cnfStyle w:val="000000010000" w:firstRow="0" w:lastRow="0" w:firstColumn="0" w:lastColumn="0" w:oddVBand="0" w:evenVBand="0" w:oddHBand="0" w:evenHBand="1" w:firstRowFirstColumn="0" w:firstRowLastColumn="0" w:lastRowFirstColumn="0" w:lastRowLastColumn="0"/>
        </w:trPr>
        <w:tc>
          <w:tcPr>
            <w:tcW w:w="2250" w:type="pct"/>
          </w:tcPr>
          <w:p w14:paraId="3C4D3D20" w14:textId="77777777" w:rsidR="00C34E9D" w:rsidRPr="008B1B73" w:rsidRDefault="00C34E9D" w:rsidP="00F65A13">
            <w:pPr>
              <w:pStyle w:val="TableBodyText"/>
            </w:pPr>
            <w:r w:rsidRPr="008B1B73">
              <w:t>Prepare estimate of settlement amounts</w:t>
            </w:r>
          </w:p>
        </w:tc>
        <w:tc>
          <w:tcPr>
            <w:tcW w:w="1722" w:type="pct"/>
          </w:tcPr>
          <w:p w14:paraId="7A2ED880" w14:textId="77777777" w:rsidR="00C34E9D" w:rsidRPr="008B1B73" w:rsidRDefault="00C34E9D" w:rsidP="00F65A13">
            <w:pPr>
              <w:pStyle w:val="TableBodyText"/>
            </w:pPr>
            <w:r w:rsidRPr="008B1B73">
              <w:t>Each business day</w:t>
            </w:r>
          </w:p>
        </w:tc>
        <w:tc>
          <w:tcPr>
            <w:tcW w:w="1028" w:type="pct"/>
          </w:tcPr>
          <w:p w14:paraId="7234AB92" w14:textId="77777777" w:rsidR="00C34E9D" w:rsidRPr="008B1B73" w:rsidRDefault="00C34E9D" w:rsidP="00F65A13">
            <w:pPr>
              <w:pStyle w:val="TableBodyText"/>
            </w:pPr>
            <w:r w:rsidRPr="008B1B73">
              <w:t>AEMO</w:t>
            </w:r>
          </w:p>
        </w:tc>
      </w:tr>
      <w:tr w:rsidR="00C34E9D" w:rsidRPr="008B1B73" w14:paraId="2A21C6C5" w14:textId="77777777" w:rsidTr="00853064">
        <w:tc>
          <w:tcPr>
            <w:tcW w:w="2250" w:type="pct"/>
          </w:tcPr>
          <w:p w14:paraId="446B372C" w14:textId="77777777" w:rsidR="00C34E9D" w:rsidRPr="008B1B73" w:rsidRDefault="00C34E9D" w:rsidP="00F65A13">
            <w:pPr>
              <w:pStyle w:val="TableBodyText"/>
            </w:pPr>
            <w:r w:rsidRPr="008B1B73">
              <w:t>Report settlement amount and quantities to participants via market report</w:t>
            </w:r>
          </w:p>
        </w:tc>
        <w:tc>
          <w:tcPr>
            <w:tcW w:w="1722" w:type="pct"/>
          </w:tcPr>
          <w:p w14:paraId="60305A2A" w14:textId="77777777" w:rsidR="00C34E9D" w:rsidRPr="008B1B73" w:rsidRDefault="00C34E9D" w:rsidP="00F65A13">
            <w:pPr>
              <w:pStyle w:val="TableBodyText"/>
            </w:pPr>
            <w:r w:rsidRPr="008B1B73">
              <w:t>Each business day</w:t>
            </w:r>
          </w:p>
        </w:tc>
        <w:tc>
          <w:tcPr>
            <w:tcW w:w="1028" w:type="pct"/>
          </w:tcPr>
          <w:p w14:paraId="39FFEC87" w14:textId="77777777" w:rsidR="00C34E9D" w:rsidRPr="008B1B73" w:rsidRDefault="00C34E9D" w:rsidP="00F65A13">
            <w:pPr>
              <w:pStyle w:val="TableBodyText"/>
            </w:pPr>
            <w:r w:rsidRPr="008B1B73">
              <w:t>AEMO</w:t>
            </w:r>
          </w:p>
        </w:tc>
      </w:tr>
      <w:tr w:rsidR="00C34E9D" w:rsidRPr="008B1B73" w14:paraId="7D149114" w14:textId="77777777" w:rsidTr="00853064">
        <w:trPr>
          <w:cnfStyle w:val="000000010000" w:firstRow="0" w:lastRow="0" w:firstColumn="0" w:lastColumn="0" w:oddVBand="0" w:evenVBand="0" w:oddHBand="0" w:evenHBand="1" w:firstRowFirstColumn="0" w:firstRowLastColumn="0" w:lastRowFirstColumn="0" w:lastRowLastColumn="0"/>
        </w:trPr>
        <w:tc>
          <w:tcPr>
            <w:tcW w:w="5000" w:type="pct"/>
            <w:gridSpan w:val="3"/>
          </w:tcPr>
          <w:p w14:paraId="6CD3313B" w14:textId="77777777" w:rsidR="00C34E9D" w:rsidRPr="008B1B73" w:rsidRDefault="00C34E9D" w:rsidP="00853064">
            <w:pPr>
              <w:pStyle w:val="TableBodyText"/>
              <w:jc w:val="center"/>
              <w:rPr>
                <w:rStyle w:val="Bold"/>
              </w:rPr>
            </w:pPr>
            <w:r w:rsidRPr="008B1B73">
              <w:rPr>
                <w:rStyle w:val="Bold"/>
              </w:rPr>
              <w:t>Monthly Settlement</w:t>
            </w:r>
          </w:p>
        </w:tc>
      </w:tr>
      <w:tr w:rsidR="00C34E9D" w:rsidRPr="008B1B73" w14:paraId="30900109" w14:textId="77777777" w:rsidTr="00853064">
        <w:tc>
          <w:tcPr>
            <w:tcW w:w="2250" w:type="pct"/>
          </w:tcPr>
          <w:p w14:paraId="190E94CB" w14:textId="1C0AB9FD" w:rsidR="00C34E9D" w:rsidRPr="008B1B73" w:rsidRDefault="00C34E9D" w:rsidP="00F65A13">
            <w:pPr>
              <w:pStyle w:val="TableBodyText"/>
            </w:pPr>
            <w:r w:rsidRPr="008B1B73">
              <w:t>Provide AEMO with actual delivery information</w:t>
            </w:r>
          </w:p>
        </w:tc>
        <w:tc>
          <w:tcPr>
            <w:tcW w:w="1722" w:type="pct"/>
          </w:tcPr>
          <w:p w14:paraId="6D2FC3C2" w14:textId="449CF026" w:rsidR="00C34E9D" w:rsidRPr="008B1B73" w:rsidRDefault="00C34E9D" w:rsidP="00853064">
            <w:pPr>
              <w:pStyle w:val="TableBodyText"/>
            </w:pPr>
            <w:r w:rsidRPr="008B1B73">
              <w:t>By 9am on the 14</w:t>
            </w:r>
            <w:r w:rsidRPr="00853064">
              <w:rPr>
                <w:vertAlign w:val="superscript"/>
              </w:rPr>
              <w:t>th</w:t>
            </w:r>
            <w:r w:rsidR="00853064">
              <w:t xml:space="preserve"> </w:t>
            </w:r>
            <w:r w:rsidRPr="008B1B73">
              <w:t>business day after the end</w:t>
            </w:r>
            <w:r w:rsidR="00853064">
              <w:t xml:space="preserve"> </w:t>
            </w:r>
            <w:r w:rsidRPr="008B1B73">
              <w:t>of that billing period</w:t>
            </w:r>
          </w:p>
        </w:tc>
        <w:tc>
          <w:tcPr>
            <w:tcW w:w="1028" w:type="pct"/>
          </w:tcPr>
          <w:p w14:paraId="5C75DC44" w14:textId="0E6813CC" w:rsidR="00C34E9D" w:rsidRPr="008B1B73" w:rsidRDefault="002D5C8A" w:rsidP="00F65A13">
            <w:pPr>
              <w:pStyle w:val="TableBodyText"/>
            </w:pPr>
            <w:r>
              <w:t xml:space="preserve">Trading </w:t>
            </w:r>
            <w:r w:rsidR="00C34E9D" w:rsidRPr="008B1B73">
              <w:t>Participants</w:t>
            </w:r>
          </w:p>
        </w:tc>
      </w:tr>
      <w:tr w:rsidR="00C34E9D" w:rsidRPr="008B1B73" w14:paraId="70E44AD6" w14:textId="77777777" w:rsidTr="00853064">
        <w:trPr>
          <w:cnfStyle w:val="000000010000" w:firstRow="0" w:lastRow="0" w:firstColumn="0" w:lastColumn="0" w:oddVBand="0" w:evenVBand="0" w:oddHBand="0" w:evenHBand="1" w:firstRowFirstColumn="0" w:firstRowLastColumn="0" w:lastRowFirstColumn="0" w:lastRowLastColumn="0"/>
        </w:trPr>
        <w:tc>
          <w:tcPr>
            <w:tcW w:w="2250" w:type="pct"/>
          </w:tcPr>
          <w:p w14:paraId="1F847211" w14:textId="77777777" w:rsidR="00C34E9D" w:rsidRPr="008B1B73" w:rsidRDefault="00C34E9D" w:rsidP="00F65A13">
            <w:pPr>
              <w:pStyle w:val="TableBodyText"/>
            </w:pPr>
            <w:r w:rsidRPr="008B1B73">
              <w:t>Submit and confirm Reallocation Requests</w:t>
            </w:r>
          </w:p>
        </w:tc>
        <w:tc>
          <w:tcPr>
            <w:tcW w:w="1722" w:type="pct"/>
          </w:tcPr>
          <w:p w14:paraId="3718A7B4" w14:textId="77777777" w:rsidR="00C34E9D" w:rsidRPr="008B1B73" w:rsidRDefault="00C34E9D" w:rsidP="00F65A13">
            <w:pPr>
              <w:pStyle w:val="TableBodyText"/>
            </w:pPr>
            <w:r w:rsidRPr="008B1B73">
              <w:t>By 9am on the 14th business day after the end of the Billing Period</w:t>
            </w:r>
          </w:p>
        </w:tc>
        <w:tc>
          <w:tcPr>
            <w:tcW w:w="1028" w:type="pct"/>
          </w:tcPr>
          <w:p w14:paraId="47E680B4" w14:textId="5447641F" w:rsidR="00C34E9D" w:rsidRPr="008B1B73" w:rsidRDefault="002D5C8A" w:rsidP="00F65A13">
            <w:pPr>
              <w:pStyle w:val="TableBodyText"/>
            </w:pPr>
            <w:r>
              <w:t xml:space="preserve">Trading </w:t>
            </w:r>
            <w:r w:rsidR="00C34E9D" w:rsidRPr="008B1B73">
              <w:t>Participants</w:t>
            </w:r>
          </w:p>
        </w:tc>
      </w:tr>
      <w:tr w:rsidR="00C34E9D" w:rsidRPr="008B1B73" w14:paraId="2B47A4D3" w14:textId="77777777" w:rsidTr="00853064">
        <w:tc>
          <w:tcPr>
            <w:tcW w:w="2250" w:type="pct"/>
          </w:tcPr>
          <w:p w14:paraId="0117DE98" w14:textId="77777777" w:rsidR="00C34E9D" w:rsidRPr="008B1B73" w:rsidRDefault="00C34E9D" w:rsidP="00F65A13">
            <w:pPr>
              <w:pStyle w:val="TableBodyText"/>
            </w:pPr>
            <w:r w:rsidRPr="008B1B73">
              <w:t>Issue Final Settlement Statement</w:t>
            </w:r>
          </w:p>
        </w:tc>
        <w:tc>
          <w:tcPr>
            <w:tcW w:w="1722" w:type="pct"/>
          </w:tcPr>
          <w:p w14:paraId="0BC32199" w14:textId="77777777" w:rsidR="00C34E9D" w:rsidRPr="008B1B73" w:rsidRDefault="00C34E9D" w:rsidP="00F65A13">
            <w:pPr>
              <w:pStyle w:val="TableBodyText"/>
            </w:pPr>
            <w:r w:rsidRPr="008B1B73">
              <w:t>By the 15th business day after the end of the Billing Period</w:t>
            </w:r>
          </w:p>
        </w:tc>
        <w:tc>
          <w:tcPr>
            <w:tcW w:w="1028" w:type="pct"/>
          </w:tcPr>
          <w:p w14:paraId="57EC9CC9" w14:textId="77777777" w:rsidR="00C34E9D" w:rsidRPr="008B1B73" w:rsidRDefault="00C34E9D" w:rsidP="00F65A13">
            <w:pPr>
              <w:pStyle w:val="TableBodyText"/>
            </w:pPr>
            <w:r w:rsidRPr="008B1B73">
              <w:t>AEMO</w:t>
            </w:r>
          </w:p>
        </w:tc>
      </w:tr>
      <w:tr w:rsidR="00C34E9D" w:rsidRPr="008B1B73" w14:paraId="30FF0699" w14:textId="77777777" w:rsidTr="00853064">
        <w:trPr>
          <w:cnfStyle w:val="000000010000" w:firstRow="0" w:lastRow="0" w:firstColumn="0" w:lastColumn="0" w:oddVBand="0" w:evenVBand="0" w:oddHBand="0" w:evenHBand="1" w:firstRowFirstColumn="0" w:firstRowLastColumn="0" w:lastRowFirstColumn="0" w:lastRowLastColumn="0"/>
        </w:trPr>
        <w:tc>
          <w:tcPr>
            <w:tcW w:w="2250" w:type="pct"/>
          </w:tcPr>
          <w:p w14:paraId="768AEDB1" w14:textId="77777777" w:rsidR="00C34E9D" w:rsidRPr="008B1B73" w:rsidRDefault="00C34E9D" w:rsidP="00F65A13">
            <w:pPr>
              <w:pStyle w:val="TableBodyText"/>
            </w:pPr>
            <w:r w:rsidRPr="008B1B73">
              <w:t>Make payment to AEMO</w:t>
            </w:r>
          </w:p>
        </w:tc>
        <w:tc>
          <w:tcPr>
            <w:tcW w:w="1722" w:type="pct"/>
          </w:tcPr>
          <w:p w14:paraId="4ACDA499" w14:textId="77777777" w:rsidR="00C34E9D" w:rsidRPr="008B1B73" w:rsidRDefault="00C34E9D" w:rsidP="00F65A13">
            <w:pPr>
              <w:pStyle w:val="TableBodyText"/>
            </w:pPr>
            <w:r w:rsidRPr="008B1B73">
              <w:t>By 12 noon on the 17th business day after the end of the Billing Period</w:t>
            </w:r>
          </w:p>
        </w:tc>
        <w:tc>
          <w:tcPr>
            <w:tcW w:w="1028" w:type="pct"/>
          </w:tcPr>
          <w:p w14:paraId="4E3060D1" w14:textId="54B724F1" w:rsidR="00C34E9D" w:rsidRPr="008B1B73" w:rsidRDefault="002D5C8A" w:rsidP="00F65A13">
            <w:pPr>
              <w:pStyle w:val="TableBodyText"/>
            </w:pPr>
            <w:r>
              <w:t xml:space="preserve">Trading </w:t>
            </w:r>
            <w:r w:rsidR="00C34E9D" w:rsidRPr="008B1B73">
              <w:t>Participants</w:t>
            </w:r>
          </w:p>
        </w:tc>
      </w:tr>
      <w:tr w:rsidR="00C34E9D" w:rsidRPr="008B1B73" w14:paraId="2F6EB954" w14:textId="77777777" w:rsidTr="00853064">
        <w:tc>
          <w:tcPr>
            <w:tcW w:w="2250" w:type="pct"/>
          </w:tcPr>
          <w:p w14:paraId="42ACD8CC" w14:textId="77777777" w:rsidR="00C34E9D" w:rsidRPr="008B1B73" w:rsidRDefault="00C34E9D" w:rsidP="00F65A13">
            <w:pPr>
              <w:pStyle w:val="TableBodyText"/>
            </w:pPr>
            <w:r w:rsidRPr="008B1B73">
              <w:t>AEMO makes payments to Market Participants</w:t>
            </w:r>
          </w:p>
        </w:tc>
        <w:tc>
          <w:tcPr>
            <w:tcW w:w="1722" w:type="pct"/>
          </w:tcPr>
          <w:p w14:paraId="7C05F34E" w14:textId="77777777" w:rsidR="00C34E9D" w:rsidRPr="008B1B73" w:rsidRDefault="00C34E9D" w:rsidP="00F65A13">
            <w:pPr>
              <w:pStyle w:val="TableBodyText"/>
            </w:pPr>
            <w:r w:rsidRPr="008B1B73">
              <w:t>By 2pm on the same day</w:t>
            </w:r>
          </w:p>
        </w:tc>
        <w:tc>
          <w:tcPr>
            <w:tcW w:w="1028" w:type="pct"/>
          </w:tcPr>
          <w:p w14:paraId="0B53F871" w14:textId="77777777" w:rsidR="00C34E9D" w:rsidRPr="008B1B73" w:rsidRDefault="00C34E9D" w:rsidP="00F65A13">
            <w:pPr>
              <w:pStyle w:val="TableBodyText"/>
            </w:pPr>
            <w:r w:rsidRPr="008B1B73">
              <w:t>AEMO</w:t>
            </w:r>
          </w:p>
        </w:tc>
      </w:tr>
      <w:tr w:rsidR="00C34E9D" w:rsidRPr="008B1B73" w14:paraId="39197202" w14:textId="77777777" w:rsidTr="00853064">
        <w:trPr>
          <w:cnfStyle w:val="000000010000" w:firstRow="0" w:lastRow="0" w:firstColumn="0" w:lastColumn="0" w:oddVBand="0" w:evenVBand="0" w:oddHBand="0" w:evenHBand="1" w:firstRowFirstColumn="0" w:firstRowLastColumn="0" w:lastRowFirstColumn="0" w:lastRowLastColumn="0"/>
        </w:trPr>
        <w:tc>
          <w:tcPr>
            <w:tcW w:w="2250" w:type="pct"/>
          </w:tcPr>
          <w:p w14:paraId="45C8A0C9" w14:textId="77777777" w:rsidR="00C34E9D" w:rsidRPr="008B1B73" w:rsidRDefault="00C34E9D" w:rsidP="00F65A13">
            <w:pPr>
              <w:pStyle w:val="TableBodyText"/>
            </w:pPr>
            <w:r w:rsidRPr="008B1B73">
              <w:t>Provide AEMO with updated information for a revised statement</w:t>
            </w:r>
          </w:p>
        </w:tc>
        <w:tc>
          <w:tcPr>
            <w:tcW w:w="1722" w:type="pct"/>
          </w:tcPr>
          <w:p w14:paraId="3CCD0D9F" w14:textId="77777777" w:rsidR="00C34E9D" w:rsidRPr="008B1B73" w:rsidRDefault="00C34E9D" w:rsidP="00F65A13">
            <w:pPr>
              <w:pStyle w:val="TableBodyText"/>
            </w:pPr>
            <w:r w:rsidRPr="008B1B73">
              <w:t>By 9am on the 1st business day, of the 4th Billing Period after the settled Billing Period</w:t>
            </w:r>
          </w:p>
        </w:tc>
        <w:tc>
          <w:tcPr>
            <w:tcW w:w="1028" w:type="pct"/>
          </w:tcPr>
          <w:p w14:paraId="219054FF" w14:textId="1BACD35C" w:rsidR="00C34E9D" w:rsidRPr="008B1B73" w:rsidRDefault="002D5C8A" w:rsidP="00F65A13">
            <w:pPr>
              <w:pStyle w:val="TableBodyText"/>
            </w:pPr>
            <w:r w:rsidRPr="002D5C8A">
              <w:t xml:space="preserve">Trading </w:t>
            </w:r>
            <w:r w:rsidR="00C34E9D" w:rsidRPr="008B1B73">
              <w:t>Participants</w:t>
            </w:r>
          </w:p>
        </w:tc>
      </w:tr>
      <w:tr w:rsidR="00C34E9D" w:rsidRPr="008B1B73" w14:paraId="5C309E8F" w14:textId="77777777" w:rsidTr="00853064">
        <w:tc>
          <w:tcPr>
            <w:tcW w:w="2250" w:type="pct"/>
          </w:tcPr>
          <w:p w14:paraId="2037997C" w14:textId="77777777" w:rsidR="00C34E9D" w:rsidRPr="008B1B73" w:rsidRDefault="00C34E9D" w:rsidP="00F65A13">
            <w:pPr>
              <w:pStyle w:val="TableBodyText"/>
            </w:pPr>
            <w:r w:rsidRPr="008B1B73">
              <w:t>Issue a revised settlement statement</w:t>
            </w:r>
          </w:p>
        </w:tc>
        <w:tc>
          <w:tcPr>
            <w:tcW w:w="1722" w:type="pct"/>
          </w:tcPr>
          <w:p w14:paraId="1007ECF6" w14:textId="77777777" w:rsidR="00C34E9D" w:rsidRPr="008B1B73" w:rsidRDefault="00C34E9D" w:rsidP="00F65A13">
            <w:pPr>
              <w:pStyle w:val="TableBodyText"/>
            </w:pPr>
            <w:r w:rsidRPr="008B1B73">
              <w:t>By 2nd business day of the 4th Billing Period after the settled Billing Period.</w:t>
            </w:r>
          </w:p>
        </w:tc>
        <w:tc>
          <w:tcPr>
            <w:tcW w:w="1028" w:type="pct"/>
          </w:tcPr>
          <w:p w14:paraId="1B1A54B7" w14:textId="77777777" w:rsidR="00C34E9D" w:rsidRPr="008B1B73" w:rsidRDefault="00C34E9D" w:rsidP="00F65A13">
            <w:pPr>
              <w:pStyle w:val="TableBodyText"/>
            </w:pPr>
            <w:r w:rsidRPr="008B1B73">
              <w:t>AEMO</w:t>
            </w:r>
          </w:p>
        </w:tc>
      </w:tr>
    </w:tbl>
    <w:p w14:paraId="03482858" w14:textId="21C98EAC" w:rsidR="00853064" w:rsidRDefault="00853064" w:rsidP="00853064">
      <w:pPr>
        <w:pStyle w:val="BodyText"/>
      </w:pPr>
      <w:r w:rsidRPr="008B1B73">
        <w:t xml:space="preserve">AEMO </w:t>
      </w:r>
      <w:r>
        <w:t>has proposed</w:t>
      </w:r>
      <w:r w:rsidRPr="008B1B73">
        <w:t xml:space="preserve"> </w:t>
      </w:r>
      <w:r>
        <w:t xml:space="preserve">to combine the </w:t>
      </w:r>
      <w:r w:rsidRPr="008B1B73">
        <w:t xml:space="preserve">settlement </w:t>
      </w:r>
      <w:r>
        <w:t xml:space="preserve">amount for </w:t>
      </w:r>
      <w:r w:rsidRPr="008B1B73">
        <w:t xml:space="preserve">capacity products with </w:t>
      </w:r>
      <w:r>
        <w:t xml:space="preserve">the </w:t>
      </w:r>
      <w:r w:rsidRPr="008B1B73">
        <w:t xml:space="preserve">settlement </w:t>
      </w:r>
      <w:r>
        <w:t xml:space="preserve">amount for </w:t>
      </w:r>
      <w:r w:rsidRPr="008B1B73">
        <w:t xml:space="preserve">GSH gas products. </w:t>
      </w:r>
      <w:r w:rsidR="002D5C8A">
        <w:t xml:space="preserve">Trading </w:t>
      </w:r>
      <w:r>
        <w:t>P</w:t>
      </w:r>
      <w:r w:rsidRPr="008B1B73">
        <w:t xml:space="preserve">articipants would </w:t>
      </w:r>
      <w:r>
        <w:t xml:space="preserve">therefore </w:t>
      </w:r>
      <w:r w:rsidRPr="008B1B73">
        <w:t>receive one settlement statement for all products traded on the GSH.</w:t>
      </w:r>
      <w:r>
        <w:rPr>
          <w:rStyle w:val="FootnoteReference"/>
        </w:rPr>
        <w:footnoteReference w:id="104"/>
      </w:r>
      <w:r>
        <w:t xml:space="preserve"> </w:t>
      </w:r>
    </w:p>
    <w:p w14:paraId="1D09DDA4" w14:textId="07DFAA0E" w:rsidR="00723C4D" w:rsidRPr="00AF730D" w:rsidRDefault="00D74E82" w:rsidP="00AF730D">
      <w:pPr>
        <w:pStyle w:val="BodyText"/>
        <w:spacing w:after="0" w:line="240" w:lineRule="auto"/>
      </w:pPr>
      <w:r>
        <w:t xml:space="preserve">The GMRG thinks there is merit in </w:t>
      </w:r>
      <w:r w:rsidR="009D2E80">
        <w:t xml:space="preserve">this </w:t>
      </w:r>
      <w:r>
        <w:t xml:space="preserve">proposal and </w:t>
      </w:r>
      <w:r w:rsidR="009D2E80">
        <w:t xml:space="preserve">the proposal to use the existing settlement process for capacity products. The GMRG is interested though in whether stakeholders share this view. </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9.2: Questions on settlement process"/>
        <w:tblDescription w:val="Questions on settlement process"/>
      </w:tblPr>
      <w:tblGrid>
        <w:gridCol w:w="8788"/>
      </w:tblGrid>
      <w:tr w:rsidR="00723C4D" w:rsidRPr="0057020B" w14:paraId="2E6D467E" w14:textId="77777777" w:rsidTr="00AF730D">
        <w:trPr>
          <w:tblHeader/>
        </w:trPr>
        <w:tc>
          <w:tcPr>
            <w:tcW w:w="5000" w:type="pct"/>
            <w:shd w:val="clear" w:color="auto" w:fill="B7E7FF"/>
          </w:tcPr>
          <w:p w14:paraId="4827802E" w14:textId="50F610D7" w:rsidR="00723C4D" w:rsidRPr="00BD0988" w:rsidRDefault="00AF730D" w:rsidP="00AF730D">
            <w:pPr>
              <w:pStyle w:val="ListNumber"/>
              <w:numPr>
                <w:ilvl w:val="0"/>
                <w:numId w:val="0"/>
              </w:numPr>
              <w:spacing w:before="0" w:after="0"/>
              <w:ind w:left="357" w:hanging="357"/>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9</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2</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settlement process</w:t>
            </w:r>
          </w:p>
        </w:tc>
      </w:tr>
      <w:tr w:rsidR="00AF730D" w:rsidRPr="0057020B" w14:paraId="0BAB8D88" w14:textId="77777777" w:rsidTr="00AF730D">
        <w:trPr>
          <w:tblHeader/>
        </w:trPr>
        <w:tc>
          <w:tcPr>
            <w:tcW w:w="5000" w:type="pct"/>
            <w:shd w:val="clear" w:color="auto" w:fill="B7E7FF"/>
          </w:tcPr>
          <w:p w14:paraId="10FE6D16" w14:textId="647F2B26" w:rsidR="00AF730D" w:rsidRPr="00AF730D" w:rsidRDefault="00AF730D" w:rsidP="00AF730D">
            <w:pPr>
              <w:pStyle w:val="ListNumber"/>
              <w:numPr>
                <w:ilvl w:val="0"/>
                <w:numId w:val="23"/>
              </w:numPr>
              <w:spacing w:before="0" w:after="0"/>
            </w:pPr>
            <w:r>
              <w:t>Do you agree with AEMO’s proposal to combine the settlement amounts for capacity products and gas products? If not, please explain why.</w:t>
            </w:r>
          </w:p>
        </w:tc>
      </w:tr>
    </w:tbl>
    <w:p w14:paraId="2C8AA9C1" w14:textId="77777777" w:rsidR="00AF730D" w:rsidRDefault="00AF730D">
      <w:r>
        <w:br w:type="page"/>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9.2: Questions on settlement process"/>
        <w:tblDescription w:val="Questions on settlement process"/>
      </w:tblPr>
      <w:tblGrid>
        <w:gridCol w:w="8788"/>
      </w:tblGrid>
      <w:tr w:rsidR="00AF730D" w:rsidRPr="0057020B" w14:paraId="0FD8752F" w14:textId="77777777" w:rsidTr="00AF730D">
        <w:trPr>
          <w:tblHeader/>
        </w:trPr>
        <w:tc>
          <w:tcPr>
            <w:tcW w:w="5000" w:type="pct"/>
            <w:shd w:val="clear" w:color="auto" w:fill="B7E7FF"/>
          </w:tcPr>
          <w:p w14:paraId="56582D8E" w14:textId="78CEB1DF" w:rsidR="00AF730D" w:rsidRDefault="00AF730D" w:rsidP="00AF730D">
            <w:pPr>
              <w:pStyle w:val="ListNumber"/>
              <w:numPr>
                <w:ilvl w:val="0"/>
                <w:numId w:val="23"/>
              </w:numPr>
            </w:pPr>
            <w:r>
              <w:lastRenderedPageBreak/>
              <w:t>Do you think any changes need to be made to the settlement process to accommodate capacity products?</w:t>
            </w:r>
          </w:p>
        </w:tc>
      </w:tr>
    </w:tbl>
    <w:p w14:paraId="54B048C9" w14:textId="4AD4A0EE" w:rsidR="00C34E9D" w:rsidRPr="008B1B73" w:rsidRDefault="00C34E9D" w:rsidP="00C34E9D">
      <w:pPr>
        <w:pStyle w:val="Heading2"/>
      </w:pPr>
      <w:bookmarkStart w:id="208" w:name="_Ref492225821"/>
      <w:bookmarkStart w:id="209" w:name="_Toc492524769"/>
      <w:r w:rsidRPr="008B1B73">
        <w:t>Centralised credit risk</w:t>
      </w:r>
      <w:r w:rsidR="00B33AD5">
        <w:t xml:space="preserve"> management</w:t>
      </w:r>
      <w:bookmarkEnd w:id="208"/>
      <w:bookmarkEnd w:id="209"/>
    </w:p>
    <w:p w14:paraId="58BEBE05" w14:textId="445C846A" w:rsidR="00E60DD6" w:rsidRPr="008B1B73" w:rsidRDefault="00C34E9D" w:rsidP="00E60DD6">
      <w:pPr>
        <w:pStyle w:val="BodyText"/>
        <w:rPr>
          <w:rFonts w:cs="Arial"/>
        </w:rPr>
      </w:pPr>
      <w:r w:rsidRPr="008B1B73">
        <w:rPr>
          <w:rFonts w:cs="Arial"/>
        </w:rPr>
        <w:t>Credit risk in the GSH is managed centrally by AEMO</w:t>
      </w:r>
      <w:r w:rsidR="00B33AD5">
        <w:rPr>
          <w:rFonts w:cs="Arial"/>
        </w:rPr>
        <w:t xml:space="preserve"> through the collection of credit support (collateral) from each Trading Participant</w:t>
      </w:r>
      <w:r w:rsidR="00E60DD6">
        <w:rPr>
          <w:rFonts w:cs="Arial"/>
        </w:rPr>
        <w:t xml:space="preserve"> to cover their prudential exposure</w:t>
      </w:r>
      <w:r w:rsidR="00B33AD5">
        <w:rPr>
          <w:rFonts w:cs="Arial"/>
        </w:rPr>
        <w:t xml:space="preserve">. </w:t>
      </w:r>
      <w:r w:rsidR="0082203A">
        <w:rPr>
          <w:rFonts w:cs="Arial"/>
        </w:rPr>
        <w:t xml:space="preserve">In a similar manner to settlement, </w:t>
      </w:r>
      <w:r w:rsidR="0082203A">
        <w:t xml:space="preserve">AEMO has proposed to aggregate the prudential requirements across all products on the GSH, which means that if a Trading Participant has </w:t>
      </w:r>
      <w:r w:rsidR="0082203A">
        <w:rPr>
          <w:lang w:eastAsia="fr-CA"/>
        </w:rPr>
        <w:t>an offsetting exposure in another product, it will reduce the collateral requirements.</w:t>
      </w:r>
    </w:p>
    <w:p w14:paraId="37434E3C" w14:textId="1B55A335" w:rsidR="00E60DD6" w:rsidRDefault="00C34E9D" w:rsidP="00E60DD6">
      <w:pPr>
        <w:pStyle w:val="BodyText"/>
      </w:pPr>
      <w:r w:rsidRPr="008B1B73">
        <w:rPr>
          <w:rFonts w:cs="Arial"/>
        </w:rPr>
        <w:t xml:space="preserve">In the event of a payment default AEMO would make a call on that </w:t>
      </w:r>
      <w:r w:rsidR="00E60DD6">
        <w:rPr>
          <w:rFonts w:cs="Arial"/>
        </w:rPr>
        <w:t>Trading P</w:t>
      </w:r>
      <w:r w:rsidRPr="008B1B73">
        <w:rPr>
          <w:rFonts w:cs="Arial"/>
        </w:rPr>
        <w:t xml:space="preserve">articipant’s collateral so that it can meet payments to traders that are owed money from the market. </w:t>
      </w:r>
      <w:r w:rsidR="00E60DD6" w:rsidRPr="008B1B73">
        <w:t xml:space="preserve">In the unlikely event there is a payment default and the </w:t>
      </w:r>
      <w:r w:rsidR="00E60DD6">
        <w:t>Trading P</w:t>
      </w:r>
      <w:r w:rsidR="00E60DD6" w:rsidRPr="008B1B73">
        <w:t xml:space="preserve">articipant’s credit support </w:t>
      </w:r>
      <w:r w:rsidR="00E60DD6">
        <w:t xml:space="preserve">is insufficient to </w:t>
      </w:r>
      <w:r w:rsidR="00E60DD6" w:rsidRPr="008B1B73">
        <w:t xml:space="preserve">meet </w:t>
      </w:r>
      <w:r w:rsidR="00E60DD6">
        <w:t xml:space="preserve">its </w:t>
      </w:r>
      <w:r w:rsidR="00E60DD6" w:rsidRPr="008B1B73">
        <w:t xml:space="preserve">exposure, </w:t>
      </w:r>
      <w:r w:rsidR="00E60DD6">
        <w:t xml:space="preserve">then </w:t>
      </w:r>
      <w:r w:rsidR="00E60DD6" w:rsidRPr="008B1B73">
        <w:t xml:space="preserve">any shortfall </w:t>
      </w:r>
      <w:r w:rsidR="00E60DD6">
        <w:t xml:space="preserve">will be </w:t>
      </w:r>
      <w:r w:rsidR="00E60DD6" w:rsidRPr="008B1B73">
        <w:t>borne by market participants that are owed money by the market.</w:t>
      </w:r>
      <w:r w:rsidR="00E60DD6">
        <w:rPr>
          <w:rStyle w:val="FootnoteReference"/>
        </w:rPr>
        <w:footnoteReference w:id="105"/>
      </w:r>
      <w:r w:rsidR="00E60DD6" w:rsidRPr="008B1B73">
        <w:t xml:space="preserve"> </w:t>
      </w:r>
    </w:p>
    <w:p w14:paraId="55A155CC" w14:textId="2AC692DF" w:rsidR="00A24F51" w:rsidRPr="00E60DD6" w:rsidRDefault="00A24F51" w:rsidP="00A24F51">
      <w:pPr>
        <w:pStyle w:val="BodyText"/>
        <w:rPr>
          <w:rFonts w:cs="Arial"/>
        </w:rPr>
      </w:pPr>
      <w:r>
        <w:t xml:space="preserve">Further detail on the form of credit support that can be provided and how the prudential exposure is calculated is provided below. </w:t>
      </w:r>
    </w:p>
    <w:p w14:paraId="3ADB1E9B" w14:textId="2140BE56" w:rsidR="00E60DD6" w:rsidRDefault="00E60DD6" w:rsidP="00E60DD6">
      <w:pPr>
        <w:pStyle w:val="Heading3"/>
      </w:pPr>
      <w:r>
        <w:t>Form of credit support</w:t>
      </w:r>
    </w:p>
    <w:p w14:paraId="0DAD5914" w14:textId="7D434DC0" w:rsidR="00C34E9D" w:rsidRPr="008B1B73" w:rsidRDefault="00C34E9D" w:rsidP="00C34E9D">
      <w:pPr>
        <w:pStyle w:val="BodyText"/>
      </w:pPr>
      <w:r w:rsidRPr="008B1B73">
        <w:t xml:space="preserve">The primary mechanism </w:t>
      </w:r>
      <w:r w:rsidR="00E60DD6">
        <w:t xml:space="preserve">that is used for credit support in the GSH is an </w:t>
      </w:r>
      <w:r w:rsidRPr="008B1B73">
        <w:t>unconditional bank guarantee from an authorised financial institution or state-owned treasury.</w:t>
      </w:r>
      <w:r w:rsidR="00E60DD6">
        <w:rPr>
          <w:rStyle w:val="FootnoteReference"/>
        </w:rPr>
        <w:footnoteReference w:id="106"/>
      </w:r>
      <w:r w:rsidRPr="008B1B73">
        <w:t xml:space="preserve"> </w:t>
      </w:r>
    </w:p>
    <w:p w14:paraId="0C7DCB04" w14:textId="19D1A6B7" w:rsidR="0009229B" w:rsidRDefault="00C34E9D" w:rsidP="0009229B">
      <w:pPr>
        <w:pStyle w:val="BodyText"/>
      </w:pPr>
      <w:r w:rsidRPr="008B1B73">
        <w:rPr>
          <w:rFonts w:cs="Arial"/>
        </w:rPr>
        <w:t>Cash deposits</w:t>
      </w:r>
      <w:r w:rsidR="00E60DD6">
        <w:rPr>
          <w:rFonts w:cs="Arial"/>
        </w:rPr>
        <w:t xml:space="preserve">, which are </w:t>
      </w:r>
      <w:r w:rsidR="0009229B">
        <w:rPr>
          <w:rFonts w:cs="Arial"/>
        </w:rPr>
        <w:t>treated as an interest-</w:t>
      </w:r>
      <w:r w:rsidRPr="008B1B73">
        <w:rPr>
          <w:rFonts w:cs="Arial"/>
        </w:rPr>
        <w:t>bearing security deposit</w:t>
      </w:r>
      <w:r w:rsidR="00E60DD6">
        <w:rPr>
          <w:rFonts w:cs="Arial"/>
        </w:rPr>
        <w:t xml:space="preserve">, may also be used for collateral up to a cap of </w:t>
      </w:r>
      <w:r w:rsidR="00E60DD6" w:rsidRPr="008B1B73">
        <w:t xml:space="preserve">$100,000 </w:t>
      </w:r>
      <w:r w:rsidR="00E60DD6">
        <w:rPr>
          <w:rFonts w:cs="Arial"/>
        </w:rPr>
        <w:t xml:space="preserve">if </w:t>
      </w:r>
      <w:r w:rsidR="00E60DD6" w:rsidRPr="008B1B73">
        <w:t xml:space="preserve">a participant has not lodged a bank guarantee </w:t>
      </w:r>
      <w:r w:rsidR="00E60DD6">
        <w:t xml:space="preserve">with AEMO, or if a bank guarantee has been lodged up to the value of the bank guarantee. Cash deposits are </w:t>
      </w:r>
      <w:r w:rsidR="0009229B" w:rsidRPr="0009229B">
        <w:rPr>
          <w:rFonts w:cs="Arial"/>
          <w:color w:val="000000"/>
        </w:rPr>
        <w:t xml:space="preserve">not considered a payment for goods or services, but are made by the participant as a </w:t>
      </w:r>
      <w:r w:rsidR="00A24F51">
        <w:rPr>
          <w:rFonts w:cs="Arial"/>
          <w:color w:val="000000"/>
        </w:rPr>
        <w:t xml:space="preserve">pre-payment </w:t>
      </w:r>
      <w:r w:rsidR="0009229B" w:rsidRPr="0009229B">
        <w:rPr>
          <w:rFonts w:cs="Arial"/>
          <w:color w:val="000000"/>
        </w:rPr>
        <w:t xml:space="preserve">against future liabilities. </w:t>
      </w:r>
      <w:r w:rsidR="0009229B">
        <w:rPr>
          <w:rFonts w:cs="Arial"/>
          <w:color w:val="000000"/>
        </w:rPr>
        <w:t xml:space="preserve">The </w:t>
      </w:r>
      <w:r w:rsidR="0009229B" w:rsidRPr="0009229B">
        <w:rPr>
          <w:rFonts w:cs="Arial"/>
          <w:color w:val="000000"/>
        </w:rPr>
        <w:t xml:space="preserve">security deposit </w:t>
      </w:r>
      <w:r w:rsidR="0009229B">
        <w:rPr>
          <w:rFonts w:cs="Arial"/>
          <w:color w:val="000000"/>
        </w:rPr>
        <w:t xml:space="preserve">must therefore be </w:t>
      </w:r>
      <w:r w:rsidR="0009229B" w:rsidRPr="0009229B">
        <w:rPr>
          <w:rFonts w:cs="Arial"/>
          <w:color w:val="000000"/>
        </w:rPr>
        <w:t xml:space="preserve">lodged against a specific </w:t>
      </w:r>
      <w:r w:rsidR="0009229B">
        <w:rPr>
          <w:rFonts w:cs="Arial"/>
          <w:color w:val="000000"/>
        </w:rPr>
        <w:t>b</w:t>
      </w:r>
      <w:r w:rsidR="0009229B" w:rsidRPr="0009229B">
        <w:rPr>
          <w:rFonts w:cs="Arial"/>
          <w:color w:val="000000"/>
        </w:rPr>
        <w:t xml:space="preserve">illing </w:t>
      </w:r>
      <w:r w:rsidR="0009229B">
        <w:rPr>
          <w:rFonts w:cs="Arial"/>
          <w:color w:val="000000"/>
        </w:rPr>
        <w:t>p</w:t>
      </w:r>
      <w:r w:rsidR="0009229B" w:rsidRPr="0009229B">
        <w:rPr>
          <w:rFonts w:cs="Arial"/>
          <w:color w:val="000000"/>
        </w:rPr>
        <w:t xml:space="preserve">eriod, and unless alternative instructions are provided, the security deposit and applicable interest are applied </w:t>
      </w:r>
      <w:r w:rsidR="009D2E80">
        <w:rPr>
          <w:rFonts w:cs="Arial"/>
          <w:color w:val="000000"/>
        </w:rPr>
        <w:t xml:space="preserve">to </w:t>
      </w:r>
      <w:r w:rsidR="0009229B" w:rsidRPr="0009229B">
        <w:rPr>
          <w:rFonts w:cs="Arial"/>
          <w:color w:val="000000"/>
        </w:rPr>
        <w:t xml:space="preserve">the settlement of the designated </w:t>
      </w:r>
      <w:r w:rsidR="0009229B">
        <w:rPr>
          <w:rFonts w:cs="Arial"/>
          <w:color w:val="000000"/>
        </w:rPr>
        <w:t>b</w:t>
      </w:r>
      <w:r w:rsidR="0009229B" w:rsidRPr="0009229B">
        <w:rPr>
          <w:rFonts w:cs="Arial"/>
          <w:color w:val="000000"/>
        </w:rPr>
        <w:t xml:space="preserve">illing </w:t>
      </w:r>
      <w:r w:rsidR="0009229B">
        <w:rPr>
          <w:rFonts w:cs="Arial"/>
          <w:color w:val="000000"/>
        </w:rPr>
        <w:t>p</w:t>
      </w:r>
      <w:r w:rsidR="0009229B" w:rsidRPr="0009229B">
        <w:rPr>
          <w:rFonts w:cs="Arial"/>
          <w:color w:val="000000"/>
        </w:rPr>
        <w:t>eriod.</w:t>
      </w:r>
    </w:p>
    <w:p w14:paraId="2D4DB5D5" w14:textId="5CAE2A51" w:rsidR="00C34E9D" w:rsidRPr="008B1B73" w:rsidRDefault="00C34E9D" w:rsidP="00C34E9D">
      <w:pPr>
        <w:pStyle w:val="BodyText"/>
      </w:pPr>
      <w:r w:rsidRPr="008B1B73">
        <w:t>Reallocations are another mechanism available to participants to reduce exposure to AEMO and therefore collateral requirements</w:t>
      </w:r>
      <w:r w:rsidR="0009229B">
        <w:t xml:space="preserve"> (see </w:t>
      </w:r>
      <w:r w:rsidR="0009229B" w:rsidRPr="0009229B">
        <w:fldChar w:fldCharType="begin"/>
      </w:r>
      <w:r w:rsidR="0009229B" w:rsidRPr="0009229B">
        <w:instrText xml:space="preserve"> REF _Ref492115645 \h  \* MERGEFORMAT </w:instrText>
      </w:r>
      <w:r w:rsidR="0009229B" w:rsidRPr="0009229B">
        <w:fldChar w:fldCharType="separate"/>
      </w:r>
      <w:r w:rsidR="00947034" w:rsidRPr="00947034">
        <w:rPr>
          <w:rFonts w:eastAsiaTheme="minorHAnsi" w:cstheme="minorBidi"/>
          <w:bCs/>
          <w:lang w:eastAsia="fr-CA"/>
        </w:rPr>
        <w:t xml:space="preserve">Box </w:t>
      </w:r>
      <w:r w:rsidR="00947034" w:rsidRPr="00947034">
        <w:rPr>
          <w:rFonts w:eastAsiaTheme="minorHAnsi" w:cstheme="minorBidi"/>
          <w:bCs/>
          <w:noProof/>
          <w:lang w:eastAsia="fr-CA"/>
        </w:rPr>
        <w:t>9.1</w:t>
      </w:r>
      <w:r w:rsidR="0009229B" w:rsidRPr="0009229B">
        <w:fldChar w:fldCharType="end"/>
      </w:r>
      <w:r w:rsidR="0009229B">
        <w:t>)</w:t>
      </w:r>
      <w:r w:rsidRPr="008B1B73">
        <w:t xml:space="preserve">. </w:t>
      </w:r>
    </w:p>
    <w:p w14:paraId="19458A91" w14:textId="77777777" w:rsidR="00C34E9D" w:rsidRPr="008B1B73" w:rsidRDefault="00C34E9D" w:rsidP="0009229B">
      <w:pPr>
        <w:pStyle w:val="Heading3"/>
      </w:pPr>
      <w:r w:rsidRPr="008B1B73">
        <w:t>Exposure</w:t>
      </w:r>
    </w:p>
    <w:p w14:paraId="24D6C675" w14:textId="1A6B0A12" w:rsidR="00C34E9D" w:rsidRPr="008B1B73" w:rsidRDefault="00C34E9D" w:rsidP="00C34E9D">
      <w:pPr>
        <w:pStyle w:val="BodyText"/>
      </w:pPr>
      <w:r w:rsidRPr="008B1B73">
        <w:t xml:space="preserve">Prudential assessments are performed each business day to assess the trading position of each participant against the level of collateral provided and to determine </w:t>
      </w:r>
      <w:r w:rsidR="0009229B">
        <w:t xml:space="preserve">whether </w:t>
      </w:r>
      <w:r w:rsidRPr="008B1B73">
        <w:t xml:space="preserve">further collateral is required. The trading position is determined once a day within the </w:t>
      </w:r>
      <w:r w:rsidRPr="008B1B73">
        <w:lastRenderedPageBreak/>
        <w:t>settlement and credit risk management system. The trading position is updated during the course of the day with any new transactions entered into by the participant.</w:t>
      </w:r>
    </w:p>
    <w:p w14:paraId="5E8835D1" w14:textId="26833D05" w:rsidR="00C34E9D" w:rsidRPr="008B1B73" w:rsidRDefault="00C34E9D" w:rsidP="00C34E9D">
      <w:pPr>
        <w:pStyle w:val="BodyText"/>
      </w:pPr>
      <w:r w:rsidRPr="008B1B73">
        <w:t xml:space="preserve">Real time checking of a Trading Participant’s </w:t>
      </w:r>
      <w:r w:rsidR="0009229B">
        <w:t xml:space="preserve">prudential </w:t>
      </w:r>
      <w:r w:rsidRPr="008B1B73">
        <w:t xml:space="preserve">exposure occurs when an order is submitted to determine if the order can be accepted. </w:t>
      </w:r>
      <w:r w:rsidR="0009229B">
        <w:t>Under the terms of the Exchange Agreement, t</w:t>
      </w:r>
      <w:r w:rsidRPr="008B1B73">
        <w:t xml:space="preserve">he order </w:t>
      </w:r>
      <w:r w:rsidR="0009229B">
        <w:t>can be</w:t>
      </w:r>
      <w:r w:rsidRPr="008B1B73">
        <w:t xml:space="preserve"> rejected if:</w:t>
      </w:r>
    </w:p>
    <w:p w14:paraId="2A857F6C" w14:textId="5D861AFD" w:rsidR="00C34E9D" w:rsidRPr="008B1B73" w:rsidRDefault="0009229B" w:rsidP="0009229B">
      <w:pPr>
        <w:pStyle w:val="ListBullet"/>
      </w:pPr>
      <w:r>
        <w:t>t</w:t>
      </w:r>
      <w:r w:rsidR="00C34E9D" w:rsidRPr="008B1B73">
        <w:t>he Trading Participant is in a trading halt;</w:t>
      </w:r>
    </w:p>
    <w:p w14:paraId="5E762CAC" w14:textId="6252AEBF" w:rsidR="00C34E9D" w:rsidRPr="008B1B73" w:rsidRDefault="0009229B" w:rsidP="0009229B">
      <w:pPr>
        <w:pStyle w:val="ListBullet"/>
      </w:pPr>
      <w:r>
        <w:t>t</w:t>
      </w:r>
      <w:r w:rsidR="00C34E9D" w:rsidRPr="008B1B73">
        <w:t>he Trading Participant’s current prudential exposure amount is greater than its trading limit; and/or</w:t>
      </w:r>
    </w:p>
    <w:p w14:paraId="769CA589" w14:textId="39E722C4" w:rsidR="00C34E9D" w:rsidRPr="008B1B73" w:rsidRDefault="0009229B" w:rsidP="0009229B">
      <w:pPr>
        <w:pStyle w:val="ListBullet"/>
      </w:pPr>
      <w:r>
        <w:t>t</w:t>
      </w:r>
      <w:r w:rsidR="00C34E9D" w:rsidRPr="008B1B73">
        <w:t xml:space="preserve">he order is a bid and the value of the order would cause the participant exposure to breach the trading limit. </w:t>
      </w:r>
    </w:p>
    <w:p w14:paraId="53738A1B" w14:textId="4F30A47B" w:rsidR="00C34E9D" w:rsidRPr="008B1B73" w:rsidRDefault="0009229B" w:rsidP="00C34E9D">
      <w:pPr>
        <w:pStyle w:val="BodyText"/>
      </w:pPr>
      <w:r>
        <w:t xml:space="preserve">A Trading Participant’s prudential exposure is calculated as the </w:t>
      </w:r>
      <w:r w:rsidRPr="008B1B73">
        <w:rPr>
          <w:rFonts w:cs="Arial"/>
        </w:rPr>
        <w:t xml:space="preserve">maximum net aggregate amount actually or contingently owing in relation </w:t>
      </w:r>
      <w:r>
        <w:rPr>
          <w:rFonts w:cs="Arial"/>
        </w:rPr>
        <w:t xml:space="preserve">to </w:t>
      </w:r>
      <w:r w:rsidRPr="008B1B73">
        <w:rPr>
          <w:rFonts w:cs="Arial"/>
        </w:rPr>
        <w:t>transactions, reallocations and security deposits</w:t>
      </w:r>
      <w:r>
        <w:t xml:space="preserve">. </w:t>
      </w:r>
      <w:r w:rsidR="00C34E9D" w:rsidRPr="008B1B73">
        <w:t xml:space="preserve">For the purposes of describing prudential exposure, the exposure period for GSH transactions is split into three </w:t>
      </w:r>
      <w:r w:rsidR="009D2E80">
        <w:t>periods</w:t>
      </w:r>
      <w:r w:rsidR="00C34E9D" w:rsidRPr="008B1B73">
        <w:t xml:space="preserve">, as shown in </w:t>
      </w:r>
      <w:r w:rsidR="00446B58" w:rsidRPr="0009229B">
        <w:fldChar w:fldCharType="begin"/>
      </w:r>
      <w:r w:rsidR="00446B58" w:rsidRPr="0009229B">
        <w:instrText xml:space="preserve"> REF _Ref491917451 \h </w:instrText>
      </w:r>
      <w:r w:rsidRPr="0009229B">
        <w:instrText xml:space="preserve"> \* MERGEFORMAT </w:instrText>
      </w:r>
      <w:r w:rsidR="00446B58" w:rsidRPr="0009229B">
        <w:fldChar w:fldCharType="separate"/>
      </w:r>
      <w:r w:rsidR="00947034" w:rsidRPr="00947034">
        <w:t xml:space="preserve">Figure </w:t>
      </w:r>
      <w:r w:rsidR="00947034" w:rsidRPr="00947034">
        <w:rPr>
          <w:noProof/>
        </w:rPr>
        <w:t>9.1</w:t>
      </w:r>
      <w:r w:rsidR="00446B58" w:rsidRPr="0009229B">
        <w:fldChar w:fldCharType="end"/>
      </w:r>
      <w:r w:rsidR="00C34E9D" w:rsidRPr="0009229B">
        <w:t>:</w:t>
      </w:r>
    </w:p>
    <w:p w14:paraId="1286179C" w14:textId="19D2EB4A" w:rsidR="00C34E9D" w:rsidRPr="008B1B73" w:rsidRDefault="00C34E9D" w:rsidP="005C4789">
      <w:pPr>
        <w:pStyle w:val="ListBullet"/>
        <w:numPr>
          <w:ilvl w:val="0"/>
          <w:numId w:val="61"/>
        </w:numPr>
      </w:pPr>
      <w:r w:rsidRPr="008B1B73">
        <w:rPr>
          <w:rStyle w:val="Bold"/>
        </w:rPr>
        <w:t>Settlement period</w:t>
      </w:r>
      <w:r w:rsidR="009D2E80">
        <w:rPr>
          <w:rStyle w:val="Bold"/>
        </w:rPr>
        <w:t xml:space="preserve"> (</w:t>
      </w:r>
      <w:proofErr w:type="spellStart"/>
      <w:r w:rsidR="009D2E80">
        <w:rPr>
          <w:rStyle w:val="Bold"/>
        </w:rPr>
        <w:t>post delivery</w:t>
      </w:r>
      <w:proofErr w:type="spellEnd"/>
      <w:r w:rsidR="009D2E80">
        <w:rPr>
          <w:rStyle w:val="Bold"/>
        </w:rPr>
        <w:t>)</w:t>
      </w:r>
      <w:r w:rsidRPr="008B1B73">
        <w:t xml:space="preserve">: </w:t>
      </w:r>
      <w:r w:rsidR="0009229B">
        <w:t>During this period</w:t>
      </w:r>
      <w:r w:rsidR="001B4653">
        <w:t>,</w:t>
      </w:r>
      <w:r w:rsidR="0009229B">
        <w:t xml:space="preserve"> </w:t>
      </w:r>
      <w:r w:rsidRPr="008B1B73">
        <w:t>an exposure exists for transactions covering gas days in the past until settlement statements for that period are issued and paid.</w:t>
      </w:r>
    </w:p>
    <w:p w14:paraId="3D44816E" w14:textId="6EF0EA47" w:rsidR="00C34E9D" w:rsidRPr="008B1B73" w:rsidRDefault="00C34E9D" w:rsidP="005C4789">
      <w:pPr>
        <w:pStyle w:val="ListBullet"/>
        <w:numPr>
          <w:ilvl w:val="0"/>
          <w:numId w:val="60"/>
        </w:numPr>
      </w:pPr>
      <w:r w:rsidRPr="008B1B73">
        <w:rPr>
          <w:rStyle w:val="Bold"/>
        </w:rPr>
        <w:t>Delivery period</w:t>
      </w:r>
      <w:r w:rsidRPr="008B1B73">
        <w:t xml:space="preserve">: </w:t>
      </w:r>
      <w:r w:rsidR="0009229B">
        <w:t>T</w:t>
      </w:r>
      <w:r w:rsidRPr="008B1B73">
        <w:t xml:space="preserve">ransactions in </w:t>
      </w:r>
      <w:r w:rsidR="0009229B">
        <w:t xml:space="preserve">this </w:t>
      </w:r>
      <w:r w:rsidRPr="008B1B73">
        <w:t xml:space="preserve">period are </w:t>
      </w:r>
      <w:r w:rsidR="001B4653">
        <w:t xml:space="preserve">close to or in the process of being delivered </w:t>
      </w:r>
      <w:r w:rsidR="0009229B">
        <w:t>(i.e. gas days D and D+1), so e</w:t>
      </w:r>
      <w:r w:rsidRPr="008B1B73">
        <w:t xml:space="preserve">xposure estimates for this period are based on the assumption that delivery occurs. </w:t>
      </w:r>
    </w:p>
    <w:p w14:paraId="082636ED" w14:textId="14BD1E96" w:rsidR="00C34E9D" w:rsidRPr="008B1B73" w:rsidRDefault="00C34E9D" w:rsidP="005C4789">
      <w:pPr>
        <w:pStyle w:val="ListBullet"/>
        <w:numPr>
          <w:ilvl w:val="0"/>
          <w:numId w:val="60"/>
        </w:numPr>
      </w:pPr>
      <w:r w:rsidRPr="008B1B73">
        <w:rPr>
          <w:rStyle w:val="Bold"/>
        </w:rPr>
        <w:t>Forward period</w:t>
      </w:r>
      <w:r w:rsidRPr="008B1B73">
        <w:t xml:space="preserve">: </w:t>
      </w:r>
      <w:r w:rsidR="0009229B">
        <w:t xml:space="preserve">Trades </w:t>
      </w:r>
      <w:r w:rsidRPr="008B1B73">
        <w:t xml:space="preserve">covering </w:t>
      </w:r>
      <w:r w:rsidR="0009229B">
        <w:t xml:space="preserve">gas days D+2 and beyond are treated as falling </w:t>
      </w:r>
      <w:r w:rsidRPr="008B1B73">
        <w:t>in the Forward Period</w:t>
      </w:r>
      <w:r w:rsidR="0009229B">
        <w:t xml:space="preserve">, which </w:t>
      </w:r>
      <w:r w:rsidRPr="008B1B73">
        <w:t>extends as far into the future as a Trading Participant’s transactions.</w:t>
      </w:r>
    </w:p>
    <w:p w14:paraId="3D15CD08" w14:textId="79895676" w:rsidR="00C34E9D" w:rsidRPr="008B1B73" w:rsidRDefault="00446B58" w:rsidP="006F55F6">
      <w:pPr>
        <w:pStyle w:val="BodyText"/>
        <w:keepNext/>
        <w:spacing w:after="0"/>
        <w:rPr>
          <w:rStyle w:val="Bold"/>
        </w:rPr>
      </w:pPr>
      <w:bookmarkStart w:id="210" w:name="_Ref491917451"/>
      <w:r w:rsidRPr="00446B58">
        <w:rPr>
          <w:b/>
        </w:rPr>
        <w:t xml:space="preserve">Figure </w:t>
      </w:r>
      <w:r w:rsidRPr="00446B58">
        <w:rPr>
          <w:b/>
        </w:rPr>
        <w:fldChar w:fldCharType="begin"/>
      </w:r>
      <w:r w:rsidRPr="00446B58">
        <w:rPr>
          <w:b/>
        </w:rPr>
        <w:instrText xml:space="preserve"> STYLEREF 1 \s </w:instrText>
      </w:r>
      <w:r w:rsidRPr="00446B58">
        <w:rPr>
          <w:b/>
        </w:rPr>
        <w:fldChar w:fldCharType="separate"/>
      </w:r>
      <w:r w:rsidR="00947034">
        <w:rPr>
          <w:b/>
          <w:noProof/>
        </w:rPr>
        <w:t>9</w:t>
      </w:r>
      <w:r w:rsidRPr="00446B58">
        <w:rPr>
          <w:b/>
        </w:rPr>
        <w:fldChar w:fldCharType="end"/>
      </w:r>
      <w:r w:rsidRPr="00446B58">
        <w:rPr>
          <w:b/>
        </w:rPr>
        <w:t>.</w:t>
      </w:r>
      <w:r w:rsidRPr="00446B58">
        <w:rPr>
          <w:b/>
        </w:rPr>
        <w:fldChar w:fldCharType="begin"/>
      </w:r>
      <w:r w:rsidRPr="00446B58">
        <w:rPr>
          <w:b/>
        </w:rPr>
        <w:instrText xml:space="preserve"> SEQ Figure \* ARABIC \s 1 </w:instrText>
      </w:r>
      <w:r w:rsidRPr="00446B58">
        <w:rPr>
          <w:b/>
        </w:rPr>
        <w:fldChar w:fldCharType="separate"/>
      </w:r>
      <w:r w:rsidR="00947034">
        <w:rPr>
          <w:b/>
          <w:noProof/>
        </w:rPr>
        <w:t>1</w:t>
      </w:r>
      <w:r w:rsidRPr="00446B58">
        <w:rPr>
          <w:b/>
        </w:rPr>
        <w:fldChar w:fldCharType="end"/>
      </w:r>
      <w:bookmarkEnd w:id="210"/>
      <w:r w:rsidRPr="00446B58">
        <w:rPr>
          <w:b/>
        </w:rPr>
        <w:t>:</w:t>
      </w:r>
      <w:r w:rsidR="00C34E9D" w:rsidRPr="008B1B73">
        <w:rPr>
          <w:rStyle w:val="Bold"/>
        </w:rPr>
        <w:t xml:space="preserve"> Exposure period</w:t>
      </w:r>
      <w:r w:rsidR="001B4653">
        <w:rPr>
          <w:rStyle w:val="Bold"/>
        </w:rPr>
        <w:t xml:space="preserve"> </w:t>
      </w:r>
    </w:p>
    <w:p w14:paraId="086788D2" w14:textId="77777777" w:rsidR="00C34E9D" w:rsidRPr="008B1B73" w:rsidRDefault="00C34E9D" w:rsidP="00723C4D">
      <w:pPr>
        <w:pStyle w:val="BodyText"/>
        <w:spacing w:before="0"/>
        <w:rPr>
          <w:rFonts w:cs="Arial"/>
        </w:rPr>
      </w:pPr>
      <w:r w:rsidRPr="008B1B73">
        <w:rPr>
          <w:rFonts w:cs="Arial"/>
          <w:noProof/>
        </w:rPr>
        <w:drawing>
          <wp:inline distT="0" distB="0" distL="0" distR="0" wp14:anchorId="4AA933D0" wp14:editId="50AF3AE6">
            <wp:extent cx="4878774" cy="2090752"/>
            <wp:effectExtent l="0" t="0" r="0" b="5080"/>
            <wp:docPr id="91" name="Picture 91" descr="Exposure period " title="Figure 9.1: Exposure perio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998716" cy="2142152"/>
                    </a:xfrm>
                    <a:prstGeom prst="rect">
                      <a:avLst/>
                    </a:prstGeom>
                  </pic:spPr>
                </pic:pic>
              </a:graphicData>
            </a:graphic>
          </wp:inline>
        </w:drawing>
      </w:r>
    </w:p>
    <w:p w14:paraId="06F89CC3" w14:textId="3EF5955C" w:rsidR="00C34E9D" w:rsidRDefault="00446B58" w:rsidP="00C34E9D">
      <w:pPr>
        <w:pStyle w:val="BodyText"/>
        <w:rPr>
          <w:rFonts w:cs="Arial"/>
        </w:rPr>
      </w:pPr>
      <w:r w:rsidRPr="0009229B">
        <w:rPr>
          <w:rFonts w:cs="Arial"/>
        </w:rPr>
        <w:fldChar w:fldCharType="begin"/>
      </w:r>
      <w:r w:rsidRPr="0009229B">
        <w:rPr>
          <w:rFonts w:cs="Arial"/>
        </w:rPr>
        <w:instrText xml:space="preserve"> REF _Ref491917624 \h </w:instrText>
      </w:r>
      <w:r w:rsidR="0009229B" w:rsidRPr="0009229B">
        <w:rPr>
          <w:rFonts w:cs="Arial"/>
        </w:rPr>
        <w:instrText xml:space="preserve"> \* MERGEFORMAT </w:instrText>
      </w:r>
      <w:r w:rsidRPr="0009229B">
        <w:rPr>
          <w:rFonts w:cs="Arial"/>
        </w:rPr>
      </w:r>
      <w:r w:rsidRPr="0009229B">
        <w:rPr>
          <w:rFonts w:cs="Arial"/>
        </w:rPr>
        <w:fldChar w:fldCharType="separate"/>
      </w:r>
      <w:r w:rsidR="00947034" w:rsidRPr="00947034">
        <w:t xml:space="preserve">Table </w:t>
      </w:r>
      <w:r w:rsidR="00947034" w:rsidRPr="00947034">
        <w:rPr>
          <w:noProof/>
        </w:rPr>
        <w:t>9.2</w:t>
      </w:r>
      <w:r w:rsidRPr="0009229B">
        <w:rPr>
          <w:rFonts w:cs="Arial"/>
        </w:rPr>
        <w:fldChar w:fldCharType="end"/>
      </w:r>
      <w:r w:rsidR="00C34E9D" w:rsidRPr="0009229B">
        <w:rPr>
          <w:rFonts w:cs="Arial"/>
        </w:rPr>
        <w:t xml:space="preserve"> </w:t>
      </w:r>
      <w:r w:rsidR="00C34E9D" w:rsidRPr="008B1B73">
        <w:rPr>
          <w:rFonts w:cs="Arial"/>
        </w:rPr>
        <w:t xml:space="preserve">shows the exposure calculation for current GSH products across </w:t>
      </w:r>
      <w:r w:rsidR="0009229B">
        <w:rPr>
          <w:rFonts w:cs="Arial"/>
        </w:rPr>
        <w:t xml:space="preserve">these </w:t>
      </w:r>
      <w:r w:rsidR="00C34E9D" w:rsidRPr="008B1B73">
        <w:rPr>
          <w:rFonts w:cs="Arial"/>
        </w:rPr>
        <w:t>three time periods</w:t>
      </w:r>
      <w:r w:rsidR="001B4653">
        <w:rPr>
          <w:rFonts w:cs="Arial"/>
        </w:rPr>
        <w:t>, which p</w:t>
      </w:r>
      <w:r w:rsidR="00C34E9D" w:rsidRPr="008B1B73">
        <w:rPr>
          <w:rFonts w:cs="Arial"/>
        </w:rPr>
        <w:t xml:space="preserve">articipants must provide credit support to cover. </w:t>
      </w:r>
    </w:p>
    <w:p w14:paraId="198625D5" w14:textId="5D5D78F7" w:rsidR="0009229B" w:rsidRPr="008B1B73" w:rsidRDefault="0009229B" w:rsidP="00AB6514">
      <w:pPr>
        <w:pStyle w:val="BodyText"/>
        <w:keepNext/>
        <w:spacing w:after="0"/>
        <w:rPr>
          <w:rStyle w:val="Bold"/>
        </w:rPr>
      </w:pPr>
      <w:bookmarkStart w:id="211" w:name="_Ref491917624"/>
      <w:r w:rsidRPr="00446B58">
        <w:rPr>
          <w:b/>
        </w:rPr>
        <w:lastRenderedPageBreak/>
        <w:t xml:space="preserve">Table </w:t>
      </w:r>
      <w:r w:rsidR="001C4739">
        <w:rPr>
          <w:b/>
        </w:rPr>
        <w:fldChar w:fldCharType="begin"/>
      </w:r>
      <w:r w:rsidR="001C4739">
        <w:rPr>
          <w:b/>
        </w:rPr>
        <w:instrText xml:space="preserve"> STYLEREF 1 \s </w:instrText>
      </w:r>
      <w:r w:rsidR="001C4739">
        <w:rPr>
          <w:b/>
        </w:rPr>
        <w:fldChar w:fldCharType="separate"/>
      </w:r>
      <w:r w:rsidR="00947034">
        <w:rPr>
          <w:b/>
          <w:noProof/>
        </w:rPr>
        <w:t>9</w:t>
      </w:r>
      <w:r w:rsidR="001C4739">
        <w:rPr>
          <w:b/>
        </w:rPr>
        <w:fldChar w:fldCharType="end"/>
      </w:r>
      <w:r w:rsidR="001C4739">
        <w:rPr>
          <w:b/>
        </w:rPr>
        <w:t>.</w:t>
      </w:r>
      <w:r w:rsidR="001C4739">
        <w:rPr>
          <w:b/>
        </w:rPr>
        <w:fldChar w:fldCharType="begin"/>
      </w:r>
      <w:r w:rsidR="001C4739">
        <w:rPr>
          <w:b/>
        </w:rPr>
        <w:instrText xml:space="preserve"> SEQ Table \* ARABIC \s 1 </w:instrText>
      </w:r>
      <w:r w:rsidR="001C4739">
        <w:rPr>
          <w:b/>
        </w:rPr>
        <w:fldChar w:fldCharType="separate"/>
      </w:r>
      <w:r w:rsidR="00947034">
        <w:rPr>
          <w:b/>
          <w:noProof/>
        </w:rPr>
        <w:t>2</w:t>
      </w:r>
      <w:r w:rsidR="001C4739">
        <w:rPr>
          <w:b/>
        </w:rPr>
        <w:fldChar w:fldCharType="end"/>
      </w:r>
      <w:bookmarkEnd w:id="211"/>
      <w:r w:rsidRPr="008B1B73">
        <w:rPr>
          <w:rStyle w:val="Bold"/>
        </w:rPr>
        <w:t>: Current exposure calculation for gas products</w:t>
      </w:r>
    </w:p>
    <w:tbl>
      <w:tblPr>
        <w:tblStyle w:val="TableGrid"/>
        <w:tblW w:w="5000" w:type="pct"/>
        <w:tblLook w:val="0420" w:firstRow="1" w:lastRow="0" w:firstColumn="0" w:lastColumn="0" w:noHBand="0" w:noVBand="1"/>
        <w:tblCaption w:val="Table 9.2: Current exposure calculation for gas products"/>
        <w:tblDescription w:val="Current exposure calculation for gas products"/>
      </w:tblPr>
      <w:tblGrid>
        <w:gridCol w:w="3541"/>
        <w:gridCol w:w="2408"/>
        <w:gridCol w:w="2839"/>
      </w:tblGrid>
      <w:tr w:rsidR="0009229B" w:rsidRPr="008B1B73" w14:paraId="4D4780EC" w14:textId="77777777" w:rsidTr="001B4653">
        <w:trPr>
          <w:cnfStyle w:val="100000000000" w:firstRow="1" w:lastRow="0" w:firstColumn="0" w:lastColumn="0" w:oddVBand="0" w:evenVBand="0" w:oddHBand="0" w:evenHBand="0" w:firstRowFirstColumn="0" w:firstRowLastColumn="0" w:lastRowFirstColumn="0" w:lastRowLastColumn="0"/>
          <w:tblHeader/>
        </w:trPr>
        <w:tc>
          <w:tcPr>
            <w:tcW w:w="2015" w:type="pct"/>
            <w:shd w:val="clear" w:color="auto" w:fill="0099CC"/>
          </w:tcPr>
          <w:p w14:paraId="4A6626C8" w14:textId="695E9E43" w:rsidR="0009229B" w:rsidRPr="008B1B73" w:rsidRDefault="001B4653" w:rsidP="00AB6514">
            <w:pPr>
              <w:pStyle w:val="TableHeading"/>
              <w:keepNext/>
            </w:pPr>
            <w:r>
              <w:t>Period</w:t>
            </w:r>
          </w:p>
        </w:tc>
        <w:tc>
          <w:tcPr>
            <w:tcW w:w="1370" w:type="pct"/>
            <w:shd w:val="clear" w:color="auto" w:fill="0099CC"/>
          </w:tcPr>
          <w:p w14:paraId="4BEAAEA8" w14:textId="77777777" w:rsidR="0009229B" w:rsidRPr="008B1B73" w:rsidRDefault="0009229B" w:rsidP="00AB6514">
            <w:pPr>
              <w:pStyle w:val="TableHeading"/>
              <w:keepNext/>
            </w:pPr>
            <w:r w:rsidRPr="008B1B73">
              <w:t>Buyer</w:t>
            </w:r>
          </w:p>
        </w:tc>
        <w:tc>
          <w:tcPr>
            <w:tcW w:w="1613" w:type="pct"/>
            <w:shd w:val="clear" w:color="auto" w:fill="0099CC"/>
          </w:tcPr>
          <w:p w14:paraId="053B415F" w14:textId="77777777" w:rsidR="0009229B" w:rsidRPr="008B1B73" w:rsidRDefault="0009229B" w:rsidP="00AB6514">
            <w:pPr>
              <w:pStyle w:val="TableHeading"/>
              <w:keepNext/>
            </w:pPr>
            <w:r w:rsidRPr="008B1B73">
              <w:t>Seller</w:t>
            </w:r>
          </w:p>
        </w:tc>
      </w:tr>
      <w:tr w:rsidR="0009229B" w:rsidRPr="008B1B73" w14:paraId="3C4133E6" w14:textId="77777777" w:rsidTr="001B4653">
        <w:tc>
          <w:tcPr>
            <w:tcW w:w="2015" w:type="pct"/>
          </w:tcPr>
          <w:p w14:paraId="4B29CC67" w14:textId="77777777" w:rsidR="0009229B" w:rsidRPr="006F55F6" w:rsidRDefault="0009229B" w:rsidP="00AB6514">
            <w:pPr>
              <w:pStyle w:val="TableBodyText"/>
              <w:keepNext/>
              <w:rPr>
                <w:rStyle w:val="Bold"/>
                <w:b w:val="0"/>
              </w:rPr>
            </w:pPr>
            <w:r w:rsidRPr="006F55F6">
              <w:rPr>
                <w:rStyle w:val="Bold"/>
                <w:b w:val="0"/>
              </w:rPr>
              <w:t>Settlement period (after delivery)</w:t>
            </w:r>
          </w:p>
        </w:tc>
        <w:tc>
          <w:tcPr>
            <w:tcW w:w="2985" w:type="pct"/>
            <w:gridSpan w:val="2"/>
          </w:tcPr>
          <w:p w14:paraId="1D937020" w14:textId="77777777" w:rsidR="0009229B" w:rsidRPr="008B1B73" w:rsidRDefault="0009229B" w:rsidP="00AB6514">
            <w:pPr>
              <w:pStyle w:val="TableBodyText"/>
              <w:keepNext/>
            </w:pPr>
            <w:r w:rsidRPr="008B1B73">
              <w:t>Calculated settlement charges and payments</w:t>
            </w:r>
          </w:p>
        </w:tc>
      </w:tr>
      <w:tr w:rsidR="0009229B" w:rsidRPr="008B1B73" w14:paraId="13F5108B" w14:textId="77777777" w:rsidTr="001B4653">
        <w:trPr>
          <w:cnfStyle w:val="000000010000" w:firstRow="0" w:lastRow="0" w:firstColumn="0" w:lastColumn="0" w:oddVBand="0" w:evenVBand="0" w:oddHBand="0" w:evenHBand="1" w:firstRowFirstColumn="0" w:firstRowLastColumn="0" w:lastRowFirstColumn="0" w:lastRowLastColumn="0"/>
        </w:trPr>
        <w:tc>
          <w:tcPr>
            <w:tcW w:w="2015" w:type="pct"/>
          </w:tcPr>
          <w:p w14:paraId="2C70C1D8" w14:textId="77777777" w:rsidR="0009229B" w:rsidRPr="006F55F6" w:rsidRDefault="0009229B" w:rsidP="00AB6514">
            <w:pPr>
              <w:pStyle w:val="TableBodyText"/>
              <w:keepNext/>
              <w:rPr>
                <w:rStyle w:val="Bold"/>
                <w:b w:val="0"/>
              </w:rPr>
            </w:pPr>
            <w:r w:rsidRPr="006F55F6">
              <w:rPr>
                <w:rStyle w:val="Bold"/>
                <w:b w:val="0"/>
              </w:rPr>
              <w:t>Delivery period (within 2 days from delivery)</w:t>
            </w:r>
          </w:p>
        </w:tc>
        <w:tc>
          <w:tcPr>
            <w:tcW w:w="1370" w:type="pct"/>
          </w:tcPr>
          <w:p w14:paraId="7CC93349" w14:textId="77777777" w:rsidR="0009229B" w:rsidRPr="008B1B73" w:rsidRDefault="0009229B" w:rsidP="00AB6514">
            <w:pPr>
              <w:pStyle w:val="TableBodyText"/>
              <w:keepNext/>
            </w:pPr>
            <w:r w:rsidRPr="008B1B73">
              <w:t>100% of the face value</w:t>
            </w:r>
          </w:p>
        </w:tc>
        <w:tc>
          <w:tcPr>
            <w:tcW w:w="1613" w:type="pct"/>
          </w:tcPr>
          <w:p w14:paraId="4DC18416" w14:textId="77777777" w:rsidR="0009229B" w:rsidRPr="008B1B73" w:rsidRDefault="0009229B" w:rsidP="00AB6514">
            <w:pPr>
              <w:pStyle w:val="TableBodyText"/>
              <w:keepNext/>
            </w:pPr>
            <w:r w:rsidRPr="008B1B73">
              <w:t>25% of the face value payable to the seller</w:t>
            </w:r>
          </w:p>
        </w:tc>
      </w:tr>
      <w:tr w:rsidR="0009229B" w:rsidRPr="008B1B73" w14:paraId="700AC6D6" w14:textId="77777777" w:rsidTr="001B4653">
        <w:tc>
          <w:tcPr>
            <w:tcW w:w="2015" w:type="pct"/>
          </w:tcPr>
          <w:p w14:paraId="3B886216" w14:textId="77777777" w:rsidR="0009229B" w:rsidRPr="006F55F6" w:rsidRDefault="0009229B" w:rsidP="001B4653">
            <w:pPr>
              <w:pStyle w:val="TableBodyText"/>
              <w:rPr>
                <w:rStyle w:val="Bold"/>
                <w:b w:val="0"/>
              </w:rPr>
            </w:pPr>
            <w:r w:rsidRPr="006F55F6">
              <w:rPr>
                <w:rStyle w:val="Bold"/>
                <w:b w:val="0"/>
              </w:rPr>
              <w:t>Forward period (future gas days out past 2 days from delivery)</w:t>
            </w:r>
          </w:p>
        </w:tc>
        <w:tc>
          <w:tcPr>
            <w:tcW w:w="1370" w:type="pct"/>
          </w:tcPr>
          <w:p w14:paraId="7A27CBAB" w14:textId="77777777" w:rsidR="0009229B" w:rsidRPr="008B1B73" w:rsidRDefault="0009229B" w:rsidP="001B4653">
            <w:pPr>
              <w:pStyle w:val="TableBodyText"/>
            </w:pPr>
            <w:r w:rsidRPr="008B1B73">
              <w:t>25% of the face value</w:t>
            </w:r>
          </w:p>
        </w:tc>
        <w:tc>
          <w:tcPr>
            <w:tcW w:w="1613" w:type="pct"/>
          </w:tcPr>
          <w:p w14:paraId="63BD4B9E" w14:textId="77777777" w:rsidR="0009229B" w:rsidRPr="008B1B73" w:rsidRDefault="0009229B" w:rsidP="001B4653">
            <w:pPr>
              <w:pStyle w:val="TableBodyText"/>
            </w:pPr>
            <w:r w:rsidRPr="008B1B73">
              <w:t>25% of the face value payable by the seller</w:t>
            </w:r>
          </w:p>
        </w:tc>
      </w:tr>
    </w:tbl>
    <w:p w14:paraId="078D4C1F" w14:textId="77777777" w:rsidR="001B4653" w:rsidRDefault="001B4653" w:rsidP="001B4653">
      <w:pPr>
        <w:pStyle w:val="BodyText"/>
        <w:rPr>
          <w:rFonts w:cs="Arial"/>
        </w:rPr>
      </w:pPr>
      <w:r>
        <w:rPr>
          <w:rFonts w:cs="Arial"/>
        </w:rPr>
        <w:t xml:space="preserve">As this table highlights: </w:t>
      </w:r>
    </w:p>
    <w:p w14:paraId="3D20F598" w14:textId="77777777" w:rsidR="001B4653" w:rsidRDefault="001B4653" w:rsidP="001B4653">
      <w:pPr>
        <w:pStyle w:val="ListBullet"/>
      </w:pPr>
      <w:r>
        <w:t>d</w:t>
      </w:r>
      <w:r w:rsidR="00C34E9D" w:rsidRPr="008B1B73">
        <w:t>uring the settlement period buyers provide 100% collateral against the face value of their net position</w:t>
      </w:r>
      <w:r>
        <w:t xml:space="preserve"> and </w:t>
      </w:r>
      <w:r w:rsidR="00C34E9D" w:rsidRPr="008B1B73">
        <w:t>sellers are owed 100% of the face value of their net positions</w:t>
      </w:r>
      <w:r>
        <w:t>;</w:t>
      </w:r>
    </w:p>
    <w:p w14:paraId="27D9D478" w14:textId="77777777" w:rsidR="001B4653" w:rsidRDefault="001B4653" w:rsidP="001B4653">
      <w:pPr>
        <w:pStyle w:val="ListBullet"/>
      </w:pPr>
      <w:r>
        <w:t>d</w:t>
      </w:r>
      <w:r w:rsidR="00C34E9D" w:rsidRPr="008B1B73">
        <w:t>uring the delivery period buyers provide 100% collateral against the face value of their net position</w:t>
      </w:r>
      <w:r>
        <w:t xml:space="preserve"> while </w:t>
      </w:r>
      <w:r w:rsidR="00C34E9D" w:rsidRPr="008B1B73">
        <w:t xml:space="preserve">sellers are owed 25% of the face value of their net positions. </w:t>
      </w:r>
    </w:p>
    <w:p w14:paraId="0AA2885C" w14:textId="3674E681" w:rsidR="00C34E9D" w:rsidRPr="008B1B73" w:rsidRDefault="001B4653" w:rsidP="001B4653">
      <w:pPr>
        <w:pStyle w:val="ListBullet"/>
      </w:pPr>
      <w:r>
        <w:t xml:space="preserve">during </w:t>
      </w:r>
      <w:r w:rsidR="00C34E9D" w:rsidRPr="008B1B73">
        <w:t xml:space="preserve">the forward period buyers and sellers are required to hold 25% collateral against their net positions. </w:t>
      </w:r>
    </w:p>
    <w:p w14:paraId="1855E8A6" w14:textId="01136359" w:rsidR="00C34E9D" w:rsidRPr="008B1B73" w:rsidRDefault="00C34E9D" w:rsidP="00C34E9D">
      <w:pPr>
        <w:pStyle w:val="BodyText"/>
        <w:rPr>
          <w:rFonts w:cs="Arial"/>
        </w:rPr>
      </w:pPr>
      <w:r w:rsidRPr="008B1B73">
        <w:rPr>
          <w:rFonts w:cs="Arial"/>
        </w:rPr>
        <w:t xml:space="preserve">The rationale behind </w:t>
      </w:r>
      <w:r w:rsidR="009D2E80">
        <w:rPr>
          <w:rFonts w:cs="Arial"/>
        </w:rPr>
        <w:t xml:space="preserve">a lower </w:t>
      </w:r>
      <w:r w:rsidRPr="008B1B73">
        <w:rPr>
          <w:rFonts w:cs="Arial"/>
        </w:rPr>
        <w:t xml:space="preserve">collateral requirement in the forward period is that if a default occurs, then AEMO will cancel the transaction and the counterparty has time to go back to the market and </w:t>
      </w:r>
      <w:r w:rsidR="009D2E80">
        <w:rPr>
          <w:rFonts w:cs="Arial"/>
        </w:rPr>
        <w:t xml:space="preserve">purchase or </w:t>
      </w:r>
      <w:r w:rsidRPr="008B1B73">
        <w:rPr>
          <w:rFonts w:cs="Arial"/>
        </w:rPr>
        <w:t xml:space="preserve">sell the product to </w:t>
      </w:r>
      <w:r w:rsidR="009D2E80">
        <w:rPr>
          <w:rFonts w:cs="Arial"/>
        </w:rPr>
        <w:t xml:space="preserve">try and </w:t>
      </w:r>
      <w:r w:rsidRPr="008B1B73">
        <w:rPr>
          <w:rFonts w:cs="Arial"/>
        </w:rPr>
        <w:t>make itself whole. The risk is that the market price has moved in an adverse direction from the time of the original transaction. Without daily margining</w:t>
      </w:r>
      <w:r w:rsidR="009D2E80">
        <w:rPr>
          <w:rFonts w:cs="Arial"/>
        </w:rPr>
        <w:t>,</w:t>
      </w:r>
      <w:r w:rsidRPr="008B1B73">
        <w:rPr>
          <w:rFonts w:cs="Arial"/>
        </w:rPr>
        <w:t xml:space="preserve"> this risk cannot be completely removed. However, it can be mitigated by requiring traders to hold some collateral that can be used by AEMO to compensate the impacted market participant. </w:t>
      </w:r>
    </w:p>
    <w:p w14:paraId="32CAD6C3" w14:textId="77777777" w:rsidR="00C34E9D" w:rsidRPr="008B1B73" w:rsidRDefault="00C34E9D" w:rsidP="00C34E9D">
      <w:pPr>
        <w:pStyle w:val="BodyText"/>
        <w:rPr>
          <w:rFonts w:cs="Arial"/>
        </w:rPr>
      </w:pPr>
      <w:r w:rsidRPr="008B1B73">
        <w:rPr>
          <w:rFonts w:cs="Arial"/>
        </w:rPr>
        <w:t xml:space="preserve">For example, Trader A buys 10 TJ of gas for delivery in three weeks at $8/GJ. If Trader A defaults in the forward period, the transaction would be cancelled and the seller would receive 25% of the face value in compensation. The seller could then go back to the market and try and resell its gas for the same period. If the market price had moved in the interim, the seller may be able to resell the gas for more or less than the original transaction, including the 25% compensation. </w:t>
      </w:r>
    </w:p>
    <w:p w14:paraId="2F301A3A" w14:textId="1272AE8C" w:rsidR="00C34E9D" w:rsidRDefault="00C34E9D" w:rsidP="00C34E9D">
      <w:pPr>
        <w:pStyle w:val="BodyText"/>
      </w:pPr>
      <w:r w:rsidRPr="008B1B73">
        <w:t>If the commodity traded on the market is expected to be highly volatile, then the level of collateral held in the forward period should be higher to manage the risk that, if a trader defaults, its counterparty can re-enter the market to make itself whole. Conversely, if a commodity is expected to exhibit low volatility, the requirement for collateral in the forward period could be reduced.</w:t>
      </w:r>
    </w:p>
    <w:p w14:paraId="4FB21E8C" w14:textId="4B755BD5" w:rsidR="001B4653" w:rsidRDefault="001B4653" w:rsidP="001B4653">
      <w:pPr>
        <w:pStyle w:val="BodyText"/>
      </w:pPr>
      <w:r>
        <w:t xml:space="preserve">In discussions with the Capacity </w:t>
      </w:r>
      <w:r w:rsidR="00870DFA">
        <w:t>Trading Platform p</w:t>
      </w:r>
      <w:r>
        <w:t xml:space="preserve">roject </w:t>
      </w:r>
      <w:r w:rsidR="00870DFA">
        <w:t>t</w:t>
      </w:r>
      <w:r>
        <w:t xml:space="preserve">eam about the GSH credit risk arrangements, project team members questioned whether the same amount of collateral would be required for capacity products because: </w:t>
      </w:r>
    </w:p>
    <w:p w14:paraId="7AF1C62C" w14:textId="77777777" w:rsidR="001B4653" w:rsidRDefault="00C34E9D" w:rsidP="001B4653">
      <w:pPr>
        <w:pStyle w:val="ListBullet"/>
      </w:pPr>
      <w:r w:rsidRPr="008B1B73">
        <w:t xml:space="preserve">the price of capacity is effectively capped at the as-available price offered by </w:t>
      </w:r>
      <w:r w:rsidR="001B4653">
        <w:t xml:space="preserve">the </w:t>
      </w:r>
      <w:r w:rsidR="00734F1F">
        <w:t>service provider</w:t>
      </w:r>
      <w:r w:rsidR="001B4653">
        <w:t>; and</w:t>
      </w:r>
    </w:p>
    <w:p w14:paraId="636ADF03" w14:textId="7E42584B" w:rsidR="00C34E9D" w:rsidRPr="008B1B73" w:rsidRDefault="001B4653" w:rsidP="001B4653">
      <w:pPr>
        <w:pStyle w:val="ListBullet"/>
      </w:pPr>
      <w:r>
        <w:t xml:space="preserve">in contrast to gas, </w:t>
      </w:r>
      <w:r w:rsidR="00C34E9D" w:rsidRPr="008B1B73">
        <w:t xml:space="preserve">capacity prices </w:t>
      </w:r>
      <w:r>
        <w:t xml:space="preserve">are likely to </w:t>
      </w:r>
      <w:r w:rsidR="00C34E9D" w:rsidRPr="008B1B73">
        <w:t xml:space="preserve">exhibit low </w:t>
      </w:r>
      <w:r>
        <w:t xml:space="preserve">levels of </w:t>
      </w:r>
      <w:r w:rsidR="00C34E9D" w:rsidRPr="008B1B73">
        <w:t>volatility</w:t>
      </w:r>
      <w:r>
        <w:t xml:space="preserve"> in the short-term</w:t>
      </w:r>
      <w:r w:rsidR="00C34E9D" w:rsidRPr="008B1B73">
        <w:t xml:space="preserve">. </w:t>
      </w:r>
    </w:p>
    <w:p w14:paraId="0C7A7291" w14:textId="114C0AA3" w:rsidR="00870DFA" w:rsidRPr="008B1B73" w:rsidRDefault="00AA17FC" w:rsidP="00AA17FC">
      <w:pPr>
        <w:pStyle w:val="BodyText"/>
      </w:pPr>
      <w:r>
        <w:lastRenderedPageBreak/>
        <w:t xml:space="preserve">One </w:t>
      </w:r>
      <w:r w:rsidR="00870DFA">
        <w:t xml:space="preserve">of the options that </w:t>
      </w:r>
      <w:r>
        <w:t xml:space="preserve">was </w:t>
      </w:r>
      <w:r w:rsidR="00870DFA">
        <w:t xml:space="preserve">discussed in this context </w:t>
      </w:r>
      <w:r>
        <w:t xml:space="preserve">was </w:t>
      </w:r>
      <w:r w:rsidR="00870DFA">
        <w:t>to</w:t>
      </w:r>
      <w:r>
        <w:t xml:space="preserve"> r</w:t>
      </w:r>
      <w:r w:rsidR="00870DFA">
        <w:t xml:space="preserve">educe the </w:t>
      </w:r>
      <w:r w:rsidR="00870DFA" w:rsidRPr="008B1B73">
        <w:t xml:space="preserve">collateral </w:t>
      </w:r>
      <w:r w:rsidR="00870DFA">
        <w:t xml:space="preserve">requirement for capacity products </w:t>
      </w:r>
      <w:r w:rsidR="00870DFA" w:rsidRPr="008B1B73">
        <w:t>in the forward period to</w:t>
      </w:r>
      <w:r w:rsidR="00870DFA">
        <w:t>, for example,</w:t>
      </w:r>
      <w:r w:rsidR="00870DFA" w:rsidRPr="008B1B73">
        <w:t xml:space="preserve"> 10% </w:t>
      </w:r>
      <w:r w:rsidR="00870DFA">
        <w:t xml:space="preserve">(see </w:t>
      </w:r>
      <w:r w:rsidR="00870DFA" w:rsidRPr="00870DFA">
        <w:fldChar w:fldCharType="begin"/>
      </w:r>
      <w:r w:rsidR="00870DFA" w:rsidRPr="00870DFA">
        <w:instrText xml:space="preserve"> REF _Ref491917636 \h  \* MERGEFORMAT </w:instrText>
      </w:r>
      <w:r w:rsidR="00870DFA" w:rsidRPr="00870DFA">
        <w:fldChar w:fldCharType="separate"/>
      </w:r>
      <w:r w:rsidR="00947034" w:rsidRPr="00947034">
        <w:t xml:space="preserve">Table </w:t>
      </w:r>
      <w:r w:rsidR="00947034" w:rsidRPr="00947034">
        <w:rPr>
          <w:noProof/>
        </w:rPr>
        <w:t>9.3</w:t>
      </w:r>
      <w:r w:rsidR="00870DFA" w:rsidRPr="00870DFA">
        <w:fldChar w:fldCharType="end"/>
      </w:r>
      <w:r w:rsidR="00870DFA" w:rsidRPr="00870DFA">
        <w:t>)</w:t>
      </w:r>
      <w:r w:rsidR="00870DFA">
        <w:t xml:space="preserve">. </w:t>
      </w:r>
      <w:r w:rsidR="00870DFA" w:rsidRPr="008B1B73">
        <w:t xml:space="preserve">The </w:t>
      </w:r>
      <w:r w:rsidR="00870DFA">
        <w:t xml:space="preserve">risk with </w:t>
      </w:r>
      <w:r w:rsidR="00870DFA" w:rsidRPr="008B1B73">
        <w:t xml:space="preserve">reduced collateral is that compensation paid to a counterparty impacted by a default is reduced, which may result in a loss on the original transaction. Further, if quarterly products are listed 12 months out, then </w:t>
      </w:r>
      <w:r w:rsidR="00870DFA">
        <w:t xml:space="preserve">there may be a greater level of volatility </w:t>
      </w:r>
      <w:r w:rsidR="00870DFA" w:rsidRPr="008B1B73">
        <w:t>over that period</w:t>
      </w:r>
      <w:r w:rsidR="00870DFA">
        <w:t xml:space="preserve"> and the </w:t>
      </w:r>
      <w:r w:rsidR="00870DFA" w:rsidRPr="008B1B73">
        <w:t xml:space="preserve">lower level of collateral </w:t>
      </w:r>
      <w:r w:rsidR="00870DFA">
        <w:t xml:space="preserve">may </w:t>
      </w:r>
      <w:r w:rsidR="00870DFA" w:rsidRPr="008B1B73">
        <w:t xml:space="preserve">not </w:t>
      </w:r>
      <w:r w:rsidR="00870DFA">
        <w:t xml:space="preserve">be </w:t>
      </w:r>
      <w:r w:rsidR="00870DFA" w:rsidRPr="008B1B73">
        <w:t>sufficient to compensate the impacted counterparty.</w:t>
      </w:r>
      <w:r>
        <w:t xml:space="preserve"> The other point to bear in mind with the collateral is that transportation products are lower cost products than gas products, so a 25% collateral level applied to a $1/GJ of MDQ forward haul product is only $0.25/GJ of MDQ. This is in contrast to gas products, where a 25% collateral level applied to an $8/GJ gas price is $2/GJ.</w:t>
      </w:r>
    </w:p>
    <w:p w14:paraId="18F43340" w14:textId="11DD4EDC" w:rsidR="00C34E9D" w:rsidRPr="008B1B73" w:rsidRDefault="00446B58" w:rsidP="00723C4D">
      <w:pPr>
        <w:pStyle w:val="BodyText"/>
        <w:spacing w:after="0"/>
        <w:rPr>
          <w:rStyle w:val="Bold"/>
        </w:rPr>
      </w:pPr>
      <w:bookmarkStart w:id="212" w:name="_Ref491917636"/>
      <w:r w:rsidRPr="00446B58">
        <w:rPr>
          <w:b/>
        </w:rPr>
        <w:t xml:space="preserve">Table </w:t>
      </w:r>
      <w:r w:rsidR="001C4739">
        <w:rPr>
          <w:b/>
        </w:rPr>
        <w:fldChar w:fldCharType="begin"/>
      </w:r>
      <w:r w:rsidR="001C4739">
        <w:rPr>
          <w:b/>
        </w:rPr>
        <w:instrText xml:space="preserve"> STYLEREF 1 \s </w:instrText>
      </w:r>
      <w:r w:rsidR="001C4739">
        <w:rPr>
          <w:b/>
        </w:rPr>
        <w:fldChar w:fldCharType="separate"/>
      </w:r>
      <w:r w:rsidR="00947034">
        <w:rPr>
          <w:b/>
          <w:noProof/>
        </w:rPr>
        <w:t>9</w:t>
      </w:r>
      <w:r w:rsidR="001C4739">
        <w:rPr>
          <w:b/>
        </w:rPr>
        <w:fldChar w:fldCharType="end"/>
      </w:r>
      <w:r w:rsidR="001C4739">
        <w:rPr>
          <w:b/>
        </w:rPr>
        <w:t>.</w:t>
      </w:r>
      <w:r w:rsidR="001C4739">
        <w:rPr>
          <w:b/>
        </w:rPr>
        <w:fldChar w:fldCharType="begin"/>
      </w:r>
      <w:r w:rsidR="001C4739">
        <w:rPr>
          <w:b/>
        </w:rPr>
        <w:instrText xml:space="preserve"> SEQ Table \* ARABIC \s 1 </w:instrText>
      </w:r>
      <w:r w:rsidR="001C4739">
        <w:rPr>
          <w:b/>
        </w:rPr>
        <w:fldChar w:fldCharType="separate"/>
      </w:r>
      <w:r w:rsidR="00947034">
        <w:rPr>
          <w:b/>
          <w:noProof/>
        </w:rPr>
        <w:t>3</w:t>
      </w:r>
      <w:r w:rsidR="001C4739">
        <w:rPr>
          <w:b/>
        </w:rPr>
        <w:fldChar w:fldCharType="end"/>
      </w:r>
      <w:bookmarkEnd w:id="212"/>
      <w:r w:rsidRPr="00446B58">
        <w:rPr>
          <w:b/>
        </w:rPr>
        <w:t>:</w:t>
      </w:r>
      <w:r w:rsidR="00C34E9D" w:rsidRPr="008B1B73">
        <w:rPr>
          <w:rStyle w:val="Bold"/>
        </w:rPr>
        <w:t xml:space="preserve"> Potential exposure calculation for capacity products</w:t>
      </w:r>
    </w:p>
    <w:tbl>
      <w:tblPr>
        <w:tblStyle w:val="TableGrid"/>
        <w:tblW w:w="5000" w:type="pct"/>
        <w:tblLook w:val="0420" w:firstRow="1" w:lastRow="0" w:firstColumn="0" w:lastColumn="0" w:noHBand="0" w:noVBand="1"/>
        <w:tblCaption w:val="Table 9.3: Potential exposure calculation for capacity products"/>
        <w:tblDescription w:val="Potential exposure calculation for capacity products"/>
      </w:tblPr>
      <w:tblGrid>
        <w:gridCol w:w="3490"/>
        <w:gridCol w:w="2607"/>
        <w:gridCol w:w="2691"/>
      </w:tblGrid>
      <w:tr w:rsidR="00C34E9D" w:rsidRPr="008B1B73" w14:paraId="4DD72F12" w14:textId="77777777" w:rsidTr="00723C4D">
        <w:trPr>
          <w:cnfStyle w:val="100000000000" w:firstRow="1" w:lastRow="0" w:firstColumn="0" w:lastColumn="0" w:oddVBand="0" w:evenVBand="0" w:oddHBand="0" w:evenHBand="0" w:firstRowFirstColumn="0" w:firstRowLastColumn="0" w:lastRowFirstColumn="0" w:lastRowLastColumn="0"/>
          <w:tblHeader/>
        </w:trPr>
        <w:tc>
          <w:tcPr>
            <w:tcW w:w="1986" w:type="pct"/>
            <w:shd w:val="clear" w:color="auto" w:fill="0099CC"/>
          </w:tcPr>
          <w:p w14:paraId="6B5EDBB0" w14:textId="13EB49B6" w:rsidR="00C34E9D" w:rsidRPr="008B1B73" w:rsidRDefault="00870DFA" w:rsidP="00F65A13">
            <w:pPr>
              <w:pStyle w:val="TableHeading"/>
            </w:pPr>
            <w:r>
              <w:t>Period</w:t>
            </w:r>
          </w:p>
        </w:tc>
        <w:tc>
          <w:tcPr>
            <w:tcW w:w="1483" w:type="pct"/>
            <w:shd w:val="clear" w:color="auto" w:fill="0099CC"/>
          </w:tcPr>
          <w:p w14:paraId="311EED0B" w14:textId="77777777" w:rsidR="00C34E9D" w:rsidRPr="008B1B73" w:rsidRDefault="00C34E9D" w:rsidP="00870DFA">
            <w:pPr>
              <w:pStyle w:val="TableHeading"/>
              <w:jc w:val="center"/>
            </w:pPr>
            <w:r w:rsidRPr="008B1B73">
              <w:t>Buyer</w:t>
            </w:r>
          </w:p>
        </w:tc>
        <w:tc>
          <w:tcPr>
            <w:tcW w:w="1532" w:type="pct"/>
            <w:shd w:val="clear" w:color="auto" w:fill="0099CC"/>
          </w:tcPr>
          <w:p w14:paraId="0A788D73" w14:textId="77777777" w:rsidR="00C34E9D" w:rsidRPr="008B1B73" w:rsidRDefault="00C34E9D" w:rsidP="00870DFA">
            <w:pPr>
              <w:pStyle w:val="TableHeading"/>
              <w:jc w:val="center"/>
            </w:pPr>
            <w:r w:rsidRPr="008B1B73">
              <w:t>Seller</w:t>
            </w:r>
          </w:p>
        </w:tc>
      </w:tr>
      <w:tr w:rsidR="00C34E9D" w:rsidRPr="008B1B73" w14:paraId="58874F52" w14:textId="77777777" w:rsidTr="00870DFA">
        <w:tc>
          <w:tcPr>
            <w:tcW w:w="1986" w:type="pct"/>
          </w:tcPr>
          <w:p w14:paraId="5335AB84" w14:textId="77777777" w:rsidR="00C34E9D" w:rsidRPr="00870DFA" w:rsidRDefault="00C34E9D" w:rsidP="00F65A13">
            <w:pPr>
              <w:pStyle w:val="TableBodyText"/>
              <w:rPr>
                <w:rStyle w:val="Bold"/>
                <w:b w:val="0"/>
              </w:rPr>
            </w:pPr>
            <w:r w:rsidRPr="00870DFA">
              <w:rPr>
                <w:rStyle w:val="Bold"/>
                <w:b w:val="0"/>
              </w:rPr>
              <w:t>Settlement period (after delivery)</w:t>
            </w:r>
          </w:p>
        </w:tc>
        <w:tc>
          <w:tcPr>
            <w:tcW w:w="3014" w:type="pct"/>
            <w:gridSpan w:val="2"/>
          </w:tcPr>
          <w:p w14:paraId="4D01C8F5" w14:textId="77777777" w:rsidR="00C34E9D" w:rsidRPr="008B1B73" w:rsidRDefault="00C34E9D" w:rsidP="00723C4D">
            <w:pPr>
              <w:pStyle w:val="TableBodyText"/>
              <w:jc w:val="center"/>
            </w:pPr>
            <w:r w:rsidRPr="008B1B73">
              <w:t>Calculated settlement charges and payments</w:t>
            </w:r>
          </w:p>
        </w:tc>
      </w:tr>
      <w:tr w:rsidR="00C34E9D" w:rsidRPr="008B1B73" w14:paraId="0CB014A7" w14:textId="77777777" w:rsidTr="00870DFA">
        <w:trPr>
          <w:cnfStyle w:val="000000010000" w:firstRow="0" w:lastRow="0" w:firstColumn="0" w:lastColumn="0" w:oddVBand="0" w:evenVBand="0" w:oddHBand="0" w:evenHBand="1" w:firstRowFirstColumn="0" w:firstRowLastColumn="0" w:lastRowFirstColumn="0" w:lastRowLastColumn="0"/>
        </w:trPr>
        <w:tc>
          <w:tcPr>
            <w:tcW w:w="1986" w:type="pct"/>
          </w:tcPr>
          <w:p w14:paraId="59FAE157" w14:textId="77777777" w:rsidR="00C34E9D" w:rsidRPr="00870DFA" w:rsidRDefault="00C34E9D" w:rsidP="00F65A13">
            <w:pPr>
              <w:pStyle w:val="TableBodyText"/>
              <w:rPr>
                <w:rStyle w:val="Bold"/>
                <w:b w:val="0"/>
              </w:rPr>
            </w:pPr>
            <w:r w:rsidRPr="00870DFA">
              <w:rPr>
                <w:rStyle w:val="Bold"/>
                <w:b w:val="0"/>
              </w:rPr>
              <w:t>Delivery period (within 2 days from delivery)</w:t>
            </w:r>
          </w:p>
        </w:tc>
        <w:tc>
          <w:tcPr>
            <w:tcW w:w="3014" w:type="pct"/>
            <w:gridSpan w:val="2"/>
          </w:tcPr>
          <w:p w14:paraId="08A3BDAC" w14:textId="24798CF2" w:rsidR="00C34E9D" w:rsidRPr="008B1B73" w:rsidRDefault="00870DFA" w:rsidP="00723C4D">
            <w:pPr>
              <w:pStyle w:val="TableBodyText"/>
              <w:jc w:val="center"/>
            </w:pPr>
            <w:r>
              <w:t>C</w:t>
            </w:r>
            <w:r w:rsidR="00C34E9D" w:rsidRPr="008B1B73">
              <w:t>alculated settlement charges and payments</w:t>
            </w:r>
            <w:r>
              <w:t xml:space="preserve"> once </w:t>
            </w:r>
            <w:r w:rsidRPr="008B1B73">
              <w:t>capacity transferred,</w:t>
            </w:r>
          </w:p>
        </w:tc>
      </w:tr>
      <w:tr w:rsidR="00C34E9D" w:rsidRPr="008B1B73" w14:paraId="51F12421" w14:textId="77777777" w:rsidTr="00723C4D">
        <w:tc>
          <w:tcPr>
            <w:tcW w:w="1986" w:type="pct"/>
          </w:tcPr>
          <w:p w14:paraId="5A1501BD" w14:textId="77777777" w:rsidR="00C34E9D" w:rsidRPr="00870DFA" w:rsidRDefault="00C34E9D" w:rsidP="00F65A13">
            <w:pPr>
              <w:pStyle w:val="TableBodyText"/>
              <w:rPr>
                <w:b/>
              </w:rPr>
            </w:pPr>
            <w:r w:rsidRPr="00870DFA">
              <w:rPr>
                <w:rStyle w:val="Bold"/>
                <w:b w:val="0"/>
              </w:rPr>
              <w:t>Forward period (future gas days out past 2 days from delivery)</w:t>
            </w:r>
          </w:p>
        </w:tc>
        <w:tc>
          <w:tcPr>
            <w:tcW w:w="1483" w:type="pct"/>
          </w:tcPr>
          <w:p w14:paraId="72F09CE7" w14:textId="77777777" w:rsidR="00C34E9D" w:rsidRPr="008B1B73" w:rsidRDefault="00C34E9D" w:rsidP="00F65A13">
            <w:pPr>
              <w:pStyle w:val="TableBodyText"/>
            </w:pPr>
            <w:r w:rsidRPr="008B1B73">
              <w:rPr>
                <w:rStyle w:val="Bold"/>
              </w:rPr>
              <w:t>10%</w:t>
            </w:r>
            <w:r w:rsidRPr="008B1B73">
              <w:t xml:space="preserve"> of the face value</w:t>
            </w:r>
          </w:p>
        </w:tc>
        <w:tc>
          <w:tcPr>
            <w:tcW w:w="1532" w:type="pct"/>
          </w:tcPr>
          <w:p w14:paraId="13C043AE" w14:textId="7C91CD75" w:rsidR="00C34E9D" w:rsidRPr="008B1B73" w:rsidRDefault="00C34E9D" w:rsidP="00F65A13">
            <w:pPr>
              <w:pStyle w:val="TableBodyText"/>
            </w:pPr>
            <w:r w:rsidRPr="008B1B73">
              <w:rPr>
                <w:rStyle w:val="Bold"/>
              </w:rPr>
              <w:t>10%</w:t>
            </w:r>
            <w:r w:rsidRPr="008B1B73">
              <w:t xml:space="preserve"> </w:t>
            </w:r>
            <w:r w:rsidR="002D5C8A">
              <w:t>of face value payable by seller</w:t>
            </w:r>
          </w:p>
        </w:tc>
      </w:tr>
    </w:tbl>
    <w:p w14:paraId="08242CB9" w14:textId="687515D4" w:rsidR="00A24F51" w:rsidRPr="00870DFA" w:rsidRDefault="00A24F51" w:rsidP="00A24F51">
      <w:pPr>
        <w:pStyle w:val="BodyText"/>
      </w:pPr>
      <w:r>
        <w:t>While the project team supported a reduction in collateral, they did not come to a firm view on either of these optio</w:t>
      </w:r>
      <w:r w:rsidRPr="00723C4D">
        <w:t>ns. The GMRG is therefore interested in hearing from other stakeholders on these options.</w:t>
      </w:r>
      <w:r w:rsidR="00723C4D" w:rsidRPr="00723C4D">
        <w:t xml:space="preserve"> In providing feedback on this issue, it is important to bear in mind that the </w:t>
      </w:r>
      <w:r w:rsidR="00723C4D" w:rsidRPr="00723C4D">
        <w:rPr>
          <w:rFonts w:cs="Arial"/>
        </w:rPr>
        <w:t>exposure calculation should reflect the consequences of a default by the buyer or seller.</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9.3: Questions on prudential exposure "/>
        <w:tblDescription w:val="Questions on prudential exposure "/>
      </w:tblPr>
      <w:tblGrid>
        <w:gridCol w:w="8788"/>
      </w:tblGrid>
      <w:tr w:rsidR="00BD0988" w:rsidRPr="002618F0" w14:paraId="388DDD79" w14:textId="77777777" w:rsidTr="00AF730D">
        <w:trPr>
          <w:tblHeader/>
        </w:trPr>
        <w:tc>
          <w:tcPr>
            <w:tcW w:w="5000" w:type="pct"/>
            <w:shd w:val="clear" w:color="auto" w:fill="auto"/>
          </w:tcPr>
          <w:p w14:paraId="07F76297" w14:textId="4C83C8BB" w:rsidR="007359B3" w:rsidRPr="007359B3" w:rsidRDefault="00AF730D" w:rsidP="00AF730D">
            <w:pPr>
              <w:pStyle w:val="ListNumber"/>
              <w:numPr>
                <w:ilvl w:val="0"/>
                <w:numId w:val="0"/>
              </w:numPr>
              <w:spacing w:after="0"/>
              <w:ind w:left="357" w:hanging="357"/>
              <w:rPr>
                <w:sz w:val="21"/>
                <w:szCs w:val="21"/>
              </w:rPr>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9</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3</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prudential exposure</w:t>
            </w:r>
          </w:p>
        </w:tc>
      </w:tr>
      <w:tr w:rsidR="00AF730D" w:rsidRPr="002618F0" w14:paraId="2BF404C9" w14:textId="77777777" w:rsidTr="00AF730D">
        <w:trPr>
          <w:tblHeader/>
        </w:trPr>
        <w:tc>
          <w:tcPr>
            <w:tcW w:w="5000" w:type="pct"/>
            <w:shd w:val="clear" w:color="auto" w:fill="B7E7FF"/>
          </w:tcPr>
          <w:p w14:paraId="385BB4D3" w14:textId="77777777" w:rsidR="00AF730D" w:rsidRPr="002618F0" w:rsidRDefault="00AF730D" w:rsidP="00AF730D">
            <w:pPr>
              <w:pStyle w:val="ListNumber"/>
              <w:numPr>
                <w:ilvl w:val="0"/>
                <w:numId w:val="23"/>
              </w:numPr>
              <w:ind w:left="567" w:hanging="567"/>
              <w:rPr>
                <w:sz w:val="21"/>
                <w:szCs w:val="21"/>
              </w:rPr>
            </w:pPr>
            <w:r w:rsidRPr="002618F0">
              <w:rPr>
                <w:sz w:val="21"/>
                <w:szCs w:val="21"/>
              </w:rPr>
              <w:t>Do you agree with AEMO’s proposal to aggregate the prudential requirements across gas and capacity products on the GSH? If not, please explain why.</w:t>
            </w:r>
          </w:p>
          <w:p w14:paraId="4F28D092" w14:textId="77777777" w:rsidR="00AF730D" w:rsidRDefault="00AF730D" w:rsidP="00AF730D">
            <w:pPr>
              <w:pStyle w:val="ListNumber"/>
              <w:numPr>
                <w:ilvl w:val="0"/>
                <w:numId w:val="23"/>
              </w:numPr>
              <w:ind w:left="567" w:hanging="567"/>
              <w:rPr>
                <w:sz w:val="21"/>
                <w:szCs w:val="21"/>
              </w:rPr>
            </w:pPr>
            <w:r w:rsidRPr="002618F0">
              <w:rPr>
                <w:sz w:val="21"/>
                <w:szCs w:val="21"/>
              </w:rPr>
              <w:t>Do you think the same collateral requirements that currently apply to gas products should also apply to capacity products on the GSH? Or do you think a lower level of collateral is required in the forward period? If so, what level do you think this should be set at</w:t>
            </w:r>
            <w:r>
              <w:rPr>
                <w:sz w:val="21"/>
                <w:szCs w:val="21"/>
              </w:rPr>
              <w:t xml:space="preserve"> or do you think further quantitative work should be carried out to determine the level of collateral</w:t>
            </w:r>
            <w:r w:rsidRPr="002618F0">
              <w:rPr>
                <w:sz w:val="21"/>
                <w:szCs w:val="21"/>
              </w:rPr>
              <w:t>?</w:t>
            </w:r>
          </w:p>
          <w:p w14:paraId="6130E5FD" w14:textId="6BD65FC8" w:rsidR="00AF730D" w:rsidRPr="00AF730D" w:rsidRDefault="00AF730D" w:rsidP="00AF730D">
            <w:pPr>
              <w:pStyle w:val="ListNumber"/>
              <w:numPr>
                <w:ilvl w:val="0"/>
                <w:numId w:val="23"/>
              </w:numPr>
              <w:ind w:left="567" w:hanging="567"/>
              <w:rPr>
                <w:sz w:val="21"/>
                <w:szCs w:val="21"/>
              </w:rPr>
            </w:pPr>
            <w:r w:rsidRPr="00AF730D">
              <w:rPr>
                <w:sz w:val="21"/>
                <w:szCs w:val="21"/>
              </w:rPr>
              <w:t>If the collateral requirement was to be reduced in the future period, would you be comfortable receiving a lower level of compensation if a default event occurs? Or alternatively, do you think the compensation level could be maintained at 25% but the collateral reduced?</w:t>
            </w:r>
          </w:p>
        </w:tc>
      </w:tr>
    </w:tbl>
    <w:p w14:paraId="19859FB5" w14:textId="77777777" w:rsidR="00A90CF7" w:rsidRDefault="00A90CF7" w:rsidP="00A90CF7">
      <w:pPr>
        <w:pStyle w:val="BodyText"/>
      </w:pPr>
      <w:bookmarkStart w:id="213" w:name="_Toc489464939"/>
      <w:r>
        <w:br w:type="page"/>
      </w:r>
    </w:p>
    <w:p w14:paraId="3561D3A7" w14:textId="3B99BEBD" w:rsidR="003529C7" w:rsidRDefault="00C8573E" w:rsidP="00F65A13">
      <w:pPr>
        <w:pStyle w:val="Heading1"/>
      </w:pPr>
      <w:bookmarkStart w:id="214" w:name="_Toc492524770"/>
      <w:r>
        <w:lastRenderedPageBreak/>
        <w:t xml:space="preserve">Financial and Delivery </w:t>
      </w:r>
      <w:r w:rsidR="00772840">
        <w:t xml:space="preserve">Default </w:t>
      </w:r>
      <w:r w:rsidR="00330865">
        <w:t>Arrangements</w:t>
      </w:r>
      <w:bookmarkEnd w:id="214"/>
    </w:p>
    <w:p w14:paraId="63C6D47D" w14:textId="3D575E1A" w:rsidR="00B82616" w:rsidRDefault="00330865" w:rsidP="00B82616">
      <w:pPr>
        <w:pStyle w:val="BodyText"/>
      </w:pPr>
      <w:r>
        <w:t xml:space="preserve">The </w:t>
      </w:r>
      <w:r w:rsidR="002D5C8A">
        <w:t xml:space="preserve">GSH </w:t>
      </w:r>
      <w:r>
        <w:t xml:space="preserve">arrangements that have been put in place to </w:t>
      </w:r>
      <w:r w:rsidR="00635272">
        <w:t xml:space="preserve">deter </w:t>
      </w:r>
      <w:r>
        <w:t xml:space="preserve">Trading Participants </w:t>
      </w:r>
      <w:r w:rsidR="00635272">
        <w:t>from defaulting on their financial</w:t>
      </w:r>
      <w:r w:rsidR="005D71A2">
        <w:rPr>
          <w:rStyle w:val="FootnoteReference"/>
        </w:rPr>
        <w:footnoteReference w:id="107"/>
      </w:r>
      <w:r w:rsidR="00635272">
        <w:t xml:space="preserve"> or delivery obligations and to deal with any default that does occur can be summarised as follows:</w:t>
      </w:r>
    </w:p>
    <w:p w14:paraId="4A2459C0" w14:textId="6F73EDAA" w:rsidR="00635272" w:rsidRDefault="00635272" w:rsidP="00635272">
      <w:pPr>
        <w:pStyle w:val="ListBullet"/>
      </w:pPr>
      <w:r>
        <w:t>The market conduct rules in Part 22 of the NGR (rule 543)</w:t>
      </w:r>
      <w:r w:rsidR="00DA6F39">
        <w:t xml:space="preserve">, which include requirements </w:t>
      </w:r>
      <w:r>
        <w:t>that Trading Participants must not:</w:t>
      </w:r>
    </w:p>
    <w:p w14:paraId="4F0CA522" w14:textId="1CD56B0C" w:rsidR="00635272" w:rsidRDefault="00635272" w:rsidP="00635272">
      <w:pPr>
        <w:pStyle w:val="ListBullet2"/>
      </w:pPr>
      <w:r>
        <w:t>submit offers to buy or sell if they know, or ought to know, they will not be able to perform their obligations under a resulting transaction, or with the intention of defaulting in its performance; and</w:t>
      </w:r>
    </w:p>
    <w:p w14:paraId="3CF8A11D" w14:textId="36E4CF13" w:rsidR="00635272" w:rsidRDefault="00635272" w:rsidP="00635272">
      <w:pPr>
        <w:pStyle w:val="ListBullet2"/>
      </w:pPr>
      <w:r>
        <w:t>intentionally or recklessly default in the performance of its obligations under any transaction arising on the exchange.</w:t>
      </w:r>
    </w:p>
    <w:p w14:paraId="19E1AF87" w14:textId="77777777" w:rsidR="00857DFB" w:rsidRDefault="00857DFB" w:rsidP="00635272">
      <w:pPr>
        <w:pStyle w:val="ListBullet2"/>
        <w:numPr>
          <w:ilvl w:val="0"/>
          <w:numId w:val="0"/>
        </w:numPr>
        <w:ind w:left="357"/>
      </w:pPr>
      <w:r>
        <w:t>These rules are classified as both civil penalty and conduct provisions, which means that i</w:t>
      </w:r>
      <w:r w:rsidR="00635272">
        <w:t xml:space="preserve">f </w:t>
      </w:r>
      <w:r>
        <w:t xml:space="preserve">a </w:t>
      </w:r>
      <w:r w:rsidR="00635272">
        <w:t xml:space="preserve">Trading Participant </w:t>
      </w:r>
      <w:r>
        <w:t xml:space="preserve">breaches these </w:t>
      </w:r>
      <w:r w:rsidR="00635272">
        <w:t>rule</w:t>
      </w:r>
      <w:r>
        <w:t>s</w:t>
      </w:r>
      <w:r w:rsidR="00635272">
        <w:t>, then</w:t>
      </w:r>
      <w:r>
        <w:t>:</w:t>
      </w:r>
    </w:p>
    <w:p w14:paraId="02E8E85E" w14:textId="20E91F04" w:rsidR="00635272" w:rsidRDefault="00857DFB" w:rsidP="00857DFB">
      <w:pPr>
        <w:pStyle w:val="ListBullet2"/>
      </w:pPr>
      <w:r>
        <w:t>the AER can institute civil proceedings in the Federal Court and seek an injunction or an order that the Trading Participant cease or remedy the conduct, and/or an order that a penalty be paid;</w:t>
      </w:r>
      <w:r>
        <w:rPr>
          <w:rStyle w:val="FootnoteReference"/>
        </w:rPr>
        <w:footnoteReference w:id="108"/>
      </w:r>
      <w:r w:rsidRPr="00857DFB">
        <w:rPr>
          <w:vertAlign w:val="superscript"/>
        </w:rPr>
        <w:t>,</w:t>
      </w:r>
      <w:r>
        <w:rPr>
          <w:rStyle w:val="FootnoteReference"/>
        </w:rPr>
        <w:footnoteReference w:id="109"/>
      </w:r>
      <w:r>
        <w:t xml:space="preserve"> </w:t>
      </w:r>
      <w:r w:rsidR="00635272">
        <w:t xml:space="preserve"> </w:t>
      </w:r>
      <w:r>
        <w:t>or</w:t>
      </w:r>
    </w:p>
    <w:p w14:paraId="3C8E3928" w14:textId="796CD0EF" w:rsidR="00857DFB" w:rsidRDefault="00857DFB" w:rsidP="00857DFB">
      <w:pPr>
        <w:pStyle w:val="ListBullet2"/>
      </w:pPr>
      <w:proofErr w:type="gramStart"/>
      <w:r>
        <w:t>the</w:t>
      </w:r>
      <w:proofErr w:type="gramEnd"/>
      <w:r>
        <w:t xml:space="preserve"> counterparty that suffers loss or damage as a result of the default may institute court proceedings to recover the amount of the loss or damage. </w:t>
      </w:r>
    </w:p>
    <w:p w14:paraId="30FAB53B" w14:textId="08D90E46" w:rsidR="00635272" w:rsidRDefault="00857DFB" w:rsidP="00857DFB">
      <w:pPr>
        <w:pStyle w:val="ListBullet"/>
      </w:pPr>
      <w:r>
        <w:t xml:space="preserve">If the Trading Participant does default on </w:t>
      </w:r>
      <w:r w:rsidR="005D71A2">
        <w:t>their financial or delivery obligations,</w:t>
      </w:r>
      <w:r w:rsidR="005D71A2">
        <w:rPr>
          <w:rStyle w:val="FootnoteReference"/>
        </w:rPr>
        <w:footnoteReference w:id="110"/>
      </w:r>
      <w:r w:rsidR="005D71A2">
        <w:t xml:space="preserve"> then </w:t>
      </w:r>
      <w:r w:rsidR="00C8573E">
        <w:t xml:space="preserve">AEMO may suspend or terminate the participant’s membership and use the Close Out and Offset Procedures (see </w:t>
      </w:r>
      <w:r w:rsidR="00C8573E">
        <w:fldChar w:fldCharType="begin"/>
      </w:r>
      <w:r w:rsidR="00C8573E">
        <w:instrText xml:space="preserve"> REF _Ref492137828 \h </w:instrText>
      </w:r>
      <w:r w:rsidR="00C8573E">
        <w:fldChar w:fldCharType="separate"/>
      </w:r>
      <w:r w:rsidR="00947034">
        <w:t xml:space="preserve">Box </w:t>
      </w:r>
      <w:r w:rsidR="00947034">
        <w:rPr>
          <w:noProof/>
        </w:rPr>
        <w:t>10</w:t>
      </w:r>
      <w:r w:rsidR="00947034">
        <w:t>.</w:t>
      </w:r>
      <w:r w:rsidR="00947034">
        <w:rPr>
          <w:noProof/>
        </w:rPr>
        <w:t>1</w:t>
      </w:r>
      <w:r w:rsidR="00C8573E">
        <w:fldChar w:fldCharType="end"/>
      </w:r>
      <w:r w:rsidR="00C8573E">
        <w:t xml:space="preserve">) to cancel any transactions that are on foot. </w:t>
      </w:r>
      <w:r w:rsidR="00AB6514">
        <w:t xml:space="preserve">If this occurs, then the counterparty to the trade will be compensated 25% of the face value of the transaction, which will be paid for using the collateral collected from the Trading Participant. </w:t>
      </w:r>
    </w:p>
    <w:p w14:paraId="3405467C" w14:textId="6EA22879" w:rsidR="00AB6514" w:rsidRDefault="00DA6F39" w:rsidP="003C0C05">
      <w:pPr>
        <w:pStyle w:val="BodyText"/>
      </w:pPr>
      <w:r>
        <w:t>The appropriateness of the</w:t>
      </w:r>
      <w:r w:rsidR="003C0C05">
        <w:t xml:space="preserve"> arrangements </w:t>
      </w:r>
      <w:r>
        <w:t xml:space="preserve">in the Exchange Agreement </w:t>
      </w:r>
      <w:r w:rsidR="003C0C05">
        <w:t xml:space="preserve">for the capacity trading </w:t>
      </w:r>
      <w:r w:rsidR="009B4FC2">
        <w:t xml:space="preserve">platform </w:t>
      </w:r>
      <w:r w:rsidR="003C0C05">
        <w:t xml:space="preserve">was discussed by the Capacity Trading Platform project team. In short, the project team </w:t>
      </w:r>
      <w:r w:rsidR="002D5C8A">
        <w:t xml:space="preserve">was of the view </w:t>
      </w:r>
      <w:r w:rsidR="003C0C05">
        <w:t xml:space="preserve">that additional remedies could be put in place to deal with </w:t>
      </w:r>
      <w:r w:rsidR="007B2172">
        <w:t xml:space="preserve">any </w:t>
      </w:r>
      <w:r w:rsidR="003C0C05">
        <w:t xml:space="preserve">default </w:t>
      </w:r>
      <w:r w:rsidR="007B2172">
        <w:t xml:space="preserve">by a seller of its </w:t>
      </w:r>
      <w:r w:rsidR="003C0C05">
        <w:t>delivery obligations</w:t>
      </w:r>
      <w:r w:rsidR="007B2172">
        <w:t xml:space="preserve"> that results in capacity failing to be transferred to the secondary shipper.</w:t>
      </w:r>
      <w:r w:rsidR="003C0C05">
        <w:t xml:space="preserve">  </w:t>
      </w:r>
      <w:r w:rsidR="007B2172">
        <w:t xml:space="preserve">The potential remedies that the project team identified are discussed in further detail in the remainder of this chapter, which commences with an overview of the circumstances in which a seller may default on its delivery obligations. </w:t>
      </w:r>
    </w:p>
    <w:p w14:paraId="758C2B23" w14:textId="2EB97899" w:rsidR="00AB6514" w:rsidRDefault="00264319" w:rsidP="00AF730D">
      <w:r>
        <w:t xml:space="preserve">Before moving on, it is worth noting that because the GSH is a voluntary market, the trade-offs around the costs and benefits of managing risk need to be considered </w:t>
      </w:r>
      <w:r w:rsidR="002D5C8A">
        <w:t xml:space="preserve">keeping </w:t>
      </w:r>
      <w:r w:rsidR="002D5C8A">
        <w:lastRenderedPageBreak/>
        <w:t>in mind that participants can bypass</w:t>
      </w:r>
      <w:r>
        <w:t xml:space="preserve"> the market. The checks and balances need to be rigorous enough to provide confidence in the </w:t>
      </w:r>
      <w:r w:rsidR="002D5C8A">
        <w:t>platform</w:t>
      </w:r>
      <w:r>
        <w:t xml:space="preserve">, but not too costly such that participation is avoided. </w:t>
      </w:r>
    </w:p>
    <w:p w14:paraId="577785C3" w14:textId="77777777" w:rsidR="00AF730D" w:rsidRDefault="00AF730D" w:rsidP="00AF730D"/>
    <w:tbl>
      <w:tblPr>
        <w:tblStyle w:val="PullOutBoxTable"/>
        <w:tblW w:w="5000" w:type="pct"/>
        <w:tblLook w:val="0600" w:firstRow="0" w:lastRow="0" w:firstColumn="0" w:lastColumn="0" w:noHBand="1" w:noVBand="1"/>
        <w:tblCaption w:val="Box 10.1: Close Out and Offset Procedure"/>
        <w:tblDescription w:val="Close Out and Offset Procedure"/>
      </w:tblPr>
      <w:tblGrid>
        <w:gridCol w:w="8788"/>
      </w:tblGrid>
      <w:tr w:rsidR="00AB6514" w:rsidRPr="00AB6514" w14:paraId="72457FDE" w14:textId="77777777" w:rsidTr="008700F9">
        <w:trPr>
          <w:tblHeader/>
        </w:trPr>
        <w:tc>
          <w:tcPr>
            <w:tcW w:w="5000" w:type="pct"/>
            <w:shd w:val="clear" w:color="auto" w:fill="auto"/>
          </w:tcPr>
          <w:p w14:paraId="209AEB67" w14:textId="42698332" w:rsidR="00AB6514" w:rsidRPr="00AF730D" w:rsidRDefault="00AF730D" w:rsidP="008700F9">
            <w:pPr>
              <w:pStyle w:val="TableBodyText"/>
              <w:spacing w:before="120" w:after="0"/>
              <w:rPr>
                <w:b/>
                <w:sz w:val="20"/>
                <w:szCs w:val="20"/>
              </w:rPr>
            </w:pPr>
            <w:bookmarkStart w:id="215" w:name="_Ref492137828"/>
            <w:r w:rsidRPr="00AF730D">
              <w:rPr>
                <w:b/>
                <w:sz w:val="20"/>
              </w:rPr>
              <w:t xml:space="preserve">Box </w:t>
            </w:r>
            <w:r w:rsidRPr="00AF730D">
              <w:rPr>
                <w:b/>
                <w:sz w:val="20"/>
              </w:rPr>
              <w:fldChar w:fldCharType="begin"/>
            </w:r>
            <w:r w:rsidRPr="00AF730D">
              <w:rPr>
                <w:b/>
                <w:sz w:val="20"/>
              </w:rPr>
              <w:instrText xml:space="preserve"> STYLEREF 1 \s </w:instrText>
            </w:r>
            <w:r w:rsidRPr="00AF730D">
              <w:rPr>
                <w:b/>
                <w:sz w:val="20"/>
              </w:rPr>
              <w:fldChar w:fldCharType="separate"/>
            </w:r>
            <w:r w:rsidRPr="00AF730D">
              <w:rPr>
                <w:b/>
                <w:noProof/>
                <w:sz w:val="20"/>
              </w:rPr>
              <w:t>10</w:t>
            </w:r>
            <w:r w:rsidRPr="00AF730D">
              <w:rPr>
                <w:b/>
                <w:noProof/>
                <w:sz w:val="20"/>
              </w:rPr>
              <w:fldChar w:fldCharType="end"/>
            </w:r>
            <w:r w:rsidRPr="00AF730D">
              <w:rPr>
                <w:b/>
                <w:sz w:val="20"/>
              </w:rPr>
              <w:t>.</w:t>
            </w:r>
            <w:r w:rsidRPr="00AF730D">
              <w:rPr>
                <w:b/>
                <w:sz w:val="20"/>
              </w:rPr>
              <w:fldChar w:fldCharType="begin"/>
            </w:r>
            <w:r w:rsidRPr="00AF730D">
              <w:rPr>
                <w:b/>
                <w:sz w:val="20"/>
              </w:rPr>
              <w:instrText xml:space="preserve"> SEQ Box \* ARABIC \s 1 </w:instrText>
            </w:r>
            <w:r w:rsidRPr="00AF730D">
              <w:rPr>
                <w:b/>
                <w:sz w:val="20"/>
              </w:rPr>
              <w:fldChar w:fldCharType="separate"/>
            </w:r>
            <w:r w:rsidRPr="00AF730D">
              <w:rPr>
                <w:b/>
                <w:noProof/>
                <w:sz w:val="20"/>
              </w:rPr>
              <w:t>1</w:t>
            </w:r>
            <w:r w:rsidRPr="00AF730D">
              <w:rPr>
                <w:b/>
                <w:noProof/>
                <w:sz w:val="20"/>
              </w:rPr>
              <w:fldChar w:fldCharType="end"/>
            </w:r>
            <w:bookmarkEnd w:id="215"/>
            <w:r w:rsidRPr="00AF730D">
              <w:rPr>
                <w:b/>
                <w:sz w:val="20"/>
              </w:rPr>
              <w:t>: Close Out and Offset Procedure</w:t>
            </w:r>
          </w:p>
        </w:tc>
      </w:tr>
      <w:tr w:rsidR="008700F9" w:rsidRPr="00AB6514" w14:paraId="4B95BFE7" w14:textId="77777777" w:rsidTr="008700F9">
        <w:trPr>
          <w:tblHeader/>
        </w:trPr>
        <w:tc>
          <w:tcPr>
            <w:tcW w:w="5000" w:type="pct"/>
          </w:tcPr>
          <w:p w14:paraId="109BA62E" w14:textId="77777777" w:rsidR="008700F9" w:rsidRDefault="008700F9" w:rsidP="008700F9">
            <w:pPr>
              <w:keepNext/>
              <w:autoSpaceDE w:val="0"/>
              <w:autoSpaceDN w:val="0"/>
              <w:adjustRightInd w:val="0"/>
              <w:spacing w:before="120" w:after="120"/>
              <w:rPr>
                <w:rFonts w:cs="Arial"/>
                <w:color w:val="000000"/>
                <w:sz w:val="20"/>
                <w:szCs w:val="20"/>
              </w:rPr>
            </w:pPr>
            <w:r w:rsidRPr="00AB6514">
              <w:rPr>
                <w:rFonts w:cs="Arial"/>
                <w:color w:val="000000"/>
                <w:sz w:val="20"/>
                <w:szCs w:val="20"/>
              </w:rPr>
              <w:t xml:space="preserve">The Close Out and Offset Procedure, within the Exchange Agreement, set out the instructions for the termination of transactions covering future Gas Days. </w:t>
            </w:r>
            <w:r>
              <w:rPr>
                <w:rFonts w:cs="Arial"/>
                <w:color w:val="000000"/>
                <w:sz w:val="20"/>
                <w:szCs w:val="20"/>
              </w:rPr>
              <w:t xml:space="preserve">The objectives of this procedure are to: </w:t>
            </w:r>
          </w:p>
          <w:p w14:paraId="3E42DB9F" w14:textId="77777777" w:rsidR="008700F9" w:rsidRPr="003C0C05" w:rsidRDefault="008700F9" w:rsidP="008700F9">
            <w:pPr>
              <w:pStyle w:val="TableBullet1"/>
              <w:rPr>
                <w:sz w:val="20"/>
                <w:szCs w:val="20"/>
              </w:rPr>
            </w:pPr>
            <w:r>
              <w:rPr>
                <w:sz w:val="20"/>
                <w:szCs w:val="20"/>
              </w:rPr>
              <w:t>c</w:t>
            </w:r>
            <w:r w:rsidRPr="003C0C05">
              <w:rPr>
                <w:sz w:val="20"/>
                <w:szCs w:val="20"/>
              </w:rPr>
              <w:t>rystallise the loss so that creditors can take action to recover amounts owed by a defaulting party;</w:t>
            </w:r>
          </w:p>
          <w:p w14:paraId="25F04359" w14:textId="77777777" w:rsidR="008700F9" w:rsidRPr="003C0C05" w:rsidRDefault="008700F9" w:rsidP="008700F9">
            <w:pPr>
              <w:pStyle w:val="TableBullet1"/>
              <w:rPr>
                <w:sz w:val="20"/>
                <w:szCs w:val="20"/>
              </w:rPr>
            </w:pPr>
            <w:r>
              <w:rPr>
                <w:sz w:val="20"/>
                <w:szCs w:val="20"/>
              </w:rPr>
              <w:t>p</w:t>
            </w:r>
            <w:r w:rsidRPr="003C0C05">
              <w:rPr>
                <w:sz w:val="20"/>
                <w:szCs w:val="20"/>
              </w:rPr>
              <w:t>rovide for an orderly termination process that minimises the impact on the operation of the gas market; and</w:t>
            </w:r>
          </w:p>
          <w:p w14:paraId="0D5465FB" w14:textId="77777777" w:rsidR="008700F9" w:rsidRPr="003C0C05" w:rsidRDefault="008700F9" w:rsidP="008700F9">
            <w:pPr>
              <w:pStyle w:val="TableBullet1"/>
              <w:rPr>
                <w:sz w:val="20"/>
                <w:szCs w:val="20"/>
              </w:rPr>
            </w:pPr>
            <w:r>
              <w:rPr>
                <w:sz w:val="20"/>
                <w:szCs w:val="20"/>
              </w:rPr>
              <w:t>a</w:t>
            </w:r>
            <w:r w:rsidRPr="003C0C05">
              <w:rPr>
                <w:sz w:val="20"/>
                <w:szCs w:val="20"/>
              </w:rPr>
              <w:t xml:space="preserve">llow exposure to be measured and collateralised with a clear designation of roles and responsibilities.  </w:t>
            </w:r>
          </w:p>
          <w:p w14:paraId="79D90DF2" w14:textId="77777777" w:rsidR="008700F9" w:rsidRPr="00AB6514" w:rsidRDefault="008700F9" w:rsidP="008700F9">
            <w:pPr>
              <w:keepNext/>
              <w:autoSpaceDE w:val="0"/>
              <w:autoSpaceDN w:val="0"/>
              <w:adjustRightInd w:val="0"/>
              <w:spacing w:before="120" w:after="120"/>
              <w:rPr>
                <w:rFonts w:cs="Arial"/>
                <w:color w:val="000000"/>
                <w:sz w:val="20"/>
                <w:szCs w:val="20"/>
              </w:rPr>
            </w:pPr>
            <w:r>
              <w:rPr>
                <w:rFonts w:cs="Arial"/>
                <w:color w:val="000000"/>
                <w:sz w:val="20"/>
                <w:szCs w:val="20"/>
              </w:rPr>
              <w:t>Under t</w:t>
            </w:r>
            <w:r w:rsidRPr="00AB6514">
              <w:rPr>
                <w:rFonts w:cs="Arial"/>
                <w:color w:val="000000"/>
                <w:sz w:val="20"/>
                <w:szCs w:val="20"/>
              </w:rPr>
              <w:t>he procedure</w:t>
            </w:r>
            <w:r>
              <w:rPr>
                <w:rFonts w:cs="Arial"/>
                <w:color w:val="000000"/>
                <w:sz w:val="20"/>
                <w:szCs w:val="20"/>
              </w:rPr>
              <w:t>s,</w:t>
            </w:r>
            <w:r w:rsidRPr="00AB6514">
              <w:rPr>
                <w:rFonts w:cs="Arial"/>
                <w:color w:val="000000"/>
                <w:sz w:val="20"/>
                <w:szCs w:val="20"/>
              </w:rPr>
              <w:t xml:space="preserve"> the defaulting participant’s position </w:t>
            </w:r>
            <w:r>
              <w:rPr>
                <w:rFonts w:cs="Arial"/>
                <w:color w:val="000000"/>
                <w:sz w:val="20"/>
                <w:szCs w:val="20"/>
              </w:rPr>
              <w:t xml:space="preserve">is separated </w:t>
            </w:r>
            <w:r w:rsidRPr="00AB6514">
              <w:rPr>
                <w:rFonts w:cs="Arial"/>
                <w:color w:val="000000"/>
                <w:sz w:val="20"/>
                <w:szCs w:val="20"/>
              </w:rPr>
              <w:t xml:space="preserve">into a net quantity and an offsetting quantity. Transactions associated with the net position (buy or sell) are terminated leaving the defaulting participant without any future gas delivery obligations (zero net position). The defaulting participant is removed from transactions associated with the offset position so that the non-defaulting parties can be paired together to minimise the disruption to market. </w:t>
            </w:r>
            <w:r>
              <w:rPr>
                <w:rFonts w:cs="Arial"/>
                <w:color w:val="000000"/>
                <w:sz w:val="20"/>
                <w:szCs w:val="20"/>
              </w:rPr>
              <w:t xml:space="preserve">The </w:t>
            </w:r>
            <w:r>
              <w:rPr>
                <w:sz w:val="20"/>
                <w:szCs w:val="20"/>
              </w:rPr>
              <w:t>n</w:t>
            </w:r>
            <w:r w:rsidRPr="00AB6514">
              <w:rPr>
                <w:sz w:val="20"/>
                <w:szCs w:val="20"/>
              </w:rPr>
              <w:t xml:space="preserve">etting </w:t>
            </w:r>
            <w:r>
              <w:rPr>
                <w:sz w:val="20"/>
                <w:szCs w:val="20"/>
              </w:rPr>
              <w:t xml:space="preserve">process </w:t>
            </w:r>
            <w:r w:rsidRPr="00AB6514">
              <w:rPr>
                <w:sz w:val="20"/>
                <w:szCs w:val="20"/>
              </w:rPr>
              <w:t xml:space="preserve">means the impact of default may need to be shared across all related parties to the defaulting party. This is </w:t>
            </w:r>
            <w:r>
              <w:rPr>
                <w:sz w:val="20"/>
                <w:szCs w:val="20"/>
              </w:rPr>
              <w:t xml:space="preserve">currently </w:t>
            </w:r>
            <w:r w:rsidRPr="00AB6514">
              <w:rPr>
                <w:sz w:val="20"/>
                <w:szCs w:val="20"/>
              </w:rPr>
              <w:t>done on a pro rat</w:t>
            </w:r>
            <w:r>
              <w:rPr>
                <w:sz w:val="20"/>
                <w:szCs w:val="20"/>
              </w:rPr>
              <w:t>a</w:t>
            </w:r>
            <w:r w:rsidRPr="00AB6514">
              <w:rPr>
                <w:sz w:val="20"/>
                <w:szCs w:val="20"/>
              </w:rPr>
              <w:t xml:space="preserve"> basis. </w:t>
            </w:r>
          </w:p>
          <w:p w14:paraId="16F8ECDC" w14:textId="77777777" w:rsidR="008700F9" w:rsidRPr="00AB6514" w:rsidRDefault="008700F9" w:rsidP="008700F9">
            <w:pPr>
              <w:rPr>
                <w:sz w:val="20"/>
                <w:szCs w:val="20"/>
              </w:rPr>
            </w:pPr>
            <w:r w:rsidRPr="00AB6514">
              <w:rPr>
                <w:sz w:val="20"/>
                <w:szCs w:val="20"/>
              </w:rPr>
              <w:t>The way in which a transaction will be closed out will depend on the nature of the transactions:</w:t>
            </w:r>
          </w:p>
          <w:p w14:paraId="66A375C8" w14:textId="77777777" w:rsidR="008700F9" w:rsidRPr="00AB6514" w:rsidRDefault="008700F9" w:rsidP="008700F9">
            <w:pPr>
              <w:pStyle w:val="ListBullet"/>
              <w:rPr>
                <w:sz w:val="20"/>
                <w:szCs w:val="20"/>
              </w:rPr>
            </w:pPr>
            <w:r w:rsidRPr="00AB6514">
              <w:rPr>
                <w:b/>
                <w:sz w:val="20"/>
                <w:szCs w:val="20"/>
              </w:rPr>
              <w:t>Net zero:</w:t>
            </w:r>
            <w:r w:rsidRPr="00AB6514">
              <w:rPr>
                <w:sz w:val="20"/>
                <w:szCs w:val="20"/>
              </w:rPr>
              <w:t xml:space="preserve"> If a participant has a net position of 0 (i.e. bought 10 TJ and sold 10 TJ) the defaulting party is removed from the transaction and the counterparties to the defaulting party are matched together. </w:t>
            </w:r>
          </w:p>
          <w:p w14:paraId="27EA6CE6" w14:textId="77777777" w:rsidR="008700F9" w:rsidRPr="00AB6514" w:rsidRDefault="008700F9" w:rsidP="008700F9">
            <w:pPr>
              <w:pStyle w:val="ListBullet"/>
              <w:rPr>
                <w:sz w:val="20"/>
                <w:szCs w:val="20"/>
              </w:rPr>
            </w:pPr>
            <w:r w:rsidRPr="00AB6514">
              <w:rPr>
                <w:b/>
                <w:sz w:val="20"/>
                <w:szCs w:val="20"/>
              </w:rPr>
              <w:t>Net short:</w:t>
            </w:r>
            <w:r w:rsidRPr="00AB6514">
              <w:rPr>
                <w:sz w:val="20"/>
                <w:szCs w:val="20"/>
              </w:rPr>
              <w:t xml:space="preserve"> If a participant has a net short position (i.e. bought 5 TJ and sold 10 TJ) then 5 TJ of transactions will be offset. The net short position of 5 TJ will be cancelled and compensation paid to the buyer(s) involved in the transaction(s).</w:t>
            </w:r>
          </w:p>
          <w:p w14:paraId="676074F7" w14:textId="77777777" w:rsidR="008700F9" w:rsidRPr="00AB6514" w:rsidRDefault="008700F9" w:rsidP="008700F9">
            <w:pPr>
              <w:pStyle w:val="ListBullet"/>
              <w:rPr>
                <w:sz w:val="20"/>
                <w:szCs w:val="20"/>
              </w:rPr>
            </w:pPr>
            <w:r w:rsidRPr="00AB6514">
              <w:rPr>
                <w:b/>
                <w:sz w:val="20"/>
                <w:szCs w:val="20"/>
              </w:rPr>
              <w:t>Net long</w:t>
            </w:r>
            <w:r w:rsidRPr="00AB6514">
              <w:rPr>
                <w:sz w:val="20"/>
                <w:szCs w:val="20"/>
              </w:rPr>
              <w:t>: If a participant has a net long position (i.e. bought 10TJ and sold 5 TJ) then 5 TJ of transactions will be offset. The net long position will be cancelled and compensation paid to the seller(s) involved in the transaction(s).</w:t>
            </w:r>
          </w:p>
          <w:p w14:paraId="7A741785" w14:textId="77777777" w:rsidR="008700F9" w:rsidRPr="00AB6514" w:rsidRDefault="008700F9" w:rsidP="008700F9">
            <w:pPr>
              <w:pStyle w:val="TableBodyText"/>
              <w:spacing w:before="120" w:after="120"/>
              <w:rPr>
                <w:sz w:val="20"/>
                <w:szCs w:val="20"/>
              </w:rPr>
            </w:pPr>
            <w:r w:rsidRPr="00AB6514">
              <w:rPr>
                <w:sz w:val="20"/>
                <w:szCs w:val="20"/>
              </w:rPr>
              <w:t xml:space="preserve">If the defaulting party has made a loss on the transactions (i.e. bought for $8 and sold for $7) then AEMO collateralises the loss ($1) when the trade takes place so in the event of close out the seller is kept whole. If they have made a gain, then this money goes to paying any compensation owed to the impacted parties. </w:t>
            </w:r>
          </w:p>
          <w:p w14:paraId="52B749D1" w14:textId="77777777" w:rsidR="008700F9" w:rsidRPr="00AB6514" w:rsidRDefault="008700F9" w:rsidP="008700F9">
            <w:pPr>
              <w:pStyle w:val="TableBodyText"/>
              <w:spacing w:before="120" w:after="120"/>
              <w:rPr>
                <w:color w:val="000000"/>
                <w:sz w:val="20"/>
                <w:szCs w:val="20"/>
              </w:rPr>
            </w:pPr>
            <w:r w:rsidRPr="00AB6514">
              <w:rPr>
                <w:color w:val="000000"/>
                <w:sz w:val="20"/>
                <w:szCs w:val="20"/>
              </w:rPr>
              <w:t xml:space="preserve">The close-out settlement amount is compensation payable by the defaulting participant to any of their counterparts (via AEMO) affected by the close-out of forward transactions, which is paid from the defaulting party’s collateral. Offset settlement amounts are determined for the defaulting participant, in aggregate they represent the gain or loss on any offsetting buy and sell transactions. </w:t>
            </w:r>
          </w:p>
          <w:p w14:paraId="0158ED56" w14:textId="5C97C48B" w:rsidR="008700F9" w:rsidRPr="00AF730D" w:rsidRDefault="008700F9" w:rsidP="008700F9">
            <w:pPr>
              <w:pStyle w:val="TableBodyText"/>
              <w:spacing w:before="120" w:after="120"/>
              <w:rPr>
                <w:b/>
                <w:sz w:val="20"/>
              </w:rPr>
            </w:pPr>
            <w:r>
              <w:rPr>
                <w:sz w:val="20"/>
                <w:szCs w:val="20"/>
              </w:rPr>
              <w:t xml:space="preserve">Note that </w:t>
            </w:r>
            <w:r w:rsidRPr="00AB6514">
              <w:rPr>
                <w:sz w:val="20"/>
                <w:szCs w:val="20"/>
              </w:rPr>
              <w:t xml:space="preserve">compensation </w:t>
            </w:r>
            <w:r>
              <w:rPr>
                <w:sz w:val="20"/>
                <w:szCs w:val="20"/>
              </w:rPr>
              <w:t xml:space="preserve">in the GSH </w:t>
            </w:r>
            <w:r w:rsidRPr="00AB6514">
              <w:rPr>
                <w:sz w:val="20"/>
                <w:szCs w:val="20"/>
              </w:rPr>
              <w:t xml:space="preserve">is </w:t>
            </w:r>
            <w:r>
              <w:rPr>
                <w:sz w:val="20"/>
                <w:szCs w:val="20"/>
              </w:rPr>
              <w:t xml:space="preserve">currently </w:t>
            </w:r>
            <w:r w:rsidRPr="00AB6514">
              <w:rPr>
                <w:sz w:val="20"/>
                <w:szCs w:val="20"/>
              </w:rPr>
              <w:t xml:space="preserve">set at 25% of the face value of the transactions. </w:t>
            </w:r>
            <w:r>
              <w:rPr>
                <w:sz w:val="20"/>
                <w:szCs w:val="20"/>
              </w:rPr>
              <w:t>T</w:t>
            </w:r>
            <w:r w:rsidRPr="00AB6514">
              <w:rPr>
                <w:sz w:val="20"/>
                <w:szCs w:val="20"/>
              </w:rPr>
              <w:t xml:space="preserve">he collateral requirement for buyers and sellers is </w:t>
            </w:r>
            <w:r>
              <w:rPr>
                <w:sz w:val="20"/>
                <w:szCs w:val="20"/>
              </w:rPr>
              <w:t xml:space="preserve">therefore </w:t>
            </w:r>
            <w:r w:rsidRPr="00AB6514">
              <w:rPr>
                <w:sz w:val="20"/>
                <w:szCs w:val="20"/>
              </w:rPr>
              <w:t>also set at 25%. The trade-off of higher compensation/penalty is higher collateral, which increases the cost of participating in the market.</w:t>
            </w:r>
          </w:p>
        </w:tc>
      </w:tr>
    </w:tbl>
    <w:p w14:paraId="6F47635A" w14:textId="77777777" w:rsidR="00AB6514" w:rsidRDefault="00AB6514" w:rsidP="00AB6514">
      <w:pPr>
        <w:pStyle w:val="BodyText"/>
        <w:spacing w:before="0"/>
        <w:rPr>
          <w:sz w:val="18"/>
          <w:szCs w:val="18"/>
        </w:rPr>
      </w:pPr>
      <w:r w:rsidRPr="00854182">
        <w:rPr>
          <w:sz w:val="18"/>
          <w:szCs w:val="18"/>
        </w:rPr>
        <w:t>Source: AEMO, Gas Supply Hub Industry Guide, October 2016, p. 84.</w:t>
      </w:r>
    </w:p>
    <w:p w14:paraId="280E0695" w14:textId="454F2F6C" w:rsidR="00AB6514" w:rsidRDefault="00264319" w:rsidP="007B2172">
      <w:pPr>
        <w:pStyle w:val="Heading2"/>
      </w:pPr>
      <w:bookmarkStart w:id="216" w:name="_Toc492524771"/>
      <w:r>
        <w:lastRenderedPageBreak/>
        <w:t>Circumstances in which d</w:t>
      </w:r>
      <w:r w:rsidR="007B2172">
        <w:t xml:space="preserve">elivery default </w:t>
      </w:r>
      <w:r>
        <w:t>can occur</w:t>
      </w:r>
      <w:bookmarkEnd w:id="216"/>
      <w:r>
        <w:t xml:space="preserve"> </w:t>
      </w:r>
    </w:p>
    <w:p w14:paraId="4CFCBF60" w14:textId="5DBE5ACC" w:rsidR="00772840" w:rsidRDefault="009B4FC2" w:rsidP="00B82616">
      <w:pPr>
        <w:pStyle w:val="BodyText"/>
      </w:pPr>
      <w:r>
        <w:t xml:space="preserve">A seller of capacity products </w:t>
      </w:r>
      <w:r w:rsidR="000405AB">
        <w:t>on the exchange</w:t>
      </w:r>
      <w:r w:rsidR="00264319">
        <w:t>, which could be either a primary or secondary shipper,</w:t>
      </w:r>
      <w:r w:rsidR="000405AB">
        <w:t xml:space="preserve"> </w:t>
      </w:r>
      <w:r>
        <w:t xml:space="preserve">could default on its delivery obligations for </w:t>
      </w:r>
      <w:r w:rsidR="00264319">
        <w:t xml:space="preserve">one of the following </w:t>
      </w:r>
      <w:r>
        <w:t>reasons:</w:t>
      </w:r>
    </w:p>
    <w:p w14:paraId="5FCDFD73" w14:textId="5F91BB59" w:rsidR="000405AB" w:rsidRDefault="00264319" w:rsidP="005C4789">
      <w:pPr>
        <w:pStyle w:val="ListNumber"/>
        <w:numPr>
          <w:ilvl w:val="0"/>
          <w:numId w:val="67"/>
        </w:numPr>
      </w:pPr>
      <w:r>
        <w:t>t</w:t>
      </w:r>
      <w:r w:rsidR="009B4FC2">
        <w:t>he seller</w:t>
      </w:r>
      <w:r w:rsidR="000405AB">
        <w:t xml:space="preserve"> </w:t>
      </w:r>
      <w:r w:rsidR="009B4FC2">
        <w:t xml:space="preserve">defaults on its </w:t>
      </w:r>
      <w:r>
        <w:t xml:space="preserve">primary </w:t>
      </w:r>
      <w:r w:rsidR="000405AB">
        <w:t xml:space="preserve">GTA </w:t>
      </w:r>
      <w:r>
        <w:t xml:space="preserve">or operational GTA </w:t>
      </w:r>
      <w:r w:rsidR="009B4FC2">
        <w:t xml:space="preserve">with the service provider and the service provider </w:t>
      </w:r>
      <w:r w:rsidR="000405AB">
        <w:t xml:space="preserve">decides to suspend or </w:t>
      </w:r>
      <w:r w:rsidR="009B4FC2">
        <w:t xml:space="preserve">terminate </w:t>
      </w:r>
      <w:r w:rsidR="000405AB">
        <w:t>the contract;</w:t>
      </w:r>
    </w:p>
    <w:p w14:paraId="2B7DBC2C" w14:textId="61F18663" w:rsidR="000405AB" w:rsidRDefault="000405AB" w:rsidP="00482534">
      <w:pPr>
        <w:pStyle w:val="ListNumber"/>
      </w:pPr>
      <w:r>
        <w:t>the seller defaults on its financial obligations in the GSH and AEMO decides to close out the seller’s trades; and</w:t>
      </w:r>
      <w:r w:rsidR="002D5C8A">
        <w:t>/or</w:t>
      </w:r>
    </w:p>
    <w:p w14:paraId="3A22AE33" w14:textId="2AC361C8" w:rsidR="000405AB" w:rsidRDefault="00D21993" w:rsidP="00482534">
      <w:pPr>
        <w:pStyle w:val="ListNumber"/>
      </w:pPr>
      <w:r>
        <w:t>the seller defaults on its delivery obligation – in the case of capacity, most likely due to the seller selling more capacity than it has a right to use under a primary GTA or other secondary trades (short selling)</w:t>
      </w:r>
      <w:r w:rsidR="000405AB">
        <w:t xml:space="preserve">. </w:t>
      </w:r>
    </w:p>
    <w:p w14:paraId="4DD7CFEC" w14:textId="3263A14D" w:rsidR="004603CC" w:rsidRPr="004603CC" w:rsidRDefault="00CC3C68" w:rsidP="004603CC">
      <w:pPr>
        <w:pStyle w:val="BodyText"/>
      </w:pPr>
      <w:r>
        <w:t xml:space="preserve">While the </w:t>
      </w:r>
      <w:r w:rsidR="00482534">
        <w:t xml:space="preserve">market conduct rules and </w:t>
      </w:r>
      <w:r>
        <w:t>default arrangements in the Exchange Agreement have been developed to deal with the latter two forms of default, the</w:t>
      </w:r>
      <w:r w:rsidR="00482534">
        <w:t xml:space="preserve"> default arrangements</w:t>
      </w:r>
      <w:r>
        <w:t xml:space="preserve"> </w:t>
      </w:r>
      <w:r w:rsidRPr="004603CC">
        <w:t>cannot currently deal with default</w:t>
      </w:r>
      <w:r w:rsidR="00482534" w:rsidRPr="004603CC">
        <w:t xml:space="preserve"> under the seller’s GTA</w:t>
      </w:r>
      <w:r w:rsidRPr="004603CC">
        <w:t xml:space="preserve">. Changes to the </w:t>
      </w:r>
      <w:r w:rsidR="00482534" w:rsidRPr="004603CC">
        <w:t>Exchange Agreement may therefore be required to recognise this form of default.</w:t>
      </w:r>
      <w:r w:rsidR="004603CC" w:rsidRPr="004603CC">
        <w:t xml:space="preserve"> Additional provisions may also need to be included in the NGR (or procedures made under the NGL) to require service providers and AEMO to inform each other if any of the circumstances described above occur and, where relevant, to work together to provide for an orderly termination process that minimises the impact on the operation of the gas market.</w:t>
      </w:r>
    </w:p>
    <w:p w14:paraId="71F9C9AA" w14:textId="532EA3DF" w:rsidR="005017A2" w:rsidRDefault="00482534" w:rsidP="00482534">
      <w:pPr>
        <w:pStyle w:val="BodyText"/>
      </w:pPr>
      <w:r>
        <w:t>In relation to short selling, it is worth noting that</w:t>
      </w:r>
      <w:r w:rsidR="00400210">
        <w:t xml:space="preserve"> </w:t>
      </w:r>
      <w:r>
        <w:t>t</w:t>
      </w:r>
      <w:r w:rsidRPr="001C267C">
        <w:t xml:space="preserve">he proposed design of the platform does not require </w:t>
      </w:r>
      <w:r w:rsidR="00400210">
        <w:t xml:space="preserve">Trading Participants to provide </w:t>
      </w:r>
      <w:r w:rsidRPr="001C267C">
        <w:t xml:space="preserve">evidence that </w:t>
      </w:r>
      <w:r w:rsidR="00400210">
        <w:t xml:space="preserve">they have capacity that can be sold through the exchange. Trading Participants will instead be required to warrant </w:t>
      </w:r>
      <w:r w:rsidR="00D21993">
        <w:t xml:space="preserve">as a term of each product that </w:t>
      </w:r>
      <w:r w:rsidR="00400210">
        <w:t xml:space="preserve">they have </w:t>
      </w:r>
      <w:r w:rsidR="00D21993">
        <w:t>all necessary rights under agreements with gas transporters to deliver the capacity</w:t>
      </w:r>
      <w:r w:rsidR="00400210">
        <w:t>, which is consistent with the approach that currently applies to gas products on the GSH. This issue was discussed with the project team and while some consideration was given to developing a registry of capacity contracts that could be used by AEMO as part of a pre-trade verification process,</w:t>
      </w:r>
      <w:r w:rsidR="005017A2">
        <w:rPr>
          <w:rStyle w:val="FootnoteReference"/>
        </w:rPr>
        <w:footnoteReference w:id="111"/>
      </w:r>
      <w:r w:rsidR="00400210">
        <w:t xml:space="preserve"> the project team </w:t>
      </w:r>
      <w:r w:rsidR="005017A2">
        <w:t xml:space="preserve">noted </w:t>
      </w:r>
      <w:r w:rsidR="00400210">
        <w:t>that</w:t>
      </w:r>
      <w:r w:rsidR="005017A2">
        <w:t>:</w:t>
      </w:r>
      <w:r w:rsidR="00400210">
        <w:t xml:space="preserve"> </w:t>
      </w:r>
    </w:p>
    <w:p w14:paraId="16391FD4" w14:textId="442BE15E" w:rsidR="005017A2" w:rsidRDefault="00400210" w:rsidP="005017A2">
      <w:pPr>
        <w:pStyle w:val="ListBullet"/>
      </w:pPr>
      <w:r>
        <w:t xml:space="preserve">the development </w:t>
      </w:r>
      <w:r w:rsidR="005017A2">
        <w:t xml:space="preserve">and maintenance </w:t>
      </w:r>
      <w:r>
        <w:t xml:space="preserve">of such a registry would be a </w:t>
      </w:r>
      <w:r w:rsidR="005017A2">
        <w:t>major</w:t>
      </w:r>
      <w:r>
        <w:t xml:space="preserve"> task </w:t>
      </w:r>
      <w:r w:rsidR="005017A2">
        <w:t>because AEMO would need to be provided access to all GTAs (including bilateral trades) and monitor changes in capacity rights across contracts over time; and</w:t>
      </w:r>
    </w:p>
    <w:p w14:paraId="56539E7E" w14:textId="0E01D082" w:rsidR="00400210" w:rsidRDefault="005017A2" w:rsidP="005017A2">
      <w:pPr>
        <w:pStyle w:val="ListBullet"/>
      </w:pPr>
      <w:r>
        <w:t>the costs of developing such a registry were likely to outweigh the benefits of preventing short selling.</w:t>
      </w:r>
    </w:p>
    <w:p w14:paraId="1C94B24B" w14:textId="77777777" w:rsidR="00D21993" w:rsidRPr="00D21993" w:rsidRDefault="005017A2" w:rsidP="00482534">
      <w:pPr>
        <w:pStyle w:val="BodyText"/>
      </w:pPr>
      <w:r>
        <w:t>The project team also noted that if service providers were informed of trades on a daily basis then a post-trade verification process could be carried out within 24 hours of the trade bei</w:t>
      </w:r>
      <w:r w:rsidRPr="00D21993">
        <w:t>ng conducted and</w:t>
      </w:r>
      <w:r w:rsidR="00D5242A" w:rsidRPr="00D21993">
        <w:t xml:space="preserve"> steps could then be taken to address any short-sales that have occurred in that trading window. </w:t>
      </w:r>
    </w:p>
    <w:p w14:paraId="7DF16781" w14:textId="63BB29CD" w:rsidR="00D21993" w:rsidRPr="00D21993" w:rsidRDefault="00D21993" w:rsidP="00D21993">
      <w:pPr>
        <w:pStyle w:val="BodyText"/>
      </w:pPr>
      <w:r w:rsidRPr="00D21993">
        <w:t xml:space="preserve">Following this discussion, another pre-trade validation option has been identified, which is a self-certified approach that would operate in a similar manner to trading rights in the STTM. That is, the shipper would inform AEMO of its physical trading limit (created by </w:t>
      </w:r>
      <w:r w:rsidRPr="00D21993">
        <w:lastRenderedPageBreak/>
        <w:t>providing capacity into a trading account), which could then be validated by the service provider.</w:t>
      </w:r>
    </w:p>
    <w:p w14:paraId="1029EF7E" w14:textId="64228259" w:rsidR="005017A2" w:rsidRDefault="00F8721F" w:rsidP="00482534">
      <w:pPr>
        <w:pStyle w:val="BodyText"/>
      </w:pPr>
      <w:r>
        <w:t xml:space="preserve">The </w:t>
      </w:r>
      <w:r w:rsidR="00EE2CC0">
        <w:t xml:space="preserve">GMRG understands the concerns about short selling and the risk this poses to users of the exchange, but agrees with the project team that the costs of establishing a registry that could be used for a pre-verification process are likely to outweigh the benefits, particularly given the operation of the </w:t>
      </w:r>
      <w:r w:rsidR="00D21993">
        <w:t xml:space="preserve">warranty, the </w:t>
      </w:r>
      <w:r w:rsidR="00EE2CC0">
        <w:t>market conduct rules</w:t>
      </w:r>
      <w:r w:rsidR="00D21993">
        <w:t xml:space="preserve"> and the delivery default payment</w:t>
      </w:r>
      <w:r w:rsidR="00EE2CC0">
        <w:t xml:space="preserve">, which are designed to deter short selling. While the GMRG’s preliminary view is that a registry is unnecessary, it is interested in hearing other stakeholders’ views on this issue and the questions set out </w:t>
      </w:r>
      <w:r w:rsidR="00EE2CC0" w:rsidRPr="00EE2CC0">
        <w:t xml:space="preserve">in </w:t>
      </w:r>
      <w:r w:rsidR="00EE2CC0" w:rsidRPr="00EE2CC0">
        <w:fldChar w:fldCharType="begin"/>
      </w:r>
      <w:r w:rsidR="00EE2CC0" w:rsidRPr="00EE2CC0">
        <w:instrText xml:space="preserve"> REF _Ref492272752 \h  \* MERGEFORMAT </w:instrText>
      </w:r>
      <w:r w:rsidR="00EE2CC0" w:rsidRPr="00EE2CC0">
        <w:fldChar w:fldCharType="separate"/>
      </w:r>
      <w:r w:rsidR="00947034" w:rsidRPr="00947034">
        <w:rPr>
          <w:rFonts w:eastAsiaTheme="minorHAnsi" w:cstheme="minorBidi"/>
          <w:bCs/>
          <w:lang w:eastAsia="fr-CA"/>
        </w:rPr>
        <w:t xml:space="preserve">Box </w:t>
      </w:r>
      <w:r w:rsidR="00947034" w:rsidRPr="00947034">
        <w:rPr>
          <w:rFonts w:eastAsiaTheme="minorHAnsi" w:cstheme="minorBidi"/>
          <w:bCs/>
          <w:noProof/>
          <w:lang w:eastAsia="fr-CA"/>
        </w:rPr>
        <w:t>10.2</w:t>
      </w:r>
      <w:r w:rsidR="00EE2CC0" w:rsidRPr="00EE2CC0">
        <w:fldChar w:fldCharType="end"/>
      </w:r>
      <w:r w:rsidR="00EE2CC0" w:rsidRPr="00EE2CC0">
        <w:t>.</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10.2: Questions on delivery default, pre-trade verification and short selling"/>
        <w:tblDescription w:val="Questions on delivery default, pre-trade verification and short selling"/>
      </w:tblPr>
      <w:tblGrid>
        <w:gridCol w:w="8788"/>
      </w:tblGrid>
      <w:tr w:rsidR="00F8721F" w:rsidRPr="002618F0" w14:paraId="2F205653" w14:textId="77777777" w:rsidTr="0022493D">
        <w:trPr>
          <w:tblHeader/>
        </w:trPr>
        <w:tc>
          <w:tcPr>
            <w:tcW w:w="5000" w:type="pct"/>
            <w:shd w:val="clear" w:color="auto" w:fill="auto"/>
          </w:tcPr>
          <w:p w14:paraId="4C1079E0" w14:textId="1BF0E1AB" w:rsidR="006C656B" w:rsidRPr="00421614" w:rsidRDefault="0022493D" w:rsidP="0022493D">
            <w:pPr>
              <w:pStyle w:val="ListNumber"/>
              <w:numPr>
                <w:ilvl w:val="0"/>
                <w:numId w:val="0"/>
              </w:numPr>
              <w:spacing w:after="0"/>
              <w:ind w:left="357" w:hanging="357"/>
              <w:rPr>
                <w:sz w:val="21"/>
                <w:szCs w:val="21"/>
              </w:rPr>
            </w:pPr>
            <w:bookmarkStart w:id="217" w:name="_Ref492272752"/>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10</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2</w:t>
            </w:r>
            <w:r>
              <w:rPr>
                <w:rFonts w:eastAsiaTheme="minorHAnsi" w:cstheme="minorBidi"/>
                <w:b/>
                <w:bCs/>
                <w:lang w:eastAsia="fr-CA"/>
              </w:rPr>
              <w:fldChar w:fldCharType="end"/>
            </w:r>
            <w:bookmarkEnd w:id="217"/>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delivery default, pre-trade verification and short selling</w:t>
            </w:r>
          </w:p>
        </w:tc>
      </w:tr>
      <w:tr w:rsidR="0022493D" w:rsidRPr="002618F0" w14:paraId="6F5376DA" w14:textId="77777777" w:rsidTr="0022493D">
        <w:trPr>
          <w:tblHeader/>
        </w:trPr>
        <w:tc>
          <w:tcPr>
            <w:tcW w:w="5000" w:type="pct"/>
            <w:shd w:val="clear" w:color="auto" w:fill="B7E7FF"/>
          </w:tcPr>
          <w:p w14:paraId="3370EA85" w14:textId="77777777" w:rsidR="0022493D" w:rsidRDefault="0022493D" w:rsidP="0022493D">
            <w:pPr>
              <w:pStyle w:val="ListNumber"/>
              <w:numPr>
                <w:ilvl w:val="0"/>
                <w:numId w:val="23"/>
              </w:numPr>
              <w:ind w:left="567" w:hanging="567"/>
              <w:rPr>
                <w:sz w:val="21"/>
                <w:szCs w:val="21"/>
              </w:rPr>
            </w:pPr>
            <w:r>
              <w:rPr>
                <w:sz w:val="21"/>
                <w:szCs w:val="21"/>
              </w:rPr>
              <w:t>Are there any other circumstances in which you think delivery default could occur?</w:t>
            </w:r>
          </w:p>
          <w:p w14:paraId="2749C7FC" w14:textId="77777777" w:rsidR="0022493D" w:rsidRDefault="0022493D" w:rsidP="0022493D">
            <w:pPr>
              <w:pStyle w:val="ListNumber"/>
              <w:numPr>
                <w:ilvl w:val="0"/>
                <w:numId w:val="23"/>
              </w:numPr>
              <w:ind w:left="567" w:hanging="567"/>
              <w:rPr>
                <w:sz w:val="21"/>
                <w:szCs w:val="21"/>
              </w:rPr>
            </w:pPr>
            <w:r w:rsidRPr="009E64FB">
              <w:rPr>
                <w:sz w:val="21"/>
                <w:szCs w:val="21"/>
              </w:rPr>
              <w:t xml:space="preserve">Do you think there is value in developing a registry that could be used by AEMO to verify whether sellers have capacity to sell before they enter into a trade, or do you think the costs of doing so are likely to outweigh the benefits? </w:t>
            </w:r>
          </w:p>
          <w:p w14:paraId="467AC7E5" w14:textId="5489D594" w:rsidR="0022493D" w:rsidRPr="0022493D" w:rsidRDefault="0022493D" w:rsidP="0022493D">
            <w:pPr>
              <w:pStyle w:val="ListNumber"/>
              <w:numPr>
                <w:ilvl w:val="0"/>
                <w:numId w:val="23"/>
              </w:numPr>
              <w:ind w:left="567" w:hanging="567"/>
              <w:rPr>
                <w:sz w:val="21"/>
                <w:szCs w:val="21"/>
              </w:rPr>
            </w:pPr>
            <w:r w:rsidRPr="0022493D">
              <w:rPr>
                <w:sz w:val="21"/>
                <w:szCs w:val="21"/>
              </w:rPr>
              <w:t>Do you think the market conduct rules will deter Trading Participants from engaging in short-selling?</w:t>
            </w:r>
          </w:p>
        </w:tc>
      </w:tr>
    </w:tbl>
    <w:p w14:paraId="790D048F" w14:textId="7CF966FF" w:rsidR="007B2172" w:rsidRDefault="007B2172" w:rsidP="007B2172">
      <w:pPr>
        <w:pStyle w:val="Heading2"/>
      </w:pPr>
      <w:bookmarkStart w:id="218" w:name="_Toc492524772"/>
      <w:r>
        <w:t>Potential remedies for delivery default</w:t>
      </w:r>
      <w:bookmarkEnd w:id="218"/>
      <w:r>
        <w:t xml:space="preserve"> </w:t>
      </w:r>
    </w:p>
    <w:p w14:paraId="38C71D91" w14:textId="213C298B" w:rsidR="00421614" w:rsidRDefault="004603CC" w:rsidP="004603CC">
      <w:pPr>
        <w:pStyle w:val="BodyText"/>
      </w:pPr>
      <w:r>
        <w:t>As noted above, the project team identified a number of options that could be used to ameliorate the effects of a delivery default by the seller</w:t>
      </w:r>
      <w:r w:rsidR="00421614">
        <w:t>, which are discussed in further detail below.</w:t>
      </w:r>
      <w:r>
        <w:t xml:space="preserve"> </w:t>
      </w:r>
      <w:r w:rsidR="00421614">
        <w:t xml:space="preserve">The GMRG is yet to form a view on the </w:t>
      </w:r>
      <w:r w:rsidR="00040A04">
        <w:t xml:space="preserve">feasibility </w:t>
      </w:r>
      <w:r w:rsidR="00421614">
        <w:t>of these options and welcomes any feedback stakeholders may have on these remedies.</w:t>
      </w:r>
    </w:p>
    <w:p w14:paraId="5BE6FD00" w14:textId="7BB11C3E" w:rsidR="007B2172" w:rsidRDefault="004603CC" w:rsidP="004603CC">
      <w:pPr>
        <w:pStyle w:val="Heading3"/>
      </w:pPr>
      <w:r>
        <w:t>Seller defaults on its GTA with the service provider</w:t>
      </w:r>
    </w:p>
    <w:p w14:paraId="164D5CFC" w14:textId="1895BEB8" w:rsidR="00B82616" w:rsidRDefault="00EA14CC" w:rsidP="00EA14CC">
      <w:pPr>
        <w:pStyle w:val="BoldHeading"/>
        <w:rPr>
          <w:color w:val="0099CC"/>
        </w:rPr>
      </w:pPr>
      <w:r w:rsidRPr="00EA14CC">
        <w:rPr>
          <w:color w:val="0099CC"/>
        </w:rPr>
        <w:t>Default under primary GTA</w:t>
      </w:r>
    </w:p>
    <w:p w14:paraId="76C5143F" w14:textId="77777777" w:rsidR="005A27CB" w:rsidRDefault="005A27CB" w:rsidP="005A27CB">
      <w:pPr>
        <w:pStyle w:val="BodyText"/>
      </w:pPr>
      <w:r>
        <w:t xml:space="preserve">In this case, the seller is assumed to be a primary </w:t>
      </w:r>
      <w:r w:rsidRPr="00095B22">
        <w:t xml:space="preserve">shipper </w:t>
      </w:r>
      <w:r>
        <w:t xml:space="preserve">that </w:t>
      </w:r>
      <w:r w:rsidRPr="00095B22">
        <w:t xml:space="preserve">on-sells its capacity and </w:t>
      </w:r>
      <w:r>
        <w:t xml:space="preserve">then defaults on its primary GTA </w:t>
      </w:r>
      <w:r w:rsidRPr="00095B22">
        <w:t xml:space="preserve">with the </w:t>
      </w:r>
      <w:r>
        <w:t>service provider, who then decides to suspend or terminate</w:t>
      </w:r>
      <w:r w:rsidRPr="00095B22">
        <w:t xml:space="preserve"> the </w:t>
      </w:r>
      <w:r>
        <w:t>primary</w:t>
      </w:r>
      <w:r w:rsidRPr="00095B22">
        <w:t xml:space="preserve"> GTA.</w:t>
      </w:r>
      <w:r>
        <w:t xml:space="preserve"> </w:t>
      </w:r>
    </w:p>
    <w:p w14:paraId="2F3DD728" w14:textId="4936C4A8" w:rsidR="005A27CB" w:rsidRPr="005A27CB" w:rsidRDefault="005A27CB" w:rsidP="005A27CB">
      <w:pPr>
        <w:pStyle w:val="BodyText"/>
      </w:pPr>
      <w:r>
        <w:t>The sale of capacity could occur under a number of scenarios on the exchange, including:</w:t>
      </w:r>
    </w:p>
    <w:p w14:paraId="7273E402" w14:textId="1C392599" w:rsidR="005A27CB" w:rsidRPr="005A27CB" w:rsidRDefault="005A27CB" w:rsidP="005A27CB">
      <w:pPr>
        <w:pStyle w:val="ListBullet"/>
      </w:pPr>
      <w:r>
        <w:t xml:space="preserve">a single sale of capacity by the </w:t>
      </w:r>
      <w:r w:rsidRPr="005A27CB">
        <w:t xml:space="preserve">primary shipper </w:t>
      </w:r>
      <w:r>
        <w:t xml:space="preserve">to </w:t>
      </w:r>
      <w:r w:rsidRPr="005A27CB">
        <w:t>a secondary shipper; or</w:t>
      </w:r>
    </w:p>
    <w:p w14:paraId="62FF0FB2" w14:textId="533F9BCB" w:rsidR="005A27CB" w:rsidRDefault="005A27CB" w:rsidP="005A27CB">
      <w:pPr>
        <w:pStyle w:val="ListBullet"/>
      </w:pPr>
      <w:r w:rsidRPr="005A27CB">
        <w:t xml:space="preserve">a chain of sales resulting in either one </w:t>
      </w:r>
      <w:r>
        <w:t xml:space="preserve">secondary shipper </w:t>
      </w:r>
      <w:r w:rsidRPr="005A27CB">
        <w:t>holding all the defaulted capacity</w:t>
      </w:r>
      <w:r>
        <w:t>,</w:t>
      </w:r>
      <w:r w:rsidRPr="005A27CB">
        <w:t xml:space="preserve"> or more than one </w:t>
      </w:r>
      <w:r>
        <w:t xml:space="preserve">secondary shipper </w:t>
      </w:r>
      <w:r w:rsidRPr="005A27CB">
        <w:t>holding the defaulted capacity.</w:t>
      </w:r>
      <w:r>
        <w:rPr>
          <w:rStyle w:val="FootnoteReference"/>
        </w:rPr>
        <w:footnoteReference w:id="112"/>
      </w:r>
    </w:p>
    <w:p w14:paraId="4A489A94" w14:textId="30487106" w:rsidR="003F121E" w:rsidRPr="005A27CB" w:rsidRDefault="00D21993" w:rsidP="003F121E">
      <w:pPr>
        <w:pStyle w:val="BodyText"/>
      </w:pPr>
      <w:r>
        <w:lastRenderedPageBreak/>
        <w:t xml:space="preserve">If </w:t>
      </w:r>
      <w:r w:rsidR="003F121E">
        <w:t xml:space="preserve">the primary GTA </w:t>
      </w:r>
      <w:r>
        <w:t xml:space="preserve">is suspended or </w:t>
      </w:r>
      <w:r w:rsidR="003F121E">
        <w:t xml:space="preserve">terminated then the following </w:t>
      </w:r>
      <w:r w:rsidR="005308BB">
        <w:t xml:space="preserve">options </w:t>
      </w:r>
      <w:r w:rsidR="003F121E">
        <w:t xml:space="preserve">could </w:t>
      </w:r>
      <w:r w:rsidR="005308BB">
        <w:t>be employed</w:t>
      </w:r>
      <w:r w:rsidR="003F121E">
        <w:t>:</w:t>
      </w:r>
    </w:p>
    <w:p w14:paraId="734014F2" w14:textId="727485C4" w:rsidR="003F121E" w:rsidRDefault="003F121E" w:rsidP="005C4789">
      <w:pPr>
        <w:pStyle w:val="ListNumber"/>
        <w:numPr>
          <w:ilvl w:val="0"/>
          <w:numId w:val="70"/>
        </w:numPr>
      </w:pPr>
      <w:r>
        <w:t>The t</w:t>
      </w:r>
      <w:r w:rsidR="005308BB" w:rsidRPr="003F121E">
        <w:t xml:space="preserve">rade </w:t>
      </w:r>
      <w:r>
        <w:t xml:space="preserve">could be cancelled and the buyer would </w:t>
      </w:r>
      <w:r w:rsidR="007359B3">
        <w:t>be compensated (currently 25</w:t>
      </w:r>
      <w:r>
        <w:t>% of the face value of the trade</w:t>
      </w:r>
      <w:r w:rsidR="007359B3">
        <w:t>)</w:t>
      </w:r>
      <w:r>
        <w:t xml:space="preserve"> as compensation for the cancellation (this is the approach that is currently used in the GSH).</w:t>
      </w:r>
      <w:r w:rsidR="005308BB">
        <w:t xml:space="preserve"> </w:t>
      </w:r>
      <w:r w:rsidR="00D21993">
        <w:t>If more than one secondary shipper</w:t>
      </w:r>
      <w:r w:rsidR="002B3418">
        <w:t xml:space="preserve"> </w:t>
      </w:r>
      <w:r w:rsidR="00D21993">
        <w:t xml:space="preserve">holds </w:t>
      </w:r>
      <w:r w:rsidR="002B3418">
        <w:t>the defaulted capacity</w:t>
      </w:r>
      <w:r w:rsidR="00D21993">
        <w:t xml:space="preserve">, the cancelled capacity </w:t>
      </w:r>
      <w:r w:rsidR="002B3418">
        <w:t>would be shared between the secondary shippers on a pro-rata basis.</w:t>
      </w:r>
    </w:p>
    <w:p w14:paraId="15ADE165" w14:textId="3C590FEE" w:rsidR="005308BB" w:rsidRPr="003F121E" w:rsidRDefault="003F121E" w:rsidP="005308BB">
      <w:pPr>
        <w:pStyle w:val="ListNumber"/>
      </w:pPr>
      <w:r>
        <w:t xml:space="preserve">The service provider </w:t>
      </w:r>
      <w:r w:rsidR="005308BB" w:rsidRPr="003F121E">
        <w:t xml:space="preserve">honours the </w:t>
      </w:r>
      <w:r w:rsidR="005308BB">
        <w:t>trade,</w:t>
      </w:r>
      <w:r w:rsidR="005308BB" w:rsidRPr="003F121E">
        <w:t xml:space="preserve"> </w:t>
      </w:r>
      <w:r w:rsidR="005308BB">
        <w:t xml:space="preserve">either in its entirety or for a defined period of time (e.g. one month), </w:t>
      </w:r>
      <w:r w:rsidR="005308BB" w:rsidRPr="003F121E">
        <w:t>and receives the price</w:t>
      </w:r>
      <w:r>
        <w:t xml:space="preserve"> that was established through the exchange in return for doing so. </w:t>
      </w:r>
    </w:p>
    <w:p w14:paraId="42EE44B4" w14:textId="5336624E" w:rsidR="008A24BA" w:rsidRDefault="003F121E" w:rsidP="003F121E">
      <w:pPr>
        <w:pStyle w:val="ListNumber"/>
      </w:pPr>
      <w:r>
        <w:t>The t</w:t>
      </w:r>
      <w:r w:rsidR="005308BB" w:rsidRPr="003F121E">
        <w:t xml:space="preserve">rade is </w:t>
      </w:r>
      <w:r>
        <w:t xml:space="preserve">cancelled </w:t>
      </w:r>
      <w:r w:rsidR="005308BB">
        <w:t xml:space="preserve">and the buyer is compensated, but </w:t>
      </w:r>
      <w:r w:rsidR="008A24BA">
        <w:t>either:</w:t>
      </w:r>
    </w:p>
    <w:p w14:paraId="5E591C83" w14:textId="46550AF3" w:rsidR="008A24BA" w:rsidRDefault="00DA6F39" w:rsidP="008A24BA">
      <w:pPr>
        <w:pStyle w:val="ListNumber2"/>
      </w:pPr>
      <w:r>
        <w:t xml:space="preserve">the buyer has </w:t>
      </w:r>
      <w:r w:rsidR="006C656B">
        <w:t>a</w:t>
      </w:r>
      <w:r w:rsidR="008A24BA">
        <w:t xml:space="preserve"> first right of refusal</w:t>
      </w:r>
      <w:r w:rsidR="006C656B">
        <w:t xml:space="preserve"> </w:t>
      </w:r>
      <w:r w:rsidR="005308BB" w:rsidRPr="003F121E">
        <w:t xml:space="preserve">to </w:t>
      </w:r>
      <w:r w:rsidR="000A0E4C">
        <w:t>acquire</w:t>
      </w:r>
      <w:r w:rsidR="005308BB">
        <w:t xml:space="preserve"> the </w:t>
      </w:r>
      <w:r w:rsidR="005308BB" w:rsidRPr="003F121E">
        <w:t>capacity</w:t>
      </w:r>
      <w:r w:rsidR="005308BB">
        <w:t xml:space="preserve"> released by the primary shipper </w:t>
      </w:r>
      <w:r w:rsidR="008A24BA">
        <w:t xml:space="preserve">from the service provider </w:t>
      </w:r>
      <w:r w:rsidR="000A0E4C">
        <w:t xml:space="preserve">for the remaining term of the trade </w:t>
      </w:r>
      <w:r w:rsidR="008A24BA">
        <w:t xml:space="preserve">at a </w:t>
      </w:r>
      <w:r w:rsidR="002B3418">
        <w:t>price specified in the operational GTA</w:t>
      </w:r>
      <w:r w:rsidR="008A24BA">
        <w:t xml:space="preserve">; or </w:t>
      </w:r>
    </w:p>
    <w:p w14:paraId="4AACAA3F" w14:textId="230D04B9" w:rsidR="005308BB" w:rsidRPr="003F121E" w:rsidRDefault="00DA6F39" w:rsidP="008A24BA">
      <w:pPr>
        <w:pStyle w:val="ListNumber2"/>
      </w:pPr>
      <w:r>
        <w:t xml:space="preserve">the operational GTA allows the buyer to initiate good faith negotiations with </w:t>
      </w:r>
      <w:r w:rsidR="008A24BA">
        <w:t xml:space="preserve">the service provider </w:t>
      </w:r>
      <w:r>
        <w:t xml:space="preserve">about access to the </w:t>
      </w:r>
      <w:r w:rsidR="008A24BA">
        <w:t xml:space="preserve">capacity for the remaining term of the trade. </w:t>
      </w:r>
    </w:p>
    <w:p w14:paraId="43C264AC" w14:textId="6763D85F" w:rsidR="00EA14CC" w:rsidRDefault="002B3418" w:rsidP="00EA14CC">
      <w:pPr>
        <w:pStyle w:val="BoldHeading"/>
        <w:rPr>
          <w:b w:val="0"/>
        </w:rPr>
      </w:pPr>
      <w:r w:rsidRPr="002B3418">
        <w:rPr>
          <w:b w:val="0"/>
        </w:rPr>
        <w:t>Note that under each of these options, the service provider may still have a claim to payment for the capacity under the primary GTA.</w:t>
      </w:r>
    </w:p>
    <w:p w14:paraId="23803232" w14:textId="54437833" w:rsidR="00B73295" w:rsidRDefault="002B3418" w:rsidP="00EA14CC">
      <w:pPr>
        <w:pStyle w:val="BoldHeading"/>
        <w:rPr>
          <w:b w:val="0"/>
        </w:rPr>
      </w:pPr>
      <w:r w:rsidRPr="006C656B">
        <w:rPr>
          <w:b w:val="0"/>
        </w:rPr>
        <w:t xml:space="preserve">The Capacity Trading Platform project team thought that </w:t>
      </w:r>
      <w:r w:rsidR="006C656B" w:rsidRPr="006C656B">
        <w:rPr>
          <w:b w:val="0"/>
        </w:rPr>
        <w:t xml:space="preserve">to promote an orderly transition and minimise the impact of default on the operation of the gas market, </w:t>
      </w:r>
      <w:r w:rsidRPr="006C656B">
        <w:rPr>
          <w:b w:val="0"/>
        </w:rPr>
        <w:t xml:space="preserve">the second and third options were worth exploring further and </w:t>
      </w:r>
      <w:r w:rsidR="006C656B" w:rsidRPr="006C656B">
        <w:rPr>
          <w:b w:val="0"/>
        </w:rPr>
        <w:t xml:space="preserve">that a combination of the two could also be used. </w:t>
      </w:r>
      <w:r w:rsidRPr="006C656B">
        <w:rPr>
          <w:b w:val="0"/>
        </w:rPr>
        <w:t xml:space="preserve">For example, the service provider could be required to honour the trade for up to one month and if the trade extends beyond this, the buyer could </w:t>
      </w:r>
      <w:r w:rsidR="00DA6F39">
        <w:rPr>
          <w:b w:val="0"/>
        </w:rPr>
        <w:t>initiate negotiations</w:t>
      </w:r>
      <w:r w:rsidRPr="006C656B">
        <w:rPr>
          <w:b w:val="0"/>
        </w:rPr>
        <w:t xml:space="preserve"> directly with the service provider to access the capacity for the duration of the contract.</w:t>
      </w:r>
      <w:r w:rsidR="00B73295">
        <w:rPr>
          <w:b w:val="0"/>
        </w:rPr>
        <w:t xml:space="preserve"> </w:t>
      </w:r>
    </w:p>
    <w:p w14:paraId="7C70904C" w14:textId="79B28486" w:rsidR="002B3418" w:rsidRDefault="00B73295" w:rsidP="00EA14CC">
      <w:pPr>
        <w:pStyle w:val="BoldHeading"/>
        <w:rPr>
          <w:b w:val="0"/>
        </w:rPr>
      </w:pPr>
      <w:r>
        <w:rPr>
          <w:b w:val="0"/>
        </w:rPr>
        <w:t xml:space="preserve">One member of the project team also observed that while options 2 and 3 would impose obligations on service providers, this may be appropriate because service providers are better placed to manage this risk of termination (i.e. because the decision to terminate is within their control) than secondary shippers.  This project team member also noted that honouring the trade could be beneficial to the service provider because in any subsequent action against the primary shipper, they would be able to show that they had taken steps to mitigate their loss. </w:t>
      </w:r>
    </w:p>
    <w:p w14:paraId="2CE6CA52" w14:textId="56C99521" w:rsidR="001C4739" w:rsidRDefault="001C4739" w:rsidP="001C4739">
      <w:pPr>
        <w:pStyle w:val="BoldHeading"/>
        <w:rPr>
          <w:b w:val="0"/>
        </w:rPr>
      </w:pPr>
      <w:r>
        <w:rPr>
          <w:b w:val="0"/>
        </w:rPr>
        <w:t>The approach may also depend on the timing for notification of transactions to the service provider and whether the service terms for the capacity has started or will start within a short time and whether the transaction occurred before or after the termination of the primary GTA.</w:t>
      </w:r>
    </w:p>
    <w:p w14:paraId="2CEC77C5" w14:textId="3DA705BE" w:rsidR="001C4739" w:rsidRDefault="001C4739" w:rsidP="001C4739">
      <w:pPr>
        <w:pStyle w:val="BoldHeading"/>
        <w:rPr>
          <w:b w:val="0"/>
        </w:rPr>
      </w:pPr>
      <w:r>
        <w:rPr>
          <w:b w:val="0"/>
        </w:rPr>
        <w:t xml:space="preserve">The following table illustrates what might happen under different notifications scenarios and for different products and assumes that the service provider will honour trades for 30 gas days after the primary GTA terminates or is suspended.  In the table, D refers to the </w:t>
      </w:r>
      <w:r>
        <w:rPr>
          <w:b w:val="0"/>
        </w:rPr>
        <w:lastRenderedPageBreak/>
        <w:t>date of termination of the primary GTA and assumes the GTA is terminated and not merely suspended.</w:t>
      </w:r>
    </w:p>
    <w:p w14:paraId="4B941746" w14:textId="2623185B" w:rsidR="001C4739" w:rsidRDefault="001C4739" w:rsidP="001C4739">
      <w:pPr>
        <w:pStyle w:val="Caption"/>
        <w:rPr>
          <w:b w:val="0"/>
        </w:rPr>
      </w:pPr>
      <w:r>
        <w:t xml:space="preserve">Table </w:t>
      </w:r>
      <w:r w:rsidR="00926D7E">
        <w:fldChar w:fldCharType="begin"/>
      </w:r>
      <w:r w:rsidR="00926D7E">
        <w:instrText xml:space="preserve"> STYLEREF 1 \s </w:instrText>
      </w:r>
      <w:r w:rsidR="00926D7E">
        <w:fldChar w:fldCharType="separate"/>
      </w:r>
      <w:r w:rsidR="00947034">
        <w:rPr>
          <w:noProof/>
        </w:rPr>
        <w:t>10</w:t>
      </w:r>
      <w:r w:rsidR="00926D7E">
        <w:rPr>
          <w:noProof/>
        </w:rPr>
        <w:fldChar w:fldCharType="end"/>
      </w:r>
      <w:r>
        <w:t>.</w:t>
      </w:r>
      <w:r w:rsidR="00926D7E">
        <w:fldChar w:fldCharType="begin"/>
      </w:r>
      <w:r w:rsidR="00926D7E">
        <w:instrText xml:space="preserve"> SEQ Table \* ARABIC \s 1 </w:instrText>
      </w:r>
      <w:r w:rsidR="00926D7E">
        <w:fldChar w:fldCharType="separate"/>
      </w:r>
      <w:r w:rsidR="00947034">
        <w:rPr>
          <w:noProof/>
        </w:rPr>
        <w:t>1</w:t>
      </w:r>
      <w:r w:rsidR="00926D7E">
        <w:rPr>
          <w:noProof/>
        </w:rPr>
        <w:fldChar w:fldCharType="end"/>
      </w:r>
      <w:r>
        <w:t>: Impact of termination timing on scenarios</w:t>
      </w:r>
    </w:p>
    <w:tbl>
      <w:tblPr>
        <w:tblStyle w:val="TableGrid"/>
        <w:tblW w:w="8788" w:type="dxa"/>
        <w:tblLook w:val="04A0" w:firstRow="1" w:lastRow="0" w:firstColumn="1" w:lastColumn="0" w:noHBand="0" w:noVBand="1"/>
        <w:tblCaption w:val="Table 10.1: Impact of termination timing on scenarios"/>
        <w:tblDescription w:val="Impact of termination timing on scenarios"/>
      </w:tblPr>
      <w:tblGrid>
        <w:gridCol w:w="1418"/>
        <w:gridCol w:w="1201"/>
        <w:gridCol w:w="1209"/>
        <w:gridCol w:w="2693"/>
        <w:gridCol w:w="2267"/>
      </w:tblGrid>
      <w:tr w:rsidR="001C4739" w:rsidRPr="001C4739" w14:paraId="031C73D9" w14:textId="77777777" w:rsidTr="004A29FC">
        <w:trPr>
          <w:cnfStyle w:val="100000000000" w:firstRow="1" w:lastRow="0" w:firstColumn="0" w:lastColumn="0" w:oddVBand="0" w:evenVBand="0" w:oddHBand="0" w:evenHBand="0" w:firstRowFirstColumn="0" w:firstRowLastColumn="0" w:lastRowFirstColumn="0" w:lastRowLastColumn="0"/>
          <w:tblHeader/>
        </w:trPr>
        <w:tc>
          <w:tcPr>
            <w:tcW w:w="1418" w:type="dxa"/>
            <w:shd w:val="clear" w:color="auto" w:fill="0099CC"/>
          </w:tcPr>
          <w:p w14:paraId="739ED7A5" w14:textId="77777777" w:rsidR="001C4739" w:rsidRPr="001C4739" w:rsidRDefault="001C4739" w:rsidP="001C4739">
            <w:pPr>
              <w:pStyle w:val="BoldHeading"/>
              <w:spacing w:before="40" w:after="40"/>
              <w:rPr>
                <w:b/>
                <w:szCs w:val="18"/>
              </w:rPr>
            </w:pPr>
            <w:r w:rsidRPr="001C4739">
              <w:rPr>
                <w:b/>
                <w:szCs w:val="18"/>
              </w:rPr>
              <w:t xml:space="preserve">Product </w:t>
            </w:r>
          </w:p>
        </w:tc>
        <w:tc>
          <w:tcPr>
            <w:tcW w:w="1201" w:type="dxa"/>
            <w:shd w:val="clear" w:color="auto" w:fill="0099CC"/>
          </w:tcPr>
          <w:p w14:paraId="2FC3D645" w14:textId="77777777" w:rsidR="001C4739" w:rsidRPr="001C4739" w:rsidRDefault="001C4739" w:rsidP="001C4739">
            <w:pPr>
              <w:pStyle w:val="BoldHeading"/>
              <w:spacing w:before="40" w:after="40"/>
              <w:rPr>
                <w:b/>
                <w:szCs w:val="18"/>
              </w:rPr>
            </w:pPr>
            <w:r w:rsidRPr="001C4739">
              <w:rPr>
                <w:b/>
                <w:szCs w:val="18"/>
              </w:rPr>
              <w:t>Transaction date</w:t>
            </w:r>
          </w:p>
        </w:tc>
        <w:tc>
          <w:tcPr>
            <w:tcW w:w="1209" w:type="dxa"/>
            <w:shd w:val="clear" w:color="auto" w:fill="0099CC"/>
          </w:tcPr>
          <w:p w14:paraId="06FFDC54" w14:textId="77777777" w:rsidR="001C4739" w:rsidRPr="001C4739" w:rsidRDefault="001C4739" w:rsidP="001C4739">
            <w:pPr>
              <w:pStyle w:val="BoldHeading"/>
              <w:spacing w:before="40" w:after="40"/>
              <w:rPr>
                <w:b/>
                <w:szCs w:val="18"/>
              </w:rPr>
            </w:pPr>
            <w:r w:rsidRPr="001C4739">
              <w:rPr>
                <w:b/>
                <w:szCs w:val="18"/>
              </w:rPr>
              <w:t>Service Term</w:t>
            </w:r>
          </w:p>
        </w:tc>
        <w:tc>
          <w:tcPr>
            <w:tcW w:w="2693" w:type="dxa"/>
            <w:shd w:val="clear" w:color="auto" w:fill="0099CC"/>
          </w:tcPr>
          <w:p w14:paraId="20B42C07" w14:textId="77777777" w:rsidR="001C4739" w:rsidRPr="001C4739" w:rsidRDefault="001C4739" w:rsidP="001C4739">
            <w:pPr>
              <w:pStyle w:val="BoldHeading"/>
              <w:spacing w:before="40" w:after="40"/>
              <w:rPr>
                <w:b/>
                <w:szCs w:val="18"/>
              </w:rPr>
            </w:pPr>
            <w:r w:rsidRPr="001C4739">
              <w:rPr>
                <w:b/>
                <w:szCs w:val="18"/>
              </w:rPr>
              <w:t>Trade notified after each transaction or once a day</w:t>
            </w:r>
          </w:p>
        </w:tc>
        <w:tc>
          <w:tcPr>
            <w:tcW w:w="2267" w:type="dxa"/>
            <w:shd w:val="clear" w:color="auto" w:fill="0099CC"/>
          </w:tcPr>
          <w:p w14:paraId="3B09D425" w14:textId="77777777" w:rsidR="001C4739" w:rsidRPr="001C4739" w:rsidRDefault="001C4739" w:rsidP="001C4739">
            <w:pPr>
              <w:pStyle w:val="BoldHeading"/>
              <w:spacing w:before="40" w:after="40"/>
              <w:rPr>
                <w:b/>
                <w:szCs w:val="18"/>
              </w:rPr>
            </w:pPr>
            <w:r w:rsidRPr="001C4739">
              <w:rPr>
                <w:b/>
                <w:szCs w:val="18"/>
              </w:rPr>
              <w:t>Trade notified each day for transactions with a service term the following day</w:t>
            </w:r>
          </w:p>
        </w:tc>
      </w:tr>
      <w:tr w:rsidR="001C4739" w:rsidRPr="001C4739" w14:paraId="214BF83D" w14:textId="77777777" w:rsidTr="006A5405">
        <w:tc>
          <w:tcPr>
            <w:tcW w:w="1418" w:type="dxa"/>
          </w:tcPr>
          <w:p w14:paraId="75950E97" w14:textId="77777777" w:rsidR="001C4739" w:rsidRPr="001C4739" w:rsidRDefault="001C4739" w:rsidP="001C4739">
            <w:pPr>
              <w:pStyle w:val="BoldHeading"/>
              <w:spacing w:before="40" w:after="40"/>
              <w:rPr>
                <w:b w:val="0"/>
                <w:szCs w:val="18"/>
              </w:rPr>
            </w:pPr>
            <w:r w:rsidRPr="001C4739">
              <w:rPr>
                <w:b w:val="0"/>
                <w:szCs w:val="18"/>
              </w:rPr>
              <w:t xml:space="preserve">Monthly firm forward haul </w:t>
            </w:r>
          </w:p>
        </w:tc>
        <w:tc>
          <w:tcPr>
            <w:tcW w:w="1201" w:type="dxa"/>
          </w:tcPr>
          <w:p w14:paraId="725DB0FD" w14:textId="77777777" w:rsidR="001C4739" w:rsidRPr="001C4739" w:rsidRDefault="001C4739" w:rsidP="001C4739">
            <w:pPr>
              <w:pStyle w:val="BoldHeading"/>
              <w:spacing w:before="40" w:after="40"/>
              <w:rPr>
                <w:b w:val="0"/>
                <w:szCs w:val="18"/>
              </w:rPr>
            </w:pPr>
            <w:r w:rsidRPr="001C4739">
              <w:rPr>
                <w:b w:val="0"/>
                <w:szCs w:val="18"/>
              </w:rPr>
              <w:t>D-2</w:t>
            </w:r>
          </w:p>
        </w:tc>
        <w:tc>
          <w:tcPr>
            <w:tcW w:w="1209" w:type="dxa"/>
          </w:tcPr>
          <w:p w14:paraId="0F5BCDAD" w14:textId="77777777" w:rsidR="001C4739" w:rsidRPr="001C4739" w:rsidRDefault="001C4739" w:rsidP="001C4739">
            <w:pPr>
              <w:pStyle w:val="BoldHeading"/>
              <w:spacing w:before="40" w:after="40"/>
              <w:rPr>
                <w:b w:val="0"/>
                <w:szCs w:val="18"/>
              </w:rPr>
            </w:pPr>
            <w:r w:rsidRPr="001C4739">
              <w:rPr>
                <w:b w:val="0"/>
                <w:szCs w:val="18"/>
              </w:rPr>
              <w:t>D+60 to D+90</w:t>
            </w:r>
          </w:p>
        </w:tc>
        <w:tc>
          <w:tcPr>
            <w:tcW w:w="2693" w:type="dxa"/>
          </w:tcPr>
          <w:p w14:paraId="4FEE31C0" w14:textId="77777777" w:rsidR="001C4739" w:rsidRPr="001C4739" w:rsidRDefault="001C4739" w:rsidP="001C4739">
            <w:pPr>
              <w:pStyle w:val="BoldHeading"/>
              <w:spacing w:before="40" w:after="40"/>
              <w:rPr>
                <w:b w:val="0"/>
                <w:szCs w:val="18"/>
              </w:rPr>
            </w:pPr>
            <w:r w:rsidRPr="001C4739">
              <w:rPr>
                <w:b w:val="0"/>
                <w:szCs w:val="18"/>
              </w:rPr>
              <w:t>Notified D-2 and MDQ transferred</w:t>
            </w:r>
          </w:p>
          <w:p w14:paraId="7FF76CA9" w14:textId="77777777" w:rsidR="001C4739" w:rsidRPr="001C4739" w:rsidRDefault="001C4739" w:rsidP="001C4739">
            <w:pPr>
              <w:pStyle w:val="BoldHeading"/>
              <w:spacing w:before="40" w:after="40"/>
              <w:rPr>
                <w:b w:val="0"/>
                <w:szCs w:val="18"/>
              </w:rPr>
            </w:pPr>
            <w:r w:rsidRPr="001C4739">
              <w:rPr>
                <w:b w:val="0"/>
                <w:szCs w:val="18"/>
              </w:rPr>
              <w:t>Transaction cancelled since service term starts after D+30</w:t>
            </w:r>
          </w:p>
        </w:tc>
        <w:tc>
          <w:tcPr>
            <w:tcW w:w="2267" w:type="dxa"/>
          </w:tcPr>
          <w:p w14:paraId="52108E66" w14:textId="77777777" w:rsidR="001C4739" w:rsidRPr="001C4739" w:rsidRDefault="001C4739" w:rsidP="001C4739">
            <w:pPr>
              <w:pStyle w:val="BoldHeading"/>
              <w:spacing w:before="40" w:after="40"/>
              <w:rPr>
                <w:b w:val="0"/>
                <w:szCs w:val="18"/>
              </w:rPr>
            </w:pPr>
            <w:r w:rsidRPr="001C4739">
              <w:rPr>
                <w:b w:val="0"/>
                <w:szCs w:val="18"/>
              </w:rPr>
              <w:t>Notified D+59 to D+89</w:t>
            </w:r>
          </w:p>
          <w:p w14:paraId="6033B465" w14:textId="77777777" w:rsidR="001C4739" w:rsidRPr="001C4739" w:rsidRDefault="001C4739" w:rsidP="001C4739">
            <w:pPr>
              <w:pStyle w:val="BoldHeading"/>
              <w:spacing w:before="40" w:after="40"/>
              <w:rPr>
                <w:b w:val="0"/>
                <w:szCs w:val="18"/>
              </w:rPr>
            </w:pPr>
            <w:r w:rsidRPr="001C4739">
              <w:rPr>
                <w:b w:val="0"/>
                <w:szCs w:val="18"/>
              </w:rPr>
              <w:t>MDQ transfer rejected by service provider</w:t>
            </w:r>
          </w:p>
          <w:p w14:paraId="3A9C82A0" w14:textId="77777777" w:rsidR="001C4739" w:rsidRPr="001C4739" w:rsidRDefault="001C4739" w:rsidP="001C4739">
            <w:pPr>
              <w:pStyle w:val="BoldHeading"/>
              <w:spacing w:before="40" w:after="40"/>
              <w:rPr>
                <w:b w:val="0"/>
                <w:szCs w:val="18"/>
              </w:rPr>
            </w:pPr>
            <w:r w:rsidRPr="001C4739">
              <w:rPr>
                <w:b w:val="0"/>
                <w:szCs w:val="18"/>
              </w:rPr>
              <w:t>Delivery failure by seller</w:t>
            </w:r>
          </w:p>
        </w:tc>
      </w:tr>
      <w:tr w:rsidR="001C4739" w:rsidRPr="001C4739" w14:paraId="2B866C45" w14:textId="77777777" w:rsidTr="006A5405">
        <w:trPr>
          <w:cnfStyle w:val="000000010000" w:firstRow="0" w:lastRow="0" w:firstColumn="0" w:lastColumn="0" w:oddVBand="0" w:evenVBand="0" w:oddHBand="0" w:evenHBand="1" w:firstRowFirstColumn="0" w:firstRowLastColumn="0" w:lastRowFirstColumn="0" w:lastRowLastColumn="0"/>
        </w:trPr>
        <w:tc>
          <w:tcPr>
            <w:tcW w:w="1418" w:type="dxa"/>
          </w:tcPr>
          <w:p w14:paraId="7A7EF3E7" w14:textId="77777777" w:rsidR="001C4739" w:rsidRPr="001C4739" w:rsidRDefault="001C4739" w:rsidP="001C4739">
            <w:pPr>
              <w:pStyle w:val="BoldHeading"/>
              <w:spacing w:before="40" w:after="40"/>
              <w:rPr>
                <w:b w:val="0"/>
                <w:szCs w:val="18"/>
              </w:rPr>
            </w:pPr>
            <w:r w:rsidRPr="001C4739">
              <w:rPr>
                <w:b w:val="0"/>
                <w:szCs w:val="18"/>
              </w:rPr>
              <w:t xml:space="preserve">Monthly firm forward haul </w:t>
            </w:r>
          </w:p>
        </w:tc>
        <w:tc>
          <w:tcPr>
            <w:tcW w:w="1201" w:type="dxa"/>
          </w:tcPr>
          <w:p w14:paraId="735FEA83" w14:textId="77777777" w:rsidR="001C4739" w:rsidRPr="001C4739" w:rsidRDefault="001C4739" w:rsidP="001C4739">
            <w:pPr>
              <w:pStyle w:val="BoldHeading"/>
              <w:spacing w:before="40" w:after="40"/>
              <w:rPr>
                <w:b w:val="0"/>
                <w:szCs w:val="18"/>
              </w:rPr>
            </w:pPr>
            <w:r w:rsidRPr="001C4739">
              <w:rPr>
                <w:b w:val="0"/>
                <w:szCs w:val="18"/>
              </w:rPr>
              <w:t>D-2</w:t>
            </w:r>
          </w:p>
        </w:tc>
        <w:tc>
          <w:tcPr>
            <w:tcW w:w="1209" w:type="dxa"/>
          </w:tcPr>
          <w:p w14:paraId="41B49EB2" w14:textId="77777777" w:rsidR="001C4739" w:rsidRPr="001C4739" w:rsidRDefault="001C4739" w:rsidP="001C4739">
            <w:pPr>
              <w:pStyle w:val="BoldHeading"/>
              <w:spacing w:before="40" w:after="40"/>
              <w:rPr>
                <w:b w:val="0"/>
                <w:szCs w:val="18"/>
              </w:rPr>
            </w:pPr>
            <w:r w:rsidRPr="001C4739">
              <w:rPr>
                <w:b w:val="0"/>
                <w:szCs w:val="18"/>
              </w:rPr>
              <w:t>D+25 to D+55</w:t>
            </w:r>
          </w:p>
        </w:tc>
        <w:tc>
          <w:tcPr>
            <w:tcW w:w="2693" w:type="dxa"/>
          </w:tcPr>
          <w:p w14:paraId="4938FD49" w14:textId="77777777" w:rsidR="001C4739" w:rsidRPr="001C4739" w:rsidRDefault="001C4739" w:rsidP="001C4739">
            <w:pPr>
              <w:pStyle w:val="BoldHeading"/>
              <w:spacing w:before="40" w:after="40"/>
              <w:rPr>
                <w:b w:val="0"/>
                <w:szCs w:val="18"/>
              </w:rPr>
            </w:pPr>
            <w:r w:rsidRPr="001C4739">
              <w:rPr>
                <w:b w:val="0"/>
                <w:szCs w:val="18"/>
              </w:rPr>
              <w:t>Notified D-2 and MDQ transferred</w:t>
            </w:r>
          </w:p>
          <w:p w14:paraId="2A59C591" w14:textId="77777777" w:rsidR="001C4739" w:rsidRPr="001C4739" w:rsidRDefault="001C4739" w:rsidP="001C4739">
            <w:pPr>
              <w:pStyle w:val="BoldHeading"/>
              <w:spacing w:before="40" w:after="40"/>
              <w:rPr>
                <w:b w:val="0"/>
                <w:szCs w:val="18"/>
              </w:rPr>
            </w:pPr>
            <w:r w:rsidRPr="001C4739">
              <w:rPr>
                <w:b w:val="0"/>
                <w:szCs w:val="18"/>
              </w:rPr>
              <w:t>Secondary shipper uses capacity on D+25 to D+30</w:t>
            </w:r>
          </w:p>
          <w:p w14:paraId="50FD22AB" w14:textId="77777777" w:rsidR="001C4739" w:rsidRPr="001C4739" w:rsidRDefault="001C4739" w:rsidP="001C4739">
            <w:pPr>
              <w:pStyle w:val="BoldHeading"/>
              <w:spacing w:before="40" w:after="40"/>
              <w:rPr>
                <w:b w:val="0"/>
                <w:szCs w:val="18"/>
              </w:rPr>
            </w:pPr>
            <w:r w:rsidRPr="001C4739">
              <w:rPr>
                <w:b w:val="0"/>
                <w:szCs w:val="18"/>
              </w:rPr>
              <w:t>Transaction cancelled for balance of service term</w:t>
            </w:r>
          </w:p>
          <w:p w14:paraId="1A27CF8B" w14:textId="77777777" w:rsidR="001C4739" w:rsidRPr="001C4739" w:rsidRDefault="001C4739" w:rsidP="001C4739">
            <w:pPr>
              <w:pStyle w:val="BoldHeading"/>
              <w:spacing w:before="40" w:after="40"/>
              <w:rPr>
                <w:b w:val="0"/>
                <w:szCs w:val="18"/>
              </w:rPr>
            </w:pPr>
            <w:r w:rsidRPr="001C4739">
              <w:rPr>
                <w:b w:val="0"/>
                <w:szCs w:val="18"/>
              </w:rPr>
              <w:t>Operational GTA may give shipper the option to continue use for the balance of the service terms at a capacity charge negotiated in advance or at the time</w:t>
            </w:r>
          </w:p>
        </w:tc>
        <w:tc>
          <w:tcPr>
            <w:tcW w:w="2267" w:type="dxa"/>
          </w:tcPr>
          <w:p w14:paraId="0451BDAC" w14:textId="77777777" w:rsidR="001C4739" w:rsidRPr="001C4739" w:rsidRDefault="001C4739" w:rsidP="001C4739">
            <w:pPr>
              <w:pStyle w:val="BoldHeading"/>
              <w:spacing w:before="40" w:after="40"/>
              <w:rPr>
                <w:b w:val="0"/>
                <w:szCs w:val="18"/>
              </w:rPr>
            </w:pPr>
            <w:r w:rsidRPr="001C4739">
              <w:rPr>
                <w:b w:val="0"/>
                <w:szCs w:val="18"/>
              </w:rPr>
              <w:t>Notified D+24 to D+29 and MDQ transferred</w:t>
            </w:r>
          </w:p>
          <w:p w14:paraId="4EE62F79" w14:textId="77777777" w:rsidR="001C4739" w:rsidRPr="001C4739" w:rsidRDefault="001C4739" w:rsidP="001C4739">
            <w:pPr>
              <w:pStyle w:val="BoldHeading"/>
              <w:spacing w:before="40" w:after="40"/>
              <w:rPr>
                <w:b w:val="0"/>
                <w:szCs w:val="18"/>
              </w:rPr>
            </w:pPr>
            <w:r w:rsidRPr="001C4739">
              <w:rPr>
                <w:b w:val="0"/>
                <w:szCs w:val="18"/>
              </w:rPr>
              <w:t>Secondary shipper uses capacity on D+25 to D+30</w:t>
            </w:r>
          </w:p>
          <w:p w14:paraId="6FB81370" w14:textId="77777777" w:rsidR="001C4739" w:rsidRPr="001C4739" w:rsidRDefault="001C4739" w:rsidP="001C4739">
            <w:pPr>
              <w:pStyle w:val="BoldHeading"/>
              <w:spacing w:before="40" w:after="40"/>
              <w:rPr>
                <w:b w:val="0"/>
                <w:szCs w:val="18"/>
              </w:rPr>
            </w:pPr>
            <w:r w:rsidRPr="001C4739">
              <w:rPr>
                <w:b w:val="0"/>
                <w:szCs w:val="18"/>
              </w:rPr>
              <w:t>Notified D+30 to D+54, notification rejected, seller delivery default</w:t>
            </w:r>
          </w:p>
          <w:p w14:paraId="03CEB1C4" w14:textId="77777777" w:rsidR="001C4739" w:rsidRPr="001C4739" w:rsidRDefault="001C4739" w:rsidP="001C4739">
            <w:pPr>
              <w:pStyle w:val="BoldHeading"/>
              <w:spacing w:before="40" w:after="40"/>
              <w:rPr>
                <w:b w:val="0"/>
                <w:szCs w:val="18"/>
              </w:rPr>
            </w:pPr>
            <w:r w:rsidRPr="001C4739">
              <w:rPr>
                <w:b w:val="0"/>
                <w:szCs w:val="18"/>
              </w:rPr>
              <w:t>Operational GTA may give shipper the option to continue use for the balance of the service term at a capacity charge negotiated in advance or at the time</w:t>
            </w:r>
          </w:p>
        </w:tc>
      </w:tr>
      <w:tr w:rsidR="001C4739" w:rsidRPr="001C4739" w14:paraId="00BC8EE5" w14:textId="77777777" w:rsidTr="006A5405">
        <w:tc>
          <w:tcPr>
            <w:tcW w:w="1418" w:type="dxa"/>
          </w:tcPr>
          <w:p w14:paraId="5EF45228" w14:textId="77777777" w:rsidR="001C4739" w:rsidRPr="001C4739" w:rsidRDefault="001C4739" w:rsidP="001C4739">
            <w:pPr>
              <w:pStyle w:val="BoldHeading"/>
              <w:spacing w:before="40" w:after="40"/>
              <w:rPr>
                <w:b w:val="0"/>
                <w:szCs w:val="18"/>
              </w:rPr>
            </w:pPr>
            <w:r w:rsidRPr="001C4739">
              <w:rPr>
                <w:b w:val="0"/>
                <w:szCs w:val="18"/>
              </w:rPr>
              <w:t xml:space="preserve">Monthly firm forward haul </w:t>
            </w:r>
          </w:p>
        </w:tc>
        <w:tc>
          <w:tcPr>
            <w:tcW w:w="1201" w:type="dxa"/>
          </w:tcPr>
          <w:p w14:paraId="5E00A01F" w14:textId="77777777" w:rsidR="001C4739" w:rsidRPr="001C4739" w:rsidRDefault="001C4739" w:rsidP="001C4739">
            <w:pPr>
              <w:pStyle w:val="BoldHeading"/>
              <w:spacing w:before="40" w:after="40"/>
              <w:rPr>
                <w:b w:val="0"/>
                <w:szCs w:val="18"/>
              </w:rPr>
            </w:pPr>
            <w:r w:rsidRPr="001C4739">
              <w:rPr>
                <w:b w:val="0"/>
                <w:szCs w:val="18"/>
              </w:rPr>
              <w:t>D-2</w:t>
            </w:r>
          </w:p>
        </w:tc>
        <w:tc>
          <w:tcPr>
            <w:tcW w:w="1209" w:type="dxa"/>
          </w:tcPr>
          <w:p w14:paraId="590BAC10" w14:textId="77777777" w:rsidR="001C4739" w:rsidRPr="001C4739" w:rsidRDefault="001C4739" w:rsidP="001C4739">
            <w:pPr>
              <w:pStyle w:val="BoldHeading"/>
              <w:spacing w:before="40" w:after="40"/>
              <w:rPr>
                <w:b w:val="0"/>
                <w:szCs w:val="18"/>
              </w:rPr>
            </w:pPr>
            <w:r w:rsidRPr="001C4739">
              <w:rPr>
                <w:b w:val="0"/>
                <w:szCs w:val="18"/>
              </w:rPr>
              <w:t>D to D+30</w:t>
            </w:r>
          </w:p>
        </w:tc>
        <w:tc>
          <w:tcPr>
            <w:tcW w:w="2693" w:type="dxa"/>
          </w:tcPr>
          <w:p w14:paraId="2FD4C3BF" w14:textId="77777777" w:rsidR="001C4739" w:rsidRPr="001C4739" w:rsidRDefault="001C4739" w:rsidP="001C4739">
            <w:pPr>
              <w:pStyle w:val="BoldHeading"/>
              <w:spacing w:before="40" w:after="40"/>
              <w:rPr>
                <w:b w:val="0"/>
                <w:szCs w:val="18"/>
              </w:rPr>
            </w:pPr>
            <w:r w:rsidRPr="001C4739">
              <w:rPr>
                <w:b w:val="0"/>
                <w:szCs w:val="18"/>
              </w:rPr>
              <w:t xml:space="preserve">Notified D-2 and MDQ transferred </w:t>
            </w:r>
          </w:p>
          <w:p w14:paraId="10663960" w14:textId="77777777" w:rsidR="001C4739" w:rsidRPr="001C4739" w:rsidRDefault="001C4739" w:rsidP="001C4739">
            <w:pPr>
              <w:pStyle w:val="BoldHeading"/>
              <w:spacing w:before="40" w:after="40"/>
              <w:rPr>
                <w:b w:val="0"/>
                <w:szCs w:val="18"/>
              </w:rPr>
            </w:pPr>
            <w:r w:rsidRPr="001C4739">
              <w:rPr>
                <w:b w:val="0"/>
                <w:szCs w:val="18"/>
              </w:rPr>
              <w:t>Secondary shipper uses capacity since service term falls in the period ending D+30</w:t>
            </w:r>
          </w:p>
        </w:tc>
        <w:tc>
          <w:tcPr>
            <w:tcW w:w="2267" w:type="dxa"/>
          </w:tcPr>
          <w:p w14:paraId="3CB3DA30" w14:textId="77777777" w:rsidR="001C4739" w:rsidRPr="001C4739" w:rsidRDefault="001C4739" w:rsidP="001C4739">
            <w:pPr>
              <w:pStyle w:val="BoldHeading"/>
              <w:spacing w:before="40" w:after="40"/>
              <w:rPr>
                <w:b w:val="0"/>
                <w:szCs w:val="18"/>
              </w:rPr>
            </w:pPr>
            <w:r w:rsidRPr="001C4739">
              <w:rPr>
                <w:b w:val="0"/>
                <w:szCs w:val="18"/>
              </w:rPr>
              <w:t>Notified D-1 to D+29 and MDQ transferred</w:t>
            </w:r>
          </w:p>
          <w:p w14:paraId="5AC633C2" w14:textId="77777777" w:rsidR="001C4739" w:rsidRPr="001C4739" w:rsidRDefault="001C4739" w:rsidP="001C4739">
            <w:pPr>
              <w:pStyle w:val="BoldHeading"/>
              <w:spacing w:before="40" w:after="40"/>
              <w:rPr>
                <w:b w:val="0"/>
                <w:szCs w:val="18"/>
              </w:rPr>
            </w:pPr>
            <w:r w:rsidRPr="001C4739">
              <w:rPr>
                <w:b w:val="0"/>
                <w:szCs w:val="18"/>
              </w:rPr>
              <w:t>Secondary shipper uses capacity on D to D+30 since service term is within the period ending D+30</w:t>
            </w:r>
          </w:p>
        </w:tc>
      </w:tr>
      <w:tr w:rsidR="001C4739" w:rsidRPr="001C4739" w14:paraId="16ACF4A8" w14:textId="77777777" w:rsidTr="006A5405">
        <w:trPr>
          <w:cnfStyle w:val="000000010000" w:firstRow="0" w:lastRow="0" w:firstColumn="0" w:lastColumn="0" w:oddVBand="0" w:evenVBand="0" w:oddHBand="0" w:evenHBand="1" w:firstRowFirstColumn="0" w:firstRowLastColumn="0" w:lastRowFirstColumn="0" w:lastRowLastColumn="0"/>
        </w:trPr>
        <w:tc>
          <w:tcPr>
            <w:tcW w:w="1418" w:type="dxa"/>
          </w:tcPr>
          <w:p w14:paraId="5CC28C81" w14:textId="77777777" w:rsidR="001C4739" w:rsidRPr="001C4739" w:rsidRDefault="001C4739" w:rsidP="001C4739">
            <w:pPr>
              <w:pStyle w:val="BoldHeading"/>
              <w:spacing w:before="40" w:after="40"/>
              <w:rPr>
                <w:b w:val="0"/>
                <w:szCs w:val="18"/>
              </w:rPr>
            </w:pPr>
            <w:r w:rsidRPr="001C4739">
              <w:rPr>
                <w:b w:val="0"/>
                <w:szCs w:val="18"/>
              </w:rPr>
              <w:t xml:space="preserve">Weekly firm forward haul </w:t>
            </w:r>
          </w:p>
        </w:tc>
        <w:tc>
          <w:tcPr>
            <w:tcW w:w="1201" w:type="dxa"/>
          </w:tcPr>
          <w:p w14:paraId="2E951C3D" w14:textId="77777777" w:rsidR="001C4739" w:rsidRPr="001C4739" w:rsidRDefault="001C4739" w:rsidP="001C4739">
            <w:pPr>
              <w:pStyle w:val="BoldHeading"/>
              <w:spacing w:before="40" w:after="40"/>
              <w:rPr>
                <w:b w:val="0"/>
                <w:szCs w:val="18"/>
              </w:rPr>
            </w:pPr>
            <w:r w:rsidRPr="001C4739">
              <w:rPr>
                <w:b w:val="0"/>
                <w:szCs w:val="18"/>
              </w:rPr>
              <w:t>D-2</w:t>
            </w:r>
          </w:p>
        </w:tc>
        <w:tc>
          <w:tcPr>
            <w:tcW w:w="1209" w:type="dxa"/>
          </w:tcPr>
          <w:p w14:paraId="29691A44" w14:textId="77777777" w:rsidR="001C4739" w:rsidRPr="001C4739" w:rsidRDefault="001C4739" w:rsidP="001C4739">
            <w:pPr>
              <w:pStyle w:val="BoldHeading"/>
              <w:spacing w:before="40" w:after="40"/>
              <w:rPr>
                <w:b w:val="0"/>
                <w:szCs w:val="18"/>
              </w:rPr>
            </w:pPr>
            <w:r w:rsidRPr="001C4739">
              <w:rPr>
                <w:b w:val="0"/>
                <w:szCs w:val="18"/>
              </w:rPr>
              <w:t>D+7 to D+14</w:t>
            </w:r>
          </w:p>
        </w:tc>
        <w:tc>
          <w:tcPr>
            <w:tcW w:w="2693" w:type="dxa"/>
          </w:tcPr>
          <w:p w14:paraId="40216ED5" w14:textId="77777777" w:rsidR="001C4739" w:rsidRPr="001C4739" w:rsidRDefault="001C4739" w:rsidP="001C4739">
            <w:pPr>
              <w:pStyle w:val="BoldHeading"/>
              <w:spacing w:before="40" w:after="40"/>
              <w:rPr>
                <w:b w:val="0"/>
                <w:szCs w:val="18"/>
              </w:rPr>
            </w:pPr>
            <w:r w:rsidRPr="001C4739">
              <w:rPr>
                <w:b w:val="0"/>
                <w:szCs w:val="18"/>
              </w:rPr>
              <w:t>Notified D-2 and MDQ transferred</w:t>
            </w:r>
          </w:p>
          <w:p w14:paraId="5DA5A9D5" w14:textId="77777777" w:rsidR="001C4739" w:rsidRPr="001C4739" w:rsidRDefault="001C4739" w:rsidP="001C4739">
            <w:pPr>
              <w:pStyle w:val="BoldHeading"/>
              <w:spacing w:before="40" w:after="40"/>
              <w:rPr>
                <w:b w:val="0"/>
                <w:szCs w:val="18"/>
              </w:rPr>
            </w:pPr>
            <w:r w:rsidRPr="001C4739">
              <w:rPr>
                <w:b w:val="0"/>
                <w:szCs w:val="18"/>
              </w:rPr>
              <w:t xml:space="preserve">Secondary shipper uses capacity </w:t>
            </w:r>
          </w:p>
        </w:tc>
        <w:tc>
          <w:tcPr>
            <w:tcW w:w="2267" w:type="dxa"/>
          </w:tcPr>
          <w:p w14:paraId="37714305" w14:textId="77777777" w:rsidR="001C4739" w:rsidRPr="001C4739" w:rsidRDefault="001C4739" w:rsidP="001C4739">
            <w:pPr>
              <w:pStyle w:val="BoldHeading"/>
              <w:spacing w:before="40" w:after="40"/>
              <w:rPr>
                <w:b w:val="0"/>
                <w:szCs w:val="18"/>
              </w:rPr>
            </w:pPr>
            <w:r w:rsidRPr="001C4739">
              <w:rPr>
                <w:b w:val="0"/>
                <w:szCs w:val="18"/>
              </w:rPr>
              <w:t>Notified D+6 to D+14 and MDQ transferred</w:t>
            </w:r>
          </w:p>
          <w:p w14:paraId="0F24ED36" w14:textId="77777777" w:rsidR="001C4739" w:rsidRPr="001C4739" w:rsidRDefault="001C4739" w:rsidP="001C4739">
            <w:pPr>
              <w:pStyle w:val="BoldHeading"/>
              <w:spacing w:before="40" w:after="40"/>
              <w:rPr>
                <w:b w:val="0"/>
                <w:szCs w:val="18"/>
              </w:rPr>
            </w:pPr>
            <w:r w:rsidRPr="001C4739">
              <w:rPr>
                <w:b w:val="0"/>
                <w:szCs w:val="18"/>
              </w:rPr>
              <w:t xml:space="preserve">Secondary shipper uses capacity </w:t>
            </w:r>
          </w:p>
        </w:tc>
      </w:tr>
      <w:tr w:rsidR="001C4739" w:rsidRPr="001C4739" w14:paraId="4DCA9894" w14:textId="77777777" w:rsidTr="006A5405">
        <w:tc>
          <w:tcPr>
            <w:tcW w:w="1418" w:type="dxa"/>
          </w:tcPr>
          <w:p w14:paraId="043281D0" w14:textId="77777777" w:rsidR="001C4739" w:rsidRPr="001C4739" w:rsidRDefault="001C4739" w:rsidP="001C4739">
            <w:pPr>
              <w:pStyle w:val="BoldHeading"/>
              <w:spacing w:before="40" w:after="40"/>
              <w:rPr>
                <w:b w:val="0"/>
                <w:szCs w:val="18"/>
              </w:rPr>
            </w:pPr>
            <w:r w:rsidRPr="001C4739">
              <w:rPr>
                <w:b w:val="0"/>
                <w:szCs w:val="18"/>
              </w:rPr>
              <w:t xml:space="preserve">Daily firm forward haul </w:t>
            </w:r>
          </w:p>
        </w:tc>
        <w:tc>
          <w:tcPr>
            <w:tcW w:w="1201" w:type="dxa"/>
          </w:tcPr>
          <w:p w14:paraId="20AAC58E" w14:textId="77777777" w:rsidR="001C4739" w:rsidRPr="001C4739" w:rsidRDefault="001C4739" w:rsidP="001C4739">
            <w:pPr>
              <w:pStyle w:val="BoldHeading"/>
              <w:spacing w:before="40" w:after="40"/>
              <w:rPr>
                <w:b w:val="0"/>
                <w:szCs w:val="18"/>
              </w:rPr>
            </w:pPr>
            <w:r w:rsidRPr="001C4739">
              <w:rPr>
                <w:b w:val="0"/>
                <w:szCs w:val="18"/>
              </w:rPr>
              <w:t>D-2</w:t>
            </w:r>
          </w:p>
        </w:tc>
        <w:tc>
          <w:tcPr>
            <w:tcW w:w="1209" w:type="dxa"/>
          </w:tcPr>
          <w:p w14:paraId="5269ACE1" w14:textId="77777777" w:rsidR="001C4739" w:rsidRPr="001C4739" w:rsidRDefault="001C4739" w:rsidP="001C4739">
            <w:pPr>
              <w:pStyle w:val="BoldHeading"/>
              <w:spacing w:before="40" w:after="40"/>
              <w:rPr>
                <w:b w:val="0"/>
                <w:szCs w:val="18"/>
              </w:rPr>
            </w:pPr>
            <w:r w:rsidRPr="001C4739">
              <w:rPr>
                <w:b w:val="0"/>
                <w:szCs w:val="18"/>
              </w:rPr>
              <w:t>D+3</w:t>
            </w:r>
          </w:p>
        </w:tc>
        <w:tc>
          <w:tcPr>
            <w:tcW w:w="2693" w:type="dxa"/>
          </w:tcPr>
          <w:p w14:paraId="3B1A1AD7" w14:textId="77777777" w:rsidR="001C4739" w:rsidRPr="001C4739" w:rsidRDefault="001C4739" w:rsidP="001C4739">
            <w:pPr>
              <w:pStyle w:val="BoldHeading"/>
              <w:spacing w:before="40" w:after="40"/>
              <w:rPr>
                <w:b w:val="0"/>
                <w:szCs w:val="18"/>
              </w:rPr>
            </w:pPr>
            <w:r w:rsidRPr="001C4739">
              <w:rPr>
                <w:b w:val="0"/>
                <w:szCs w:val="18"/>
              </w:rPr>
              <w:t>Notified D-2 and MDQ transferred</w:t>
            </w:r>
          </w:p>
          <w:p w14:paraId="7384818B" w14:textId="77777777" w:rsidR="001C4739" w:rsidRPr="001C4739" w:rsidRDefault="001C4739" w:rsidP="001C4739">
            <w:pPr>
              <w:pStyle w:val="BoldHeading"/>
              <w:spacing w:before="40" w:after="40"/>
              <w:rPr>
                <w:b w:val="0"/>
                <w:szCs w:val="18"/>
              </w:rPr>
            </w:pPr>
            <w:r w:rsidRPr="001C4739">
              <w:rPr>
                <w:b w:val="0"/>
                <w:szCs w:val="18"/>
              </w:rPr>
              <w:t>Secondary shipper uses capacity</w:t>
            </w:r>
          </w:p>
        </w:tc>
        <w:tc>
          <w:tcPr>
            <w:tcW w:w="2267" w:type="dxa"/>
          </w:tcPr>
          <w:p w14:paraId="3D6AB0BA" w14:textId="77777777" w:rsidR="001C4739" w:rsidRPr="001C4739" w:rsidRDefault="001C4739" w:rsidP="001C4739">
            <w:pPr>
              <w:pStyle w:val="BoldHeading"/>
              <w:spacing w:before="40" w:after="40"/>
              <w:rPr>
                <w:b w:val="0"/>
                <w:szCs w:val="18"/>
              </w:rPr>
            </w:pPr>
            <w:r w:rsidRPr="001C4739">
              <w:rPr>
                <w:b w:val="0"/>
                <w:szCs w:val="18"/>
              </w:rPr>
              <w:t>Notified D-1 and MDQ transferred</w:t>
            </w:r>
          </w:p>
          <w:p w14:paraId="410A9388" w14:textId="77777777" w:rsidR="001C4739" w:rsidRPr="001C4739" w:rsidRDefault="001C4739" w:rsidP="001C4739">
            <w:pPr>
              <w:pStyle w:val="BoldHeading"/>
              <w:spacing w:before="40" w:after="40"/>
              <w:rPr>
                <w:b w:val="0"/>
                <w:szCs w:val="18"/>
              </w:rPr>
            </w:pPr>
            <w:r w:rsidRPr="001C4739">
              <w:rPr>
                <w:b w:val="0"/>
                <w:szCs w:val="18"/>
              </w:rPr>
              <w:t>Secondary shipper uses capacity</w:t>
            </w:r>
          </w:p>
        </w:tc>
      </w:tr>
    </w:tbl>
    <w:p w14:paraId="5092F999" w14:textId="77777777" w:rsidR="001C4739" w:rsidRPr="006C656B" w:rsidRDefault="001C4739" w:rsidP="00EA14CC">
      <w:pPr>
        <w:pStyle w:val="BoldHeading"/>
        <w:rPr>
          <w:b w:val="0"/>
        </w:rPr>
      </w:pP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10.3: Questions on default under primary GTA"/>
        <w:tblDescription w:val="Questions on default under primary GTA"/>
      </w:tblPr>
      <w:tblGrid>
        <w:gridCol w:w="8788"/>
      </w:tblGrid>
      <w:tr w:rsidR="002B3418" w:rsidRPr="00B73295" w14:paraId="163BB005" w14:textId="77777777" w:rsidTr="0022493D">
        <w:trPr>
          <w:tblHeader/>
        </w:trPr>
        <w:tc>
          <w:tcPr>
            <w:tcW w:w="5000" w:type="pct"/>
            <w:shd w:val="clear" w:color="auto" w:fill="auto"/>
          </w:tcPr>
          <w:p w14:paraId="1A85B349" w14:textId="72C26CE2" w:rsidR="007359B3" w:rsidRPr="007359B3" w:rsidRDefault="0022493D" w:rsidP="0022493D">
            <w:pPr>
              <w:pStyle w:val="ListNumber"/>
              <w:keepNext/>
              <w:numPr>
                <w:ilvl w:val="0"/>
                <w:numId w:val="0"/>
              </w:numPr>
              <w:spacing w:before="0" w:after="0"/>
              <w:ind w:left="357" w:hanging="357"/>
              <w:rPr>
                <w:sz w:val="21"/>
                <w:szCs w:val="21"/>
              </w:rPr>
            </w:pPr>
            <w:r w:rsidRPr="0057020B">
              <w:rPr>
                <w:rFonts w:eastAsiaTheme="minorHAnsi" w:cstheme="minorBidi"/>
                <w:b/>
                <w:bCs/>
                <w:lang w:eastAsia="fr-CA"/>
              </w:rPr>
              <w:lastRenderedPageBreak/>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10</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3</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default under primary GTA</w:t>
            </w:r>
          </w:p>
        </w:tc>
      </w:tr>
      <w:tr w:rsidR="0022493D" w:rsidRPr="00B73295" w14:paraId="71030593" w14:textId="77777777" w:rsidTr="0022493D">
        <w:trPr>
          <w:tblHeader/>
        </w:trPr>
        <w:tc>
          <w:tcPr>
            <w:tcW w:w="5000" w:type="pct"/>
            <w:shd w:val="clear" w:color="auto" w:fill="B7E7FF"/>
          </w:tcPr>
          <w:p w14:paraId="07BB3610" w14:textId="77777777" w:rsidR="0022493D" w:rsidRPr="00B73295" w:rsidRDefault="0022493D" w:rsidP="0022493D">
            <w:pPr>
              <w:pStyle w:val="ListNumber"/>
              <w:keepNext/>
              <w:numPr>
                <w:ilvl w:val="0"/>
                <w:numId w:val="23"/>
              </w:numPr>
              <w:ind w:left="567" w:hanging="567"/>
              <w:rPr>
                <w:sz w:val="21"/>
                <w:szCs w:val="21"/>
              </w:rPr>
            </w:pPr>
            <w:r w:rsidRPr="00B73295">
              <w:rPr>
                <w:sz w:val="21"/>
                <w:szCs w:val="21"/>
              </w:rPr>
              <w:t xml:space="preserve">Do you think </w:t>
            </w:r>
            <w:r>
              <w:rPr>
                <w:sz w:val="21"/>
                <w:szCs w:val="21"/>
              </w:rPr>
              <w:t>arrangements should be put in place (other than cancellation) to mitigate the risk of termination of the primary GTA, such as options 2 and 3?</w:t>
            </w:r>
            <w:r w:rsidRPr="00B73295">
              <w:rPr>
                <w:sz w:val="21"/>
                <w:szCs w:val="21"/>
              </w:rPr>
              <w:t xml:space="preserve"> If you think </w:t>
            </w:r>
            <w:r>
              <w:rPr>
                <w:sz w:val="21"/>
                <w:szCs w:val="21"/>
              </w:rPr>
              <w:t xml:space="preserve">other </w:t>
            </w:r>
            <w:r w:rsidRPr="00B73295">
              <w:rPr>
                <w:sz w:val="21"/>
                <w:szCs w:val="21"/>
              </w:rPr>
              <w:t xml:space="preserve">options </w:t>
            </w:r>
            <w:r>
              <w:rPr>
                <w:sz w:val="21"/>
                <w:szCs w:val="21"/>
              </w:rPr>
              <w:t xml:space="preserve">should be </w:t>
            </w:r>
            <w:r w:rsidRPr="00B73295">
              <w:rPr>
                <w:sz w:val="21"/>
                <w:szCs w:val="21"/>
              </w:rPr>
              <w:t>used:</w:t>
            </w:r>
          </w:p>
          <w:p w14:paraId="3415C90C" w14:textId="77777777" w:rsidR="0022493D" w:rsidRPr="00B73295" w:rsidRDefault="0022493D" w:rsidP="0022493D">
            <w:pPr>
              <w:pStyle w:val="ListBullet2"/>
              <w:keepNext/>
              <w:ind w:left="924"/>
              <w:rPr>
                <w:sz w:val="21"/>
                <w:szCs w:val="21"/>
              </w:rPr>
            </w:pPr>
            <w:r w:rsidRPr="00B73295">
              <w:rPr>
                <w:sz w:val="21"/>
                <w:szCs w:val="21"/>
              </w:rPr>
              <w:t>Why do you think capacity should be treated differently to gas products?</w:t>
            </w:r>
          </w:p>
          <w:p w14:paraId="42CEA4E8" w14:textId="77777777" w:rsidR="0022493D" w:rsidRDefault="0022493D" w:rsidP="0022493D">
            <w:pPr>
              <w:pStyle w:val="ListBullet2"/>
              <w:keepNext/>
              <w:ind w:left="924"/>
              <w:rPr>
                <w:sz w:val="21"/>
                <w:szCs w:val="21"/>
              </w:rPr>
            </w:pPr>
            <w:r w:rsidRPr="00B73295">
              <w:rPr>
                <w:sz w:val="21"/>
                <w:szCs w:val="21"/>
              </w:rPr>
              <w:t>Why do you think it is appropriate for service providers to be subject to the obligations that would come with these options?</w:t>
            </w:r>
          </w:p>
          <w:p w14:paraId="0C992011" w14:textId="77777777" w:rsidR="0022493D" w:rsidRPr="00B73295" w:rsidRDefault="0022493D" w:rsidP="0022493D">
            <w:pPr>
              <w:pStyle w:val="ListBullet2"/>
              <w:keepNext/>
              <w:ind w:left="924"/>
              <w:rPr>
                <w:sz w:val="21"/>
                <w:szCs w:val="21"/>
              </w:rPr>
            </w:pPr>
            <w:r>
              <w:rPr>
                <w:sz w:val="21"/>
                <w:szCs w:val="21"/>
              </w:rPr>
              <w:t>Do you support options 2 and/or 3(a) or (b)?  What other options are available?</w:t>
            </w:r>
          </w:p>
          <w:p w14:paraId="696FE019" w14:textId="77777777" w:rsidR="0022493D" w:rsidRPr="008A24BA" w:rsidRDefault="0022493D" w:rsidP="0022493D">
            <w:pPr>
              <w:pStyle w:val="ListNumber"/>
              <w:keepNext/>
              <w:numPr>
                <w:ilvl w:val="0"/>
                <w:numId w:val="23"/>
              </w:numPr>
              <w:ind w:left="567" w:hanging="567"/>
              <w:rPr>
                <w:sz w:val="21"/>
                <w:szCs w:val="21"/>
              </w:rPr>
            </w:pPr>
            <w:r w:rsidRPr="008A24BA">
              <w:rPr>
                <w:sz w:val="21"/>
                <w:szCs w:val="21"/>
              </w:rPr>
              <w:t xml:space="preserve">If you think option 2 should be used, </w:t>
            </w:r>
            <w:r>
              <w:rPr>
                <w:sz w:val="21"/>
                <w:szCs w:val="21"/>
              </w:rPr>
              <w:t>h</w:t>
            </w:r>
            <w:r w:rsidRPr="008A24BA">
              <w:rPr>
                <w:sz w:val="21"/>
                <w:szCs w:val="21"/>
              </w:rPr>
              <w:t xml:space="preserve">ow long do you think service providers should be required to honour the trade (e.g. 1-2 days, one month, or for the duration of the trade)? </w:t>
            </w:r>
          </w:p>
          <w:p w14:paraId="03F51A91" w14:textId="77777777" w:rsidR="0022493D" w:rsidRDefault="0022493D" w:rsidP="0022493D">
            <w:pPr>
              <w:pStyle w:val="ListNumber"/>
              <w:keepNext/>
              <w:numPr>
                <w:ilvl w:val="0"/>
                <w:numId w:val="23"/>
              </w:numPr>
              <w:ind w:left="567" w:hanging="567"/>
              <w:rPr>
                <w:sz w:val="21"/>
                <w:szCs w:val="21"/>
              </w:rPr>
            </w:pPr>
            <w:r>
              <w:rPr>
                <w:sz w:val="21"/>
                <w:szCs w:val="21"/>
              </w:rPr>
              <w:t xml:space="preserve">If you think buyers should have an option to acquire the capacity from the service provider, do you think: </w:t>
            </w:r>
          </w:p>
          <w:p w14:paraId="6D08ED56" w14:textId="77777777" w:rsidR="0022493D" w:rsidRDefault="0022493D" w:rsidP="0022493D">
            <w:pPr>
              <w:pStyle w:val="ListBullet2"/>
              <w:ind w:left="924"/>
            </w:pPr>
            <w:r>
              <w:t>the buyer should have a first right of refusal, an enforceable option or a general right to initiate good faith negotiations?</w:t>
            </w:r>
          </w:p>
          <w:p w14:paraId="0A85F315" w14:textId="77777777" w:rsidR="0022493D" w:rsidRDefault="0022493D" w:rsidP="0022493D">
            <w:pPr>
              <w:pStyle w:val="ListBullet2"/>
              <w:keepNext/>
              <w:ind w:left="924"/>
              <w:rPr>
                <w:sz w:val="21"/>
                <w:szCs w:val="21"/>
              </w:rPr>
            </w:pPr>
            <w:r w:rsidRPr="00B73295">
              <w:rPr>
                <w:sz w:val="21"/>
                <w:szCs w:val="21"/>
              </w:rPr>
              <w:t xml:space="preserve">the price at which the secondary shipper can access the capacity should be specified in the operational GTA or be regulated in some way? </w:t>
            </w:r>
          </w:p>
          <w:p w14:paraId="4AF340A0" w14:textId="4FCB2367" w:rsidR="0022493D" w:rsidRPr="0057020B" w:rsidRDefault="0022493D" w:rsidP="0022493D">
            <w:pPr>
              <w:pStyle w:val="ListNumber"/>
              <w:keepNext/>
              <w:numPr>
                <w:ilvl w:val="0"/>
                <w:numId w:val="23"/>
              </w:numPr>
              <w:ind w:left="567" w:hanging="567"/>
              <w:rPr>
                <w:rFonts w:eastAsiaTheme="minorHAnsi" w:cstheme="minorBidi"/>
                <w:b/>
                <w:bCs/>
                <w:lang w:eastAsia="fr-CA"/>
              </w:rPr>
            </w:pPr>
            <w:r>
              <w:rPr>
                <w:sz w:val="21"/>
                <w:szCs w:val="21"/>
              </w:rPr>
              <w:t>Do you agree that if the trade must be cancelled, then the effect of the cancellation should be borne by all secondary shippers on a pro-rata basis?</w:t>
            </w:r>
          </w:p>
        </w:tc>
      </w:tr>
    </w:tbl>
    <w:p w14:paraId="55BD0C77" w14:textId="2380FA21" w:rsidR="00EA14CC" w:rsidRDefault="00EA14CC" w:rsidP="00EA14CC">
      <w:pPr>
        <w:pStyle w:val="BoldHeading"/>
        <w:rPr>
          <w:color w:val="0099CC"/>
        </w:rPr>
      </w:pPr>
      <w:r w:rsidRPr="00EA14CC">
        <w:rPr>
          <w:color w:val="0099CC"/>
        </w:rPr>
        <w:t>Default under operational GTA</w:t>
      </w:r>
    </w:p>
    <w:p w14:paraId="739333EE" w14:textId="3C08BEA5" w:rsidR="004445FF" w:rsidRDefault="00095B22" w:rsidP="00095B22">
      <w:pPr>
        <w:pStyle w:val="BodyText"/>
      </w:pPr>
      <w:r>
        <w:t xml:space="preserve">In this </w:t>
      </w:r>
      <w:r w:rsidR="004445FF">
        <w:t>case</w:t>
      </w:r>
      <w:r>
        <w:t xml:space="preserve">, the seller is assumed to be a secondary </w:t>
      </w:r>
      <w:r w:rsidRPr="00095B22">
        <w:t xml:space="preserve">shipper </w:t>
      </w:r>
      <w:r>
        <w:t xml:space="preserve">that </w:t>
      </w:r>
      <w:r w:rsidRPr="00095B22">
        <w:t xml:space="preserve">on-sells its capacity to another shipper and </w:t>
      </w:r>
      <w:r>
        <w:t xml:space="preserve">then </w:t>
      </w:r>
      <w:r w:rsidRPr="00095B22">
        <w:t xml:space="preserve">defaults on its operational GTA with the </w:t>
      </w:r>
      <w:r>
        <w:t xml:space="preserve">service provider, who </w:t>
      </w:r>
      <w:r w:rsidR="005A27CB">
        <w:t xml:space="preserve">then </w:t>
      </w:r>
      <w:r>
        <w:t>decides to suspend or terminate</w:t>
      </w:r>
      <w:r w:rsidRPr="00095B22">
        <w:t xml:space="preserve"> the operational GTA.</w:t>
      </w:r>
      <w:r w:rsidR="004445FF">
        <w:t xml:space="preserve"> </w:t>
      </w:r>
    </w:p>
    <w:p w14:paraId="2A15B699" w14:textId="622AF506" w:rsidR="004445FF" w:rsidRDefault="004445FF" w:rsidP="00095B22">
      <w:pPr>
        <w:pStyle w:val="BodyText"/>
      </w:pPr>
      <w:r>
        <w:t xml:space="preserve">In this case, the project team noted that if the default under the operational GTA occurred: </w:t>
      </w:r>
    </w:p>
    <w:p w14:paraId="66268ECF" w14:textId="024F80E0" w:rsidR="005A27CB" w:rsidRPr="00095B22" w:rsidRDefault="005A27CB" w:rsidP="004445FF">
      <w:pPr>
        <w:pStyle w:val="ListBullet"/>
      </w:pPr>
      <w:r w:rsidRPr="00095B22">
        <w:t xml:space="preserve">after the transfer is </w:t>
      </w:r>
      <w:r w:rsidR="004445FF">
        <w:t>e</w:t>
      </w:r>
      <w:r w:rsidRPr="00095B22">
        <w:t xml:space="preserve">ffected, </w:t>
      </w:r>
      <w:r w:rsidR="004445FF">
        <w:t xml:space="preserve">the trade could stay on foot because the </w:t>
      </w:r>
      <w:r w:rsidRPr="00095B22">
        <w:t xml:space="preserve">transfer would give </w:t>
      </w:r>
      <w:r w:rsidR="004445FF">
        <w:t xml:space="preserve">the buyer </w:t>
      </w:r>
      <w:r w:rsidRPr="00095B22">
        <w:t xml:space="preserve">“good title” subject only to </w:t>
      </w:r>
      <w:r w:rsidR="004445FF">
        <w:t>a default under the primary shipper’s p</w:t>
      </w:r>
      <w:r w:rsidRPr="00095B22">
        <w:t>rimary GTA</w:t>
      </w:r>
      <w:r w:rsidR="004445FF">
        <w:t>; or</w:t>
      </w:r>
    </w:p>
    <w:p w14:paraId="7041806D" w14:textId="53ADE848" w:rsidR="005A27CB" w:rsidRPr="00095B22" w:rsidRDefault="005A27CB" w:rsidP="004445FF">
      <w:pPr>
        <w:pStyle w:val="ListBullet"/>
      </w:pPr>
      <w:r w:rsidRPr="00095B22">
        <w:t xml:space="preserve">before the transfer is effected, the transfer could be </w:t>
      </w:r>
      <w:r w:rsidR="004445FF">
        <w:t>cancelled and the buyer would receive 25% of the face value of the trade as compensation</w:t>
      </w:r>
      <w:r w:rsidRPr="00095B22">
        <w:t xml:space="preserve">. </w:t>
      </w:r>
    </w:p>
    <w:tbl>
      <w:tblPr>
        <w:tblStyle w:val="PullOutBoxTable"/>
        <w:tblW w:w="5000" w:type="pct"/>
        <w:shd w:val="clear" w:color="auto" w:fill="B7E7FF"/>
        <w:tblCellMar>
          <w:top w:w="113" w:type="dxa"/>
          <w:bottom w:w="113" w:type="dxa"/>
        </w:tblCellMar>
        <w:tblLook w:val="0600" w:firstRow="0" w:lastRow="0" w:firstColumn="0" w:lastColumn="0" w:noHBand="1" w:noVBand="1"/>
        <w:tblCaption w:val="Box 10.4: Questions on default under operational GTA"/>
        <w:tblDescription w:val="Questions on default under operational GTA"/>
      </w:tblPr>
      <w:tblGrid>
        <w:gridCol w:w="8788"/>
      </w:tblGrid>
      <w:tr w:rsidR="004445FF" w:rsidRPr="005A27CB" w14:paraId="580F0365" w14:textId="77777777" w:rsidTr="0022493D">
        <w:trPr>
          <w:tblHeader/>
        </w:trPr>
        <w:tc>
          <w:tcPr>
            <w:tcW w:w="5000" w:type="pct"/>
            <w:shd w:val="clear" w:color="auto" w:fill="auto"/>
          </w:tcPr>
          <w:p w14:paraId="752CF063" w14:textId="4123D7F9" w:rsidR="004445FF" w:rsidRPr="005A27CB" w:rsidRDefault="0022493D" w:rsidP="0022493D">
            <w:pPr>
              <w:pStyle w:val="ListBullet2"/>
              <w:numPr>
                <w:ilvl w:val="0"/>
                <w:numId w:val="0"/>
              </w:numPr>
              <w:spacing w:before="0" w:after="0"/>
              <w:rPr>
                <w:sz w:val="21"/>
                <w:szCs w:val="21"/>
              </w:rPr>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10</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4</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default under operational GTA</w:t>
            </w:r>
          </w:p>
        </w:tc>
      </w:tr>
      <w:tr w:rsidR="0022493D" w:rsidRPr="005A27CB" w14:paraId="1216E46F" w14:textId="77777777" w:rsidTr="0022493D">
        <w:trPr>
          <w:tblHeader/>
        </w:trPr>
        <w:tc>
          <w:tcPr>
            <w:tcW w:w="5000" w:type="pct"/>
            <w:shd w:val="clear" w:color="auto" w:fill="B7E7FF"/>
          </w:tcPr>
          <w:p w14:paraId="6064DEB0" w14:textId="77777777" w:rsidR="0022493D" w:rsidRPr="005A27CB" w:rsidRDefault="0022493D" w:rsidP="0022493D">
            <w:pPr>
              <w:pStyle w:val="ListNumber"/>
              <w:numPr>
                <w:ilvl w:val="0"/>
                <w:numId w:val="23"/>
              </w:numPr>
              <w:spacing w:before="0"/>
              <w:ind w:left="567" w:hanging="567"/>
              <w:rPr>
                <w:sz w:val="21"/>
                <w:szCs w:val="21"/>
              </w:rPr>
            </w:pPr>
            <w:r w:rsidRPr="005A27CB">
              <w:rPr>
                <w:sz w:val="21"/>
                <w:szCs w:val="21"/>
              </w:rPr>
              <w:t xml:space="preserve">Do you agree that if default under the operational GTA occurs: </w:t>
            </w:r>
          </w:p>
          <w:p w14:paraId="09F5AB21" w14:textId="77777777" w:rsidR="0022493D" w:rsidRDefault="0022493D" w:rsidP="0022493D">
            <w:pPr>
              <w:pStyle w:val="ListBullet2"/>
              <w:ind w:left="924"/>
              <w:rPr>
                <w:sz w:val="21"/>
                <w:szCs w:val="21"/>
              </w:rPr>
            </w:pPr>
            <w:proofErr w:type="gramStart"/>
            <w:r w:rsidRPr="005A27CB">
              <w:rPr>
                <w:sz w:val="21"/>
                <w:szCs w:val="21"/>
              </w:rPr>
              <w:t>after</w:t>
            </w:r>
            <w:proofErr w:type="gramEnd"/>
            <w:r w:rsidRPr="005A27CB">
              <w:rPr>
                <w:sz w:val="21"/>
                <w:szCs w:val="21"/>
              </w:rPr>
              <w:t xml:space="preserve"> the trade is effected, the trade should be allowed to proceed?</w:t>
            </w:r>
          </w:p>
          <w:p w14:paraId="1C98197F" w14:textId="30B2D553" w:rsidR="0022493D" w:rsidRPr="0022493D" w:rsidRDefault="0022493D" w:rsidP="0022493D">
            <w:pPr>
              <w:pStyle w:val="ListBullet2"/>
              <w:ind w:left="924"/>
              <w:rPr>
                <w:sz w:val="21"/>
                <w:szCs w:val="21"/>
              </w:rPr>
            </w:pPr>
            <w:proofErr w:type="gramStart"/>
            <w:r w:rsidRPr="0022493D">
              <w:rPr>
                <w:sz w:val="21"/>
                <w:szCs w:val="21"/>
              </w:rPr>
              <w:t>before</w:t>
            </w:r>
            <w:proofErr w:type="gramEnd"/>
            <w:r w:rsidRPr="0022493D">
              <w:rPr>
                <w:sz w:val="21"/>
                <w:szCs w:val="21"/>
              </w:rPr>
              <w:t xml:space="preserve"> the trade is effected, the trade should be cancelled?</w:t>
            </w:r>
          </w:p>
        </w:tc>
      </w:tr>
    </w:tbl>
    <w:p w14:paraId="59D4B17A" w14:textId="3C99DA3F" w:rsidR="004603CC" w:rsidRDefault="004603CC" w:rsidP="004603CC">
      <w:pPr>
        <w:pStyle w:val="Heading3"/>
      </w:pPr>
      <w:r>
        <w:t xml:space="preserve">Seller defaults on its GSH financial obligations </w:t>
      </w:r>
    </w:p>
    <w:p w14:paraId="7038081C" w14:textId="39559E01" w:rsidR="00EA14CC" w:rsidRDefault="000A0E4C" w:rsidP="00B82616">
      <w:pPr>
        <w:pStyle w:val="BodyText"/>
      </w:pPr>
      <w:r>
        <w:t xml:space="preserve">To deal with </w:t>
      </w:r>
      <w:r w:rsidR="00EA14CC">
        <w:t>seller</w:t>
      </w:r>
      <w:r w:rsidR="00421614">
        <w:t xml:space="preserve"> defaults </w:t>
      </w:r>
      <w:r w:rsidR="00EA14CC">
        <w:t xml:space="preserve">under the GSH, </w:t>
      </w:r>
      <w:r>
        <w:t>an</w:t>
      </w:r>
      <w:r w:rsidR="00421614">
        <w:t xml:space="preserve"> option that could be considered if the transfer of capacity from the seller to the buyer has already occurred is to treat that transaction </w:t>
      </w:r>
      <w:r w:rsidR="00EA14CC">
        <w:t xml:space="preserve">as being </w:t>
      </w:r>
      <w:r w:rsidR="00EA14CC" w:rsidRPr="00EA14CC">
        <w:t xml:space="preserve">fully “delivered” </w:t>
      </w:r>
      <w:r w:rsidR="00421614">
        <w:t xml:space="preserve">and exclude it from any close out and offset </w:t>
      </w:r>
      <w:r w:rsidR="00421614">
        <w:lastRenderedPageBreak/>
        <w:t>calculation</w:t>
      </w:r>
      <w:r w:rsidR="00EA14CC" w:rsidRPr="00EA14CC">
        <w:t xml:space="preserve">.  </w:t>
      </w:r>
      <w:r w:rsidR="002D5C8A">
        <w:t>For</w:t>
      </w:r>
      <w:r w:rsidR="00EA14CC" w:rsidRPr="00EA14CC">
        <w:t xml:space="preserve"> example</w:t>
      </w:r>
      <w:r w:rsidR="002D5C8A">
        <w:t>, if</w:t>
      </w:r>
      <w:r w:rsidR="00EA14CC" w:rsidRPr="00EA14CC">
        <w:t xml:space="preserve"> there is a month transaction that is notified for the full term on the day after being transacted</w:t>
      </w:r>
      <w:r w:rsidR="002D5C8A">
        <w:t xml:space="preserve"> and </w:t>
      </w:r>
      <w:r w:rsidR="00421614">
        <w:t xml:space="preserve">the seller subsequently defaults on its financial obligations in the GSH, </w:t>
      </w:r>
      <w:r w:rsidR="00EA14CC" w:rsidRPr="00EA14CC">
        <w:t xml:space="preserve">there may be no need to close this </w:t>
      </w:r>
      <w:r w:rsidR="00421614">
        <w:t xml:space="preserve">trade </w:t>
      </w:r>
      <w:r w:rsidR="00EA14CC" w:rsidRPr="00EA14CC">
        <w:t>out due to a risk of non-delivery. </w:t>
      </w:r>
    </w:p>
    <w:p w14:paraId="6EE7DA77" w14:textId="2A9361D0" w:rsidR="00EA14CC" w:rsidRDefault="00040A04" w:rsidP="00B82616">
      <w:pPr>
        <w:pStyle w:val="BodyText"/>
      </w:pPr>
      <w:r>
        <w:t>It is worth noting in this context that t</w:t>
      </w:r>
      <w:r w:rsidR="00421614">
        <w:t xml:space="preserve">he </w:t>
      </w:r>
      <w:r>
        <w:t>feasibility</w:t>
      </w:r>
      <w:r w:rsidR="00421614">
        <w:t xml:space="preserve"> of this option </w:t>
      </w:r>
      <w:r>
        <w:t xml:space="preserve">is </w:t>
      </w:r>
      <w:r w:rsidR="00421614">
        <w:t xml:space="preserve">yet </w:t>
      </w:r>
      <w:r>
        <w:t xml:space="preserve">to be assessed </w:t>
      </w:r>
      <w:r w:rsidR="00421614">
        <w:t>by AEMO</w:t>
      </w:r>
      <w:r w:rsidR="000A0E4C">
        <w:t xml:space="preserve"> and the interaction with the arrangements for the seller default under a primary GTA would also need to be considered</w:t>
      </w:r>
      <w:r>
        <w:t xml:space="preserve">. </w:t>
      </w:r>
    </w:p>
    <w:tbl>
      <w:tblPr>
        <w:tblStyle w:val="PullOutBoxTable"/>
        <w:tblW w:w="5000" w:type="pct"/>
        <w:shd w:val="clear" w:color="auto" w:fill="B7E7FF"/>
        <w:tblLook w:val="0600" w:firstRow="0" w:lastRow="0" w:firstColumn="0" w:lastColumn="0" w:noHBand="1" w:noVBand="1"/>
        <w:tblCaption w:val="Box 10.5: Questions on default on GSH financial obligations "/>
        <w:tblDescription w:val="Questions on default on GSH financial obligations "/>
      </w:tblPr>
      <w:tblGrid>
        <w:gridCol w:w="8788"/>
      </w:tblGrid>
      <w:tr w:rsidR="00040A04" w:rsidRPr="002618F0" w14:paraId="4F7B8E17" w14:textId="77777777" w:rsidTr="0022493D">
        <w:trPr>
          <w:tblHeader/>
        </w:trPr>
        <w:tc>
          <w:tcPr>
            <w:tcW w:w="5000" w:type="pct"/>
            <w:shd w:val="clear" w:color="auto" w:fill="auto"/>
          </w:tcPr>
          <w:p w14:paraId="02389367" w14:textId="60DE31EA" w:rsidR="00040A04" w:rsidRPr="00440653" w:rsidRDefault="0022493D" w:rsidP="0022493D">
            <w:pPr>
              <w:pStyle w:val="ListNumber"/>
              <w:numPr>
                <w:ilvl w:val="0"/>
                <w:numId w:val="0"/>
              </w:numPr>
              <w:spacing w:before="60" w:after="0"/>
              <w:ind w:left="357" w:hanging="357"/>
              <w:rPr>
                <w:sz w:val="21"/>
                <w:szCs w:val="21"/>
              </w:rPr>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10</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5</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default on GSH financial obligations</w:t>
            </w:r>
          </w:p>
        </w:tc>
      </w:tr>
      <w:tr w:rsidR="0022493D" w:rsidRPr="002618F0" w14:paraId="43BEC1E4" w14:textId="77777777" w:rsidTr="0022493D">
        <w:trPr>
          <w:tblHeader/>
        </w:trPr>
        <w:tc>
          <w:tcPr>
            <w:tcW w:w="5000" w:type="pct"/>
            <w:shd w:val="clear" w:color="auto" w:fill="B7E7FF"/>
          </w:tcPr>
          <w:p w14:paraId="68F96C5B" w14:textId="59A841C8" w:rsidR="0022493D" w:rsidRPr="0057020B" w:rsidRDefault="0022493D" w:rsidP="0022493D">
            <w:pPr>
              <w:pStyle w:val="ListNumber"/>
              <w:numPr>
                <w:ilvl w:val="0"/>
                <w:numId w:val="23"/>
              </w:numPr>
              <w:spacing w:before="60" w:after="60"/>
              <w:ind w:left="567" w:hanging="567"/>
              <w:rPr>
                <w:rFonts w:eastAsiaTheme="minorHAnsi" w:cstheme="minorBidi"/>
                <w:b/>
                <w:bCs/>
                <w:lang w:eastAsia="fr-CA"/>
              </w:rPr>
            </w:pPr>
            <w:r>
              <w:rPr>
                <w:sz w:val="21"/>
                <w:szCs w:val="21"/>
              </w:rPr>
              <w:t>Do you think the arrangements that currently apply to seller defaults under the GSH should be applied to capacity products, or do you think that any transfers of capacity that have already occurred at the time of default should be excluded from the close out and offset calculation?</w:t>
            </w:r>
          </w:p>
        </w:tc>
      </w:tr>
    </w:tbl>
    <w:p w14:paraId="361481A2" w14:textId="6D6E7D64" w:rsidR="004603CC" w:rsidRDefault="004603CC" w:rsidP="004603CC">
      <w:pPr>
        <w:pStyle w:val="Heading3"/>
      </w:pPr>
      <w:r>
        <w:t>Seller short-</w:t>
      </w:r>
      <w:r w:rsidR="00D5242A">
        <w:t>sells capacity</w:t>
      </w:r>
    </w:p>
    <w:p w14:paraId="340644DE" w14:textId="2E66BC5F" w:rsidR="004603CC" w:rsidRDefault="00D5242A" w:rsidP="00B82616">
      <w:pPr>
        <w:pStyle w:val="BodyText"/>
      </w:pPr>
      <w:r>
        <w:t>The options that the project team identified for dealing with short-sales of capacity include:</w:t>
      </w:r>
    </w:p>
    <w:p w14:paraId="29118233" w14:textId="409C6451" w:rsidR="00D5242A" w:rsidRDefault="00D5242A" w:rsidP="005C4789">
      <w:pPr>
        <w:pStyle w:val="ListNumber"/>
        <w:numPr>
          <w:ilvl w:val="0"/>
          <w:numId w:val="68"/>
        </w:numPr>
      </w:pPr>
      <w:r>
        <w:t>Cancelling the trade as soon as the service provider becomes aware that the seller does not have sufficient capacity to sell to give effect to the trade</w:t>
      </w:r>
      <w:r w:rsidR="002D5C8A">
        <w:t>.</w:t>
      </w:r>
      <w:r>
        <w:t xml:space="preserve"> Under this option, the trade would be cancelled </w:t>
      </w:r>
      <w:r w:rsidR="00AA17FC">
        <w:t xml:space="preserve">by the transfer cut-off time </w:t>
      </w:r>
      <w:r>
        <w:t xml:space="preserve">and the buyer would </w:t>
      </w:r>
      <w:r w:rsidR="007359B3">
        <w:t xml:space="preserve">be compensated </w:t>
      </w:r>
      <w:r>
        <w:t>for the cancellation.</w:t>
      </w:r>
    </w:p>
    <w:p w14:paraId="1FBCAD21" w14:textId="74050FD7" w:rsidR="00D5242A" w:rsidRDefault="00D5242A" w:rsidP="00D5242A">
      <w:pPr>
        <w:pStyle w:val="ListNumber"/>
      </w:pPr>
      <w:r>
        <w:t>Providing the seller a period of time within which to rectify the short position</w:t>
      </w:r>
      <w:r w:rsidR="009E64FB">
        <w:t xml:space="preserve"> if there is any spare capacity on the pipeline</w:t>
      </w:r>
      <w:r w:rsidR="002D5C8A">
        <w:t>.</w:t>
      </w:r>
      <w:r w:rsidR="009E64FB">
        <w:t xml:space="preserve"> </w:t>
      </w:r>
      <w:r>
        <w:t xml:space="preserve">Under this option, the short seller would have an opportunity to rectify the short position by, for example, purchasing additional capacity through the capacity trading platform or from the service provider, and if it fails to do so the trade would be cancelled and the buyer would </w:t>
      </w:r>
      <w:r w:rsidR="007359B3">
        <w:t>be compensated</w:t>
      </w:r>
      <w:r>
        <w:t>.</w:t>
      </w:r>
    </w:p>
    <w:p w14:paraId="1F533F41" w14:textId="2D524A19" w:rsidR="00D5242A" w:rsidRDefault="00D5242A" w:rsidP="00B82616">
      <w:pPr>
        <w:pStyle w:val="BodyText"/>
      </w:pPr>
      <w:r>
        <w:t xml:space="preserve">Another option that </w:t>
      </w:r>
      <w:r w:rsidR="00646F2E">
        <w:t xml:space="preserve">some project team members noted could be used if financial players are to be encouraged to participate in the market is </w:t>
      </w:r>
      <w:r w:rsidR="00AA17FC">
        <w:t xml:space="preserve">for </w:t>
      </w:r>
      <w:r w:rsidR="00646F2E">
        <w:t xml:space="preserve">participants to enter into an arrangement with a service provider ahead of time to obtain firm capacity up to a specified level if they end up with a short position (in effect, a call option). </w:t>
      </w:r>
    </w:p>
    <w:tbl>
      <w:tblPr>
        <w:tblStyle w:val="PullOutBoxTable"/>
        <w:tblW w:w="5000" w:type="pct"/>
        <w:shd w:val="clear" w:color="auto" w:fill="B7E7FF"/>
        <w:tblLook w:val="0600" w:firstRow="0" w:lastRow="0" w:firstColumn="0" w:lastColumn="0" w:noHBand="1" w:noVBand="1"/>
        <w:tblCaption w:val="Box 10.6: Questions on short selling"/>
        <w:tblDescription w:val="Questions on short selling"/>
      </w:tblPr>
      <w:tblGrid>
        <w:gridCol w:w="8788"/>
      </w:tblGrid>
      <w:tr w:rsidR="00421614" w:rsidRPr="002618F0" w14:paraId="5EA485F9" w14:textId="77777777" w:rsidTr="0022493D">
        <w:trPr>
          <w:tblHeader/>
        </w:trPr>
        <w:tc>
          <w:tcPr>
            <w:tcW w:w="5000" w:type="pct"/>
            <w:shd w:val="clear" w:color="auto" w:fill="auto"/>
          </w:tcPr>
          <w:p w14:paraId="5FD08C55" w14:textId="6958086A" w:rsidR="009E64FB" w:rsidRPr="00440653" w:rsidRDefault="0022493D" w:rsidP="0022493D">
            <w:pPr>
              <w:pStyle w:val="ListNumber"/>
              <w:numPr>
                <w:ilvl w:val="0"/>
                <w:numId w:val="0"/>
              </w:numPr>
              <w:spacing w:before="60" w:after="0"/>
              <w:ind w:left="357" w:hanging="357"/>
              <w:rPr>
                <w:sz w:val="21"/>
                <w:szCs w:val="21"/>
              </w:rPr>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10</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6</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short selling</w:t>
            </w:r>
          </w:p>
        </w:tc>
      </w:tr>
      <w:tr w:rsidR="0022493D" w:rsidRPr="002618F0" w14:paraId="52447AB9" w14:textId="77777777" w:rsidTr="0022493D">
        <w:trPr>
          <w:tblHeader/>
        </w:trPr>
        <w:tc>
          <w:tcPr>
            <w:tcW w:w="5000" w:type="pct"/>
            <w:shd w:val="clear" w:color="auto" w:fill="B7E7FF"/>
          </w:tcPr>
          <w:p w14:paraId="1BDC4BE0" w14:textId="77777777" w:rsidR="0022493D" w:rsidRDefault="0022493D" w:rsidP="0022493D">
            <w:pPr>
              <w:pStyle w:val="ListNumber"/>
              <w:numPr>
                <w:ilvl w:val="0"/>
                <w:numId w:val="23"/>
              </w:numPr>
              <w:spacing w:before="60" w:after="60"/>
              <w:ind w:left="567" w:hanging="567"/>
              <w:rPr>
                <w:sz w:val="21"/>
                <w:szCs w:val="21"/>
              </w:rPr>
            </w:pPr>
            <w:r>
              <w:rPr>
                <w:sz w:val="21"/>
                <w:szCs w:val="21"/>
              </w:rPr>
              <w:t>If a short sale occurs, do you think the trade should automatically be cancelled, or do you think the seller should have a period of time to rectify the short sale before it is cancelled?</w:t>
            </w:r>
          </w:p>
          <w:p w14:paraId="2F4702D5" w14:textId="6D57A2B8" w:rsidR="0022493D" w:rsidRPr="0022493D" w:rsidRDefault="0022493D" w:rsidP="0022493D">
            <w:pPr>
              <w:pStyle w:val="ListNumber"/>
              <w:numPr>
                <w:ilvl w:val="0"/>
                <w:numId w:val="23"/>
              </w:numPr>
              <w:spacing w:before="60" w:after="60"/>
              <w:ind w:left="567" w:hanging="567"/>
              <w:rPr>
                <w:sz w:val="21"/>
                <w:szCs w:val="21"/>
              </w:rPr>
            </w:pPr>
            <w:r w:rsidRPr="0022493D">
              <w:rPr>
                <w:sz w:val="21"/>
                <w:szCs w:val="21"/>
              </w:rPr>
              <w:t>If seller is unable to rectify the short-sale (e.g. because there is no spare capacity on the pipeline), should the capacity of all affected secondary shippers be curtailed on a pro-rata basis?</w:t>
            </w:r>
          </w:p>
        </w:tc>
      </w:tr>
    </w:tbl>
    <w:p w14:paraId="4F409D16" w14:textId="04B0606E" w:rsidR="003529C7" w:rsidRPr="009E64FB" w:rsidRDefault="003529C7" w:rsidP="003529C7">
      <w:pPr>
        <w:pStyle w:val="BodyText"/>
        <w:rPr>
          <w:sz w:val="2"/>
          <w:szCs w:val="2"/>
        </w:rPr>
      </w:pPr>
      <w:r w:rsidRPr="009E64FB">
        <w:rPr>
          <w:sz w:val="2"/>
          <w:szCs w:val="2"/>
        </w:rPr>
        <w:br w:type="page"/>
      </w:r>
    </w:p>
    <w:p w14:paraId="7208CF10" w14:textId="004DBD91" w:rsidR="00573F9B" w:rsidRDefault="00573F9B" w:rsidP="00F65A13">
      <w:pPr>
        <w:pStyle w:val="Heading1"/>
      </w:pPr>
      <w:bookmarkStart w:id="219" w:name="_Toc492524773"/>
      <w:r>
        <w:lastRenderedPageBreak/>
        <w:t xml:space="preserve">Capacity </w:t>
      </w:r>
      <w:r w:rsidR="00852D52">
        <w:t>L</w:t>
      </w:r>
      <w:r>
        <w:t xml:space="preserve">isting </w:t>
      </w:r>
      <w:r w:rsidR="00852D52">
        <w:t>S</w:t>
      </w:r>
      <w:r>
        <w:t>ervice</w:t>
      </w:r>
      <w:r w:rsidR="009D2E80">
        <w:t xml:space="preserve"> and </w:t>
      </w:r>
      <w:r w:rsidR="00852D52">
        <w:t>B</w:t>
      </w:r>
      <w:r w:rsidR="009D2E80">
        <w:t xml:space="preserve">ilateral </w:t>
      </w:r>
      <w:r w:rsidR="00852D52">
        <w:t>T</w:t>
      </w:r>
      <w:r w:rsidR="009D2E80">
        <w:t>rading</w:t>
      </w:r>
      <w:bookmarkEnd w:id="219"/>
    </w:p>
    <w:p w14:paraId="40F3BE6F" w14:textId="25A6D2C0" w:rsidR="00573F9B" w:rsidRDefault="00573F9B" w:rsidP="00573F9B">
      <w:pPr>
        <w:pStyle w:val="BodyText"/>
      </w:pPr>
      <w:r>
        <w:t xml:space="preserve">In contrast to the exchange, the </w:t>
      </w:r>
      <w:r w:rsidRPr="00BD3BA8">
        <w:t>listing service allow</w:t>
      </w:r>
      <w:r>
        <w:t>s</w:t>
      </w:r>
      <w:r w:rsidRPr="00BD3BA8">
        <w:t xml:space="preserve"> shippers to specify any </w:t>
      </w:r>
      <w:r>
        <w:t xml:space="preserve">service </w:t>
      </w:r>
      <w:r w:rsidRPr="00BD3BA8">
        <w:t>they wish to buy or sell and the price at which they are willing to do so</w:t>
      </w:r>
      <w:r>
        <w:t xml:space="preserve"> and to enter into trades through </w:t>
      </w:r>
      <w:r w:rsidRPr="00BD3BA8">
        <w:t>bilateral negotiations</w:t>
      </w:r>
      <w:r>
        <w:t xml:space="preserve">. As noted in section 6.2, there is already a capacity listing service on the GSH that enables market participants to list </w:t>
      </w:r>
      <w:r w:rsidRPr="004002B2">
        <w:t>transportation</w:t>
      </w:r>
      <w:r>
        <w:t xml:space="preserve"> services</w:t>
      </w:r>
      <w:r w:rsidRPr="004002B2">
        <w:t>, storage</w:t>
      </w:r>
      <w:r>
        <w:t xml:space="preserve"> services, gas</w:t>
      </w:r>
      <w:r w:rsidRPr="004002B2">
        <w:t xml:space="preserve"> and </w:t>
      </w:r>
      <w:r>
        <w:t xml:space="preserve">swaps that they have an interest in buying or selling. </w:t>
      </w:r>
      <w:r w:rsidR="009D2E80">
        <w:t xml:space="preserve">The Capacity Trading Platform project team were asked if they thought any changes to the design of the listing service were required, but the project team was of the view that it was working as intended by the AEMC and that no changes were required. </w:t>
      </w:r>
    </w:p>
    <w:p w14:paraId="4258A7F0" w14:textId="1ECBD60B" w:rsidR="00573F9B" w:rsidRDefault="009D2E80" w:rsidP="00573F9B">
      <w:pPr>
        <w:pStyle w:val="BodyText"/>
      </w:pPr>
      <w:r>
        <w:t>While changes to the design of the listing service may not be required, s</w:t>
      </w:r>
      <w:r w:rsidR="00573F9B">
        <w:t xml:space="preserve">ome changes to the governance arrangements </w:t>
      </w:r>
      <w:r w:rsidR="005F7365">
        <w:t xml:space="preserve">that apply to the listing service and bilateral trading more generally </w:t>
      </w:r>
      <w:r w:rsidR="00573F9B">
        <w:t>may</w:t>
      </w:r>
      <w:r>
        <w:t xml:space="preserve"> </w:t>
      </w:r>
      <w:r w:rsidR="00573F9B">
        <w:t xml:space="preserve">be required </w:t>
      </w:r>
      <w:r w:rsidR="005F7365">
        <w:t xml:space="preserve">if the following recommendations in the </w:t>
      </w:r>
      <w:r w:rsidR="008E65B0">
        <w:t xml:space="preserve">AEMC’s </w:t>
      </w:r>
      <w:r w:rsidR="008E65B0" w:rsidRPr="008E65B0">
        <w:rPr>
          <w:i/>
        </w:rPr>
        <w:t>East Coast Review</w:t>
      </w:r>
      <w:r w:rsidR="005F7365">
        <w:rPr>
          <w:i/>
        </w:rPr>
        <w:t xml:space="preserve"> </w:t>
      </w:r>
      <w:r w:rsidR="005F7365">
        <w:t>are implemented</w:t>
      </w:r>
      <w:r w:rsidR="00573F9B">
        <w:t>:</w:t>
      </w:r>
      <w:r w:rsidR="008E65B0">
        <w:rPr>
          <w:rStyle w:val="FootnoteReference"/>
        </w:rPr>
        <w:footnoteReference w:id="113"/>
      </w:r>
    </w:p>
    <w:p w14:paraId="4A5D9961" w14:textId="396E0855" w:rsidR="008E65B0" w:rsidRDefault="008E65B0" w:rsidP="008E65B0">
      <w:pPr>
        <w:pStyle w:val="ListBullet"/>
      </w:pPr>
      <w:r>
        <w:t>I</w:t>
      </w:r>
      <w:r w:rsidR="00573F9B">
        <w:t xml:space="preserve">f </w:t>
      </w:r>
      <w:r>
        <w:t xml:space="preserve">a seller enters into a bilateral capacity trade, it must offer the buyer the option of using an operational transfer to give effect to the trade. This recommendation was classified by the AEMC as a required outcome because it </w:t>
      </w:r>
      <w:r w:rsidR="005F7365">
        <w:t>had concerns that the use of a bare transfer may result in secondary shippers having to submit nominations to potential competitors</w:t>
      </w:r>
      <w:r>
        <w:t>.</w:t>
      </w:r>
      <w:r w:rsidR="005F7365">
        <w:rPr>
          <w:rStyle w:val="FootnoteReference"/>
        </w:rPr>
        <w:footnoteReference w:id="114"/>
      </w:r>
      <w:r w:rsidR="009D2E80">
        <w:t xml:space="preserve"> Rather than banning bare transfers, the AEMC recommended that the seller always offer prospective buyers the option to use an operational transfer.</w:t>
      </w:r>
    </w:p>
    <w:p w14:paraId="731B0AEE" w14:textId="5F82C658" w:rsidR="00151A17" w:rsidRDefault="008E65B0" w:rsidP="00151A17">
      <w:pPr>
        <w:pStyle w:val="ListBullet"/>
      </w:pPr>
      <w:r>
        <w:t>T</w:t>
      </w:r>
      <w:r w:rsidR="00573F9B">
        <w:t xml:space="preserve">rades conducted </w:t>
      </w:r>
      <w:r w:rsidR="00573F9B" w:rsidRPr="008D4D90">
        <w:t xml:space="preserve">outside the </w:t>
      </w:r>
      <w:r>
        <w:t xml:space="preserve">exchange should </w:t>
      </w:r>
      <w:r w:rsidR="00573F9B" w:rsidRPr="008D4D90">
        <w:t>be advertised ahead of time</w:t>
      </w:r>
      <w:r w:rsidR="00573F9B">
        <w:t xml:space="preserve"> on the listing service</w:t>
      </w:r>
      <w:r w:rsidR="005F7365">
        <w:t xml:space="preserve">. This recommendation was classified by the AEMC as a </w:t>
      </w:r>
      <w:r>
        <w:t>preferred outcome</w:t>
      </w:r>
      <w:r w:rsidR="009D2E80">
        <w:t xml:space="preserve">. In this case, the AEMC noted that it </w:t>
      </w:r>
      <w:r>
        <w:t>was concerned that allowing trad</w:t>
      </w:r>
      <w:r w:rsidR="005F7365">
        <w:t>e</w:t>
      </w:r>
      <w:r>
        <w:t xml:space="preserve">s </w:t>
      </w:r>
      <w:r w:rsidR="009D2E80">
        <w:t xml:space="preserve">to occur </w:t>
      </w:r>
      <w:r>
        <w:t xml:space="preserve">outside the </w:t>
      </w:r>
      <w:r w:rsidR="009D2E80">
        <w:t xml:space="preserve">exchange </w:t>
      </w:r>
      <w:r>
        <w:t>would not guarantee non-discriminatory access to capacity</w:t>
      </w:r>
      <w:r w:rsidR="005F7365">
        <w:t>.</w:t>
      </w:r>
      <w:r>
        <w:t xml:space="preserve"> </w:t>
      </w:r>
      <w:r w:rsidR="00151A17">
        <w:t>Specifically, the AEMC was concerned that c</w:t>
      </w:r>
      <w:r w:rsidR="00151A17" w:rsidRPr="00FB5975">
        <w:t xml:space="preserve">ounterparties could discriminate against one another, by choosing not to enter into a bilateral trade, or pricing </w:t>
      </w:r>
      <w:r w:rsidR="00151A17">
        <w:t xml:space="preserve">the </w:t>
      </w:r>
      <w:r w:rsidR="00151A17" w:rsidRPr="00FB5975">
        <w:t>trade differently than would otherwise be the case.</w:t>
      </w:r>
      <w:r w:rsidR="00151A17">
        <w:rPr>
          <w:rStyle w:val="FootnoteReference"/>
        </w:rPr>
        <w:footnoteReference w:id="115"/>
      </w:r>
      <w:r w:rsidR="00151A17">
        <w:t xml:space="preserve"> </w:t>
      </w:r>
    </w:p>
    <w:p w14:paraId="23E01666" w14:textId="057455DB" w:rsidR="00151A17" w:rsidRDefault="00151A17" w:rsidP="00151A17">
      <w:pPr>
        <w:pStyle w:val="BodyText"/>
      </w:pPr>
      <w:r>
        <w:t xml:space="preserve">Implementing the first of these recommendations will be relatively straightforward. In short, it will require </w:t>
      </w:r>
      <w:r w:rsidR="005F7365" w:rsidRPr="0057020B">
        <w:t xml:space="preserve">changes </w:t>
      </w:r>
      <w:r>
        <w:t xml:space="preserve">to </w:t>
      </w:r>
      <w:r w:rsidR="005F7365" w:rsidRPr="0057020B">
        <w:t>be made to the NGL</w:t>
      </w:r>
      <w:r w:rsidR="005F7365" w:rsidRPr="0057020B">
        <w:rPr>
          <w:vertAlign w:val="superscript"/>
        </w:rPr>
        <w:footnoteReference w:id="116"/>
      </w:r>
      <w:r w:rsidR="005F7365">
        <w:t xml:space="preserve"> and the NGR, to </w:t>
      </w:r>
      <w:r w:rsidR="005F7365" w:rsidRPr="0057020B">
        <w:t xml:space="preserve">require </w:t>
      </w:r>
      <w:r w:rsidR="005F7365">
        <w:t xml:space="preserve">shippers </w:t>
      </w:r>
      <w:r w:rsidR="005F7365" w:rsidRPr="0057020B">
        <w:t xml:space="preserve">that </w:t>
      </w:r>
      <w:r w:rsidR="005F7365">
        <w:t xml:space="preserve">sell secondary capacity on a bilateral basis to </w:t>
      </w:r>
      <w:r w:rsidR="005F7365" w:rsidRPr="0057020B">
        <w:t xml:space="preserve">offer </w:t>
      </w:r>
      <w:r w:rsidR="005F7365">
        <w:t xml:space="preserve">buyers the option of using an operational transfer to give effect to the trade. </w:t>
      </w:r>
      <w:r w:rsidRPr="0057020B">
        <w:t xml:space="preserve">It is envisaged that </w:t>
      </w:r>
      <w:r>
        <w:t xml:space="preserve">this obligation </w:t>
      </w:r>
      <w:r w:rsidRPr="0057020B">
        <w:t xml:space="preserve">would be classified as </w:t>
      </w:r>
      <w:r w:rsidR="0082203A">
        <w:t xml:space="preserve">a </w:t>
      </w:r>
      <w:r w:rsidRPr="0057020B">
        <w:t xml:space="preserve">civil penalty </w:t>
      </w:r>
      <w:r w:rsidR="0082203A">
        <w:t>and conduct provision</w:t>
      </w:r>
      <w:r w:rsidRPr="0057020B">
        <w:t xml:space="preserve"> in the regulations made under the NGL</w:t>
      </w:r>
      <w:r w:rsidR="009D2E80">
        <w:t xml:space="preserve"> and </w:t>
      </w:r>
      <w:r w:rsidRPr="0057020B">
        <w:t>the AER would</w:t>
      </w:r>
      <w:r>
        <w:t xml:space="preserve"> </w:t>
      </w:r>
      <w:r w:rsidRPr="0057020B">
        <w:t xml:space="preserve">be responsible for monitoring compliance with </w:t>
      </w:r>
      <w:r>
        <w:t xml:space="preserve">this </w:t>
      </w:r>
      <w:r w:rsidRPr="0057020B">
        <w:t>obligation</w:t>
      </w:r>
      <w:r>
        <w:t xml:space="preserve">. Compliance monitoring in this case is expected to occur on a reactive basis in response to complaints from secondary shippers that have not been offered the option of </w:t>
      </w:r>
      <w:r w:rsidR="009D2E80">
        <w:t>an</w:t>
      </w:r>
      <w:r>
        <w:t xml:space="preserve"> operational transfer.</w:t>
      </w:r>
    </w:p>
    <w:p w14:paraId="58AC41C7" w14:textId="3FC7CCB9" w:rsidR="00852D52" w:rsidRDefault="00151A17" w:rsidP="00B836C8">
      <w:pPr>
        <w:pStyle w:val="BodyText"/>
      </w:pPr>
      <w:r>
        <w:t xml:space="preserve">In contrast to the first recommendation, the recommendation that all trades be advertised ahead of time on the listing service </w:t>
      </w:r>
      <w:r w:rsidR="009D2E80">
        <w:t xml:space="preserve">could </w:t>
      </w:r>
      <w:r>
        <w:t xml:space="preserve">be difficult to implement and </w:t>
      </w:r>
      <w:r w:rsidR="00B836C8">
        <w:t xml:space="preserve">monitor </w:t>
      </w:r>
      <w:r>
        <w:t>because trading pa</w:t>
      </w:r>
      <w:r w:rsidRPr="00B836C8">
        <w:t xml:space="preserve">rties are unlikely to have an incentive to inform </w:t>
      </w:r>
      <w:r w:rsidR="002D5C8A">
        <w:t>the AER</w:t>
      </w:r>
      <w:r w:rsidRPr="00B836C8">
        <w:t xml:space="preserve">. </w:t>
      </w:r>
      <w:r w:rsidR="00B836C8" w:rsidRPr="00B836C8">
        <w:t xml:space="preserve">This point was </w:t>
      </w:r>
      <w:r w:rsidR="007359B3">
        <w:t xml:space="preserve">noted </w:t>
      </w:r>
      <w:r w:rsidR="00B836C8" w:rsidRPr="00B836C8">
        <w:lastRenderedPageBreak/>
        <w:t xml:space="preserve">by the </w:t>
      </w:r>
      <w:r w:rsidR="00261321" w:rsidRPr="00B836C8">
        <w:t>Capacity Trading Platform project team</w:t>
      </w:r>
      <w:r w:rsidR="00B836C8" w:rsidRPr="00B836C8">
        <w:t xml:space="preserve">, </w:t>
      </w:r>
      <w:r w:rsidR="007359B3">
        <w:t xml:space="preserve">which </w:t>
      </w:r>
      <w:r w:rsidR="00B836C8" w:rsidRPr="00B836C8">
        <w:t xml:space="preserve">also </w:t>
      </w:r>
      <w:r w:rsidR="007359B3">
        <w:t xml:space="preserve">noted </w:t>
      </w:r>
      <w:r w:rsidR="00261321" w:rsidRPr="00B836C8">
        <w:t xml:space="preserve">that discriminatory </w:t>
      </w:r>
      <w:r w:rsidR="00B836C8" w:rsidRPr="00B836C8">
        <w:t>access</w:t>
      </w:r>
      <w:r w:rsidR="007359B3">
        <w:t xml:space="preserve"> was not as significant an issue as it was in the US where this approach has been employed</w:t>
      </w:r>
      <w:r w:rsidR="00B836C8" w:rsidRPr="00B836C8">
        <w:t>. The project team went on to add that this type of obligation could</w:t>
      </w:r>
      <w:r w:rsidR="00852D52">
        <w:t>:</w:t>
      </w:r>
      <w:r w:rsidR="00B836C8" w:rsidRPr="00B836C8">
        <w:t xml:space="preserve"> </w:t>
      </w:r>
    </w:p>
    <w:p w14:paraId="78F753A1" w14:textId="77777777" w:rsidR="00852D52" w:rsidRDefault="00B836C8" w:rsidP="00852D52">
      <w:pPr>
        <w:pStyle w:val="ListBullet"/>
      </w:pPr>
      <w:r w:rsidRPr="00B836C8">
        <w:t xml:space="preserve">adversely </w:t>
      </w:r>
      <w:r w:rsidR="00261321" w:rsidRPr="00B836C8">
        <w:t>affect their ability to carry out deals in a timely manner</w:t>
      </w:r>
      <w:r w:rsidR="00852D52">
        <w:t>;</w:t>
      </w:r>
      <w:r w:rsidRPr="00B836C8">
        <w:t xml:space="preserve"> and </w:t>
      </w:r>
    </w:p>
    <w:p w14:paraId="35F7F789" w14:textId="77777777" w:rsidR="00852D52" w:rsidRDefault="00B836C8" w:rsidP="00852D52">
      <w:pPr>
        <w:pStyle w:val="ListBullet"/>
      </w:pPr>
      <w:r w:rsidRPr="00B836C8">
        <w:t>discourage trade</w:t>
      </w:r>
      <w:r>
        <w:t>s where secondary capacity is one component of the overall deal</w:t>
      </w:r>
      <w:r w:rsidRPr="00B836C8">
        <w:t xml:space="preserve"> (e.g. delivered gas products) even when it would be efficiency enhancing, because </w:t>
      </w:r>
      <w:r w:rsidR="00852D52">
        <w:t>having to advertise the capacity component in advance could pose</w:t>
      </w:r>
      <w:r w:rsidRPr="00B836C8">
        <w:t xml:space="preserve"> a risk to the overall deal. </w:t>
      </w:r>
    </w:p>
    <w:p w14:paraId="24960388" w14:textId="12577C09" w:rsidR="00573F9B" w:rsidRPr="00B836C8" w:rsidRDefault="00B836C8" w:rsidP="00B836C8">
      <w:pPr>
        <w:pStyle w:val="BodyText"/>
        <w:rPr>
          <w:rFonts w:asciiTheme="majorHAnsi" w:hAnsiTheme="majorHAnsi" w:cstheme="majorHAnsi"/>
        </w:rPr>
      </w:pPr>
      <w:r>
        <w:t xml:space="preserve">The </w:t>
      </w:r>
      <w:r w:rsidR="0082203A">
        <w:t xml:space="preserve">views of </w:t>
      </w:r>
      <w:r>
        <w:t xml:space="preserve">the project team expressed in this context </w:t>
      </w:r>
      <w:r w:rsidR="0082203A">
        <w:t xml:space="preserve">are </w:t>
      </w:r>
      <w:r>
        <w:t xml:space="preserve">similar to the feedback that the AEMC received from stakeholders in the </w:t>
      </w:r>
      <w:r w:rsidRPr="00B836C8">
        <w:rPr>
          <w:i/>
        </w:rPr>
        <w:t>East Coast Review.</w:t>
      </w:r>
      <w:r>
        <w:rPr>
          <w:rStyle w:val="FootnoteReference"/>
          <w:i/>
        </w:rPr>
        <w:footnoteReference w:id="117"/>
      </w:r>
    </w:p>
    <w:p w14:paraId="2A124117" w14:textId="60CC6414" w:rsidR="00573F9B" w:rsidRPr="00B836C8" w:rsidRDefault="00B836C8" w:rsidP="00B836C8">
      <w:pPr>
        <w:pStyle w:val="BodyText"/>
        <w:rPr>
          <w:highlight w:val="yellow"/>
        </w:rPr>
      </w:pPr>
      <w:r>
        <w:t>While t</w:t>
      </w:r>
      <w:r w:rsidR="00573F9B" w:rsidRPr="00B836C8">
        <w:t xml:space="preserve">he GMRG </w:t>
      </w:r>
      <w:r>
        <w:t xml:space="preserve">appreciates the concerns that project team members and stakeholders in the East Coast Review have raised about this recommendation, it is yet to form a </w:t>
      </w:r>
      <w:r w:rsidR="002618F0">
        <w:t xml:space="preserve">final </w:t>
      </w:r>
      <w:r>
        <w:t xml:space="preserve">view on </w:t>
      </w:r>
      <w:r w:rsidR="002618F0">
        <w:t xml:space="preserve">this issue. The GMRG </w:t>
      </w:r>
      <w:r>
        <w:t xml:space="preserve">would </w:t>
      </w:r>
      <w:r w:rsidR="002618F0">
        <w:t xml:space="preserve">therefore </w:t>
      </w:r>
      <w:r w:rsidR="00573F9B" w:rsidRPr="00B836C8">
        <w:t xml:space="preserve">appreciate </w:t>
      </w:r>
      <w:r w:rsidR="002618F0">
        <w:t xml:space="preserve">further feedback from </w:t>
      </w:r>
      <w:r w:rsidR="00573F9B" w:rsidRPr="00B836C8">
        <w:t>stakeholder</w:t>
      </w:r>
      <w:r w:rsidR="002618F0">
        <w:t>s</w:t>
      </w:r>
      <w:r w:rsidR="00573F9B" w:rsidRPr="00B836C8">
        <w:t xml:space="preserve"> </w:t>
      </w:r>
      <w:r w:rsidR="002618F0">
        <w:t xml:space="preserve">on the workability of this proposal and </w:t>
      </w:r>
      <w:r w:rsidR="00852D52">
        <w:t xml:space="preserve">whether </w:t>
      </w:r>
      <w:r w:rsidR="002618F0">
        <w:t xml:space="preserve">the AEMC’s concerns about discriminatory access could be </w:t>
      </w:r>
      <w:r w:rsidR="00852D52">
        <w:t xml:space="preserve">addressed by </w:t>
      </w:r>
      <w:r w:rsidR="002618F0">
        <w:t xml:space="preserve">the new </w:t>
      </w:r>
      <w:r w:rsidR="00573F9B" w:rsidRPr="00B836C8">
        <w:t xml:space="preserve">reporting </w:t>
      </w:r>
      <w:r w:rsidR="002618F0">
        <w:t xml:space="preserve">framework that is to be developed for </w:t>
      </w:r>
      <w:r w:rsidR="00573F9B" w:rsidRPr="00B836C8">
        <w:t>bilateral trades</w:t>
      </w:r>
      <w:r w:rsidR="002618F0">
        <w:t xml:space="preserve"> and the day-ahead auction</w:t>
      </w:r>
      <w:r w:rsidR="00573F9B" w:rsidRPr="00B836C8">
        <w:t>.</w:t>
      </w:r>
    </w:p>
    <w:tbl>
      <w:tblPr>
        <w:tblStyle w:val="PullOutBoxTable"/>
        <w:tblW w:w="5000" w:type="pct"/>
        <w:shd w:val="clear" w:color="auto" w:fill="B7E7FF"/>
        <w:tblLook w:val="0600" w:firstRow="0" w:lastRow="0" w:firstColumn="0" w:lastColumn="0" w:noHBand="1" w:noVBand="1"/>
        <w:tblCaption w:val="Box 11.1: Questions on bilateral trading obligations "/>
        <w:tblDescription w:val="Questions on bilateral trading obligations "/>
      </w:tblPr>
      <w:tblGrid>
        <w:gridCol w:w="8788"/>
      </w:tblGrid>
      <w:tr w:rsidR="00B836C8" w:rsidRPr="002618F0" w14:paraId="5E8E9ABE" w14:textId="77777777" w:rsidTr="00FF53B6">
        <w:trPr>
          <w:tblHeader/>
        </w:trPr>
        <w:tc>
          <w:tcPr>
            <w:tcW w:w="5000" w:type="pct"/>
            <w:shd w:val="clear" w:color="auto" w:fill="auto"/>
          </w:tcPr>
          <w:p w14:paraId="346D4220" w14:textId="0BBE9DF5" w:rsidR="00B836C8" w:rsidRPr="002618F0" w:rsidRDefault="0022493D" w:rsidP="00FF53B6">
            <w:pPr>
              <w:pStyle w:val="ListBullet2"/>
              <w:numPr>
                <w:ilvl w:val="0"/>
                <w:numId w:val="0"/>
              </w:numPr>
              <w:spacing w:after="0"/>
              <w:rPr>
                <w:sz w:val="21"/>
                <w:szCs w:val="21"/>
              </w:rPr>
            </w:pPr>
            <w:r w:rsidRPr="0057020B">
              <w:rPr>
                <w:rFonts w:eastAsiaTheme="minorHAnsi" w:cstheme="minorBidi"/>
                <w:b/>
                <w:bCs/>
                <w:lang w:eastAsia="fr-CA"/>
              </w:rPr>
              <w:t xml:space="preserve">Box </w:t>
            </w:r>
            <w:r>
              <w:rPr>
                <w:rFonts w:eastAsiaTheme="minorHAnsi" w:cstheme="minorBidi"/>
                <w:b/>
                <w:bCs/>
                <w:lang w:eastAsia="fr-CA"/>
              </w:rPr>
              <w:fldChar w:fldCharType="begin"/>
            </w:r>
            <w:r>
              <w:rPr>
                <w:rFonts w:eastAsiaTheme="minorHAnsi" w:cstheme="minorBidi"/>
                <w:b/>
                <w:bCs/>
                <w:lang w:eastAsia="fr-CA"/>
              </w:rPr>
              <w:instrText xml:space="preserve"> STYLEREF 1 \s </w:instrText>
            </w:r>
            <w:r>
              <w:rPr>
                <w:rFonts w:eastAsiaTheme="minorHAnsi" w:cstheme="minorBidi"/>
                <w:b/>
                <w:bCs/>
                <w:lang w:eastAsia="fr-CA"/>
              </w:rPr>
              <w:fldChar w:fldCharType="separate"/>
            </w:r>
            <w:r>
              <w:rPr>
                <w:rFonts w:eastAsiaTheme="minorHAnsi" w:cstheme="minorBidi"/>
                <w:b/>
                <w:bCs/>
                <w:noProof/>
                <w:lang w:eastAsia="fr-CA"/>
              </w:rPr>
              <w:t>11</w:t>
            </w:r>
            <w:r>
              <w:rPr>
                <w:rFonts w:eastAsiaTheme="minorHAnsi" w:cstheme="minorBidi"/>
                <w:b/>
                <w:bCs/>
                <w:lang w:eastAsia="fr-CA"/>
              </w:rPr>
              <w:fldChar w:fldCharType="end"/>
            </w:r>
            <w:r>
              <w:rPr>
                <w:rFonts w:eastAsiaTheme="minorHAnsi" w:cstheme="minorBidi"/>
                <w:b/>
                <w:bCs/>
                <w:lang w:eastAsia="fr-CA"/>
              </w:rPr>
              <w:t>.</w:t>
            </w:r>
            <w:r>
              <w:rPr>
                <w:rFonts w:eastAsiaTheme="minorHAnsi" w:cstheme="minorBidi"/>
                <w:b/>
                <w:bCs/>
                <w:lang w:eastAsia="fr-CA"/>
              </w:rPr>
              <w:fldChar w:fldCharType="begin"/>
            </w:r>
            <w:r>
              <w:rPr>
                <w:rFonts w:eastAsiaTheme="minorHAnsi" w:cstheme="minorBidi"/>
                <w:b/>
                <w:bCs/>
                <w:lang w:eastAsia="fr-CA"/>
              </w:rPr>
              <w:instrText xml:space="preserve"> SEQ Box \* ARABIC \s 1 </w:instrText>
            </w:r>
            <w:r>
              <w:rPr>
                <w:rFonts w:eastAsiaTheme="minorHAnsi" w:cstheme="minorBidi"/>
                <w:b/>
                <w:bCs/>
                <w:lang w:eastAsia="fr-CA"/>
              </w:rPr>
              <w:fldChar w:fldCharType="separate"/>
            </w:r>
            <w:r>
              <w:rPr>
                <w:rFonts w:eastAsiaTheme="minorHAnsi" w:cstheme="minorBidi"/>
                <w:b/>
                <w:bCs/>
                <w:noProof/>
                <w:lang w:eastAsia="fr-CA"/>
              </w:rPr>
              <w:t>1</w:t>
            </w:r>
            <w:r>
              <w:rPr>
                <w:rFonts w:eastAsiaTheme="minorHAnsi" w:cstheme="minorBidi"/>
                <w:b/>
                <w:bCs/>
                <w:lang w:eastAsia="fr-CA"/>
              </w:rPr>
              <w:fldChar w:fldCharType="end"/>
            </w:r>
            <w:r w:rsidRPr="0057020B">
              <w:rPr>
                <w:rFonts w:eastAsiaTheme="minorHAnsi" w:cstheme="minorBidi"/>
                <w:b/>
                <w:bCs/>
                <w:lang w:eastAsia="fr-CA"/>
              </w:rPr>
              <w:t xml:space="preserve">: </w:t>
            </w:r>
            <w:r w:rsidRPr="0057020B">
              <w:rPr>
                <w:rFonts w:eastAsiaTheme="minorHAnsi" w:cstheme="minorBidi"/>
                <w:b/>
                <w:lang w:eastAsia="fr-CA"/>
              </w:rPr>
              <w:t xml:space="preserve">Questions on </w:t>
            </w:r>
            <w:r>
              <w:rPr>
                <w:rFonts w:eastAsiaTheme="minorHAnsi" w:cstheme="minorBidi"/>
                <w:b/>
                <w:lang w:eastAsia="fr-CA"/>
              </w:rPr>
              <w:t>bilateral trading obligations</w:t>
            </w:r>
          </w:p>
        </w:tc>
      </w:tr>
      <w:tr w:rsidR="0022493D" w:rsidRPr="002618F0" w14:paraId="0B78A7E2" w14:textId="77777777" w:rsidTr="0022493D">
        <w:trPr>
          <w:tblHeader/>
        </w:trPr>
        <w:tc>
          <w:tcPr>
            <w:tcW w:w="5000" w:type="pct"/>
            <w:shd w:val="clear" w:color="auto" w:fill="B7E7FF"/>
          </w:tcPr>
          <w:p w14:paraId="71018913" w14:textId="77777777" w:rsidR="0022493D" w:rsidRPr="002618F0" w:rsidRDefault="0022493D" w:rsidP="0022493D">
            <w:pPr>
              <w:pStyle w:val="ListNumber"/>
              <w:numPr>
                <w:ilvl w:val="0"/>
                <w:numId w:val="23"/>
              </w:numPr>
              <w:ind w:left="567" w:hanging="567"/>
              <w:rPr>
                <w:sz w:val="21"/>
                <w:szCs w:val="21"/>
              </w:rPr>
            </w:pPr>
            <w:r w:rsidRPr="002618F0">
              <w:rPr>
                <w:sz w:val="21"/>
                <w:szCs w:val="21"/>
              </w:rPr>
              <w:t xml:space="preserve">Do you think that shippers offering to sell capacity on a bilateral basis should be required to offer </w:t>
            </w:r>
            <w:r>
              <w:rPr>
                <w:sz w:val="21"/>
                <w:szCs w:val="21"/>
              </w:rPr>
              <w:t xml:space="preserve">a prospective buyer the option of using an operational transfer </w:t>
            </w:r>
            <w:r w:rsidRPr="002618F0">
              <w:rPr>
                <w:sz w:val="21"/>
                <w:szCs w:val="21"/>
              </w:rPr>
              <w:t>to give effect to the trade?</w:t>
            </w:r>
          </w:p>
          <w:p w14:paraId="62F48AEC" w14:textId="77777777" w:rsidR="0022493D" w:rsidRPr="002618F0" w:rsidRDefault="0022493D" w:rsidP="0022493D">
            <w:pPr>
              <w:pStyle w:val="ListBullet2"/>
              <w:ind w:left="924"/>
              <w:rPr>
                <w:sz w:val="21"/>
                <w:szCs w:val="21"/>
              </w:rPr>
            </w:pPr>
            <w:r w:rsidRPr="002618F0">
              <w:rPr>
                <w:sz w:val="21"/>
                <w:szCs w:val="21"/>
              </w:rPr>
              <w:t>If not, please explain why.</w:t>
            </w:r>
          </w:p>
          <w:p w14:paraId="5A8264A9" w14:textId="77777777" w:rsidR="0022493D" w:rsidRPr="002618F0" w:rsidRDefault="0022493D" w:rsidP="0022493D">
            <w:pPr>
              <w:pStyle w:val="ListBullet2"/>
              <w:ind w:left="924"/>
              <w:rPr>
                <w:sz w:val="21"/>
                <w:szCs w:val="21"/>
              </w:rPr>
            </w:pPr>
            <w:r w:rsidRPr="002618F0">
              <w:rPr>
                <w:sz w:val="21"/>
                <w:szCs w:val="21"/>
              </w:rPr>
              <w:t>If so, do you think the proposal to include a provision in the NGR to require shippers to offer this option will work effectively?</w:t>
            </w:r>
          </w:p>
          <w:p w14:paraId="575C9AEF" w14:textId="77777777" w:rsidR="0022493D" w:rsidRDefault="0022493D" w:rsidP="0022493D">
            <w:pPr>
              <w:pStyle w:val="ListNumber"/>
              <w:numPr>
                <w:ilvl w:val="0"/>
                <w:numId w:val="23"/>
              </w:numPr>
              <w:ind w:left="567" w:hanging="567"/>
              <w:rPr>
                <w:sz w:val="21"/>
                <w:szCs w:val="21"/>
              </w:rPr>
            </w:pPr>
            <w:r>
              <w:rPr>
                <w:sz w:val="21"/>
                <w:szCs w:val="21"/>
              </w:rPr>
              <w:t>Do you think it should be mandatory for shippers to advertise any secondary capacity trades conducted outside the exchange ahead of time on the listing service</w:t>
            </w:r>
            <w:r w:rsidRPr="002618F0">
              <w:rPr>
                <w:sz w:val="21"/>
                <w:szCs w:val="21"/>
              </w:rPr>
              <w:t>?</w:t>
            </w:r>
            <w:r>
              <w:rPr>
                <w:sz w:val="21"/>
                <w:szCs w:val="21"/>
              </w:rPr>
              <w:t xml:space="preserve"> </w:t>
            </w:r>
          </w:p>
          <w:p w14:paraId="755905FE" w14:textId="77777777" w:rsidR="00FF53B6" w:rsidRDefault="0022493D" w:rsidP="00FF53B6">
            <w:pPr>
              <w:pStyle w:val="ListBullet2"/>
              <w:ind w:left="924"/>
              <w:rPr>
                <w:sz w:val="21"/>
                <w:szCs w:val="21"/>
              </w:rPr>
            </w:pPr>
            <w:r w:rsidRPr="002618F0">
              <w:rPr>
                <w:sz w:val="21"/>
                <w:szCs w:val="21"/>
              </w:rPr>
              <w:t>If not, please explain why</w:t>
            </w:r>
            <w:r>
              <w:rPr>
                <w:sz w:val="21"/>
                <w:szCs w:val="21"/>
              </w:rPr>
              <w:t xml:space="preserve"> and also outline whether you think the AEMC’s concerns about discriminatory access could be dealt with in another way.</w:t>
            </w:r>
          </w:p>
          <w:p w14:paraId="6623EE45" w14:textId="7347DDCD" w:rsidR="0022493D" w:rsidRPr="00FF53B6" w:rsidRDefault="0022493D" w:rsidP="00FF53B6">
            <w:pPr>
              <w:pStyle w:val="ListBullet2"/>
              <w:ind w:left="924"/>
              <w:rPr>
                <w:sz w:val="21"/>
                <w:szCs w:val="21"/>
              </w:rPr>
            </w:pPr>
            <w:r w:rsidRPr="00FF53B6">
              <w:rPr>
                <w:sz w:val="21"/>
                <w:szCs w:val="21"/>
              </w:rPr>
              <w:t>If so, how do you think the practical issues raised by the project team could be overcome?</w:t>
            </w:r>
          </w:p>
        </w:tc>
      </w:tr>
    </w:tbl>
    <w:p w14:paraId="1957CA2D" w14:textId="41B99792" w:rsidR="00573F9B" w:rsidRPr="003529C7" w:rsidRDefault="00573F9B" w:rsidP="00573F9B">
      <w:pPr>
        <w:pStyle w:val="BodyText"/>
        <w:rPr>
          <w:highlight w:val="yellow"/>
        </w:rPr>
      </w:pPr>
    </w:p>
    <w:p w14:paraId="77FAF5DB" w14:textId="5B3DEF0E" w:rsidR="00573F9B" w:rsidRDefault="00573F9B" w:rsidP="00152358">
      <w:pPr>
        <w:pStyle w:val="BodyText"/>
      </w:pPr>
      <w:r>
        <w:br w:type="page"/>
      </w:r>
    </w:p>
    <w:p w14:paraId="072996A2" w14:textId="129156A6" w:rsidR="00C34E9D" w:rsidRPr="008B1B73" w:rsidRDefault="00852D52" w:rsidP="00F65A13">
      <w:pPr>
        <w:pStyle w:val="Heading1"/>
      </w:pPr>
      <w:bookmarkStart w:id="220" w:name="_Toc492524774"/>
      <w:r>
        <w:lastRenderedPageBreak/>
        <w:t xml:space="preserve">Changes to the </w:t>
      </w:r>
      <w:r w:rsidR="00F65A13">
        <w:t xml:space="preserve">Governance </w:t>
      </w:r>
      <w:r>
        <w:t>A</w:t>
      </w:r>
      <w:r w:rsidR="00F65A13">
        <w:t>rrangements</w:t>
      </w:r>
      <w:bookmarkEnd w:id="220"/>
      <w:r w:rsidR="00F65A13">
        <w:t xml:space="preserve"> </w:t>
      </w:r>
      <w:bookmarkEnd w:id="213"/>
    </w:p>
    <w:p w14:paraId="05E785D4" w14:textId="1847E6B8" w:rsidR="00E24465" w:rsidRDefault="00750FE3" w:rsidP="00CA09BA">
      <w:pPr>
        <w:pStyle w:val="BodyText"/>
        <w:rPr>
          <w:rFonts w:cs="Arial"/>
        </w:rPr>
      </w:pPr>
      <w:bookmarkStart w:id="221" w:name="_Hlk492108020"/>
      <w:r>
        <w:rPr>
          <w:rFonts w:cs="Arial"/>
        </w:rPr>
        <w:t xml:space="preserve">The governance framework that currently applies to the GSH is set out in the NGL, Part 22 of the NGR, the Exchange Agreement and a range of procedures that AEMO has developed (see </w:t>
      </w:r>
      <w:r>
        <w:rPr>
          <w:rFonts w:cs="Arial"/>
        </w:rPr>
        <w:fldChar w:fldCharType="begin"/>
      </w:r>
      <w:r>
        <w:rPr>
          <w:rFonts w:cs="Arial"/>
        </w:rPr>
        <w:instrText xml:space="preserve"> REF _Ref492108712 \h </w:instrText>
      </w:r>
      <w:r>
        <w:rPr>
          <w:rFonts w:cs="Arial"/>
        </w:rPr>
      </w:r>
      <w:r>
        <w:rPr>
          <w:rFonts w:cs="Arial"/>
        </w:rPr>
        <w:fldChar w:fldCharType="separate"/>
      </w:r>
      <w:r w:rsidR="00947034">
        <w:t xml:space="preserve">Table </w:t>
      </w:r>
      <w:r w:rsidR="00947034">
        <w:rPr>
          <w:noProof/>
        </w:rPr>
        <w:t>6</w:t>
      </w:r>
      <w:r w:rsidR="00947034">
        <w:t>.</w:t>
      </w:r>
      <w:r w:rsidR="00947034">
        <w:rPr>
          <w:noProof/>
        </w:rPr>
        <w:t>1</w:t>
      </w:r>
      <w:r>
        <w:rPr>
          <w:rFonts w:cs="Arial"/>
        </w:rPr>
        <w:fldChar w:fldCharType="end"/>
      </w:r>
      <w:r>
        <w:rPr>
          <w:rFonts w:cs="Arial"/>
        </w:rPr>
        <w:t xml:space="preserve">). While the same governance framework is expected to apply to the capacity trading component of the GSH, some changes to the NGR, the Exchange Agreement and procedures will be required to implement the capacity trading platform and the design options discussed in Chapters 7-11. </w:t>
      </w:r>
    </w:p>
    <w:p w14:paraId="789A89D4" w14:textId="1402E625" w:rsidR="00E24465" w:rsidRDefault="00E24465" w:rsidP="00E24465">
      <w:pPr>
        <w:pStyle w:val="BodyText"/>
      </w:pPr>
      <w:r>
        <w:fldChar w:fldCharType="begin"/>
      </w:r>
      <w:r>
        <w:instrText xml:space="preserve"> REF _Ref491918646 \h </w:instrText>
      </w:r>
      <w:r>
        <w:fldChar w:fldCharType="separate"/>
      </w:r>
      <w:r w:rsidR="00947034">
        <w:t xml:space="preserve">Table </w:t>
      </w:r>
      <w:r w:rsidR="00947034">
        <w:rPr>
          <w:noProof/>
        </w:rPr>
        <w:t>12</w:t>
      </w:r>
      <w:r w:rsidR="00947034">
        <w:t>.</w:t>
      </w:r>
      <w:r w:rsidR="00947034">
        <w:rPr>
          <w:noProof/>
        </w:rPr>
        <w:t>1</w:t>
      </w:r>
      <w:r>
        <w:fldChar w:fldCharType="end"/>
      </w:r>
      <w:r>
        <w:t xml:space="preserve"> </w:t>
      </w:r>
      <w:r w:rsidRPr="008B1B73">
        <w:t xml:space="preserve">summarises </w:t>
      </w:r>
      <w:r>
        <w:t xml:space="preserve">the </w:t>
      </w:r>
      <w:r w:rsidRPr="008B1B73">
        <w:t xml:space="preserve">changes </w:t>
      </w:r>
      <w:r>
        <w:t>to the governance arrangements that the GMRG expects will be required to implement the capacity trading platform. The GMRG is, however, interested in whether there are any other changes that stakeholders think will need to be made to the NGL, NGR, Exchange Agreement or Procedures (s</w:t>
      </w:r>
      <w:r w:rsidRPr="005701E6">
        <w:t xml:space="preserve">ee </w:t>
      </w:r>
      <w:r w:rsidRPr="005701E6">
        <w:fldChar w:fldCharType="begin"/>
      </w:r>
      <w:r w:rsidRPr="005701E6">
        <w:instrText xml:space="preserve"> REF _Ref492005737 \h  \* MERGEFORMAT </w:instrText>
      </w:r>
      <w:r w:rsidRPr="005701E6">
        <w:fldChar w:fldCharType="separate"/>
      </w:r>
      <w:r w:rsidR="00947034" w:rsidRPr="00947034">
        <w:t xml:space="preserve">Box </w:t>
      </w:r>
      <w:r w:rsidR="00947034" w:rsidRPr="00947034">
        <w:rPr>
          <w:noProof/>
        </w:rPr>
        <w:t>4.4</w:t>
      </w:r>
      <w:r w:rsidRPr="005701E6">
        <w:fldChar w:fldCharType="end"/>
      </w:r>
      <w:r w:rsidRPr="005701E6">
        <w:t>).</w:t>
      </w:r>
    </w:p>
    <w:p w14:paraId="383D370F" w14:textId="56096B12" w:rsidR="007C15B0" w:rsidRPr="00FF367C" w:rsidRDefault="007C15B0" w:rsidP="007C15B0">
      <w:pPr>
        <w:pStyle w:val="Caption"/>
        <w:spacing w:after="0"/>
        <w:rPr>
          <w:rStyle w:val="Bold"/>
          <w:b/>
        </w:rPr>
      </w:pPr>
      <w:bookmarkStart w:id="222" w:name="_Ref491918646"/>
      <w:r>
        <w:t xml:space="preserve">Table </w:t>
      </w:r>
      <w:r w:rsidR="00926D7E">
        <w:fldChar w:fldCharType="begin"/>
      </w:r>
      <w:r w:rsidR="00926D7E">
        <w:instrText xml:space="preserve"> STYLEREF 1 \s </w:instrText>
      </w:r>
      <w:r w:rsidR="00926D7E">
        <w:fldChar w:fldCharType="separate"/>
      </w:r>
      <w:r w:rsidR="00947034">
        <w:rPr>
          <w:noProof/>
        </w:rPr>
        <w:t>12</w:t>
      </w:r>
      <w:r w:rsidR="00926D7E">
        <w:rPr>
          <w:noProof/>
        </w:rPr>
        <w:fldChar w:fldCharType="end"/>
      </w:r>
      <w:r w:rsidR="001C4739">
        <w:t>.</w:t>
      </w:r>
      <w:r w:rsidR="00926D7E">
        <w:fldChar w:fldCharType="begin"/>
      </w:r>
      <w:r w:rsidR="00926D7E">
        <w:instrText xml:space="preserve"> SEQ Table \* ARABIC \s 1 </w:instrText>
      </w:r>
      <w:r w:rsidR="00926D7E">
        <w:fldChar w:fldCharType="separate"/>
      </w:r>
      <w:r w:rsidR="00947034">
        <w:rPr>
          <w:noProof/>
        </w:rPr>
        <w:t>1</w:t>
      </w:r>
      <w:r w:rsidR="00926D7E">
        <w:rPr>
          <w:noProof/>
        </w:rPr>
        <w:fldChar w:fldCharType="end"/>
      </w:r>
      <w:bookmarkEnd w:id="222"/>
      <w:r>
        <w:t xml:space="preserve">: </w:t>
      </w:r>
      <w:r w:rsidRPr="00FF367C">
        <w:rPr>
          <w:rStyle w:val="Bold"/>
          <w:b/>
        </w:rPr>
        <w:t xml:space="preserve">Governance </w:t>
      </w:r>
      <w:r>
        <w:rPr>
          <w:rStyle w:val="Bold"/>
          <w:b/>
        </w:rPr>
        <w:t>arrangements</w:t>
      </w:r>
    </w:p>
    <w:tbl>
      <w:tblPr>
        <w:tblStyle w:val="TableGrid"/>
        <w:tblW w:w="5081" w:type="pct"/>
        <w:tblLook w:val="0420" w:firstRow="1" w:lastRow="0" w:firstColumn="0" w:lastColumn="0" w:noHBand="0" w:noVBand="1"/>
        <w:tblCaption w:val="Table 12.1: Governance arrangements"/>
        <w:tblDescription w:val="Governance arrangements"/>
      </w:tblPr>
      <w:tblGrid>
        <w:gridCol w:w="1209"/>
        <w:gridCol w:w="1018"/>
        <w:gridCol w:w="6703"/>
      </w:tblGrid>
      <w:tr w:rsidR="007C15B0" w:rsidRPr="00482534" w14:paraId="120AD4A5" w14:textId="77777777" w:rsidTr="00482534">
        <w:trPr>
          <w:cnfStyle w:val="100000000000" w:firstRow="1" w:lastRow="0" w:firstColumn="0" w:lastColumn="0" w:oddVBand="0" w:evenVBand="0" w:oddHBand="0" w:evenHBand="0" w:firstRowFirstColumn="0" w:firstRowLastColumn="0" w:lastRowFirstColumn="0" w:lastRowLastColumn="0"/>
          <w:tblHeader/>
        </w:trPr>
        <w:tc>
          <w:tcPr>
            <w:tcW w:w="677" w:type="pct"/>
            <w:shd w:val="clear" w:color="auto" w:fill="0099CC"/>
          </w:tcPr>
          <w:p w14:paraId="1F7603E2" w14:textId="1EA2CEE1" w:rsidR="007C15B0" w:rsidRPr="00482534" w:rsidRDefault="007C15B0" w:rsidP="00E24465">
            <w:pPr>
              <w:pStyle w:val="TableHeading"/>
              <w:spacing w:before="40" w:after="40"/>
              <w:rPr>
                <w:sz w:val="20"/>
                <w:szCs w:val="20"/>
              </w:rPr>
            </w:pPr>
            <w:r w:rsidRPr="00482534">
              <w:rPr>
                <w:sz w:val="20"/>
                <w:szCs w:val="20"/>
              </w:rPr>
              <w:t>instrument</w:t>
            </w:r>
          </w:p>
        </w:tc>
        <w:tc>
          <w:tcPr>
            <w:tcW w:w="570" w:type="pct"/>
            <w:shd w:val="clear" w:color="auto" w:fill="0099CC"/>
          </w:tcPr>
          <w:p w14:paraId="0D7FA8E1" w14:textId="77777777" w:rsidR="007C15B0" w:rsidRPr="00482534" w:rsidRDefault="007C15B0" w:rsidP="00E24465">
            <w:pPr>
              <w:pStyle w:val="TableHeading"/>
              <w:spacing w:before="40" w:after="40"/>
              <w:rPr>
                <w:sz w:val="20"/>
                <w:szCs w:val="20"/>
              </w:rPr>
            </w:pPr>
            <w:r w:rsidRPr="00482534">
              <w:rPr>
                <w:sz w:val="20"/>
                <w:szCs w:val="20"/>
              </w:rPr>
              <w:t>Change required</w:t>
            </w:r>
          </w:p>
        </w:tc>
        <w:tc>
          <w:tcPr>
            <w:tcW w:w="3753" w:type="pct"/>
            <w:shd w:val="clear" w:color="auto" w:fill="0099CC"/>
          </w:tcPr>
          <w:p w14:paraId="757E86EB" w14:textId="6A9AE07F" w:rsidR="007C15B0" w:rsidRPr="00482534" w:rsidRDefault="00E24465" w:rsidP="00E24465">
            <w:pPr>
              <w:pStyle w:val="TableHeading"/>
              <w:spacing w:before="40" w:after="40"/>
              <w:rPr>
                <w:sz w:val="20"/>
                <w:szCs w:val="20"/>
              </w:rPr>
            </w:pPr>
            <w:r w:rsidRPr="00482534">
              <w:rPr>
                <w:sz w:val="20"/>
                <w:szCs w:val="20"/>
              </w:rPr>
              <w:t>Summary</w:t>
            </w:r>
          </w:p>
        </w:tc>
      </w:tr>
      <w:tr w:rsidR="007C15B0" w:rsidRPr="00482534" w14:paraId="2AC60F85" w14:textId="77777777" w:rsidTr="00482534">
        <w:tc>
          <w:tcPr>
            <w:tcW w:w="677" w:type="pct"/>
          </w:tcPr>
          <w:p w14:paraId="448C6760" w14:textId="688FA2D7" w:rsidR="007C15B0" w:rsidRPr="00482534" w:rsidRDefault="00E24465" w:rsidP="00E24465">
            <w:pPr>
              <w:pStyle w:val="TableBodyText"/>
              <w:spacing w:before="40" w:after="40"/>
              <w:rPr>
                <w:sz w:val="20"/>
                <w:szCs w:val="20"/>
              </w:rPr>
            </w:pPr>
            <w:r w:rsidRPr="00482534">
              <w:rPr>
                <w:sz w:val="20"/>
                <w:szCs w:val="20"/>
              </w:rPr>
              <w:t>NGL</w:t>
            </w:r>
          </w:p>
        </w:tc>
        <w:tc>
          <w:tcPr>
            <w:tcW w:w="570" w:type="pct"/>
          </w:tcPr>
          <w:p w14:paraId="5966B8DF" w14:textId="5C120B2F" w:rsidR="007C15B0" w:rsidRPr="00482534" w:rsidRDefault="007C15B0" w:rsidP="00E24465">
            <w:pPr>
              <w:pStyle w:val="TableBodyText"/>
              <w:spacing w:before="40" w:after="40"/>
              <w:jc w:val="center"/>
              <w:rPr>
                <w:sz w:val="20"/>
                <w:szCs w:val="20"/>
              </w:rPr>
            </w:pPr>
            <w:r w:rsidRPr="00482534">
              <w:rPr>
                <w:sz w:val="20"/>
                <w:szCs w:val="20"/>
              </w:rPr>
              <w:sym w:font="Wingdings" w:char="F0FB"/>
            </w:r>
          </w:p>
        </w:tc>
        <w:tc>
          <w:tcPr>
            <w:tcW w:w="3753" w:type="pct"/>
          </w:tcPr>
          <w:p w14:paraId="361E8C14" w14:textId="77777777" w:rsidR="007C15B0" w:rsidRDefault="007C15B0" w:rsidP="00E24465">
            <w:pPr>
              <w:pStyle w:val="TableBodyText"/>
              <w:spacing w:before="40" w:after="40"/>
              <w:rPr>
                <w:sz w:val="20"/>
                <w:szCs w:val="20"/>
              </w:rPr>
            </w:pPr>
            <w:r w:rsidRPr="00482534">
              <w:rPr>
                <w:sz w:val="20"/>
                <w:szCs w:val="20"/>
              </w:rPr>
              <w:t xml:space="preserve">Section 91BRK of the NGL </w:t>
            </w:r>
            <w:r w:rsidRPr="00482534">
              <w:rPr>
                <w:sz w:val="20"/>
                <w:szCs w:val="20"/>
                <w:lang w:eastAsia="fr-CA"/>
              </w:rPr>
              <w:t xml:space="preserve">provides for AEMO to establish, operate and administer ‘gas trading exchanges’, which is defined as a facility through which persons may elect to buy and sell natural gas or related goods or services, </w:t>
            </w:r>
            <w:r w:rsidRPr="00482534">
              <w:rPr>
                <w:sz w:val="20"/>
                <w:szCs w:val="20"/>
                <w:u w:val="single"/>
                <w:lang w:eastAsia="fr-CA"/>
              </w:rPr>
              <w:t>including</w:t>
            </w:r>
            <w:r w:rsidRPr="00482534">
              <w:rPr>
                <w:sz w:val="20"/>
                <w:szCs w:val="20"/>
                <w:lang w:eastAsia="fr-CA"/>
              </w:rPr>
              <w:t xml:space="preserve"> pipeline capacity. Given this section of the NGL already provides for the GSH to extend to pipeline capacity products, the GMRG does not expect any changes will be required to the NGL to implement the capacity trading platform</w:t>
            </w:r>
            <w:r w:rsidRPr="00482534">
              <w:rPr>
                <w:sz w:val="20"/>
                <w:szCs w:val="20"/>
              </w:rPr>
              <w:t>.</w:t>
            </w:r>
          </w:p>
          <w:p w14:paraId="54CF2B89" w14:textId="6499125F" w:rsidR="0082203A" w:rsidRPr="00482534" w:rsidRDefault="0082203A" w:rsidP="00E24465">
            <w:pPr>
              <w:pStyle w:val="TableBodyText"/>
              <w:spacing w:before="40" w:after="40"/>
              <w:rPr>
                <w:sz w:val="20"/>
                <w:szCs w:val="20"/>
              </w:rPr>
            </w:pPr>
            <w:r w:rsidRPr="00FA772B">
              <w:rPr>
                <w:sz w:val="20"/>
                <w:szCs w:val="20"/>
              </w:rPr>
              <w:t>Changes to the NGL will</w:t>
            </w:r>
            <w:r>
              <w:rPr>
                <w:sz w:val="20"/>
                <w:szCs w:val="20"/>
              </w:rPr>
              <w:t>, however,</w:t>
            </w:r>
            <w:r w:rsidRPr="00FA772B">
              <w:rPr>
                <w:sz w:val="20"/>
                <w:szCs w:val="20"/>
              </w:rPr>
              <w:t xml:space="preserve"> be required for standardisation of operational GTAs and for AEMO to make procedures dealing with information exchange.  These are dealt with in Part A of this paper</w:t>
            </w:r>
            <w:r>
              <w:rPr>
                <w:sz w:val="20"/>
                <w:szCs w:val="20"/>
              </w:rPr>
              <w:t>.</w:t>
            </w:r>
          </w:p>
        </w:tc>
      </w:tr>
      <w:tr w:rsidR="007C15B0" w:rsidRPr="00482534" w14:paraId="5EC0FC7C" w14:textId="77777777" w:rsidTr="00482534">
        <w:trPr>
          <w:cnfStyle w:val="000000010000" w:firstRow="0" w:lastRow="0" w:firstColumn="0" w:lastColumn="0" w:oddVBand="0" w:evenVBand="0" w:oddHBand="0" w:evenHBand="1" w:firstRowFirstColumn="0" w:firstRowLastColumn="0" w:lastRowFirstColumn="0" w:lastRowLastColumn="0"/>
        </w:trPr>
        <w:tc>
          <w:tcPr>
            <w:tcW w:w="677" w:type="pct"/>
          </w:tcPr>
          <w:p w14:paraId="0B4E389D" w14:textId="46FE082F" w:rsidR="007C15B0" w:rsidRPr="00482534" w:rsidRDefault="00E24465" w:rsidP="00E24465">
            <w:pPr>
              <w:pStyle w:val="TableBodyText"/>
              <w:spacing w:before="40" w:after="40"/>
              <w:rPr>
                <w:sz w:val="20"/>
                <w:szCs w:val="20"/>
              </w:rPr>
            </w:pPr>
            <w:r w:rsidRPr="00482534">
              <w:rPr>
                <w:sz w:val="20"/>
                <w:szCs w:val="20"/>
              </w:rPr>
              <w:t>NGR</w:t>
            </w:r>
          </w:p>
        </w:tc>
        <w:tc>
          <w:tcPr>
            <w:tcW w:w="570" w:type="pct"/>
          </w:tcPr>
          <w:p w14:paraId="52DE8399" w14:textId="1045EE3F" w:rsidR="007C15B0" w:rsidRPr="00482534" w:rsidRDefault="007C15B0" w:rsidP="00E24465">
            <w:pPr>
              <w:pStyle w:val="TableBodyText"/>
              <w:spacing w:before="40" w:after="40"/>
              <w:jc w:val="center"/>
              <w:rPr>
                <w:sz w:val="20"/>
                <w:szCs w:val="20"/>
              </w:rPr>
            </w:pPr>
            <w:r w:rsidRPr="00482534">
              <w:rPr>
                <w:sz w:val="20"/>
                <w:szCs w:val="20"/>
              </w:rPr>
              <w:sym w:font="Wingdings" w:char="F0FC"/>
            </w:r>
          </w:p>
        </w:tc>
        <w:tc>
          <w:tcPr>
            <w:tcW w:w="3753" w:type="pct"/>
          </w:tcPr>
          <w:p w14:paraId="09AAEBCC" w14:textId="107D5A9C" w:rsidR="007C15B0" w:rsidRPr="00482534" w:rsidRDefault="007C15B0" w:rsidP="00E24465">
            <w:pPr>
              <w:pStyle w:val="BodyText"/>
              <w:spacing w:before="40" w:after="40"/>
              <w:rPr>
                <w:rFonts w:cs="Arial"/>
                <w:sz w:val="20"/>
                <w:szCs w:val="20"/>
              </w:rPr>
            </w:pPr>
            <w:r w:rsidRPr="00482534">
              <w:rPr>
                <w:rFonts w:cs="Arial"/>
                <w:b/>
                <w:sz w:val="20"/>
                <w:szCs w:val="20"/>
              </w:rPr>
              <w:t>GSH rules (Part 22):</w:t>
            </w:r>
            <w:r w:rsidRPr="00482534">
              <w:rPr>
                <w:rFonts w:cs="Arial"/>
                <w:sz w:val="20"/>
                <w:szCs w:val="20"/>
              </w:rPr>
              <w:t xml:space="preserve"> As currently drafted, the rules in Part 22 appear to be sufficiently broad to accommodate capacity trading. The GMRG does not therefore envisage material changes to this part of the NGR. </w:t>
            </w:r>
          </w:p>
          <w:p w14:paraId="1BED04FE" w14:textId="37F7BA55" w:rsidR="007C15B0" w:rsidRPr="00482534" w:rsidRDefault="007C15B0" w:rsidP="00E24465">
            <w:pPr>
              <w:pStyle w:val="BodyText"/>
              <w:spacing w:before="40" w:after="40"/>
              <w:rPr>
                <w:sz w:val="20"/>
                <w:szCs w:val="20"/>
              </w:rPr>
            </w:pPr>
            <w:r w:rsidRPr="00482534">
              <w:rPr>
                <w:b/>
                <w:sz w:val="20"/>
                <w:szCs w:val="20"/>
              </w:rPr>
              <w:t xml:space="preserve">STTM rules (Part 20): </w:t>
            </w:r>
            <w:r w:rsidRPr="00482534">
              <w:rPr>
                <w:sz w:val="20"/>
                <w:szCs w:val="20"/>
              </w:rPr>
              <w:t xml:space="preserve">As noted in Chapter 8, the STTM rules currently only provide for trading rights to be transferred using a bare transfer. The GMRG therefore anticipates some changes to the rules in Part 20 may be required to enable STTM trading rights to be transferred using an operational transfer. </w:t>
            </w:r>
          </w:p>
          <w:p w14:paraId="5D71E3BB" w14:textId="2EEF9CE3" w:rsidR="007C15B0" w:rsidRPr="00482534" w:rsidRDefault="007C15B0" w:rsidP="00E24465">
            <w:pPr>
              <w:pStyle w:val="BodyText"/>
              <w:spacing w:before="40" w:after="40"/>
              <w:rPr>
                <w:sz w:val="20"/>
                <w:szCs w:val="20"/>
              </w:rPr>
            </w:pPr>
            <w:r w:rsidRPr="00482534">
              <w:rPr>
                <w:b/>
                <w:sz w:val="20"/>
                <w:szCs w:val="20"/>
              </w:rPr>
              <w:t xml:space="preserve">DWGM rules (Part 19): </w:t>
            </w:r>
            <w:r w:rsidRPr="00482534">
              <w:rPr>
                <w:sz w:val="20"/>
                <w:szCs w:val="20"/>
              </w:rPr>
              <w:t>The GMRG does not anticipate any changes will be required to the DWGM rules.</w:t>
            </w:r>
          </w:p>
          <w:p w14:paraId="0CB35D12" w14:textId="1D5F8A15" w:rsidR="007C15B0" w:rsidRPr="00482534" w:rsidRDefault="007C15B0" w:rsidP="00E24465">
            <w:pPr>
              <w:pStyle w:val="BodyText"/>
              <w:spacing w:before="40" w:after="40"/>
              <w:rPr>
                <w:sz w:val="20"/>
                <w:szCs w:val="20"/>
              </w:rPr>
            </w:pPr>
            <w:r w:rsidRPr="00482534">
              <w:rPr>
                <w:b/>
                <w:sz w:val="20"/>
                <w:szCs w:val="20"/>
              </w:rPr>
              <w:t>New rules:</w:t>
            </w:r>
            <w:r w:rsidRPr="00482534">
              <w:rPr>
                <w:sz w:val="20"/>
                <w:szCs w:val="20"/>
              </w:rPr>
              <w:t xml:space="preserve"> </w:t>
            </w:r>
            <w:r w:rsidR="00E24465" w:rsidRPr="00482534">
              <w:rPr>
                <w:sz w:val="20"/>
                <w:szCs w:val="20"/>
              </w:rPr>
              <w:t>Depending on the final design of the capacity trading platform, n</w:t>
            </w:r>
            <w:r w:rsidRPr="00482534">
              <w:rPr>
                <w:sz w:val="20"/>
                <w:szCs w:val="20"/>
              </w:rPr>
              <w:t xml:space="preserve">ew rules </w:t>
            </w:r>
            <w:r w:rsidR="00E24465" w:rsidRPr="00482534">
              <w:rPr>
                <w:sz w:val="20"/>
                <w:szCs w:val="20"/>
              </w:rPr>
              <w:t xml:space="preserve">may </w:t>
            </w:r>
            <w:r w:rsidRPr="00482534">
              <w:rPr>
                <w:sz w:val="20"/>
                <w:szCs w:val="20"/>
              </w:rPr>
              <w:t xml:space="preserve">be required </w:t>
            </w:r>
            <w:r w:rsidR="00E24465" w:rsidRPr="00482534">
              <w:rPr>
                <w:sz w:val="20"/>
                <w:szCs w:val="20"/>
              </w:rPr>
              <w:t>to impose an obligation on shippers that sell secondary capacity on a bilateral basis to:</w:t>
            </w:r>
          </w:p>
          <w:p w14:paraId="60AC1738" w14:textId="353A5450" w:rsidR="00E24465" w:rsidRPr="00482534" w:rsidRDefault="00E24465" w:rsidP="00E24465">
            <w:pPr>
              <w:pStyle w:val="TableBullet1"/>
              <w:spacing w:before="40" w:after="40"/>
              <w:rPr>
                <w:sz w:val="20"/>
                <w:szCs w:val="20"/>
              </w:rPr>
            </w:pPr>
            <w:r w:rsidRPr="00482534">
              <w:rPr>
                <w:sz w:val="20"/>
                <w:szCs w:val="20"/>
              </w:rPr>
              <w:t>offer prospective buyers the option of using an operational transfer to give effect to the trade; and</w:t>
            </w:r>
          </w:p>
          <w:p w14:paraId="598D2676" w14:textId="77777777" w:rsidR="007C15B0" w:rsidRPr="00482534" w:rsidRDefault="00E24465" w:rsidP="00E24465">
            <w:pPr>
              <w:pStyle w:val="TableBullet1"/>
              <w:spacing w:before="40" w:after="40"/>
              <w:rPr>
                <w:sz w:val="20"/>
                <w:szCs w:val="20"/>
              </w:rPr>
            </w:pPr>
            <w:proofErr w:type="gramStart"/>
            <w:r w:rsidRPr="00482534">
              <w:rPr>
                <w:sz w:val="20"/>
                <w:szCs w:val="20"/>
              </w:rPr>
              <w:t>advertise</w:t>
            </w:r>
            <w:proofErr w:type="gramEnd"/>
            <w:r w:rsidRPr="00482534">
              <w:rPr>
                <w:sz w:val="20"/>
                <w:szCs w:val="20"/>
              </w:rPr>
              <w:t xml:space="preserve"> the trade on the listing service prior to entering into the trade.</w:t>
            </w:r>
          </w:p>
          <w:p w14:paraId="2046F9A7" w14:textId="1CDC453B" w:rsidR="00E24465" w:rsidRDefault="00E24465" w:rsidP="00E24465">
            <w:pPr>
              <w:pStyle w:val="TableBullet1"/>
              <w:numPr>
                <w:ilvl w:val="0"/>
                <w:numId w:val="0"/>
              </w:numPr>
              <w:spacing w:before="40" w:after="40"/>
              <w:ind w:left="85"/>
              <w:rPr>
                <w:sz w:val="20"/>
                <w:szCs w:val="20"/>
              </w:rPr>
            </w:pPr>
            <w:r w:rsidRPr="00482534">
              <w:rPr>
                <w:sz w:val="20"/>
                <w:szCs w:val="20"/>
              </w:rPr>
              <w:t xml:space="preserve">Some aspects related to the processes and obligations around the transfer of capacity may also need to be included in the NGR or in Procedures made under the NGL (see section </w:t>
            </w:r>
            <w:r w:rsidRPr="00482534">
              <w:rPr>
                <w:sz w:val="20"/>
                <w:szCs w:val="20"/>
              </w:rPr>
              <w:fldChar w:fldCharType="begin"/>
            </w:r>
            <w:r w:rsidRPr="00482534">
              <w:rPr>
                <w:sz w:val="20"/>
                <w:szCs w:val="20"/>
              </w:rPr>
              <w:instrText xml:space="preserve"> REF _Ref492004158 \r \h </w:instrText>
            </w:r>
            <w:r w:rsidR="00482534">
              <w:rPr>
                <w:sz w:val="20"/>
                <w:szCs w:val="20"/>
              </w:rPr>
              <w:instrText xml:space="preserve"> \* MERGEFORMAT </w:instrText>
            </w:r>
            <w:r w:rsidRPr="00482534">
              <w:rPr>
                <w:sz w:val="20"/>
                <w:szCs w:val="20"/>
              </w:rPr>
            </w:r>
            <w:r w:rsidRPr="00482534">
              <w:rPr>
                <w:sz w:val="20"/>
                <w:szCs w:val="20"/>
              </w:rPr>
              <w:fldChar w:fldCharType="separate"/>
            </w:r>
            <w:r w:rsidR="00947034">
              <w:rPr>
                <w:sz w:val="20"/>
                <w:szCs w:val="20"/>
              </w:rPr>
              <w:t>3.5.4</w:t>
            </w:r>
            <w:r w:rsidRPr="00482534">
              <w:rPr>
                <w:sz w:val="20"/>
                <w:szCs w:val="20"/>
              </w:rPr>
              <w:fldChar w:fldCharType="end"/>
            </w:r>
            <w:r w:rsidRPr="00482534">
              <w:rPr>
                <w:sz w:val="20"/>
                <w:szCs w:val="20"/>
              </w:rPr>
              <w:t>)</w:t>
            </w:r>
          </w:p>
          <w:p w14:paraId="3D6B76FF" w14:textId="25CD8933" w:rsidR="0082203A" w:rsidRPr="00482534" w:rsidRDefault="0082203A" w:rsidP="0082203A">
            <w:pPr>
              <w:pStyle w:val="TableBullet1"/>
              <w:numPr>
                <w:ilvl w:val="0"/>
                <w:numId w:val="0"/>
              </w:numPr>
              <w:spacing w:before="40" w:after="40"/>
              <w:ind w:left="85"/>
              <w:rPr>
                <w:sz w:val="20"/>
                <w:szCs w:val="20"/>
              </w:rPr>
            </w:pPr>
            <w:r>
              <w:rPr>
                <w:sz w:val="20"/>
                <w:szCs w:val="20"/>
              </w:rPr>
              <w:t>Depending on the final arrangements to deal with default under a primary GTA, new rules may be needed to deal with the obligations of service providers in those circumstances, most likely as part of the arrangements for standardisation of operational GTAs.</w:t>
            </w:r>
            <w:r w:rsidRPr="00482534">
              <w:rPr>
                <w:sz w:val="20"/>
                <w:szCs w:val="20"/>
              </w:rPr>
              <w:t xml:space="preserve"> </w:t>
            </w:r>
          </w:p>
        </w:tc>
      </w:tr>
      <w:tr w:rsidR="007C15B0" w:rsidRPr="00482534" w14:paraId="6F87684D" w14:textId="77777777" w:rsidTr="00482534">
        <w:tc>
          <w:tcPr>
            <w:tcW w:w="677" w:type="pct"/>
          </w:tcPr>
          <w:p w14:paraId="2CA317CF" w14:textId="77777777" w:rsidR="007C15B0" w:rsidRPr="00482534" w:rsidRDefault="007C15B0" w:rsidP="00482534">
            <w:pPr>
              <w:pStyle w:val="TableBodyText"/>
              <w:keepNext/>
              <w:spacing w:before="40" w:after="40"/>
              <w:rPr>
                <w:sz w:val="20"/>
                <w:szCs w:val="20"/>
              </w:rPr>
            </w:pPr>
            <w:r w:rsidRPr="00482534">
              <w:rPr>
                <w:sz w:val="20"/>
                <w:szCs w:val="20"/>
              </w:rPr>
              <w:lastRenderedPageBreak/>
              <w:t>Exchange Agreement</w:t>
            </w:r>
          </w:p>
        </w:tc>
        <w:tc>
          <w:tcPr>
            <w:tcW w:w="570" w:type="pct"/>
          </w:tcPr>
          <w:p w14:paraId="07D53638" w14:textId="1111C301" w:rsidR="007C15B0" w:rsidRPr="00482534" w:rsidRDefault="007C15B0" w:rsidP="00482534">
            <w:pPr>
              <w:pStyle w:val="TableBodyText"/>
              <w:keepNext/>
              <w:spacing w:before="40" w:after="40"/>
              <w:jc w:val="center"/>
              <w:rPr>
                <w:sz w:val="20"/>
                <w:szCs w:val="20"/>
              </w:rPr>
            </w:pPr>
            <w:r w:rsidRPr="00482534">
              <w:rPr>
                <w:sz w:val="20"/>
                <w:szCs w:val="20"/>
              </w:rPr>
              <w:sym w:font="Wingdings" w:char="F0FC"/>
            </w:r>
          </w:p>
        </w:tc>
        <w:tc>
          <w:tcPr>
            <w:tcW w:w="3753" w:type="pct"/>
          </w:tcPr>
          <w:p w14:paraId="3D381D94" w14:textId="20D826C9" w:rsidR="00482534" w:rsidRDefault="0082203A" w:rsidP="00482534">
            <w:pPr>
              <w:pStyle w:val="TableBodyText"/>
              <w:keepNext/>
              <w:spacing w:before="40" w:after="40"/>
              <w:rPr>
                <w:sz w:val="20"/>
                <w:szCs w:val="20"/>
                <w:lang w:eastAsia="fr-CA"/>
              </w:rPr>
            </w:pPr>
            <w:r w:rsidRPr="0082203A">
              <w:rPr>
                <w:b/>
                <w:sz w:val="20"/>
                <w:szCs w:val="20"/>
                <w:lang w:eastAsia="fr-CA"/>
              </w:rPr>
              <w:t>Exchange Agreement:</w:t>
            </w:r>
            <w:r>
              <w:rPr>
                <w:sz w:val="20"/>
                <w:szCs w:val="20"/>
                <w:lang w:eastAsia="fr-CA"/>
              </w:rPr>
              <w:t xml:space="preserve"> </w:t>
            </w:r>
            <w:r w:rsidR="00E24465" w:rsidRPr="00482534">
              <w:rPr>
                <w:sz w:val="20"/>
                <w:szCs w:val="20"/>
                <w:lang w:eastAsia="fr-CA"/>
              </w:rPr>
              <w:t xml:space="preserve">A number of amendments to the body of the Exchange Agreement and the product specification schedules will be required before capacity products can be added to the exchange. </w:t>
            </w:r>
            <w:r w:rsidR="00482534" w:rsidRPr="00482534">
              <w:rPr>
                <w:sz w:val="20"/>
                <w:szCs w:val="20"/>
                <w:lang w:eastAsia="fr-CA"/>
              </w:rPr>
              <w:t xml:space="preserve">The Exchange Agreement will, for example, need to specify the standardised products that will be available for sale on the exchange and changes </w:t>
            </w:r>
            <w:r>
              <w:rPr>
                <w:sz w:val="20"/>
                <w:szCs w:val="20"/>
                <w:lang w:eastAsia="fr-CA"/>
              </w:rPr>
              <w:t xml:space="preserve">will </w:t>
            </w:r>
            <w:r w:rsidR="00482534" w:rsidRPr="00482534">
              <w:rPr>
                <w:sz w:val="20"/>
                <w:szCs w:val="20"/>
                <w:lang w:eastAsia="fr-CA"/>
              </w:rPr>
              <w:t xml:space="preserve">also need to be made to the delivery, credit risk management and default arrangements, depending on the feedback provided on the issues set out in Chapter 7-10. </w:t>
            </w:r>
          </w:p>
          <w:p w14:paraId="506064AE" w14:textId="4867ED54" w:rsidR="0082203A" w:rsidRPr="00482534" w:rsidRDefault="0082203A" w:rsidP="00482534">
            <w:pPr>
              <w:pStyle w:val="TableBodyText"/>
              <w:keepNext/>
              <w:spacing w:before="40" w:after="40"/>
              <w:rPr>
                <w:sz w:val="20"/>
                <w:szCs w:val="20"/>
                <w:lang w:eastAsia="fr-CA"/>
              </w:rPr>
            </w:pPr>
            <w:r w:rsidRPr="00482534">
              <w:rPr>
                <w:b/>
                <w:sz w:val="20"/>
                <w:szCs w:val="20"/>
              </w:rPr>
              <w:t xml:space="preserve">GSH </w:t>
            </w:r>
            <w:r>
              <w:rPr>
                <w:b/>
                <w:sz w:val="20"/>
                <w:szCs w:val="20"/>
              </w:rPr>
              <w:t>subsidiary documents</w:t>
            </w:r>
            <w:r w:rsidRPr="00482534">
              <w:rPr>
                <w:b/>
                <w:sz w:val="20"/>
                <w:szCs w:val="20"/>
              </w:rPr>
              <w:t>:</w:t>
            </w:r>
            <w:r w:rsidRPr="00482534">
              <w:rPr>
                <w:sz w:val="20"/>
                <w:szCs w:val="20"/>
              </w:rPr>
              <w:t xml:space="preserve"> Some changes to the existing GSH settlement and prudential methodology, reallocation and fees procedures are likely to be required, depending on the final design.</w:t>
            </w:r>
          </w:p>
          <w:p w14:paraId="198DC9E7" w14:textId="007D202E" w:rsidR="007C15B0" w:rsidRPr="00482534" w:rsidRDefault="00482534" w:rsidP="00482534">
            <w:pPr>
              <w:pStyle w:val="TableBodyText"/>
              <w:keepNext/>
              <w:spacing w:before="40" w:after="40"/>
              <w:rPr>
                <w:sz w:val="20"/>
                <w:szCs w:val="20"/>
              </w:rPr>
            </w:pPr>
            <w:r w:rsidRPr="00482534">
              <w:rPr>
                <w:sz w:val="20"/>
                <w:szCs w:val="20"/>
                <w:lang w:eastAsia="fr-CA"/>
              </w:rPr>
              <w:t xml:space="preserve">Changes to the Exchange Agreement </w:t>
            </w:r>
            <w:r w:rsidR="0082203A">
              <w:rPr>
                <w:sz w:val="20"/>
                <w:szCs w:val="20"/>
                <w:lang w:eastAsia="fr-CA"/>
              </w:rPr>
              <w:t xml:space="preserve">and subsidiary documents </w:t>
            </w:r>
            <w:r w:rsidR="00E24465" w:rsidRPr="00482534">
              <w:rPr>
                <w:sz w:val="20"/>
                <w:szCs w:val="20"/>
                <w:lang w:eastAsia="fr-CA"/>
              </w:rPr>
              <w:t xml:space="preserve">are expected to be made by AEMO using the process set out in rule 540 of the NGR. </w:t>
            </w:r>
          </w:p>
        </w:tc>
      </w:tr>
      <w:tr w:rsidR="007C15B0" w:rsidRPr="00482534" w14:paraId="3723F53D" w14:textId="77777777" w:rsidTr="00482534">
        <w:trPr>
          <w:cnfStyle w:val="000000010000" w:firstRow="0" w:lastRow="0" w:firstColumn="0" w:lastColumn="0" w:oddVBand="0" w:evenVBand="0" w:oddHBand="0" w:evenHBand="1" w:firstRowFirstColumn="0" w:firstRowLastColumn="0" w:lastRowFirstColumn="0" w:lastRowLastColumn="0"/>
        </w:trPr>
        <w:tc>
          <w:tcPr>
            <w:tcW w:w="677" w:type="pct"/>
          </w:tcPr>
          <w:p w14:paraId="38B93375" w14:textId="77777777" w:rsidR="007C15B0" w:rsidRPr="00482534" w:rsidRDefault="007C15B0" w:rsidP="00E24465">
            <w:pPr>
              <w:pStyle w:val="TableBodyText"/>
              <w:spacing w:before="40" w:after="40"/>
              <w:rPr>
                <w:sz w:val="20"/>
                <w:szCs w:val="20"/>
              </w:rPr>
            </w:pPr>
            <w:r w:rsidRPr="00482534">
              <w:rPr>
                <w:sz w:val="20"/>
                <w:szCs w:val="20"/>
              </w:rPr>
              <w:t>AEMO Procedures</w:t>
            </w:r>
          </w:p>
        </w:tc>
        <w:tc>
          <w:tcPr>
            <w:tcW w:w="570" w:type="pct"/>
          </w:tcPr>
          <w:p w14:paraId="33F7CF1E" w14:textId="7F48B356" w:rsidR="007C15B0" w:rsidRPr="00482534" w:rsidRDefault="007C15B0" w:rsidP="00E24465">
            <w:pPr>
              <w:pStyle w:val="TableBodyText"/>
              <w:spacing w:before="40" w:after="40"/>
              <w:jc w:val="center"/>
              <w:rPr>
                <w:sz w:val="20"/>
                <w:szCs w:val="20"/>
              </w:rPr>
            </w:pPr>
            <w:r w:rsidRPr="00482534">
              <w:rPr>
                <w:sz w:val="20"/>
                <w:szCs w:val="20"/>
              </w:rPr>
              <w:sym w:font="Wingdings" w:char="F0FC"/>
            </w:r>
          </w:p>
        </w:tc>
        <w:tc>
          <w:tcPr>
            <w:tcW w:w="3753" w:type="pct"/>
          </w:tcPr>
          <w:p w14:paraId="6E4869D4" w14:textId="6A9DE611" w:rsidR="00E24465" w:rsidRPr="00482534" w:rsidRDefault="0082203A" w:rsidP="00E24465">
            <w:pPr>
              <w:pStyle w:val="TableBodyText"/>
              <w:spacing w:before="40" w:after="40"/>
              <w:rPr>
                <w:sz w:val="20"/>
                <w:szCs w:val="20"/>
              </w:rPr>
            </w:pPr>
            <w:r w:rsidRPr="0082203A">
              <w:rPr>
                <w:b/>
                <w:sz w:val="20"/>
                <w:szCs w:val="20"/>
              </w:rPr>
              <w:t>Capacity trading procedures:</w:t>
            </w:r>
            <w:r>
              <w:rPr>
                <w:sz w:val="20"/>
                <w:szCs w:val="20"/>
              </w:rPr>
              <w:t xml:space="preserve"> </w:t>
            </w:r>
            <w:r w:rsidR="00E24465" w:rsidRPr="00482534">
              <w:rPr>
                <w:sz w:val="20"/>
                <w:szCs w:val="20"/>
              </w:rPr>
              <w:t xml:space="preserve">New procedures </w:t>
            </w:r>
            <w:r w:rsidR="00CF1252" w:rsidRPr="00482534">
              <w:rPr>
                <w:sz w:val="20"/>
                <w:szCs w:val="20"/>
              </w:rPr>
              <w:t xml:space="preserve">will </w:t>
            </w:r>
            <w:r w:rsidR="00E24465" w:rsidRPr="00482534">
              <w:rPr>
                <w:sz w:val="20"/>
                <w:szCs w:val="20"/>
              </w:rPr>
              <w:t xml:space="preserve">be required to implement capacity products and the transfer of capacity (see section </w:t>
            </w:r>
            <w:r w:rsidR="00E24465" w:rsidRPr="00482534">
              <w:rPr>
                <w:sz w:val="20"/>
                <w:szCs w:val="20"/>
              </w:rPr>
              <w:fldChar w:fldCharType="begin"/>
            </w:r>
            <w:r w:rsidR="00E24465" w:rsidRPr="00482534">
              <w:rPr>
                <w:sz w:val="20"/>
                <w:szCs w:val="20"/>
              </w:rPr>
              <w:instrText xml:space="preserve"> REF _Ref492004158 \r \h </w:instrText>
            </w:r>
            <w:r w:rsidR="00482534">
              <w:rPr>
                <w:sz w:val="20"/>
                <w:szCs w:val="20"/>
              </w:rPr>
              <w:instrText xml:space="preserve"> \* MERGEFORMAT </w:instrText>
            </w:r>
            <w:r w:rsidR="00E24465" w:rsidRPr="00482534">
              <w:rPr>
                <w:sz w:val="20"/>
                <w:szCs w:val="20"/>
              </w:rPr>
            </w:r>
            <w:r w:rsidR="00E24465" w:rsidRPr="00482534">
              <w:rPr>
                <w:sz w:val="20"/>
                <w:szCs w:val="20"/>
              </w:rPr>
              <w:fldChar w:fldCharType="separate"/>
            </w:r>
            <w:r w:rsidR="00947034">
              <w:rPr>
                <w:sz w:val="20"/>
                <w:szCs w:val="20"/>
              </w:rPr>
              <w:t>3.5.4</w:t>
            </w:r>
            <w:r w:rsidR="00E24465" w:rsidRPr="00482534">
              <w:rPr>
                <w:sz w:val="20"/>
                <w:szCs w:val="20"/>
              </w:rPr>
              <w:fldChar w:fldCharType="end"/>
            </w:r>
            <w:r w:rsidR="00E24465" w:rsidRPr="00482534">
              <w:rPr>
                <w:sz w:val="20"/>
                <w:szCs w:val="20"/>
              </w:rPr>
              <w:t>).</w:t>
            </w:r>
          </w:p>
          <w:p w14:paraId="3D7BCAD1" w14:textId="77777777" w:rsidR="00E24465" w:rsidRPr="00482534" w:rsidRDefault="00E24465" w:rsidP="00E24465">
            <w:pPr>
              <w:pStyle w:val="BodyText"/>
              <w:spacing w:before="40" w:after="40"/>
              <w:rPr>
                <w:sz w:val="20"/>
                <w:szCs w:val="20"/>
              </w:rPr>
            </w:pPr>
            <w:r w:rsidRPr="00482534">
              <w:rPr>
                <w:b/>
                <w:sz w:val="20"/>
                <w:szCs w:val="20"/>
              </w:rPr>
              <w:t>STTM procedures:</w:t>
            </w:r>
            <w:r w:rsidRPr="00482534">
              <w:rPr>
                <w:sz w:val="20"/>
                <w:szCs w:val="20"/>
              </w:rPr>
              <w:t xml:space="preserve"> Changes to STTM Procedures around the transfer of trading rights are also likely to be required.</w:t>
            </w:r>
          </w:p>
          <w:p w14:paraId="44D193E8" w14:textId="3CFB0C03" w:rsidR="007C15B0" w:rsidRPr="00482534" w:rsidRDefault="00E24465" w:rsidP="00E24465">
            <w:pPr>
              <w:pStyle w:val="BodyText"/>
              <w:spacing w:before="40" w:after="40"/>
              <w:rPr>
                <w:sz w:val="20"/>
                <w:szCs w:val="20"/>
              </w:rPr>
            </w:pPr>
            <w:r w:rsidRPr="00482534">
              <w:rPr>
                <w:b/>
                <w:sz w:val="20"/>
                <w:szCs w:val="20"/>
              </w:rPr>
              <w:t xml:space="preserve">DWGM procedures: </w:t>
            </w:r>
            <w:r w:rsidRPr="00482534">
              <w:rPr>
                <w:sz w:val="20"/>
                <w:szCs w:val="20"/>
              </w:rPr>
              <w:t>Some changes to the Wholesale Market Accreditation Procedures and Wholesale Market AMDQ Procedures may be required.</w:t>
            </w:r>
          </w:p>
        </w:tc>
      </w:tr>
    </w:tbl>
    <w:p w14:paraId="7983E359" w14:textId="77777777" w:rsidR="007C15B0" w:rsidRPr="005701E6" w:rsidRDefault="007C15B0" w:rsidP="007C15B0">
      <w:pPr>
        <w:pStyle w:val="BodyText"/>
        <w:rPr>
          <w:sz w:val="2"/>
          <w:szCs w:val="2"/>
        </w:rPr>
      </w:pPr>
    </w:p>
    <w:p w14:paraId="249D8C7B" w14:textId="7C7AD026" w:rsidR="00CF1252" w:rsidRDefault="006C5DD2" w:rsidP="00CF1252">
      <w:pPr>
        <w:pStyle w:val="BodyText"/>
      </w:pPr>
      <w:r>
        <w:t xml:space="preserve">The changes to the NGR and Exchange Agreement are expected to be made in the first half of 2018 to enable the capacity trading platform to commence operation in 2018/19.  Before the capacity trading platform can go live, some work </w:t>
      </w:r>
      <w:r w:rsidR="002D5C8A">
        <w:t xml:space="preserve">is likely to be required by </w:t>
      </w:r>
      <w:r>
        <w:t>AEMO and service providers to set up their respective systems and to test these systems. The GMRG is interested in hearing from service providers on how long they think this may take so that a clearer timeline for implementation can be established.</w:t>
      </w:r>
    </w:p>
    <w:tbl>
      <w:tblPr>
        <w:tblStyle w:val="PullOutBoxTable"/>
        <w:tblW w:w="5000" w:type="pct"/>
        <w:shd w:val="clear" w:color="auto" w:fill="B7E7FF"/>
        <w:tblLook w:val="0600" w:firstRow="0" w:lastRow="0" w:firstColumn="0" w:lastColumn="0" w:noHBand="1" w:noVBand="1"/>
        <w:tblCaption w:val="Box 12.1: Questions on governance and transitional arrangements "/>
        <w:tblDescription w:val="Questions on governance and transitional arrangements "/>
      </w:tblPr>
      <w:tblGrid>
        <w:gridCol w:w="8788"/>
      </w:tblGrid>
      <w:tr w:rsidR="007C15B0" w:rsidRPr="004D73D8" w14:paraId="40FC7BA6" w14:textId="77777777" w:rsidTr="00FF53B6">
        <w:trPr>
          <w:tblHeader/>
        </w:trPr>
        <w:tc>
          <w:tcPr>
            <w:tcW w:w="5000" w:type="pct"/>
            <w:shd w:val="clear" w:color="auto" w:fill="auto"/>
          </w:tcPr>
          <w:p w14:paraId="7F3C224A" w14:textId="6B004AA8" w:rsidR="006C5DD2" w:rsidRPr="00FA2DB5" w:rsidRDefault="00FF53B6" w:rsidP="00FF53B6">
            <w:pPr>
              <w:pStyle w:val="ListNumber"/>
              <w:keepNext/>
              <w:numPr>
                <w:ilvl w:val="0"/>
                <w:numId w:val="0"/>
              </w:numPr>
              <w:spacing w:after="0"/>
              <w:ind w:left="357" w:hanging="357"/>
              <w:rPr>
                <w:rFonts w:eastAsiaTheme="majorEastAsia"/>
                <w:sz w:val="21"/>
                <w:szCs w:val="21"/>
              </w:rPr>
            </w:pPr>
            <w:r>
              <w:rPr>
                <w:b/>
              </w:rPr>
              <w:t xml:space="preserve">Box </w:t>
            </w:r>
            <w:r>
              <w:rPr>
                <w:b/>
              </w:rPr>
              <w:fldChar w:fldCharType="begin"/>
            </w:r>
            <w:r>
              <w:rPr>
                <w:b/>
              </w:rPr>
              <w:instrText xml:space="preserve"> STYLEREF 1 \s </w:instrText>
            </w:r>
            <w:r>
              <w:rPr>
                <w:b/>
              </w:rPr>
              <w:fldChar w:fldCharType="separate"/>
            </w:r>
            <w:r>
              <w:rPr>
                <w:b/>
                <w:noProof/>
              </w:rPr>
              <w:t>12</w:t>
            </w:r>
            <w:r>
              <w:rPr>
                <w:b/>
              </w:rPr>
              <w:fldChar w:fldCharType="end"/>
            </w:r>
            <w:r>
              <w:rPr>
                <w:b/>
              </w:rPr>
              <w:t>.</w:t>
            </w:r>
            <w:r>
              <w:rPr>
                <w:b/>
              </w:rPr>
              <w:fldChar w:fldCharType="begin"/>
            </w:r>
            <w:r>
              <w:rPr>
                <w:b/>
              </w:rPr>
              <w:instrText xml:space="preserve"> SEQ Box \* ARABIC \s 1 </w:instrText>
            </w:r>
            <w:r>
              <w:rPr>
                <w:b/>
              </w:rPr>
              <w:fldChar w:fldCharType="separate"/>
            </w:r>
            <w:r>
              <w:rPr>
                <w:b/>
                <w:noProof/>
              </w:rPr>
              <w:t>1</w:t>
            </w:r>
            <w:r>
              <w:rPr>
                <w:b/>
              </w:rPr>
              <w:fldChar w:fldCharType="end"/>
            </w:r>
            <w:r>
              <w:rPr>
                <w:b/>
              </w:rPr>
              <w:t>: Questions on governance and transitional arrangements</w:t>
            </w:r>
          </w:p>
        </w:tc>
      </w:tr>
      <w:tr w:rsidR="00FF53B6" w:rsidRPr="004D73D8" w14:paraId="57E7F4A0" w14:textId="77777777" w:rsidTr="00FF53B6">
        <w:trPr>
          <w:tblHeader/>
        </w:trPr>
        <w:tc>
          <w:tcPr>
            <w:tcW w:w="5000" w:type="pct"/>
            <w:shd w:val="clear" w:color="auto" w:fill="B7E7FF"/>
          </w:tcPr>
          <w:p w14:paraId="7A525FC9" w14:textId="77777777" w:rsidR="00FF53B6" w:rsidRDefault="00FF53B6" w:rsidP="00FF53B6">
            <w:pPr>
              <w:pStyle w:val="ListNumber"/>
              <w:keepNext/>
              <w:numPr>
                <w:ilvl w:val="0"/>
                <w:numId w:val="23"/>
              </w:numPr>
              <w:ind w:left="567" w:hanging="567"/>
              <w:rPr>
                <w:rFonts w:eastAsiaTheme="majorEastAsia"/>
                <w:sz w:val="21"/>
                <w:szCs w:val="21"/>
              </w:rPr>
            </w:pPr>
            <w:r>
              <w:rPr>
                <w:rFonts w:eastAsiaTheme="majorEastAsia"/>
                <w:sz w:val="21"/>
                <w:szCs w:val="21"/>
              </w:rPr>
              <w:t>Are there any other changes that you think will be required to the governance arrangements that have not been identified in Table 12.1?</w:t>
            </w:r>
          </w:p>
          <w:p w14:paraId="63F5631B" w14:textId="45319CE7" w:rsidR="00FF53B6" w:rsidRPr="00FF53B6" w:rsidRDefault="00FF53B6" w:rsidP="00FF53B6">
            <w:pPr>
              <w:pStyle w:val="ListNumber"/>
              <w:keepNext/>
              <w:numPr>
                <w:ilvl w:val="0"/>
                <w:numId w:val="23"/>
              </w:numPr>
              <w:ind w:left="567" w:hanging="567"/>
              <w:rPr>
                <w:rFonts w:eastAsiaTheme="majorEastAsia"/>
                <w:sz w:val="21"/>
                <w:szCs w:val="21"/>
              </w:rPr>
            </w:pPr>
            <w:r w:rsidRPr="00FF53B6">
              <w:rPr>
                <w:rFonts w:eastAsiaTheme="majorEastAsia"/>
                <w:sz w:val="21"/>
                <w:szCs w:val="21"/>
              </w:rPr>
              <w:t>How long do service providers think it will take to set up any systems that may be required and to test these systems with AEMO?</w:t>
            </w:r>
          </w:p>
        </w:tc>
      </w:tr>
      <w:bookmarkEnd w:id="221"/>
    </w:tbl>
    <w:p w14:paraId="625E8EB3" w14:textId="77777777" w:rsidR="008C28EE" w:rsidRPr="006720D8" w:rsidRDefault="008C28EE" w:rsidP="00C02BE5">
      <w:pPr>
        <w:pStyle w:val="ListNumber"/>
        <w:numPr>
          <w:ilvl w:val="0"/>
          <w:numId w:val="0"/>
        </w:numPr>
        <w:ind w:left="360" w:hanging="360"/>
      </w:pPr>
    </w:p>
    <w:p w14:paraId="1E5D355D" w14:textId="77777777" w:rsidR="002405F1" w:rsidRDefault="002405F1" w:rsidP="002405F1">
      <w:pPr>
        <w:pStyle w:val="BodyText"/>
        <w:tabs>
          <w:tab w:val="clear" w:pos="2268"/>
          <w:tab w:val="left" w:pos="1843"/>
        </w:tabs>
        <w:spacing w:before="60"/>
        <w:sectPr w:rsidR="002405F1" w:rsidSect="00CF1252">
          <w:headerReference w:type="default" r:id="rId44"/>
          <w:footerReference w:type="default" r:id="rId45"/>
          <w:pgSz w:w="11907" w:h="16839" w:code="9"/>
          <w:pgMar w:top="1361" w:right="1418" w:bottom="992" w:left="1701" w:header="567" w:footer="397" w:gutter="0"/>
          <w:cols w:space="708"/>
          <w:docGrid w:linePitch="360"/>
        </w:sectPr>
      </w:pPr>
    </w:p>
    <w:p w14:paraId="78D4E049" w14:textId="77777777" w:rsidR="002F7DBC" w:rsidRPr="00332ADB" w:rsidRDefault="0014559D" w:rsidP="007D7FFC">
      <w:pPr>
        <w:pStyle w:val="Heading9"/>
      </w:pPr>
      <w:bookmarkStart w:id="223" w:name="_Ref489697920"/>
      <w:bookmarkStart w:id="224" w:name="_Hlk481810546"/>
      <w:r>
        <w:lastRenderedPageBreak/>
        <w:t xml:space="preserve">Summary of </w:t>
      </w:r>
      <w:r w:rsidR="006B5193">
        <w:t>AEMC Recommendations</w:t>
      </w:r>
      <w:bookmarkEnd w:id="223"/>
      <w:r w:rsidR="006B5193">
        <w:t xml:space="preserve"> </w:t>
      </w:r>
    </w:p>
    <w:p w14:paraId="19AD56DE" w14:textId="77777777" w:rsidR="002405F1" w:rsidRPr="006D15EC" w:rsidRDefault="002405F1" w:rsidP="002405F1">
      <w:pPr>
        <w:pStyle w:val="BodyText"/>
        <w:spacing w:line="252" w:lineRule="auto"/>
        <w:rPr>
          <w:rFonts w:cs="Arial"/>
        </w:rPr>
      </w:pPr>
      <w:r w:rsidRPr="006D15EC">
        <w:rPr>
          <w:rFonts w:cs="Arial"/>
        </w:rPr>
        <w:t xml:space="preserve">The table </w:t>
      </w:r>
      <w:r>
        <w:rPr>
          <w:rFonts w:cs="Arial"/>
        </w:rPr>
        <w:t xml:space="preserve">below </w:t>
      </w:r>
      <w:r w:rsidRPr="006D15EC">
        <w:rPr>
          <w:rFonts w:cs="Arial"/>
        </w:rPr>
        <w:t>contains a summary of the recommendations contained in the AEMC’s Stage 2 Final Report which have been categorised by the AEMC as follows:</w:t>
      </w:r>
    </w:p>
    <w:p w14:paraId="29EA505A" w14:textId="77777777" w:rsidR="002405F1" w:rsidRPr="006D15EC" w:rsidRDefault="002405F1" w:rsidP="00E270D2">
      <w:pPr>
        <w:pStyle w:val="ListBullet"/>
        <w:numPr>
          <w:ilvl w:val="0"/>
          <w:numId w:val="41"/>
        </w:numPr>
        <w:spacing w:line="252" w:lineRule="auto"/>
        <w:rPr>
          <w:rFonts w:cs="Arial"/>
        </w:rPr>
      </w:pPr>
      <w:r w:rsidRPr="006D15EC">
        <w:rPr>
          <w:rFonts w:cs="Arial"/>
          <w:b/>
          <w:bCs/>
        </w:rPr>
        <w:t xml:space="preserve">required outcomes </w:t>
      </w:r>
      <w:r w:rsidRPr="006D15EC">
        <w:rPr>
          <w:rFonts w:cs="Arial"/>
        </w:rPr>
        <w:t>– these recommendations were described by the AEMC as outcomes that must be progressed by the GMRG and are necessary to the implementation of the reforms;</w:t>
      </w:r>
    </w:p>
    <w:p w14:paraId="1D194E09" w14:textId="77777777" w:rsidR="002405F1" w:rsidRPr="006D15EC" w:rsidRDefault="002405F1" w:rsidP="00E270D2">
      <w:pPr>
        <w:pStyle w:val="ListBullet"/>
        <w:numPr>
          <w:ilvl w:val="0"/>
          <w:numId w:val="41"/>
        </w:numPr>
        <w:spacing w:line="252" w:lineRule="auto"/>
        <w:rPr>
          <w:rFonts w:cs="Arial"/>
        </w:rPr>
      </w:pPr>
      <w:r w:rsidRPr="006D15EC">
        <w:rPr>
          <w:rFonts w:cs="Arial"/>
          <w:b/>
          <w:bCs/>
        </w:rPr>
        <w:t xml:space="preserve">preferred outcomes </w:t>
      </w:r>
      <w:r w:rsidRPr="006D15EC">
        <w:rPr>
          <w:rFonts w:cs="Arial"/>
        </w:rPr>
        <w:t>– these recommendations were described by the AEMC as outcomes that should be pursued by the GMRG unless it is clear there are greater benefits in alternative approaches; and</w:t>
      </w:r>
    </w:p>
    <w:p w14:paraId="6ED371BA" w14:textId="77777777" w:rsidR="002405F1" w:rsidRDefault="002405F1" w:rsidP="00E270D2">
      <w:pPr>
        <w:pStyle w:val="ListBullet"/>
        <w:numPr>
          <w:ilvl w:val="0"/>
          <w:numId w:val="41"/>
        </w:numPr>
        <w:spacing w:line="252" w:lineRule="auto"/>
        <w:rPr>
          <w:rFonts w:cs="Arial"/>
        </w:rPr>
      </w:pPr>
      <w:r w:rsidRPr="006D15EC">
        <w:rPr>
          <w:rFonts w:cs="Arial"/>
          <w:b/>
          <w:bCs/>
        </w:rPr>
        <w:t>suggested outcomes</w:t>
      </w:r>
      <w:r w:rsidRPr="006D15EC">
        <w:rPr>
          <w:rFonts w:cs="Arial"/>
        </w:rPr>
        <w:t xml:space="preserve"> – these recommendations were described by the AEMC as outcomes that have in-principle benefits but need to be considered further by the GMRG.</w:t>
      </w:r>
      <w:r>
        <w:rPr>
          <w:rFonts w:cs="Arial"/>
        </w:rPr>
        <w:t xml:space="preserve"> </w:t>
      </w:r>
    </w:p>
    <w:p w14:paraId="40BEF132" w14:textId="77777777" w:rsidR="00A057CA" w:rsidRDefault="00A057CA" w:rsidP="00A057CA">
      <w:pPr>
        <w:pStyle w:val="ListBullet"/>
        <w:numPr>
          <w:ilvl w:val="0"/>
          <w:numId w:val="0"/>
        </w:numPr>
        <w:spacing w:line="252" w:lineRule="auto"/>
        <w:ind w:left="357"/>
        <w:rPr>
          <w:rFonts w:cs="Arial"/>
        </w:rPr>
      </w:pPr>
    </w:p>
    <w:p w14:paraId="7837D21E" w14:textId="77777777" w:rsidR="002405F1" w:rsidRPr="00974249" w:rsidRDefault="002405F1" w:rsidP="002405F1">
      <w:pPr>
        <w:pStyle w:val="ListBullet"/>
        <w:numPr>
          <w:ilvl w:val="0"/>
          <w:numId w:val="0"/>
        </w:numPr>
        <w:spacing w:before="0" w:after="0"/>
        <w:ind w:left="357" w:hanging="357"/>
        <w:rPr>
          <w:rFonts w:cs="Arial"/>
          <w:b/>
          <w:bCs/>
          <w:sz w:val="24"/>
          <w:szCs w:val="24"/>
        </w:rPr>
      </w:pPr>
      <w:r w:rsidRPr="00974249">
        <w:rPr>
          <w:rFonts w:cs="Arial"/>
          <w:b/>
          <w:bCs/>
          <w:sz w:val="24"/>
          <w:szCs w:val="24"/>
        </w:rPr>
        <w:t>AEMC Recommendations</w:t>
      </w:r>
    </w:p>
    <w:tbl>
      <w:tblPr>
        <w:tblW w:w="1360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4400"/>
        <w:gridCol w:w="4683"/>
        <w:gridCol w:w="2688"/>
      </w:tblGrid>
      <w:tr w:rsidR="002405F1" w:rsidRPr="00947034" w14:paraId="5EE476E9" w14:textId="77777777" w:rsidTr="00863FDD">
        <w:trPr>
          <w:trHeight w:val="93"/>
          <w:tblHeader/>
        </w:trPr>
        <w:tc>
          <w:tcPr>
            <w:tcW w:w="1838" w:type="dxa"/>
            <w:tcBorders>
              <w:bottom w:val="single" w:sz="4" w:space="0" w:color="auto"/>
            </w:tcBorders>
            <w:shd w:val="clear" w:color="auto" w:fill="0099CC"/>
          </w:tcPr>
          <w:p w14:paraId="1084C9A1" w14:textId="77777777" w:rsidR="002405F1" w:rsidRPr="00947034" w:rsidRDefault="002405F1" w:rsidP="0055571A">
            <w:pPr>
              <w:pStyle w:val="Default"/>
              <w:spacing w:before="40" w:after="40"/>
              <w:rPr>
                <w:color w:val="FFFFFF" w:themeColor="background1"/>
                <w:sz w:val="17"/>
                <w:szCs w:val="17"/>
              </w:rPr>
            </w:pPr>
            <w:r w:rsidRPr="00947034">
              <w:rPr>
                <w:b/>
                <w:bCs/>
                <w:color w:val="FFFFFF" w:themeColor="background1"/>
                <w:sz w:val="17"/>
                <w:szCs w:val="17"/>
              </w:rPr>
              <w:t xml:space="preserve">Recommendation </w:t>
            </w:r>
          </w:p>
        </w:tc>
        <w:tc>
          <w:tcPr>
            <w:tcW w:w="4400" w:type="dxa"/>
            <w:tcBorders>
              <w:bottom w:val="single" w:sz="4" w:space="0" w:color="auto"/>
            </w:tcBorders>
            <w:shd w:val="clear" w:color="auto" w:fill="0099CC"/>
          </w:tcPr>
          <w:p w14:paraId="5137DB5C" w14:textId="77777777" w:rsidR="002405F1" w:rsidRPr="00947034" w:rsidRDefault="002405F1" w:rsidP="0055571A">
            <w:pPr>
              <w:pStyle w:val="Default"/>
              <w:spacing w:before="40" w:after="40"/>
              <w:rPr>
                <w:color w:val="FFFFFF" w:themeColor="background1"/>
                <w:sz w:val="17"/>
                <w:szCs w:val="17"/>
              </w:rPr>
            </w:pPr>
            <w:r w:rsidRPr="00947034">
              <w:rPr>
                <w:b/>
                <w:bCs/>
                <w:color w:val="FFFFFF" w:themeColor="background1"/>
                <w:sz w:val="17"/>
                <w:szCs w:val="17"/>
              </w:rPr>
              <w:t xml:space="preserve">Required outcomes </w:t>
            </w:r>
          </w:p>
        </w:tc>
        <w:tc>
          <w:tcPr>
            <w:tcW w:w="4683" w:type="dxa"/>
            <w:tcBorders>
              <w:bottom w:val="single" w:sz="4" w:space="0" w:color="auto"/>
            </w:tcBorders>
            <w:shd w:val="clear" w:color="auto" w:fill="0099CC"/>
          </w:tcPr>
          <w:p w14:paraId="66E74943" w14:textId="77777777" w:rsidR="002405F1" w:rsidRPr="00947034" w:rsidRDefault="002405F1" w:rsidP="0055571A">
            <w:pPr>
              <w:pStyle w:val="Default"/>
              <w:spacing w:before="40" w:after="40"/>
              <w:rPr>
                <w:color w:val="FFFFFF" w:themeColor="background1"/>
                <w:sz w:val="17"/>
                <w:szCs w:val="17"/>
              </w:rPr>
            </w:pPr>
            <w:r w:rsidRPr="00947034">
              <w:rPr>
                <w:b/>
                <w:bCs/>
                <w:color w:val="FFFFFF" w:themeColor="background1"/>
                <w:sz w:val="17"/>
                <w:szCs w:val="17"/>
              </w:rPr>
              <w:t xml:space="preserve">Preferred outcomes </w:t>
            </w:r>
          </w:p>
        </w:tc>
        <w:tc>
          <w:tcPr>
            <w:tcW w:w="2688" w:type="dxa"/>
            <w:tcBorders>
              <w:bottom w:val="single" w:sz="4" w:space="0" w:color="auto"/>
            </w:tcBorders>
            <w:shd w:val="clear" w:color="auto" w:fill="0099CC"/>
          </w:tcPr>
          <w:p w14:paraId="51F27E4F" w14:textId="77777777" w:rsidR="002405F1" w:rsidRPr="00947034" w:rsidRDefault="002405F1" w:rsidP="0055571A">
            <w:pPr>
              <w:pStyle w:val="Default"/>
              <w:spacing w:before="40" w:after="40"/>
              <w:rPr>
                <w:color w:val="FFFFFF" w:themeColor="background1"/>
                <w:sz w:val="17"/>
                <w:szCs w:val="17"/>
              </w:rPr>
            </w:pPr>
            <w:r w:rsidRPr="00947034">
              <w:rPr>
                <w:b/>
                <w:bCs/>
                <w:color w:val="FFFFFF" w:themeColor="background1"/>
                <w:sz w:val="17"/>
                <w:szCs w:val="17"/>
              </w:rPr>
              <w:t xml:space="preserve">Suggested outcomes </w:t>
            </w:r>
          </w:p>
        </w:tc>
      </w:tr>
      <w:tr w:rsidR="00863FDD" w:rsidRPr="00947034" w14:paraId="5654C404" w14:textId="77777777" w:rsidTr="00863FDD">
        <w:trPr>
          <w:trHeight w:val="2292"/>
        </w:trPr>
        <w:tc>
          <w:tcPr>
            <w:tcW w:w="1838" w:type="dxa"/>
            <w:tcBorders>
              <w:bottom w:val="single" w:sz="4" w:space="0" w:color="auto"/>
            </w:tcBorders>
            <w:shd w:val="clear" w:color="auto" w:fill="E1E2E7" w:themeFill="background2"/>
          </w:tcPr>
          <w:p w14:paraId="7DB2BD28" w14:textId="77777777" w:rsidR="00863FDD" w:rsidRPr="00947034" w:rsidRDefault="00863FDD" w:rsidP="00E7309F">
            <w:pPr>
              <w:pStyle w:val="Default"/>
              <w:spacing w:before="40" w:after="40"/>
              <w:rPr>
                <w:b/>
                <w:bCs/>
                <w:sz w:val="17"/>
                <w:szCs w:val="17"/>
              </w:rPr>
            </w:pPr>
            <w:r w:rsidRPr="00947034">
              <w:rPr>
                <w:b/>
                <w:bCs/>
                <w:sz w:val="17"/>
                <w:szCs w:val="17"/>
              </w:rPr>
              <w:t xml:space="preserve">Standardisation of key primary and secondary capacity contractual terms </w:t>
            </w:r>
          </w:p>
        </w:tc>
        <w:tc>
          <w:tcPr>
            <w:tcW w:w="4400" w:type="dxa"/>
            <w:tcBorders>
              <w:bottom w:val="single" w:sz="4" w:space="0" w:color="auto"/>
            </w:tcBorders>
            <w:shd w:val="clear" w:color="auto" w:fill="E1E2E7" w:themeFill="background2"/>
          </w:tcPr>
          <w:p w14:paraId="4D0F92AE"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Standardisation of key primary and secondary capacity contractual terms for pipeline and for hub </w:t>
            </w:r>
            <w:r w:rsidR="00C76541" w:rsidRPr="00947034">
              <w:rPr>
                <w:sz w:val="17"/>
                <w:szCs w:val="17"/>
              </w:rPr>
              <w:t xml:space="preserve">(compression) </w:t>
            </w:r>
            <w:r w:rsidRPr="00947034">
              <w:rPr>
                <w:sz w:val="17"/>
                <w:szCs w:val="17"/>
              </w:rPr>
              <w:t xml:space="preserve">services. </w:t>
            </w:r>
          </w:p>
          <w:p w14:paraId="697AED75"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Where possible and appropriate apply across the eastern Australian gas market. </w:t>
            </w:r>
          </w:p>
          <w:p w14:paraId="2BF48FF3"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Standards to be developed are for key operational, prudential and other contractual provisions in GTAs, CTAs and Operational GTAs, and provisions in contracts used for exchange based trading on the capacity trading platform. </w:t>
            </w:r>
          </w:p>
          <w:p w14:paraId="60432D13"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Counterparties to existing contracts should not be materially disadvantaged through the standardisation process </w:t>
            </w:r>
          </w:p>
        </w:tc>
        <w:tc>
          <w:tcPr>
            <w:tcW w:w="4683" w:type="dxa"/>
            <w:tcBorders>
              <w:bottom w:val="single" w:sz="4" w:space="0" w:color="auto"/>
            </w:tcBorders>
            <w:shd w:val="clear" w:color="auto" w:fill="E1E2E7" w:themeFill="background2"/>
          </w:tcPr>
          <w:p w14:paraId="0C251CE7"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Shippers provided greater flexibility to change their receipt and delivery points </w:t>
            </w:r>
          </w:p>
        </w:tc>
        <w:tc>
          <w:tcPr>
            <w:tcW w:w="2688" w:type="dxa"/>
            <w:tcBorders>
              <w:bottom w:val="single" w:sz="4" w:space="0" w:color="auto"/>
            </w:tcBorders>
            <w:shd w:val="clear" w:color="auto" w:fill="E1E2E7" w:themeFill="background2"/>
          </w:tcPr>
          <w:p w14:paraId="06D28C15" w14:textId="77777777" w:rsidR="00863FDD" w:rsidRPr="00947034" w:rsidRDefault="00863FDD" w:rsidP="00E7309F">
            <w:pPr>
              <w:pStyle w:val="Default"/>
              <w:spacing w:before="40" w:after="40"/>
              <w:rPr>
                <w:sz w:val="17"/>
                <w:szCs w:val="17"/>
              </w:rPr>
            </w:pPr>
            <w:proofErr w:type="spellStart"/>
            <w:r w:rsidRPr="00947034">
              <w:rPr>
                <w:sz w:val="17"/>
                <w:szCs w:val="17"/>
              </w:rPr>
              <w:t>n.a</w:t>
            </w:r>
            <w:proofErr w:type="spellEnd"/>
            <w:r w:rsidRPr="00947034">
              <w:rPr>
                <w:sz w:val="17"/>
                <w:szCs w:val="17"/>
              </w:rPr>
              <w:t>.</w:t>
            </w:r>
          </w:p>
        </w:tc>
      </w:tr>
      <w:tr w:rsidR="00863FDD" w:rsidRPr="00947034" w14:paraId="7D52F868" w14:textId="77777777" w:rsidTr="00E52016">
        <w:trPr>
          <w:trHeight w:val="3209"/>
        </w:trPr>
        <w:tc>
          <w:tcPr>
            <w:tcW w:w="1838" w:type="dxa"/>
            <w:tcBorders>
              <w:bottom w:val="single" w:sz="4" w:space="0" w:color="auto"/>
            </w:tcBorders>
            <w:shd w:val="clear" w:color="auto" w:fill="auto"/>
          </w:tcPr>
          <w:p w14:paraId="0CF0A4BF" w14:textId="77777777" w:rsidR="00863FDD" w:rsidRPr="00947034" w:rsidRDefault="00863FDD" w:rsidP="00E7309F">
            <w:pPr>
              <w:pStyle w:val="Default"/>
              <w:spacing w:before="40" w:after="40"/>
              <w:rPr>
                <w:sz w:val="17"/>
                <w:szCs w:val="17"/>
              </w:rPr>
            </w:pPr>
            <w:r w:rsidRPr="00947034">
              <w:rPr>
                <w:b/>
                <w:bCs/>
                <w:sz w:val="17"/>
                <w:szCs w:val="17"/>
              </w:rPr>
              <w:lastRenderedPageBreak/>
              <w:t xml:space="preserve">Auction for contracted but un-nominated capacity </w:t>
            </w:r>
          </w:p>
        </w:tc>
        <w:tc>
          <w:tcPr>
            <w:tcW w:w="4400" w:type="dxa"/>
            <w:tcBorders>
              <w:bottom w:val="single" w:sz="4" w:space="0" w:color="auto"/>
            </w:tcBorders>
            <w:shd w:val="clear" w:color="auto" w:fill="auto"/>
          </w:tcPr>
          <w:p w14:paraId="06ECFE52"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A daily, day-ahead capacity auction for contracted but un-nominated pipeline capacity and hub </w:t>
            </w:r>
            <w:r w:rsidR="00C76541" w:rsidRPr="00947034">
              <w:rPr>
                <w:sz w:val="17"/>
                <w:szCs w:val="17"/>
              </w:rPr>
              <w:t xml:space="preserve">(compression) </w:t>
            </w:r>
            <w:r w:rsidRPr="00947034">
              <w:rPr>
                <w:sz w:val="17"/>
                <w:szCs w:val="17"/>
              </w:rPr>
              <w:t xml:space="preserve">services. </w:t>
            </w:r>
          </w:p>
          <w:p w14:paraId="4CE5357A"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Auction happens shortly after nomination cut-off time. </w:t>
            </w:r>
          </w:p>
          <w:p w14:paraId="1041712D"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Reserve price of zero dollars, with compressor fuel provided by shippers in-kind. </w:t>
            </w:r>
          </w:p>
          <w:p w14:paraId="399F7562"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At least all contracted but un-nominated capacity placed for sale through auction. </w:t>
            </w:r>
          </w:p>
          <w:p w14:paraId="3567069F"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Accommodate nominations or renominations by incumbent shippers after the auction is conducted. </w:t>
            </w:r>
          </w:p>
        </w:tc>
        <w:tc>
          <w:tcPr>
            <w:tcW w:w="4683" w:type="dxa"/>
            <w:tcBorders>
              <w:bottom w:val="single" w:sz="4" w:space="0" w:color="auto"/>
            </w:tcBorders>
            <w:shd w:val="clear" w:color="auto" w:fill="auto"/>
          </w:tcPr>
          <w:p w14:paraId="4C75C951"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Combinatorial auction where multiple buyers and sellers can simultaneously coordinate trades, managing the complementarities between different pipeline segments. </w:t>
            </w:r>
          </w:p>
          <w:p w14:paraId="5DB9142C"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Single round auction to reduce complexity and opportunities for anti-competitive behaviour between participants. </w:t>
            </w:r>
          </w:p>
          <w:p w14:paraId="2047BD78"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Bidders pay the value of their winning bids ("first-price" rule) to reduce complexity. </w:t>
            </w:r>
          </w:p>
          <w:p w14:paraId="7B3C6421"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Algorithm determines the winning combination of bids by maximising profit (constrained by requirement that at least all contracted but un-nominated capacity is put on sale in auction). </w:t>
            </w:r>
          </w:p>
          <w:p w14:paraId="56DA4763" w14:textId="1D6D78E2" w:rsidR="00863FDD" w:rsidRPr="00947034" w:rsidRDefault="00863FDD" w:rsidP="00E7309F">
            <w:pPr>
              <w:pStyle w:val="TableBullet1"/>
              <w:spacing w:before="40" w:after="40" w:line="240" w:lineRule="auto"/>
              <w:rPr>
                <w:sz w:val="17"/>
                <w:szCs w:val="17"/>
              </w:rPr>
            </w:pPr>
            <w:r w:rsidRPr="00947034">
              <w:rPr>
                <w:sz w:val="17"/>
                <w:szCs w:val="17"/>
              </w:rPr>
              <w:t>Capacity purchased in the auction curtailed before (</w:t>
            </w:r>
            <w:r w:rsidR="00817F19" w:rsidRPr="00947034">
              <w:rPr>
                <w:sz w:val="17"/>
                <w:szCs w:val="17"/>
              </w:rPr>
              <w:t>i.e.</w:t>
            </w:r>
            <w:r w:rsidRPr="00947034">
              <w:rPr>
                <w:sz w:val="17"/>
                <w:szCs w:val="17"/>
              </w:rPr>
              <w:t xml:space="preserve">, earlier than) firm capacity. </w:t>
            </w:r>
          </w:p>
          <w:p w14:paraId="0EF1957B"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Single auction across the east coast market, in order to optimise allocation across as many products as possible. </w:t>
            </w:r>
          </w:p>
          <w:p w14:paraId="65005477"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Exemption from the auction for pipelines serving a single user. </w:t>
            </w:r>
          </w:p>
        </w:tc>
        <w:tc>
          <w:tcPr>
            <w:tcW w:w="2688" w:type="dxa"/>
            <w:tcBorders>
              <w:bottom w:val="single" w:sz="4" w:space="0" w:color="auto"/>
            </w:tcBorders>
            <w:shd w:val="clear" w:color="auto" w:fill="auto"/>
          </w:tcPr>
          <w:p w14:paraId="58B54FB1"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As available rights in current GTAs to be phased out to avoid them competing with rights allocated in the auction. </w:t>
            </w:r>
          </w:p>
          <w:p w14:paraId="3EBF19CF"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Exempting on a case-by-case basis pipelines that are not fully contracted from needing to conduct the auction. </w:t>
            </w:r>
          </w:p>
          <w:p w14:paraId="444DF23D" w14:textId="77777777" w:rsidR="00863FDD" w:rsidRPr="00947034" w:rsidRDefault="00863FDD" w:rsidP="00E7309F">
            <w:pPr>
              <w:pStyle w:val="TableBullet1"/>
              <w:spacing w:before="40" w:after="40" w:line="240" w:lineRule="auto"/>
              <w:rPr>
                <w:sz w:val="17"/>
                <w:szCs w:val="17"/>
              </w:rPr>
            </w:pPr>
            <w:r w:rsidRPr="00947034">
              <w:rPr>
                <w:sz w:val="17"/>
                <w:szCs w:val="17"/>
              </w:rPr>
              <w:t xml:space="preserve">The auction to be run by the same institution(s) which run the capacity trading platform. </w:t>
            </w:r>
          </w:p>
        </w:tc>
      </w:tr>
      <w:tr w:rsidR="00E52016" w:rsidRPr="00947034" w14:paraId="0485F5DF" w14:textId="77777777" w:rsidTr="00E52016">
        <w:trPr>
          <w:trHeight w:val="576"/>
        </w:trPr>
        <w:tc>
          <w:tcPr>
            <w:tcW w:w="1838" w:type="dxa"/>
            <w:tcBorders>
              <w:bottom w:val="single" w:sz="4" w:space="0" w:color="auto"/>
            </w:tcBorders>
            <w:shd w:val="clear" w:color="auto" w:fill="E1E2E7" w:themeFill="background2"/>
          </w:tcPr>
          <w:p w14:paraId="73109D59" w14:textId="77777777" w:rsidR="00E52016" w:rsidRPr="00947034" w:rsidRDefault="00E52016" w:rsidP="00A057CA">
            <w:pPr>
              <w:pStyle w:val="Default"/>
              <w:spacing w:before="40" w:after="40"/>
              <w:rPr>
                <w:b/>
                <w:bCs/>
                <w:sz w:val="17"/>
                <w:szCs w:val="17"/>
              </w:rPr>
            </w:pPr>
            <w:r w:rsidRPr="00947034">
              <w:rPr>
                <w:b/>
                <w:bCs/>
                <w:sz w:val="17"/>
                <w:szCs w:val="17"/>
              </w:rPr>
              <w:t xml:space="preserve">Capacity trading platform(s) </w:t>
            </w:r>
          </w:p>
        </w:tc>
        <w:tc>
          <w:tcPr>
            <w:tcW w:w="4400" w:type="dxa"/>
            <w:tcBorders>
              <w:bottom w:val="single" w:sz="4" w:space="0" w:color="auto"/>
            </w:tcBorders>
            <w:shd w:val="clear" w:color="auto" w:fill="E1E2E7" w:themeFill="background2"/>
          </w:tcPr>
          <w:p w14:paraId="5F714B01" w14:textId="77777777" w:rsidR="00E52016" w:rsidRPr="00947034" w:rsidRDefault="00E52016" w:rsidP="00A057CA">
            <w:pPr>
              <w:pStyle w:val="TableBullet1"/>
              <w:spacing w:before="40" w:after="40" w:line="240" w:lineRule="auto"/>
              <w:rPr>
                <w:sz w:val="17"/>
                <w:szCs w:val="17"/>
              </w:rPr>
            </w:pPr>
            <w:r w:rsidRPr="00947034">
              <w:rPr>
                <w:sz w:val="17"/>
                <w:szCs w:val="17"/>
              </w:rPr>
              <w:t xml:space="preserve">Creation of capacity trading platform(s) which include electronic anonymous exchange based trading for commonly traded products in addition to a capacity listing service typical on current capacity trading platforms. </w:t>
            </w:r>
          </w:p>
          <w:p w14:paraId="18573FF4" w14:textId="77777777" w:rsidR="00E52016" w:rsidRPr="00947034" w:rsidRDefault="00E52016" w:rsidP="00A057CA">
            <w:pPr>
              <w:pStyle w:val="TableBullet1"/>
              <w:spacing w:before="40" w:after="40" w:line="240" w:lineRule="auto"/>
              <w:rPr>
                <w:sz w:val="17"/>
                <w:szCs w:val="17"/>
              </w:rPr>
            </w:pPr>
            <w:r w:rsidRPr="00947034">
              <w:rPr>
                <w:sz w:val="17"/>
                <w:szCs w:val="17"/>
              </w:rPr>
              <w:t xml:space="preserve">Trades carried out through trading platform to be given effect through an operational transfer. </w:t>
            </w:r>
          </w:p>
          <w:p w14:paraId="663D3E44" w14:textId="77777777" w:rsidR="00E52016" w:rsidRPr="00947034" w:rsidRDefault="00E52016" w:rsidP="00A057CA">
            <w:pPr>
              <w:pStyle w:val="TableBullet1"/>
              <w:spacing w:before="40" w:after="40" w:line="240" w:lineRule="auto"/>
              <w:rPr>
                <w:sz w:val="17"/>
                <w:szCs w:val="17"/>
              </w:rPr>
            </w:pPr>
            <w:r w:rsidRPr="00947034">
              <w:rPr>
                <w:sz w:val="17"/>
                <w:szCs w:val="17"/>
              </w:rPr>
              <w:t xml:space="preserve">Bare transfers will be allowed but the seller will be required to offer the buyer the option to use an operational transfer. </w:t>
            </w:r>
          </w:p>
        </w:tc>
        <w:tc>
          <w:tcPr>
            <w:tcW w:w="4683" w:type="dxa"/>
            <w:tcBorders>
              <w:bottom w:val="single" w:sz="4" w:space="0" w:color="auto"/>
            </w:tcBorders>
            <w:shd w:val="clear" w:color="auto" w:fill="E1E2E7" w:themeFill="background2"/>
          </w:tcPr>
          <w:p w14:paraId="568AB39C" w14:textId="77777777" w:rsidR="00E52016" w:rsidRPr="00947034" w:rsidRDefault="00E52016" w:rsidP="00A057CA">
            <w:pPr>
              <w:pStyle w:val="TableBullet1"/>
              <w:spacing w:before="40" w:after="40" w:line="240" w:lineRule="auto"/>
              <w:rPr>
                <w:sz w:val="17"/>
                <w:szCs w:val="17"/>
              </w:rPr>
            </w:pPr>
            <w:r w:rsidRPr="00947034">
              <w:rPr>
                <w:sz w:val="17"/>
                <w:szCs w:val="17"/>
              </w:rPr>
              <w:t xml:space="preserve">Single capacity trading platform operating across the east coast. </w:t>
            </w:r>
          </w:p>
          <w:p w14:paraId="221939A5" w14:textId="2242AF61" w:rsidR="00E52016" w:rsidRPr="00947034" w:rsidRDefault="00E52016" w:rsidP="00A057CA">
            <w:pPr>
              <w:pStyle w:val="TableBullet1"/>
              <w:spacing w:before="40" w:after="40" w:line="240" w:lineRule="auto"/>
              <w:rPr>
                <w:sz w:val="17"/>
                <w:szCs w:val="17"/>
              </w:rPr>
            </w:pPr>
            <w:r w:rsidRPr="00947034">
              <w:rPr>
                <w:sz w:val="17"/>
                <w:szCs w:val="17"/>
              </w:rPr>
              <w:t>As many services as possible capable of being traded on the platform (</w:t>
            </w:r>
            <w:r w:rsidR="00817F19" w:rsidRPr="00947034">
              <w:rPr>
                <w:sz w:val="17"/>
                <w:szCs w:val="17"/>
              </w:rPr>
              <w:t>e.g.</w:t>
            </w:r>
            <w:r w:rsidRPr="00947034">
              <w:rPr>
                <w:sz w:val="17"/>
                <w:szCs w:val="17"/>
              </w:rPr>
              <w:t xml:space="preserve">, transportation services, hub </w:t>
            </w:r>
            <w:r w:rsidR="00C76541" w:rsidRPr="00947034">
              <w:rPr>
                <w:sz w:val="17"/>
                <w:szCs w:val="17"/>
              </w:rPr>
              <w:t xml:space="preserve">(compression) </w:t>
            </w:r>
            <w:r w:rsidRPr="00947034">
              <w:rPr>
                <w:sz w:val="17"/>
                <w:szCs w:val="17"/>
              </w:rPr>
              <w:t xml:space="preserve">services and pipeline storage services), recognising the need to avoid unnecessary complexities. </w:t>
            </w:r>
          </w:p>
          <w:p w14:paraId="3CC53DD7" w14:textId="77777777" w:rsidR="00E52016" w:rsidRPr="00947034" w:rsidRDefault="00E52016" w:rsidP="00A057CA">
            <w:pPr>
              <w:pStyle w:val="TableBullet1"/>
              <w:spacing w:before="40" w:after="40" w:line="240" w:lineRule="auto"/>
              <w:rPr>
                <w:sz w:val="17"/>
                <w:szCs w:val="17"/>
              </w:rPr>
            </w:pPr>
            <w:r w:rsidRPr="00947034">
              <w:rPr>
                <w:sz w:val="17"/>
                <w:szCs w:val="17"/>
              </w:rPr>
              <w:t xml:space="preserve">Trades conducted outside the capacity trading platform to be advertised ahead of time on the capacity trading platform listing service. </w:t>
            </w:r>
          </w:p>
        </w:tc>
        <w:tc>
          <w:tcPr>
            <w:tcW w:w="2688" w:type="dxa"/>
            <w:tcBorders>
              <w:bottom w:val="single" w:sz="4" w:space="0" w:color="auto"/>
            </w:tcBorders>
            <w:shd w:val="clear" w:color="auto" w:fill="E1E2E7" w:themeFill="background2"/>
          </w:tcPr>
          <w:p w14:paraId="75E24535" w14:textId="77777777" w:rsidR="00E52016" w:rsidRPr="00947034" w:rsidRDefault="00E52016" w:rsidP="00A057CA">
            <w:pPr>
              <w:pStyle w:val="Default"/>
              <w:spacing w:before="40" w:after="40"/>
              <w:rPr>
                <w:sz w:val="17"/>
                <w:szCs w:val="17"/>
              </w:rPr>
            </w:pPr>
            <w:proofErr w:type="spellStart"/>
            <w:r w:rsidRPr="00947034">
              <w:rPr>
                <w:sz w:val="17"/>
                <w:szCs w:val="17"/>
              </w:rPr>
              <w:t>n.a</w:t>
            </w:r>
            <w:proofErr w:type="spellEnd"/>
            <w:r w:rsidRPr="00947034">
              <w:rPr>
                <w:sz w:val="17"/>
                <w:szCs w:val="17"/>
              </w:rPr>
              <w:t>.</w:t>
            </w:r>
          </w:p>
        </w:tc>
      </w:tr>
      <w:tr w:rsidR="002405F1" w:rsidRPr="00947034" w14:paraId="43FBC114" w14:textId="77777777" w:rsidTr="00E52016">
        <w:trPr>
          <w:trHeight w:val="66"/>
        </w:trPr>
        <w:tc>
          <w:tcPr>
            <w:tcW w:w="1838" w:type="dxa"/>
            <w:shd w:val="clear" w:color="auto" w:fill="auto"/>
          </w:tcPr>
          <w:p w14:paraId="223629FB" w14:textId="77777777" w:rsidR="002405F1" w:rsidRPr="00947034" w:rsidRDefault="002405F1" w:rsidP="00A9425D">
            <w:pPr>
              <w:pStyle w:val="Default"/>
              <w:spacing w:before="40" w:after="40"/>
              <w:rPr>
                <w:b/>
                <w:bCs/>
                <w:sz w:val="17"/>
                <w:szCs w:val="17"/>
              </w:rPr>
            </w:pPr>
            <w:r w:rsidRPr="00947034">
              <w:rPr>
                <w:b/>
                <w:bCs/>
                <w:sz w:val="17"/>
                <w:szCs w:val="17"/>
              </w:rPr>
              <w:t xml:space="preserve">Publication of information on secondary capacity trades </w:t>
            </w:r>
          </w:p>
        </w:tc>
        <w:tc>
          <w:tcPr>
            <w:tcW w:w="4400" w:type="dxa"/>
            <w:shd w:val="clear" w:color="auto" w:fill="auto"/>
          </w:tcPr>
          <w:p w14:paraId="12F53DFB" w14:textId="77777777" w:rsidR="002405F1" w:rsidRPr="00947034" w:rsidRDefault="002405F1" w:rsidP="00A9425D">
            <w:pPr>
              <w:pStyle w:val="TableBullet1"/>
              <w:spacing w:before="40" w:after="40" w:line="240" w:lineRule="auto"/>
              <w:rPr>
                <w:sz w:val="17"/>
                <w:szCs w:val="17"/>
              </w:rPr>
            </w:pPr>
            <w:r w:rsidRPr="00947034">
              <w:rPr>
                <w:sz w:val="17"/>
                <w:szCs w:val="17"/>
              </w:rPr>
              <w:t xml:space="preserve">Publication of information on all secondary trades of pipeline capacity and hub </w:t>
            </w:r>
            <w:r w:rsidR="00C76541" w:rsidRPr="00947034">
              <w:rPr>
                <w:sz w:val="17"/>
                <w:szCs w:val="17"/>
              </w:rPr>
              <w:t xml:space="preserve">(compression) </w:t>
            </w:r>
            <w:r w:rsidRPr="00947034">
              <w:rPr>
                <w:sz w:val="17"/>
                <w:szCs w:val="17"/>
              </w:rPr>
              <w:t xml:space="preserve">services. </w:t>
            </w:r>
          </w:p>
          <w:p w14:paraId="655777B6" w14:textId="77777777" w:rsidR="002405F1" w:rsidRPr="00947034" w:rsidRDefault="002405F1" w:rsidP="00A9425D">
            <w:pPr>
              <w:pStyle w:val="TableBullet1"/>
              <w:spacing w:before="40" w:after="40" w:line="240" w:lineRule="auto"/>
              <w:rPr>
                <w:sz w:val="17"/>
                <w:szCs w:val="17"/>
              </w:rPr>
            </w:pPr>
            <w:r w:rsidRPr="00947034">
              <w:rPr>
                <w:sz w:val="17"/>
                <w:szCs w:val="17"/>
              </w:rPr>
              <w:t xml:space="preserve">The information to be published is the price of the trade and any other information that might reasonably influence that price, taking into account measures to protect anonymity. </w:t>
            </w:r>
          </w:p>
          <w:p w14:paraId="67985D6D" w14:textId="77777777" w:rsidR="002405F1" w:rsidRPr="00947034" w:rsidRDefault="002405F1" w:rsidP="00A9425D">
            <w:pPr>
              <w:pStyle w:val="TableBullet1"/>
              <w:spacing w:before="40" w:after="40" w:line="240" w:lineRule="auto"/>
              <w:rPr>
                <w:sz w:val="17"/>
                <w:szCs w:val="17"/>
              </w:rPr>
            </w:pPr>
            <w:r w:rsidRPr="00947034">
              <w:rPr>
                <w:sz w:val="17"/>
                <w:szCs w:val="17"/>
              </w:rPr>
              <w:t xml:space="preserve">Publication should occur at or shortly after the time the transaction is entered into </w:t>
            </w:r>
          </w:p>
        </w:tc>
        <w:tc>
          <w:tcPr>
            <w:tcW w:w="4683" w:type="dxa"/>
            <w:shd w:val="clear" w:color="auto" w:fill="auto"/>
          </w:tcPr>
          <w:p w14:paraId="5B451668" w14:textId="77777777" w:rsidR="002405F1" w:rsidRPr="00947034" w:rsidRDefault="002405F1" w:rsidP="00A9425D">
            <w:pPr>
              <w:pStyle w:val="TableBullet1"/>
              <w:numPr>
                <w:ilvl w:val="0"/>
                <w:numId w:val="0"/>
              </w:numPr>
              <w:spacing w:before="40" w:after="40" w:line="240" w:lineRule="auto"/>
              <w:ind w:left="85"/>
              <w:rPr>
                <w:sz w:val="17"/>
                <w:szCs w:val="17"/>
              </w:rPr>
            </w:pPr>
            <w:proofErr w:type="spellStart"/>
            <w:r w:rsidRPr="00947034">
              <w:rPr>
                <w:sz w:val="17"/>
                <w:szCs w:val="17"/>
              </w:rPr>
              <w:t>n.a</w:t>
            </w:r>
            <w:proofErr w:type="spellEnd"/>
            <w:r w:rsidRPr="00947034">
              <w:rPr>
                <w:sz w:val="17"/>
                <w:szCs w:val="17"/>
              </w:rPr>
              <w:t>.</w:t>
            </w:r>
          </w:p>
        </w:tc>
        <w:tc>
          <w:tcPr>
            <w:tcW w:w="2688" w:type="dxa"/>
            <w:shd w:val="clear" w:color="auto" w:fill="auto"/>
          </w:tcPr>
          <w:p w14:paraId="04797EA2" w14:textId="77777777" w:rsidR="002405F1" w:rsidRPr="00947034" w:rsidRDefault="002405F1" w:rsidP="00A9425D">
            <w:pPr>
              <w:pStyle w:val="Default"/>
              <w:spacing w:before="40" w:after="40"/>
              <w:rPr>
                <w:sz w:val="17"/>
                <w:szCs w:val="17"/>
              </w:rPr>
            </w:pPr>
            <w:proofErr w:type="spellStart"/>
            <w:r w:rsidRPr="00947034">
              <w:rPr>
                <w:sz w:val="17"/>
                <w:szCs w:val="17"/>
              </w:rPr>
              <w:t>n.a</w:t>
            </w:r>
            <w:proofErr w:type="spellEnd"/>
            <w:r w:rsidRPr="00947034">
              <w:rPr>
                <w:sz w:val="17"/>
                <w:szCs w:val="17"/>
              </w:rPr>
              <w:t>.</w:t>
            </w:r>
          </w:p>
        </w:tc>
      </w:tr>
      <w:bookmarkEnd w:id="224"/>
    </w:tbl>
    <w:p w14:paraId="2C2AE6E5" w14:textId="77777777" w:rsidR="00BB38CA" w:rsidRDefault="00BB38CA" w:rsidP="00A9425D">
      <w:pPr>
        <w:pStyle w:val="BodyText"/>
        <w:spacing w:before="0" w:after="0" w:line="240" w:lineRule="auto"/>
        <w:rPr>
          <w:rStyle w:val="BodyTextChar"/>
          <w:sz w:val="2"/>
          <w:szCs w:val="2"/>
        </w:rPr>
      </w:pPr>
    </w:p>
    <w:p w14:paraId="04E8B5BD" w14:textId="77777777" w:rsidR="001719B2" w:rsidRDefault="001719B2" w:rsidP="00A9425D">
      <w:pPr>
        <w:pStyle w:val="BodyText"/>
        <w:spacing w:before="0" w:after="0" w:line="240" w:lineRule="auto"/>
        <w:rPr>
          <w:rStyle w:val="BodyTextChar"/>
          <w:sz w:val="2"/>
          <w:szCs w:val="2"/>
        </w:rPr>
      </w:pPr>
    </w:p>
    <w:p w14:paraId="6E90BF44" w14:textId="77777777" w:rsidR="001719B2" w:rsidRDefault="001719B2" w:rsidP="00A9425D">
      <w:pPr>
        <w:pStyle w:val="BodyText"/>
        <w:spacing w:before="0" w:after="0" w:line="240" w:lineRule="auto"/>
        <w:rPr>
          <w:rStyle w:val="BodyTextChar"/>
          <w:sz w:val="2"/>
          <w:szCs w:val="2"/>
        </w:rPr>
        <w:sectPr w:rsidR="001719B2" w:rsidSect="00CF1252">
          <w:headerReference w:type="default" r:id="rId46"/>
          <w:pgSz w:w="16839" w:h="11907" w:orient="landscape" w:code="9"/>
          <w:pgMar w:top="-1701" w:right="1417" w:bottom="851" w:left="2268" w:header="567" w:footer="397" w:gutter="0"/>
          <w:cols w:space="708"/>
          <w:docGrid w:linePitch="360"/>
        </w:sectPr>
      </w:pPr>
    </w:p>
    <w:p w14:paraId="420688F7" w14:textId="77777777" w:rsidR="001719B2" w:rsidRDefault="001719B2" w:rsidP="001719B2">
      <w:pPr>
        <w:pStyle w:val="Heading9"/>
      </w:pPr>
      <w:bookmarkStart w:id="225" w:name="Here"/>
      <w:bookmarkEnd w:id="225"/>
      <w:r>
        <w:lastRenderedPageBreak/>
        <w:t xml:space="preserve">Members of the project teams and Advisory Panel </w:t>
      </w:r>
    </w:p>
    <w:p w14:paraId="0FC14FEA" w14:textId="77777777" w:rsidR="001719B2" w:rsidRDefault="001719B2" w:rsidP="001719B2">
      <w:pPr>
        <w:pStyle w:val="BodyText"/>
        <w:rPr>
          <w:lang w:eastAsia="en-US"/>
        </w:rPr>
      </w:pPr>
      <w:r>
        <w:rPr>
          <w:lang w:eastAsia="en-US"/>
        </w:rPr>
        <w:t>The tables below contain a list of the members of the Standardisation, Capacity Trading Platform and Day-Ahead Auction project teams and the Advisory Panel.</w:t>
      </w:r>
    </w:p>
    <w:p w14:paraId="062371DE" w14:textId="16FB7921" w:rsidR="001719B2" w:rsidRDefault="001719B2" w:rsidP="001719B2">
      <w:pPr>
        <w:pStyle w:val="Caption"/>
      </w:pPr>
      <w:r>
        <w:t xml:space="preserve">Table </w:t>
      </w:r>
      <w:r w:rsidR="00926D7E">
        <w:fldChar w:fldCharType="begin"/>
      </w:r>
      <w:r w:rsidR="00926D7E">
        <w:instrText xml:space="preserve"> STYLEREF 9 \s </w:instrText>
      </w:r>
      <w:r w:rsidR="00926D7E">
        <w:fldChar w:fldCharType="separate"/>
      </w:r>
      <w:r w:rsidR="00947034">
        <w:rPr>
          <w:noProof/>
        </w:rPr>
        <w:t>B</w:t>
      </w:r>
      <w:r w:rsidR="00926D7E">
        <w:rPr>
          <w:noProof/>
        </w:rPr>
        <w:fldChar w:fldCharType="end"/>
      </w:r>
      <w:r>
        <w:t>.</w:t>
      </w:r>
      <w:r w:rsidR="00926D7E">
        <w:fldChar w:fldCharType="begin"/>
      </w:r>
      <w:r w:rsidR="00926D7E">
        <w:instrText xml:space="preserve"> SEQ TableAppendix \* ARABIC \s 9 </w:instrText>
      </w:r>
      <w:r w:rsidR="00926D7E">
        <w:fldChar w:fldCharType="separate"/>
      </w:r>
      <w:r w:rsidR="00947034">
        <w:rPr>
          <w:noProof/>
        </w:rPr>
        <w:t>1</w:t>
      </w:r>
      <w:r w:rsidR="00926D7E">
        <w:rPr>
          <w:noProof/>
        </w:rPr>
        <w:fldChar w:fldCharType="end"/>
      </w:r>
      <w:r>
        <w:t xml:space="preserve">: </w:t>
      </w:r>
      <w:r w:rsidR="000800F0">
        <w:t>Membership of Project Teams and Advisory Panel</w:t>
      </w:r>
    </w:p>
    <w:tbl>
      <w:tblPr>
        <w:tblStyle w:val="TableGrid"/>
        <w:tblW w:w="5000" w:type="pct"/>
        <w:tblLayout w:type="fixed"/>
        <w:tblLook w:val="0620" w:firstRow="1" w:lastRow="0" w:firstColumn="0" w:lastColumn="0" w:noHBand="1" w:noVBand="1"/>
        <w:tblCaption w:val="Table B.1: Membership of Project Teams and Advisory Panel"/>
        <w:tblDescription w:val="Membership of Project Teams and Advisory Panel"/>
      </w:tblPr>
      <w:tblGrid>
        <w:gridCol w:w="2929"/>
        <w:gridCol w:w="2930"/>
        <w:gridCol w:w="2930"/>
      </w:tblGrid>
      <w:tr w:rsidR="000800F0" w14:paraId="19C6E370" w14:textId="77777777" w:rsidTr="00947034">
        <w:trPr>
          <w:cnfStyle w:val="100000000000" w:firstRow="1" w:lastRow="0" w:firstColumn="0" w:lastColumn="0" w:oddVBand="0" w:evenVBand="0" w:oddHBand="0" w:evenHBand="0" w:firstRowFirstColumn="0" w:firstRowLastColumn="0" w:lastRowFirstColumn="0" w:lastRowLastColumn="0"/>
          <w:cantSplit/>
          <w:tblHeader/>
        </w:trPr>
        <w:tc>
          <w:tcPr>
            <w:tcW w:w="5000" w:type="pct"/>
            <w:gridSpan w:val="3"/>
            <w:tcBorders>
              <w:bottom w:val="single" w:sz="4" w:space="0" w:color="auto"/>
            </w:tcBorders>
            <w:shd w:val="clear" w:color="auto" w:fill="0099CC"/>
          </w:tcPr>
          <w:p w14:paraId="18D40B6C" w14:textId="77777777" w:rsidR="000800F0" w:rsidRDefault="000800F0" w:rsidP="000800F0">
            <w:pPr>
              <w:pStyle w:val="TableHeading"/>
              <w:jc w:val="center"/>
              <w:rPr>
                <w:lang w:eastAsia="fr-CA"/>
              </w:rPr>
            </w:pPr>
            <w:r>
              <w:rPr>
                <w:lang w:eastAsia="fr-CA"/>
              </w:rPr>
              <w:t>Project Team Members</w:t>
            </w:r>
          </w:p>
        </w:tc>
      </w:tr>
      <w:tr w:rsidR="001719B2" w14:paraId="6AB627C5" w14:textId="77777777" w:rsidTr="00947034">
        <w:trPr>
          <w:cnfStyle w:val="100000000000" w:firstRow="1" w:lastRow="0" w:firstColumn="0" w:lastColumn="0" w:oddVBand="0" w:evenVBand="0" w:oddHBand="0" w:evenHBand="0" w:firstRowFirstColumn="0" w:firstRowLastColumn="0" w:lastRowFirstColumn="0" w:lastRowLastColumn="0"/>
          <w:cantSplit/>
          <w:tblHeader/>
        </w:trPr>
        <w:tc>
          <w:tcPr>
            <w:tcW w:w="1666" w:type="pct"/>
            <w:shd w:val="clear" w:color="auto" w:fill="65697F" w:themeFill="background2" w:themeFillShade="80"/>
          </w:tcPr>
          <w:p w14:paraId="7E0FF1D0" w14:textId="77777777" w:rsidR="001719B2" w:rsidRDefault="001719B2" w:rsidP="001719B2">
            <w:pPr>
              <w:pStyle w:val="TableHeading"/>
              <w:rPr>
                <w:lang w:eastAsia="fr-CA"/>
              </w:rPr>
            </w:pPr>
            <w:r>
              <w:rPr>
                <w:lang w:eastAsia="fr-CA"/>
              </w:rPr>
              <w:t>Standardisation Project Team</w:t>
            </w:r>
          </w:p>
        </w:tc>
        <w:tc>
          <w:tcPr>
            <w:tcW w:w="1667" w:type="pct"/>
            <w:shd w:val="clear" w:color="auto" w:fill="65697F" w:themeFill="background2" w:themeFillShade="80"/>
          </w:tcPr>
          <w:p w14:paraId="44BCA642" w14:textId="77777777" w:rsidR="001719B2" w:rsidRDefault="001719B2" w:rsidP="001719B2">
            <w:pPr>
              <w:pStyle w:val="TableHeading"/>
              <w:rPr>
                <w:lang w:eastAsia="fr-CA"/>
              </w:rPr>
            </w:pPr>
            <w:r>
              <w:rPr>
                <w:lang w:eastAsia="fr-CA"/>
              </w:rPr>
              <w:t>Capacity Trading Platform Project Team</w:t>
            </w:r>
          </w:p>
        </w:tc>
        <w:tc>
          <w:tcPr>
            <w:tcW w:w="1667" w:type="pct"/>
            <w:shd w:val="clear" w:color="auto" w:fill="65697F" w:themeFill="background2" w:themeFillShade="80"/>
          </w:tcPr>
          <w:p w14:paraId="144308D2" w14:textId="77777777" w:rsidR="001719B2" w:rsidRDefault="001719B2" w:rsidP="001719B2">
            <w:pPr>
              <w:pStyle w:val="TableHeading"/>
              <w:rPr>
                <w:lang w:eastAsia="fr-CA"/>
              </w:rPr>
            </w:pPr>
            <w:r>
              <w:rPr>
                <w:lang w:eastAsia="fr-CA"/>
              </w:rPr>
              <w:t>Day-Ahead Auction Project Team</w:t>
            </w:r>
          </w:p>
        </w:tc>
      </w:tr>
      <w:tr w:rsidR="001719B2" w14:paraId="252EED3D" w14:textId="77777777" w:rsidTr="001719B2">
        <w:trPr>
          <w:cantSplit/>
        </w:trPr>
        <w:tc>
          <w:tcPr>
            <w:tcW w:w="1666" w:type="pct"/>
          </w:tcPr>
          <w:p w14:paraId="69209558" w14:textId="77777777" w:rsidR="001719B2" w:rsidRDefault="001719B2" w:rsidP="001719B2">
            <w:pPr>
              <w:pStyle w:val="TableBodyText"/>
              <w:rPr>
                <w:lang w:eastAsia="fr-CA"/>
              </w:rPr>
            </w:pPr>
            <w:r>
              <w:rPr>
                <w:lang w:eastAsia="fr-CA"/>
              </w:rPr>
              <w:t>Sally Calder, AGL</w:t>
            </w:r>
          </w:p>
        </w:tc>
        <w:tc>
          <w:tcPr>
            <w:tcW w:w="1667" w:type="pct"/>
          </w:tcPr>
          <w:p w14:paraId="220E3693" w14:textId="77777777" w:rsidR="001719B2" w:rsidRDefault="001719B2" w:rsidP="001719B2">
            <w:pPr>
              <w:pStyle w:val="TableBodyText"/>
              <w:rPr>
                <w:lang w:eastAsia="fr-CA"/>
              </w:rPr>
            </w:pPr>
            <w:r>
              <w:rPr>
                <w:lang w:eastAsia="fr-CA"/>
              </w:rPr>
              <w:t>Kieran O’Leary, AGL</w:t>
            </w:r>
          </w:p>
        </w:tc>
        <w:tc>
          <w:tcPr>
            <w:tcW w:w="1667" w:type="pct"/>
          </w:tcPr>
          <w:p w14:paraId="16506492" w14:textId="77777777" w:rsidR="001719B2" w:rsidRDefault="001719B2" w:rsidP="001719B2">
            <w:pPr>
              <w:pStyle w:val="TableBodyText"/>
              <w:rPr>
                <w:lang w:eastAsia="fr-CA"/>
              </w:rPr>
            </w:pPr>
            <w:r>
              <w:rPr>
                <w:lang w:eastAsia="fr-CA"/>
              </w:rPr>
              <w:t>John Jamieson, APA</w:t>
            </w:r>
          </w:p>
        </w:tc>
      </w:tr>
      <w:tr w:rsidR="001719B2" w14:paraId="2F423EB6" w14:textId="77777777" w:rsidTr="001719B2">
        <w:trPr>
          <w:cantSplit/>
        </w:trPr>
        <w:tc>
          <w:tcPr>
            <w:tcW w:w="1666" w:type="pct"/>
          </w:tcPr>
          <w:p w14:paraId="144FF97B" w14:textId="77777777" w:rsidR="001719B2" w:rsidRDefault="001719B2" w:rsidP="001719B2">
            <w:pPr>
              <w:pStyle w:val="TableBodyText"/>
              <w:rPr>
                <w:lang w:eastAsia="fr-CA"/>
              </w:rPr>
            </w:pPr>
            <w:r>
              <w:rPr>
                <w:lang w:eastAsia="fr-CA"/>
              </w:rPr>
              <w:t>Ainslie Lynch, APA</w:t>
            </w:r>
          </w:p>
        </w:tc>
        <w:tc>
          <w:tcPr>
            <w:tcW w:w="1667" w:type="pct"/>
          </w:tcPr>
          <w:p w14:paraId="5B229FA0" w14:textId="77777777" w:rsidR="001719B2" w:rsidRDefault="001719B2" w:rsidP="001719B2">
            <w:pPr>
              <w:pStyle w:val="TableBodyText"/>
              <w:rPr>
                <w:lang w:eastAsia="fr-CA"/>
              </w:rPr>
            </w:pPr>
            <w:r>
              <w:rPr>
                <w:lang w:eastAsia="fr-CA"/>
              </w:rPr>
              <w:t>Lino Fusco, CQ Partners</w:t>
            </w:r>
          </w:p>
        </w:tc>
        <w:tc>
          <w:tcPr>
            <w:tcW w:w="1667" w:type="pct"/>
          </w:tcPr>
          <w:p w14:paraId="5A52A2F4" w14:textId="77777777" w:rsidR="001719B2" w:rsidRDefault="001719B2" w:rsidP="001719B2">
            <w:pPr>
              <w:pStyle w:val="TableBodyText"/>
              <w:rPr>
                <w:lang w:eastAsia="fr-CA"/>
              </w:rPr>
            </w:pPr>
            <w:r>
              <w:rPr>
                <w:lang w:eastAsia="fr-CA"/>
              </w:rPr>
              <w:t>Deidre McEntee, APLNG</w:t>
            </w:r>
          </w:p>
        </w:tc>
      </w:tr>
      <w:tr w:rsidR="001719B2" w14:paraId="357AECB4" w14:textId="77777777" w:rsidTr="001719B2">
        <w:trPr>
          <w:cantSplit/>
        </w:trPr>
        <w:tc>
          <w:tcPr>
            <w:tcW w:w="1666" w:type="pct"/>
          </w:tcPr>
          <w:p w14:paraId="1B6C9E51" w14:textId="77777777" w:rsidR="001719B2" w:rsidRDefault="001719B2" w:rsidP="001719B2">
            <w:pPr>
              <w:pStyle w:val="TableBodyText"/>
              <w:rPr>
                <w:lang w:eastAsia="fr-CA"/>
              </w:rPr>
            </w:pPr>
            <w:r>
              <w:rPr>
                <w:lang w:eastAsia="fr-CA"/>
              </w:rPr>
              <w:t>Simon Taylor, DBP</w:t>
            </w:r>
          </w:p>
        </w:tc>
        <w:tc>
          <w:tcPr>
            <w:tcW w:w="1667" w:type="pct"/>
          </w:tcPr>
          <w:p w14:paraId="310246DE" w14:textId="77777777" w:rsidR="001719B2" w:rsidRDefault="001719B2" w:rsidP="001719B2">
            <w:pPr>
              <w:pStyle w:val="TableBodyText"/>
              <w:rPr>
                <w:lang w:eastAsia="fr-CA"/>
              </w:rPr>
            </w:pPr>
            <w:r>
              <w:rPr>
                <w:lang w:eastAsia="fr-CA"/>
              </w:rPr>
              <w:t>Trent Leach, DBP</w:t>
            </w:r>
          </w:p>
        </w:tc>
        <w:tc>
          <w:tcPr>
            <w:tcW w:w="1667" w:type="pct"/>
          </w:tcPr>
          <w:p w14:paraId="3F658A64" w14:textId="77777777" w:rsidR="001719B2" w:rsidRDefault="001719B2" w:rsidP="001719B2">
            <w:pPr>
              <w:pStyle w:val="TableBodyText"/>
              <w:rPr>
                <w:lang w:eastAsia="fr-CA"/>
              </w:rPr>
            </w:pPr>
            <w:r>
              <w:rPr>
                <w:lang w:eastAsia="fr-CA"/>
              </w:rPr>
              <w:t>Leon Devaney, Central Petroleum</w:t>
            </w:r>
          </w:p>
        </w:tc>
      </w:tr>
      <w:tr w:rsidR="001719B2" w14:paraId="70517F58" w14:textId="77777777" w:rsidTr="001719B2">
        <w:trPr>
          <w:cantSplit/>
        </w:trPr>
        <w:tc>
          <w:tcPr>
            <w:tcW w:w="1666" w:type="pct"/>
          </w:tcPr>
          <w:p w14:paraId="47D78F14" w14:textId="77777777" w:rsidR="001719B2" w:rsidRDefault="001719B2" w:rsidP="001719B2">
            <w:pPr>
              <w:pStyle w:val="TableBodyText"/>
              <w:rPr>
                <w:lang w:eastAsia="fr-CA"/>
              </w:rPr>
            </w:pPr>
            <w:r>
              <w:rPr>
                <w:lang w:eastAsia="fr-CA"/>
              </w:rPr>
              <w:t>Peter Frost, EnergyAustralia</w:t>
            </w:r>
          </w:p>
        </w:tc>
        <w:tc>
          <w:tcPr>
            <w:tcW w:w="1667" w:type="pct"/>
          </w:tcPr>
          <w:p w14:paraId="3398DC5D" w14:textId="77777777" w:rsidR="001719B2" w:rsidRDefault="001719B2" w:rsidP="001719B2">
            <w:pPr>
              <w:pStyle w:val="TableBodyText"/>
              <w:rPr>
                <w:lang w:eastAsia="fr-CA"/>
              </w:rPr>
            </w:pPr>
            <w:r>
              <w:rPr>
                <w:lang w:eastAsia="fr-CA"/>
              </w:rPr>
              <w:t>Ishara De Silva, EnergyAustralia</w:t>
            </w:r>
          </w:p>
        </w:tc>
        <w:tc>
          <w:tcPr>
            <w:tcW w:w="1667" w:type="pct"/>
          </w:tcPr>
          <w:p w14:paraId="0A4ABD6C" w14:textId="77777777" w:rsidR="001719B2" w:rsidRDefault="001719B2" w:rsidP="001719B2">
            <w:pPr>
              <w:pStyle w:val="TableBodyText"/>
              <w:rPr>
                <w:lang w:eastAsia="fr-CA"/>
              </w:rPr>
            </w:pPr>
            <w:r>
              <w:rPr>
                <w:lang w:eastAsia="fr-CA"/>
              </w:rPr>
              <w:t>Andrew O’Farrell, Origin</w:t>
            </w:r>
          </w:p>
        </w:tc>
      </w:tr>
      <w:tr w:rsidR="001719B2" w14:paraId="2C793DD5" w14:textId="77777777" w:rsidTr="001719B2">
        <w:trPr>
          <w:cantSplit/>
        </w:trPr>
        <w:tc>
          <w:tcPr>
            <w:tcW w:w="1666" w:type="pct"/>
          </w:tcPr>
          <w:p w14:paraId="018F4C22" w14:textId="77777777" w:rsidR="001719B2" w:rsidRDefault="001719B2" w:rsidP="001719B2">
            <w:pPr>
              <w:pStyle w:val="TableBodyText"/>
              <w:rPr>
                <w:lang w:eastAsia="fr-CA"/>
              </w:rPr>
            </w:pPr>
            <w:r>
              <w:rPr>
                <w:lang w:eastAsia="fr-CA"/>
              </w:rPr>
              <w:t>Samantha Staunton, Epic</w:t>
            </w:r>
          </w:p>
        </w:tc>
        <w:tc>
          <w:tcPr>
            <w:tcW w:w="1667" w:type="pct"/>
          </w:tcPr>
          <w:p w14:paraId="71685CE3" w14:textId="77777777" w:rsidR="001719B2" w:rsidRDefault="001719B2" w:rsidP="001719B2">
            <w:pPr>
              <w:pStyle w:val="TableBodyText"/>
              <w:rPr>
                <w:lang w:eastAsia="fr-CA"/>
              </w:rPr>
            </w:pPr>
            <w:r>
              <w:rPr>
                <w:lang w:eastAsia="fr-CA"/>
              </w:rPr>
              <w:t>Andrew Zancanaro, Jemena</w:t>
            </w:r>
          </w:p>
        </w:tc>
        <w:tc>
          <w:tcPr>
            <w:tcW w:w="1667" w:type="pct"/>
          </w:tcPr>
          <w:p w14:paraId="4BC05492" w14:textId="77777777" w:rsidR="001719B2" w:rsidRDefault="001719B2" w:rsidP="001719B2">
            <w:pPr>
              <w:pStyle w:val="TableBodyText"/>
              <w:rPr>
                <w:lang w:eastAsia="fr-CA"/>
              </w:rPr>
            </w:pPr>
            <w:r>
              <w:rPr>
                <w:lang w:eastAsia="fr-CA"/>
              </w:rPr>
              <w:t>Matt Sherwell, Santos</w:t>
            </w:r>
          </w:p>
        </w:tc>
      </w:tr>
      <w:tr w:rsidR="001719B2" w14:paraId="3F716439" w14:textId="77777777" w:rsidTr="001719B2">
        <w:trPr>
          <w:cantSplit/>
        </w:trPr>
        <w:tc>
          <w:tcPr>
            <w:tcW w:w="1666" w:type="pct"/>
          </w:tcPr>
          <w:p w14:paraId="4245D139" w14:textId="77777777" w:rsidR="001719B2" w:rsidRDefault="001719B2" w:rsidP="001719B2">
            <w:pPr>
              <w:pStyle w:val="TableBodyText"/>
              <w:rPr>
                <w:lang w:eastAsia="fr-CA"/>
              </w:rPr>
            </w:pPr>
            <w:r>
              <w:rPr>
                <w:lang w:eastAsia="fr-CA"/>
              </w:rPr>
              <w:t>Jan Peric, Jemena</w:t>
            </w:r>
          </w:p>
        </w:tc>
        <w:tc>
          <w:tcPr>
            <w:tcW w:w="1667" w:type="pct"/>
          </w:tcPr>
          <w:p w14:paraId="0B783E11" w14:textId="77777777" w:rsidR="001719B2" w:rsidRDefault="001719B2" w:rsidP="001719B2">
            <w:pPr>
              <w:pStyle w:val="TableBodyText"/>
              <w:rPr>
                <w:lang w:eastAsia="fr-CA"/>
              </w:rPr>
            </w:pPr>
            <w:r>
              <w:rPr>
                <w:lang w:eastAsia="fr-CA"/>
              </w:rPr>
              <w:t xml:space="preserve">David Lawrence, Pacific Markets Consulting </w:t>
            </w:r>
          </w:p>
        </w:tc>
        <w:tc>
          <w:tcPr>
            <w:tcW w:w="1667" w:type="pct"/>
          </w:tcPr>
          <w:p w14:paraId="1EF1DB29" w14:textId="77777777" w:rsidR="001719B2" w:rsidRDefault="001719B2" w:rsidP="001719B2">
            <w:pPr>
              <w:pStyle w:val="TableBodyText"/>
              <w:rPr>
                <w:lang w:eastAsia="fr-CA"/>
              </w:rPr>
            </w:pPr>
            <w:r>
              <w:rPr>
                <w:lang w:eastAsia="fr-CA"/>
              </w:rPr>
              <w:t xml:space="preserve">Jeff Cooke, </w:t>
            </w:r>
            <w:proofErr w:type="spellStart"/>
            <w:r>
              <w:rPr>
                <w:lang w:eastAsia="fr-CA"/>
              </w:rPr>
              <w:t>SEAGas</w:t>
            </w:r>
            <w:proofErr w:type="spellEnd"/>
          </w:p>
        </w:tc>
      </w:tr>
      <w:tr w:rsidR="000800F0" w14:paraId="798076A0" w14:textId="77777777" w:rsidTr="001719B2">
        <w:trPr>
          <w:cantSplit/>
        </w:trPr>
        <w:tc>
          <w:tcPr>
            <w:tcW w:w="1666" w:type="pct"/>
          </w:tcPr>
          <w:p w14:paraId="7C1EBE9D" w14:textId="77777777" w:rsidR="000800F0" w:rsidRDefault="000800F0" w:rsidP="001719B2">
            <w:pPr>
              <w:pStyle w:val="TableBodyText"/>
              <w:rPr>
                <w:lang w:eastAsia="fr-CA"/>
              </w:rPr>
            </w:pPr>
            <w:r>
              <w:rPr>
                <w:lang w:eastAsia="fr-CA"/>
              </w:rPr>
              <w:t>Michael Handley, Origin</w:t>
            </w:r>
          </w:p>
        </w:tc>
        <w:tc>
          <w:tcPr>
            <w:tcW w:w="1667" w:type="pct"/>
          </w:tcPr>
          <w:p w14:paraId="42837A0E" w14:textId="77777777" w:rsidR="000800F0" w:rsidRDefault="000800F0" w:rsidP="001719B2">
            <w:pPr>
              <w:pStyle w:val="TableBodyText"/>
              <w:rPr>
                <w:lang w:eastAsia="fr-CA"/>
              </w:rPr>
            </w:pPr>
            <w:r>
              <w:rPr>
                <w:lang w:eastAsia="fr-CA"/>
              </w:rPr>
              <w:t>Jennifer Tarr, Stanwell</w:t>
            </w:r>
          </w:p>
        </w:tc>
        <w:tc>
          <w:tcPr>
            <w:tcW w:w="1667" w:type="pct"/>
          </w:tcPr>
          <w:p w14:paraId="48EE5004" w14:textId="77777777" w:rsidR="000800F0" w:rsidRPr="001719B2" w:rsidRDefault="000800F0" w:rsidP="001719B2">
            <w:pPr>
              <w:pStyle w:val="TableBodyText"/>
              <w:rPr>
                <w:b/>
                <w:lang w:eastAsia="fr-CA"/>
              </w:rPr>
            </w:pPr>
            <w:r>
              <w:rPr>
                <w:lang w:eastAsia="fr-CA"/>
              </w:rPr>
              <w:t>Erin Bledsoe, Shell</w:t>
            </w:r>
          </w:p>
        </w:tc>
      </w:tr>
      <w:tr w:rsidR="005B364C" w14:paraId="2C0AE876" w14:textId="77777777" w:rsidTr="00613E2F">
        <w:trPr>
          <w:cantSplit/>
        </w:trPr>
        <w:tc>
          <w:tcPr>
            <w:tcW w:w="1666" w:type="pct"/>
            <w:tcBorders>
              <w:bottom w:val="single" w:sz="4" w:space="0" w:color="auto"/>
            </w:tcBorders>
          </w:tcPr>
          <w:p w14:paraId="5053DBC6" w14:textId="77777777" w:rsidR="005B364C" w:rsidRDefault="005B364C" w:rsidP="001719B2">
            <w:pPr>
              <w:pStyle w:val="TableBodyText"/>
              <w:rPr>
                <w:lang w:eastAsia="fr-CA"/>
              </w:rPr>
            </w:pPr>
            <w:r>
              <w:rPr>
                <w:lang w:eastAsia="fr-CA"/>
              </w:rPr>
              <w:t>Brad Mills, Shell</w:t>
            </w:r>
          </w:p>
        </w:tc>
        <w:tc>
          <w:tcPr>
            <w:tcW w:w="1667" w:type="pct"/>
            <w:vMerge w:val="restart"/>
          </w:tcPr>
          <w:p w14:paraId="3C231A50" w14:textId="77777777" w:rsidR="005B364C" w:rsidRDefault="005B364C" w:rsidP="001719B2">
            <w:pPr>
              <w:pStyle w:val="TableBodyText"/>
              <w:rPr>
                <w:lang w:eastAsia="fr-CA"/>
              </w:rPr>
            </w:pPr>
            <w:r>
              <w:rPr>
                <w:lang w:eastAsia="fr-CA"/>
              </w:rPr>
              <w:t>Daniel Hamel, AEMO</w:t>
            </w:r>
          </w:p>
        </w:tc>
        <w:tc>
          <w:tcPr>
            <w:tcW w:w="1667" w:type="pct"/>
            <w:tcBorders>
              <w:bottom w:val="single" w:sz="4" w:space="0" w:color="auto"/>
            </w:tcBorders>
          </w:tcPr>
          <w:p w14:paraId="29B551AB" w14:textId="77777777" w:rsidR="005B364C" w:rsidRDefault="005B364C" w:rsidP="001719B2">
            <w:pPr>
              <w:pStyle w:val="TableBodyText"/>
              <w:rPr>
                <w:lang w:eastAsia="fr-CA"/>
              </w:rPr>
            </w:pPr>
            <w:r>
              <w:rPr>
                <w:lang w:eastAsia="fr-CA"/>
              </w:rPr>
              <w:t>Kevin Ly, Snowy Hydro</w:t>
            </w:r>
          </w:p>
        </w:tc>
      </w:tr>
      <w:tr w:rsidR="005B364C" w14:paraId="6678AAE9" w14:textId="77777777" w:rsidTr="00613E2F">
        <w:trPr>
          <w:cantSplit/>
        </w:trPr>
        <w:tc>
          <w:tcPr>
            <w:tcW w:w="1666" w:type="pct"/>
            <w:vMerge w:val="restart"/>
          </w:tcPr>
          <w:p w14:paraId="3984BA74" w14:textId="77777777" w:rsidR="005B364C" w:rsidRDefault="005B364C" w:rsidP="005B364C">
            <w:pPr>
              <w:pStyle w:val="TableBodyText"/>
              <w:rPr>
                <w:lang w:eastAsia="fr-CA"/>
              </w:rPr>
            </w:pPr>
            <w:r>
              <w:rPr>
                <w:lang w:eastAsia="fr-CA"/>
              </w:rPr>
              <w:t>Angelo Mantsio, AEMO</w:t>
            </w:r>
          </w:p>
        </w:tc>
        <w:tc>
          <w:tcPr>
            <w:tcW w:w="1667" w:type="pct"/>
            <w:vMerge/>
          </w:tcPr>
          <w:p w14:paraId="33F1C7D6" w14:textId="77777777" w:rsidR="005B364C" w:rsidRDefault="005B364C" w:rsidP="005B364C">
            <w:pPr>
              <w:pStyle w:val="TableBodyText"/>
              <w:rPr>
                <w:lang w:eastAsia="fr-CA"/>
              </w:rPr>
            </w:pPr>
          </w:p>
        </w:tc>
        <w:tc>
          <w:tcPr>
            <w:tcW w:w="1667" w:type="pct"/>
            <w:tcBorders>
              <w:bottom w:val="single" w:sz="4" w:space="0" w:color="auto"/>
            </w:tcBorders>
          </w:tcPr>
          <w:p w14:paraId="5D8C3275" w14:textId="77777777" w:rsidR="005B364C" w:rsidRDefault="005B364C" w:rsidP="005B364C">
            <w:pPr>
              <w:pStyle w:val="TableBodyText"/>
              <w:rPr>
                <w:lang w:eastAsia="fr-CA"/>
              </w:rPr>
            </w:pPr>
            <w:r>
              <w:rPr>
                <w:lang w:eastAsia="fr-CA"/>
              </w:rPr>
              <w:t xml:space="preserve">Tom Walker, AEMC </w:t>
            </w:r>
          </w:p>
        </w:tc>
      </w:tr>
      <w:tr w:rsidR="005B364C" w14:paraId="508D8917" w14:textId="77777777" w:rsidTr="000800F0">
        <w:trPr>
          <w:cantSplit/>
        </w:trPr>
        <w:tc>
          <w:tcPr>
            <w:tcW w:w="1666" w:type="pct"/>
            <w:vMerge/>
            <w:tcBorders>
              <w:bottom w:val="single" w:sz="4" w:space="0" w:color="auto"/>
            </w:tcBorders>
          </w:tcPr>
          <w:p w14:paraId="3E41A8E0" w14:textId="77777777" w:rsidR="005B364C" w:rsidRDefault="005B364C" w:rsidP="005B364C">
            <w:pPr>
              <w:pStyle w:val="TableBodyText"/>
              <w:rPr>
                <w:lang w:eastAsia="fr-CA"/>
              </w:rPr>
            </w:pPr>
          </w:p>
        </w:tc>
        <w:tc>
          <w:tcPr>
            <w:tcW w:w="1667" w:type="pct"/>
            <w:vMerge/>
            <w:tcBorders>
              <w:bottom w:val="single" w:sz="4" w:space="0" w:color="auto"/>
            </w:tcBorders>
          </w:tcPr>
          <w:p w14:paraId="77F8795B" w14:textId="77777777" w:rsidR="005B364C" w:rsidRDefault="005B364C" w:rsidP="005B364C">
            <w:pPr>
              <w:pStyle w:val="TableBodyText"/>
              <w:rPr>
                <w:lang w:eastAsia="fr-CA"/>
              </w:rPr>
            </w:pPr>
          </w:p>
        </w:tc>
        <w:tc>
          <w:tcPr>
            <w:tcW w:w="1667" w:type="pct"/>
            <w:tcBorders>
              <w:bottom w:val="single" w:sz="4" w:space="0" w:color="auto"/>
            </w:tcBorders>
          </w:tcPr>
          <w:p w14:paraId="12548C0D" w14:textId="77777777" w:rsidR="005B364C" w:rsidRDefault="005B364C" w:rsidP="005B364C">
            <w:pPr>
              <w:pStyle w:val="TableBodyText"/>
              <w:rPr>
                <w:lang w:eastAsia="fr-CA"/>
              </w:rPr>
            </w:pPr>
            <w:r>
              <w:rPr>
                <w:lang w:eastAsia="fr-CA"/>
              </w:rPr>
              <w:t>Nicholas Pope, AEMO</w:t>
            </w:r>
          </w:p>
        </w:tc>
      </w:tr>
      <w:tr w:rsidR="000800F0" w:rsidRPr="000800F0" w14:paraId="526A7BDB" w14:textId="77777777" w:rsidTr="000800F0">
        <w:trPr>
          <w:cantSplit/>
        </w:trPr>
        <w:tc>
          <w:tcPr>
            <w:tcW w:w="5000" w:type="pct"/>
            <w:gridSpan w:val="3"/>
            <w:shd w:val="clear" w:color="auto" w:fill="0099CC"/>
          </w:tcPr>
          <w:p w14:paraId="60D1244D" w14:textId="77777777" w:rsidR="000800F0" w:rsidRPr="000800F0" w:rsidRDefault="000800F0" w:rsidP="000800F0">
            <w:pPr>
              <w:pStyle w:val="TableBodyText"/>
              <w:jc w:val="center"/>
              <w:rPr>
                <w:b/>
                <w:color w:val="FFFFFF" w:themeColor="background1"/>
                <w:lang w:eastAsia="fr-CA"/>
              </w:rPr>
            </w:pPr>
            <w:r w:rsidRPr="000800F0">
              <w:rPr>
                <w:b/>
                <w:color w:val="FFFFFF" w:themeColor="background1"/>
                <w:lang w:eastAsia="fr-CA"/>
              </w:rPr>
              <w:t>Advisory Panel Members</w:t>
            </w:r>
          </w:p>
        </w:tc>
      </w:tr>
      <w:tr w:rsidR="000800F0" w14:paraId="5CEB8548" w14:textId="77777777" w:rsidTr="000800F0">
        <w:trPr>
          <w:cantSplit/>
        </w:trPr>
        <w:tc>
          <w:tcPr>
            <w:tcW w:w="5000" w:type="pct"/>
            <w:gridSpan w:val="3"/>
          </w:tcPr>
          <w:p w14:paraId="5A1E7140" w14:textId="77777777" w:rsidR="000800F0" w:rsidRDefault="000800F0" w:rsidP="001719B2">
            <w:pPr>
              <w:pStyle w:val="TableBodyText"/>
              <w:rPr>
                <w:lang w:eastAsia="fr-CA"/>
              </w:rPr>
            </w:pPr>
            <w:r>
              <w:rPr>
                <w:lang w:eastAsia="fr-CA"/>
              </w:rPr>
              <w:t>Nevenka Codevelle, APA</w:t>
            </w:r>
          </w:p>
        </w:tc>
      </w:tr>
      <w:tr w:rsidR="000800F0" w14:paraId="07623D71" w14:textId="77777777" w:rsidTr="000800F0">
        <w:trPr>
          <w:cantSplit/>
        </w:trPr>
        <w:tc>
          <w:tcPr>
            <w:tcW w:w="5000" w:type="pct"/>
            <w:gridSpan w:val="3"/>
          </w:tcPr>
          <w:p w14:paraId="5264FD9C" w14:textId="77777777" w:rsidR="000800F0" w:rsidRDefault="000800F0" w:rsidP="001719B2">
            <w:pPr>
              <w:pStyle w:val="TableBodyText"/>
              <w:rPr>
                <w:lang w:eastAsia="fr-CA"/>
              </w:rPr>
            </w:pPr>
            <w:r>
              <w:rPr>
                <w:lang w:eastAsia="fr-CA"/>
              </w:rPr>
              <w:t>Warwick King, APLNG</w:t>
            </w:r>
          </w:p>
        </w:tc>
      </w:tr>
      <w:tr w:rsidR="000800F0" w14:paraId="2F0243E6" w14:textId="77777777" w:rsidTr="000800F0">
        <w:trPr>
          <w:cantSplit/>
        </w:trPr>
        <w:tc>
          <w:tcPr>
            <w:tcW w:w="5000" w:type="pct"/>
            <w:gridSpan w:val="3"/>
          </w:tcPr>
          <w:p w14:paraId="5EDBBD83" w14:textId="77777777" w:rsidR="000800F0" w:rsidRDefault="000800F0" w:rsidP="001719B2">
            <w:pPr>
              <w:pStyle w:val="TableBodyText"/>
              <w:rPr>
                <w:lang w:eastAsia="fr-CA"/>
              </w:rPr>
            </w:pPr>
            <w:r>
              <w:rPr>
                <w:lang w:eastAsia="fr-CA"/>
              </w:rPr>
              <w:t>Graham Salmond, BHP</w:t>
            </w:r>
          </w:p>
        </w:tc>
      </w:tr>
      <w:tr w:rsidR="000800F0" w14:paraId="13001753" w14:textId="77777777" w:rsidTr="000800F0">
        <w:trPr>
          <w:cantSplit/>
        </w:trPr>
        <w:tc>
          <w:tcPr>
            <w:tcW w:w="5000" w:type="pct"/>
            <w:gridSpan w:val="3"/>
          </w:tcPr>
          <w:p w14:paraId="04F3AB52" w14:textId="77777777" w:rsidR="000800F0" w:rsidRDefault="000800F0" w:rsidP="001719B2">
            <w:pPr>
              <w:pStyle w:val="TableBodyText"/>
              <w:rPr>
                <w:lang w:eastAsia="fr-CA"/>
              </w:rPr>
            </w:pPr>
            <w:r>
              <w:rPr>
                <w:lang w:eastAsia="fr-CA"/>
              </w:rPr>
              <w:t>Mark Collette, EnergyAustralia</w:t>
            </w:r>
          </w:p>
        </w:tc>
      </w:tr>
      <w:tr w:rsidR="000800F0" w14:paraId="525DA57B" w14:textId="77777777" w:rsidTr="000800F0">
        <w:trPr>
          <w:cantSplit/>
        </w:trPr>
        <w:tc>
          <w:tcPr>
            <w:tcW w:w="5000" w:type="pct"/>
            <w:gridSpan w:val="3"/>
          </w:tcPr>
          <w:p w14:paraId="058B76EA" w14:textId="77777777" w:rsidR="000800F0" w:rsidRDefault="000800F0" w:rsidP="001719B2">
            <w:pPr>
              <w:pStyle w:val="TableBodyText"/>
              <w:rPr>
                <w:lang w:eastAsia="fr-CA"/>
              </w:rPr>
            </w:pPr>
            <w:r>
              <w:rPr>
                <w:lang w:eastAsia="fr-CA"/>
              </w:rPr>
              <w:t>Rosemary Sinclair, Energy Consumers Australia</w:t>
            </w:r>
          </w:p>
        </w:tc>
      </w:tr>
      <w:tr w:rsidR="000800F0" w14:paraId="03D337DD" w14:textId="77777777" w:rsidTr="000800F0">
        <w:trPr>
          <w:cantSplit/>
        </w:trPr>
        <w:tc>
          <w:tcPr>
            <w:tcW w:w="5000" w:type="pct"/>
            <w:gridSpan w:val="3"/>
          </w:tcPr>
          <w:p w14:paraId="6DA23B8B" w14:textId="77777777" w:rsidR="000800F0" w:rsidRDefault="000800F0" w:rsidP="001719B2">
            <w:pPr>
              <w:pStyle w:val="TableBodyText"/>
              <w:rPr>
                <w:lang w:eastAsia="fr-CA"/>
              </w:rPr>
            </w:pPr>
            <w:r>
              <w:rPr>
                <w:lang w:eastAsia="fr-CA"/>
              </w:rPr>
              <w:t>Paul Adams, Jemena</w:t>
            </w:r>
          </w:p>
        </w:tc>
      </w:tr>
      <w:tr w:rsidR="000800F0" w14:paraId="41CA6090" w14:textId="77777777" w:rsidTr="000800F0">
        <w:trPr>
          <w:cantSplit/>
        </w:trPr>
        <w:tc>
          <w:tcPr>
            <w:tcW w:w="5000" w:type="pct"/>
            <w:gridSpan w:val="3"/>
          </w:tcPr>
          <w:p w14:paraId="5912D035" w14:textId="77777777" w:rsidR="000800F0" w:rsidRDefault="000800F0" w:rsidP="001719B2">
            <w:pPr>
              <w:pStyle w:val="TableBodyText"/>
              <w:rPr>
                <w:lang w:eastAsia="fr-CA"/>
              </w:rPr>
            </w:pPr>
            <w:r>
              <w:rPr>
                <w:lang w:eastAsia="fr-CA"/>
              </w:rPr>
              <w:t>Chris Crozier, Orica</w:t>
            </w:r>
          </w:p>
        </w:tc>
      </w:tr>
      <w:tr w:rsidR="000800F0" w14:paraId="43F2FCBC" w14:textId="77777777" w:rsidTr="000800F0">
        <w:trPr>
          <w:cantSplit/>
        </w:trPr>
        <w:tc>
          <w:tcPr>
            <w:tcW w:w="5000" w:type="pct"/>
            <w:gridSpan w:val="3"/>
          </w:tcPr>
          <w:p w14:paraId="0BE74FF4" w14:textId="77777777" w:rsidR="000800F0" w:rsidRDefault="000800F0" w:rsidP="001719B2">
            <w:pPr>
              <w:pStyle w:val="TableBodyText"/>
              <w:rPr>
                <w:lang w:eastAsia="fr-CA"/>
              </w:rPr>
            </w:pPr>
            <w:r>
              <w:rPr>
                <w:lang w:eastAsia="fr-CA"/>
              </w:rPr>
              <w:t>Greg Jarvis, Origin</w:t>
            </w:r>
          </w:p>
        </w:tc>
      </w:tr>
      <w:tr w:rsidR="000800F0" w14:paraId="540CBF3A" w14:textId="77777777" w:rsidTr="000800F0">
        <w:trPr>
          <w:cantSplit/>
        </w:trPr>
        <w:tc>
          <w:tcPr>
            <w:tcW w:w="5000" w:type="pct"/>
            <w:gridSpan w:val="3"/>
          </w:tcPr>
          <w:p w14:paraId="5BD6A1DF" w14:textId="77777777" w:rsidR="000800F0" w:rsidRDefault="000800F0" w:rsidP="001719B2">
            <w:pPr>
              <w:pStyle w:val="TableBodyText"/>
              <w:rPr>
                <w:lang w:eastAsia="fr-CA"/>
              </w:rPr>
            </w:pPr>
            <w:r>
              <w:rPr>
                <w:lang w:eastAsia="fr-CA"/>
              </w:rPr>
              <w:t xml:space="preserve">Dr Stephen Bell, </w:t>
            </w:r>
            <w:proofErr w:type="spellStart"/>
            <w:r>
              <w:rPr>
                <w:lang w:eastAsia="fr-CA"/>
              </w:rPr>
              <w:t>Qenos</w:t>
            </w:r>
            <w:proofErr w:type="spellEnd"/>
          </w:p>
        </w:tc>
      </w:tr>
      <w:tr w:rsidR="000800F0" w14:paraId="0EFC38DE" w14:textId="77777777" w:rsidTr="000800F0">
        <w:tblPrEx>
          <w:tblLook w:val="04A0" w:firstRow="1" w:lastRow="0" w:firstColumn="1" w:lastColumn="0" w:noHBand="0" w:noVBand="1"/>
        </w:tblPrEx>
        <w:tc>
          <w:tcPr>
            <w:tcW w:w="5000" w:type="pct"/>
            <w:gridSpan w:val="3"/>
            <w:tcBorders>
              <w:bottom w:val="single" w:sz="4" w:space="0" w:color="auto"/>
            </w:tcBorders>
          </w:tcPr>
          <w:p w14:paraId="0810FE66" w14:textId="77777777" w:rsidR="000800F0" w:rsidRDefault="000800F0" w:rsidP="00F030AF">
            <w:pPr>
              <w:pStyle w:val="TableBodyText"/>
              <w:rPr>
                <w:lang w:eastAsia="fr-CA"/>
              </w:rPr>
            </w:pPr>
            <w:r>
              <w:rPr>
                <w:lang w:eastAsia="fr-CA"/>
              </w:rPr>
              <w:t xml:space="preserve">Angus </w:t>
            </w:r>
            <w:proofErr w:type="spellStart"/>
            <w:r>
              <w:rPr>
                <w:lang w:eastAsia="fr-CA"/>
              </w:rPr>
              <w:t>Jaffray</w:t>
            </w:r>
            <w:proofErr w:type="spellEnd"/>
            <w:r>
              <w:rPr>
                <w:lang w:eastAsia="fr-CA"/>
              </w:rPr>
              <w:t>, Santos</w:t>
            </w:r>
          </w:p>
        </w:tc>
      </w:tr>
      <w:tr w:rsidR="000800F0" w14:paraId="10FFD5C3" w14:textId="77777777" w:rsidTr="000800F0">
        <w:tblPrEx>
          <w:tblLook w:val="04A0" w:firstRow="1"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tcW w:w="5000" w:type="pct"/>
            <w:gridSpan w:val="3"/>
            <w:shd w:val="clear" w:color="auto" w:fill="auto"/>
          </w:tcPr>
          <w:p w14:paraId="7D1E5DC2" w14:textId="77777777" w:rsidR="000800F0" w:rsidRDefault="000800F0" w:rsidP="00F030AF">
            <w:pPr>
              <w:pStyle w:val="TableBodyText"/>
              <w:rPr>
                <w:lang w:eastAsia="fr-CA"/>
              </w:rPr>
            </w:pPr>
            <w:r>
              <w:rPr>
                <w:lang w:eastAsia="fr-CA"/>
              </w:rPr>
              <w:t xml:space="preserve">Tom Summers, Shell </w:t>
            </w:r>
          </w:p>
        </w:tc>
      </w:tr>
    </w:tbl>
    <w:p w14:paraId="41B85E1A" w14:textId="77777777" w:rsidR="00D128A9" w:rsidRDefault="00D128A9" w:rsidP="001719B2">
      <w:pPr>
        <w:pStyle w:val="BodyText"/>
        <w:rPr>
          <w:lang w:eastAsia="fr-CA"/>
        </w:rPr>
      </w:pPr>
      <w:r>
        <w:rPr>
          <w:lang w:eastAsia="fr-CA"/>
        </w:rPr>
        <w:br w:type="page"/>
      </w:r>
    </w:p>
    <w:p w14:paraId="58FED121" w14:textId="77777777" w:rsidR="00D128A9" w:rsidRDefault="00D128A9" w:rsidP="00D128A9">
      <w:pPr>
        <w:pStyle w:val="Heading9"/>
        <w:spacing w:after="0"/>
      </w:pPr>
      <w:bookmarkStart w:id="226" w:name="_Ref492125115"/>
      <w:r>
        <w:lastRenderedPageBreak/>
        <w:t>Transportation services</w:t>
      </w:r>
      <w:bookmarkEnd w:id="226"/>
      <w:r>
        <w:t xml:space="preserve"> </w:t>
      </w:r>
    </w:p>
    <w:p w14:paraId="42A9B5FB" w14:textId="77777777" w:rsidR="00D128A9" w:rsidRPr="00D128A9" w:rsidRDefault="00D128A9" w:rsidP="00941E66">
      <w:pPr>
        <w:pStyle w:val="BodyText"/>
        <w:spacing w:before="120" w:after="0"/>
        <w:rPr>
          <w:lang w:eastAsia="en-US"/>
        </w:rPr>
      </w:pPr>
      <w:r>
        <w:rPr>
          <w:lang w:eastAsia="en-US"/>
        </w:rPr>
        <w:t>The box below provides an overview of the services that transmission pipelines typically provide.</w:t>
      </w:r>
    </w:p>
    <w:tbl>
      <w:tblPr>
        <w:tblStyle w:val="TableGrid"/>
        <w:tblW w:w="8926" w:type="dxa"/>
        <w:tblBorders>
          <w:left w:val="single" w:sz="4" w:space="0" w:color="auto"/>
          <w:right w:val="single" w:sz="4" w:space="0" w:color="auto"/>
        </w:tblBorders>
        <w:shd w:val="clear" w:color="auto" w:fill="E1E2E7" w:themeFill="background2"/>
        <w:tblLook w:val="04A0" w:firstRow="1" w:lastRow="0" w:firstColumn="1" w:lastColumn="0" w:noHBand="0" w:noVBand="1"/>
        <w:tblCaption w:val="Box C.1: Services provided by transmission pipelines"/>
        <w:tblDescription w:val="Services provided by transmission pipelines"/>
      </w:tblPr>
      <w:tblGrid>
        <w:gridCol w:w="8926"/>
      </w:tblGrid>
      <w:tr w:rsidR="00D128A9" w:rsidRPr="00D128A9" w14:paraId="0D8BB4D3" w14:textId="77777777" w:rsidTr="00FF53B6">
        <w:trPr>
          <w:cnfStyle w:val="100000000000" w:firstRow="1" w:lastRow="0" w:firstColumn="0" w:lastColumn="0" w:oddVBand="0" w:evenVBand="0" w:oddHBand="0" w:evenHBand="0" w:firstRowFirstColumn="0" w:firstRowLastColumn="0" w:lastRowFirstColumn="0" w:lastRowLastColumn="0"/>
          <w:tblHeader/>
        </w:trPr>
        <w:tc>
          <w:tcPr>
            <w:tcW w:w="8926" w:type="dxa"/>
            <w:tcBorders>
              <w:top w:val="nil"/>
              <w:left w:val="nil"/>
              <w:bottom w:val="nil"/>
              <w:right w:val="nil"/>
            </w:tcBorders>
            <w:shd w:val="clear" w:color="auto" w:fill="auto"/>
          </w:tcPr>
          <w:p w14:paraId="08CF2359" w14:textId="0EB1E2E1" w:rsidR="00D128A9" w:rsidRPr="00D128A9" w:rsidRDefault="00D128A9" w:rsidP="00FF53B6">
            <w:pPr>
              <w:pStyle w:val="AERbulletlistfirststyle"/>
              <w:numPr>
                <w:ilvl w:val="0"/>
                <w:numId w:val="0"/>
              </w:numPr>
              <w:spacing w:after="120"/>
              <w:ind w:right="0"/>
              <w:rPr>
                <w:rStyle w:val="Strong"/>
                <w:color w:val="auto"/>
              </w:rPr>
            </w:pPr>
            <w:r w:rsidRPr="00D128A9">
              <w:rPr>
                <w:rStyle w:val="Strong"/>
                <w:color w:val="auto"/>
              </w:rPr>
              <w:t xml:space="preserve"> </w:t>
            </w:r>
            <w:r w:rsidR="00FF53B6" w:rsidRPr="00FF53B6">
              <w:rPr>
                <w:color w:val="auto"/>
                <w:sz w:val="20"/>
              </w:rPr>
              <w:t>Box C.1: Services provided by transmission pipelines</w:t>
            </w:r>
          </w:p>
        </w:tc>
      </w:tr>
      <w:tr w:rsidR="00FF53B6" w:rsidRPr="00D128A9" w14:paraId="5EDD3AC7" w14:textId="77777777" w:rsidTr="00FF53B6">
        <w:tc>
          <w:tcPr>
            <w:tcW w:w="8926" w:type="dxa"/>
            <w:tcBorders>
              <w:top w:val="nil"/>
            </w:tcBorders>
            <w:shd w:val="clear" w:color="auto" w:fill="E1E2E7" w:themeFill="background2"/>
          </w:tcPr>
          <w:p w14:paraId="28F89705" w14:textId="77777777" w:rsidR="00FF53B6" w:rsidRPr="00FF53B6" w:rsidRDefault="00FF53B6" w:rsidP="00FF53B6">
            <w:pPr>
              <w:pBdr>
                <w:top w:val="single" w:sz="4" w:space="1" w:color="auto"/>
              </w:pBdr>
              <w:rPr>
                <w:b/>
              </w:rPr>
            </w:pPr>
            <w:r w:rsidRPr="00FF53B6">
              <w:rPr>
                <w:b/>
              </w:rPr>
              <w:t>Transportation services</w:t>
            </w:r>
          </w:p>
          <w:p w14:paraId="63C651E3" w14:textId="77777777" w:rsidR="00FF53B6" w:rsidRPr="00FF53B6" w:rsidRDefault="00FF53B6" w:rsidP="00FF53B6">
            <w:pPr>
              <w:rPr>
                <w:rStyle w:val="Strong"/>
                <w:b w:val="0"/>
              </w:rPr>
            </w:pPr>
            <w:r w:rsidRPr="00FF53B6">
              <w:rPr>
                <w:rStyle w:val="Strong"/>
                <w:b w:val="0"/>
              </w:rPr>
              <w:t xml:space="preserve">Transmission pipelines operating on a point-to-point basis usually offer: </w:t>
            </w:r>
          </w:p>
          <w:p w14:paraId="4A405EB6" w14:textId="77777777" w:rsidR="00FF53B6" w:rsidRPr="00FF53B6" w:rsidRDefault="00FF53B6" w:rsidP="00FF53B6">
            <w:pPr>
              <w:pStyle w:val="AERbulletlistfirststyle"/>
              <w:spacing w:after="120"/>
              <w:ind w:right="0"/>
              <w:rPr>
                <w:rStyle w:val="Strong"/>
                <w:b w:val="0"/>
              </w:rPr>
            </w:pPr>
            <w:r w:rsidRPr="00FF53B6">
              <w:rPr>
                <w:rStyle w:val="Strong"/>
                <w:b w:val="0"/>
              </w:rPr>
              <w:t>Forward haul services, which provide for the transportation of gas from a receipt point to a delivery point in the direction of the predominant flow of gas.</w:t>
            </w:r>
          </w:p>
          <w:p w14:paraId="227E3F84" w14:textId="77777777" w:rsidR="00FF53B6" w:rsidRPr="00FF53B6" w:rsidRDefault="00FF53B6" w:rsidP="00FF53B6">
            <w:pPr>
              <w:pStyle w:val="AERbulletlistfirststyle"/>
              <w:spacing w:after="120"/>
              <w:ind w:right="0"/>
              <w:rPr>
                <w:rStyle w:val="Strong"/>
                <w:b w:val="0"/>
              </w:rPr>
            </w:pPr>
            <w:r w:rsidRPr="00FF53B6">
              <w:rPr>
                <w:rStyle w:val="Strong"/>
                <w:b w:val="0"/>
              </w:rPr>
              <w:t xml:space="preserve">Backhaul services, which involve the ‘virtual transportation’ of gas in the opposite direction to the predominant flow of gas.  The term ‘virtual transportation’ is used in this context, because a backhaul service does not involve the physical transportation of gas. It instead involves a physical swap of gas at the point at which it is supplied into the pipeline for an equivalent amount of gas at the backhaul delivery point. To be able to provide this service, the volume of gas being backhauled must be less than, or equal to, the volume of gas to be transported on a forward haul basis, which is why it is offered on an as available or interruptible basis.  </w:t>
            </w:r>
          </w:p>
          <w:p w14:paraId="605764CC" w14:textId="77777777" w:rsidR="00FF53B6" w:rsidRPr="00FF53B6" w:rsidRDefault="00FF53B6" w:rsidP="00FF53B6">
            <w:pPr>
              <w:rPr>
                <w:rStyle w:val="Strong"/>
                <w:b w:val="0"/>
              </w:rPr>
            </w:pPr>
            <w:r w:rsidRPr="00FF53B6">
              <w:rPr>
                <w:rStyle w:val="Strong"/>
                <w:b w:val="0"/>
              </w:rPr>
              <w:t xml:space="preserve">If a pipeline can physically flow in both directions across its full length (i.e. a bi-directional pipeline), then it will usually offer a single transportation service, which enables gas to be transported in either direction. </w:t>
            </w:r>
          </w:p>
          <w:p w14:paraId="13C2C8A5" w14:textId="77777777" w:rsidR="00FF53B6" w:rsidRPr="00FF53B6" w:rsidRDefault="00FF53B6" w:rsidP="00FF53B6">
            <w:pPr>
              <w:rPr>
                <w:rStyle w:val="Strong"/>
                <w:b w:val="0"/>
              </w:rPr>
            </w:pPr>
            <w:r w:rsidRPr="00FF53B6">
              <w:rPr>
                <w:rStyle w:val="Strong"/>
                <w:b w:val="0"/>
              </w:rPr>
              <w:t xml:space="preserve">Forward haul and bi-directional services can be provided on: </w:t>
            </w:r>
          </w:p>
          <w:p w14:paraId="32980FF3" w14:textId="77777777" w:rsidR="00FF53B6" w:rsidRPr="00FF53B6" w:rsidRDefault="00FF53B6" w:rsidP="00FF53B6">
            <w:pPr>
              <w:pStyle w:val="AERbulletlistfirststyle"/>
              <w:spacing w:after="120"/>
              <w:ind w:right="0"/>
              <w:rPr>
                <w:rStyle w:val="Strong"/>
                <w:b w:val="0"/>
              </w:rPr>
            </w:pPr>
            <w:proofErr w:type="gramStart"/>
            <w:r w:rsidRPr="00FF53B6">
              <w:rPr>
                <w:rStyle w:val="Strong"/>
                <w:b w:val="0"/>
              </w:rPr>
              <w:t>a</w:t>
            </w:r>
            <w:proofErr w:type="gramEnd"/>
            <w:r w:rsidRPr="00FF53B6">
              <w:rPr>
                <w:rStyle w:val="Strong"/>
                <w:b w:val="0"/>
              </w:rPr>
              <w:t xml:space="preserve"> firm basis – a firm service allows users to transport gas up to their maximum daily and hourly capacity reservation. The priority accorded to this service in terms of scheduling is higher than any other services and is the last service to be curtailed. </w:t>
            </w:r>
          </w:p>
          <w:p w14:paraId="0EA8A4FD" w14:textId="77777777" w:rsidR="00FF53B6" w:rsidRPr="00FF53B6" w:rsidRDefault="00FF53B6" w:rsidP="00FF53B6">
            <w:pPr>
              <w:pStyle w:val="AERbulletlistfirststyle"/>
              <w:spacing w:after="120"/>
              <w:ind w:right="0"/>
              <w:rPr>
                <w:rStyle w:val="Strong"/>
                <w:b w:val="0"/>
              </w:rPr>
            </w:pPr>
            <w:proofErr w:type="gramStart"/>
            <w:r w:rsidRPr="00FF53B6">
              <w:rPr>
                <w:rStyle w:val="Strong"/>
                <w:b w:val="0"/>
              </w:rPr>
              <w:t>an</w:t>
            </w:r>
            <w:proofErr w:type="gramEnd"/>
            <w:r w:rsidRPr="00FF53B6">
              <w:rPr>
                <w:rStyle w:val="Strong"/>
                <w:b w:val="0"/>
              </w:rPr>
              <w:t xml:space="preserve"> as available basis – an as available service allows users to transport gas without reserving and having to pay for capacity on a daily basis, if there is spare capacity available. The priority accorded to this service is lower than that accorded to a firm transportation service in terms of scheduling and is curtailed before firm services.  </w:t>
            </w:r>
          </w:p>
          <w:p w14:paraId="76CE2ADD" w14:textId="77777777" w:rsidR="00FF53B6" w:rsidRPr="00FF53B6" w:rsidRDefault="00FF53B6" w:rsidP="00FF53B6">
            <w:pPr>
              <w:pStyle w:val="AERbulletlistfirststyle"/>
              <w:spacing w:after="120"/>
              <w:ind w:right="0"/>
              <w:rPr>
                <w:rStyle w:val="Strong"/>
                <w:b w:val="0"/>
              </w:rPr>
            </w:pPr>
            <w:proofErr w:type="gramStart"/>
            <w:r w:rsidRPr="00FF53B6">
              <w:rPr>
                <w:rStyle w:val="Strong"/>
                <w:b w:val="0"/>
              </w:rPr>
              <w:t>an</w:t>
            </w:r>
            <w:proofErr w:type="gramEnd"/>
            <w:r w:rsidRPr="00FF53B6">
              <w:rPr>
                <w:rStyle w:val="Strong"/>
                <w:b w:val="0"/>
              </w:rPr>
              <w:t xml:space="preserve"> interruptible basis – an interruptible service also allows a buyer to transport gas without reserving and paying for capacity on a daily basis. However, the priority accorded to this service in terms of scheduling is lower than as available services and is usually curtailed ahead of both as available and firm services.  </w:t>
            </w:r>
          </w:p>
          <w:p w14:paraId="5E4F5FE3" w14:textId="77777777" w:rsidR="00FF53B6" w:rsidRPr="00FF53B6" w:rsidRDefault="00FF53B6" w:rsidP="00FF53B6">
            <w:pPr>
              <w:rPr>
                <w:b/>
              </w:rPr>
            </w:pPr>
            <w:r w:rsidRPr="00FF53B6">
              <w:rPr>
                <w:b/>
              </w:rPr>
              <w:t>Storage services</w:t>
            </w:r>
          </w:p>
          <w:p w14:paraId="261E6E32" w14:textId="77777777" w:rsidR="00FF53B6" w:rsidRPr="00FF53B6" w:rsidRDefault="00FF53B6" w:rsidP="00FF53B6">
            <w:pPr>
              <w:rPr>
                <w:rStyle w:val="Strong"/>
                <w:b w:val="0"/>
              </w:rPr>
            </w:pPr>
            <w:r w:rsidRPr="00FF53B6">
              <w:rPr>
                <w:rStyle w:val="Strong"/>
                <w:b w:val="0"/>
              </w:rPr>
              <w:t>Transmission pipelines may also be used to provide the following storage related services:</w:t>
            </w:r>
          </w:p>
          <w:p w14:paraId="787628C3" w14:textId="77777777" w:rsidR="00FF53B6" w:rsidRPr="00FF53B6" w:rsidRDefault="00FF53B6" w:rsidP="00FF53B6">
            <w:pPr>
              <w:pStyle w:val="AERbulletlistfirststyle"/>
              <w:spacing w:after="120"/>
              <w:ind w:right="0"/>
              <w:rPr>
                <w:rStyle w:val="Strong"/>
                <w:b w:val="0"/>
              </w:rPr>
            </w:pPr>
            <w:r w:rsidRPr="00FF53B6">
              <w:rPr>
                <w:rStyle w:val="Strong"/>
                <w:b w:val="0"/>
              </w:rPr>
              <w:t>Park services, which allow users to inject more gas into a pipeline than they take out on a particular day, up to a specified level and to store that gas in the pipeline.  The additional gas supplied into the pipeline may be withdrawn by users at a later point in time, subject to constraints in their transportation contracts.</w:t>
            </w:r>
          </w:p>
          <w:p w14:paraId="6806AE4F" w14:textId="77777777" w:rsidR="00FF53B6" w:rsidRPr="00FF53B6" w:rsidRDefault="00FF53B6" w:rsidP="00FF53B6">
            <w:pPr>
              <w:pStyle w:val="AERbulletlistfirststyle"/>
              <w:spacing w:after="120"/>
              <w:ind w:right="0"/>
              <w:rPr>
                <w:rStyle w:val="Strong"/>
                <w:b w:val="0"/>
              </w:rPr>
            </w:pPr>
            <w:r w:rsidRPr="00FF53B6">
              <w:rPr>
                <w:rStyle w:val="Strong"/>
                <w:b w:val="0"/>
              </w:rPr>
              <w:t xml:space="preserve">Park and loan services, which in addition to allowing users to store gas on the pipeline, also allows users to inject less gas than it takes on any given day (a loan), up to a specified level.  </w:t>
            </w:r>
          </w:p>
          <w:p w14:paraId="6359F513" w14:textId="77777777" w:rsidR="00FF53B6" w:rsidRPr="00FF53B6" w:rsidRDefault="00FF53B6" w:rsidP="00FF53B6">
            <w:pPr>
              <w:pStyle w:val="ListBullet"/>
              <w:numPr>
                <w:ilvl w:val="0"/>
                <w:numId w:val="0"/>
              </w:numPr>
              <w:rPr>
                <w:b/>
              </w:rPr>
            </w:pPr>
            <w:bookmarkStart w:id="227" w:name="_GoBack"/>
            <w:r w:rsidRPr="00FF53B6">
              <w:rPr>
                <w:b/>
              </w:rPr>
              <w:t>Ancillary services</w:t>
            </w:r>
          </w:p>
          <w:bookmarkEnd w:id="227"/>
          <w:p w14:paraId="0D1BB4B8" w14:textId="77777777" w:rsidR="00FF53B6" w:rsidRPr="00FF53B6" w:rsidRDefault="00FF53B6" w:rsidP="00FF53B6">
            <w:pPr>
              <w:pStyle w:val="ListBullet"/>
              <w:numPr>
                <w:ilvl w:val="0"/>
                <w:numId w:val="0"/>
              </w:numPr>
              <w:rPr>
                <w:rStyle w:val="Strong"/>
                <w:b w:val="0"/>
              </w:rPr>
            </w:pPr>
            <w:r w:rsidRPr="00FF53B6">
              <w:rPr>
                <w:rStyle w:val="Strong"/>
                <w:b w:val="0"/>
              </w:rPr>
              <w:t>Transmission pipelines can be used to provide a range of ancillary services, including:</w:t>
            </w:r>
          </w:p>
          <w:p w14:paraId="7AF0B003" w14:textId="77777777" w:rsidR="00FF53B6" w:rsidRPr="00FF53B6" w:rsidRDefault="00FF53B6" w:rsidP="00FF53B6">
            <w:pPr>
              <w:pStyle w:val="AERbulletlistfirststyle"/>
              <w:spacing w:after="120"/>
              <w:ind w:right="0"/>
              <w:rPr>
                <w:rStyle w:val="Strong"/>
                <w:b w:val="0"/>
              </w:rPr>
            </w:pPr>
            <w:r w:rsidRPr="00FF53B6">
              <w:rPr>
                <w:rStyle w:val="Strong"/>
                <w:b w:val="0"/>
              </w:rPr>
              <w:t>Renomination services, which enable users to amend their nominations after the nomination cut-off time, which is typically the afternoon before the gas day.</w:t>
            </w:r>
          </w:p>
          <w:p w14:paraId="7E9D53A1" w14:textId="77777777" w:rsidR="00FF53B6" w:rsidRPr="00FF53B6" w:rsidRDefault="00FF53B6" w:rsidP="00FF53B6">
            <w:pPr>
              <w:pStyle w:val="AERbulletlistfirststyle"/>
              <w:spacing w:after="120"/>
              <w:ind w:right="0"/>
              <w:rPr>
                <w:rStyle w:val="Strong"/>
                <w:b w:val="0"/>
              </w:rPr>
            </w:pPr>
            <w:r w:rsidRPr="00FF53B6">
              <w:rPr>
                <w:rStyle w:val="Strong"/>
                <w:b w:val="0"/>
              </w:rPr>
              <w:t>In-pipe trade services, which enable gas to be traded between users at a notional point on the pipeline and allow users to manage their imbalances.</w:t>
            </w:r>
          </w:p>
          <w:p w14:paraId="1D22E5F9" w14:textId="749E4118" w:rsidR="00FF53B6" w:rsidRPr="00D128A9" w:rsidRDefault="00FF53B6" w:rsidP="00FF53B6">
            <w:r w:rsidRPr="00FF53B6">
              <w:rPr>
                <w:rStyle w:val="Strong"/>
                <w:b w:val="0"/>
              </w:rPr>
              <w:t>Capacity trading services, which enables capacity traded between users to be managed by the service provider rather than by the users (e.g. the user purchasing the capacity can make nominations directly to the pipeline rather than through the user selling the capacity).</w:t>
            </w:r>
          </w:p>
        </w:tc>
      </w:tr>
    </w:tbl>
    <w:p w14:paraId="6E626088" w14:textId="4E6E32E5" w:rsidR="007372B2" w:rsidRPr="00A9425D" w:rsidRDefault="00D128A9" w:rsidP="006E75F9">
      <w:pPr>
        <w:spacing w:line="240" w:lineRule="auto"/>
        <w:rPr>
          <w:rStyle w:val="BodyTextChar"/>
          <w:sz w:val="2"/>
          <w:szCs w:val="2"/>
        </w:rPr>
      </w:pPr>
      <w:r w:rsidRPr="00D128A9">
        <w:rPr>
          <w:sz w:val="18"/>
          <w:szCs w:val="18"/>
        </w:rPr>
        <w:t xml:space="preserve">Source: AER, Draft Decision Roma to Brisbane Gas Pipeline </w:t>
      </w:r>
      <w:r w:rsidR="005663EA">
        <w:rPr>
          <w:sz w:val="18"/>
          <w:szCs w:val="18"/>
        </w:rPr>
        <w:t xml:space="preserve">AA </w:t>
      </w:r>
      <w:r w:rsidRPr="00D128A9">
        <w:rPr>
          <w:sz w:val="18"/>
          <w:szCs w:val="18"/>
        </w:rPr>
        <w:t>2017-22, July 2017, Attachment 1</w:t>
      </w:r>
      <w:r>
        <w:rPr>
          <w:sz w:val="18"/>
          <w:szCs w:val="18"/>
        </w:rPr>
        <w:t>, Appendix A</w:t>
      </w:r>
      <w:r w:rsidRPr="00D128A9">
        <w:rPr>
          <w:sz w:val="18"/>
          <w:szCs w:val="18"/>
        </w:rPr>
        <w:t xml:space="preserve">. </w:t>
      </w:r>
    </w:p>
    <w:sectPr w:rsidR="007372B2" w:rsidRPr="00A9425D" w:rsidSect="00947034">
      <w:pgSz w:w="11907" w:h="16839" w:code="9"/>
      <w:pgMar w:top="1361" w:right="1417" w:bottom="992" w:left="1701" w:header="567" w:footer="39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C5BA53" w14:textId="77777777" w:rsidR="009E6A8A" w:rsidRDefault="009E6A8A" w:rsidP="00256624">
      <w:r>
        <w:separator/>
      </w:r>
    </w:p>
    <w:p w14:paraId="0E89EB94" w14:textId="77777777" w:rsidR="009E6A8A" w:rsidRDefault="009E6A8A"/>
  </w:endnote>
  <w:endnote w:type="continuationSeparator" w:id="0">
    <w:p w14:paraId="3937B66F" w14:textId="77777777" w:rsidR="009E6A8A" w:rsidRDefault="009E6A8A" w:rsidP="00256624">
      <w:r>
        <w:continuationSeparator/>
      </w:r>
    </w:p>
    <w:p w14:paraId="295E8BA1" w14:textId="77777777" w:rsidR="009E6A8A" w:rsidRDefault="009E6A8A"/>
  </w:endnote>
  <w:endnote w:type="continuationNotice" w:id="1">
    <w:p w14:paraId="6EE65B0F" w14:textId="77777777" w:rsidR="009E6A8A" w:rsidRDefault="009E6A8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altName w:val="Book Antiqua"/>
    <w:panose1 w:val="02040602050305030304"/>
    <w:charset w:val="00"/>
    <w:family w:val="roman"/>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Gotham Light">
    <w:altName w:val="Calibri"/>
    <w:panose1 w:val="00000000000000000000"/>
    <w:charset w:val="00"/>
    <w:family w:val="swiss"/>
    <w:notTrueType/>
    <w:pitch w:val="default"/>
    <w:sig w:usb0="00000003" w:usb1="00000000" w:usb2="00000000" w:usb3="00000000" w:csb0="00000001" w:csb1="00000000"/>
  </w:font>
  <w:font w:name="ArialMT">
    <w:altName w:val="Arial"/>
    <w:panose1 w:val="00000000000000000000"/>
    <w:charset w:val="4D"/>
    <w:family w:val="auto"/>
    <w:notTrueType/>
    <w:pitch w:val="default"/>
    <w:sig w:usb0="00000003" w:usb1="00000000" w:usb2="00000000" w:usb3="00000000" w:csb0="00000001" w:csb1="00000000"/>
  </w:font>
  <w:font w:name="Myriad Pro">
    <w:altName w:val="Segoe UI"/>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Franklin Gothic Demi Cond">
    <w:panose1 w:val="020B0706030402020204"/>
    <w:charset w:val="00"/>
    <w:family w:val="swiss"/>
    <w:pitch w:val="variable"/>
    <w:sig w:usb0="000002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89F68C" w14:textId="77777777" w:rsidR="009E6A8A" w:rsidRDefault="009E6A8A">
    <w:pPr>
      <w:pStyle w:val="Footer"/>
    </w:pPr>
    <w:bookmarkStart w:id="1" w:name="_Hlk491874953"/>
    <w:bookmarkStart w:id="2" w:name="_Hlk491874954"/>
    <w:bookmarkStart w:id="3" w:name="_Hlk491874955"/>
    <w:bookmarkStart w:id="4" w:name="_Hlk492057950"/>
    <w:bookmarkStart w:id="5" w:name="_Hlk492057951"/>
    <w:bookmarkStart w:id="6" w:name="_Hlk492057952"/>
    <w:bookmarkStart w:id="7" w:name="_Hlk492112249"/>
    <w:bookmarkStart w:id="8" w:name="_Hlk492112250"/>
    <w:bookmarkStart w:id="9" w:name="_Hlk492112251"/>
    <w:bookmarkEnd w:id="1"/>
    <w:bookmarkEnd w:id="2"/>
    <w:bookmarkEnd w:id="3"/>
    <w:bookmarkEnd w:id="4"/>
    <w:bookmarkEnd w:id="5"/>
    <w:bookmarkEnd w:id="6"/>
    <w:bookmarkEnd w:id="7"/>
    <w:bookmarkEnd w:id="8"/>
    <w:bookmarkEnd w:id="9"/>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FBD86F" w14:textId="77777777" w:rsidR="009E6A8A" w:rsidRDefault="009E6A8A">
    <w:pPr>
      <w:pStyle w:val="Footer"/>
    </w:pPr>
    <w:bookmarkStart w:id="10" w:name="_Hlk491874947"/>
    <w:bookmarkStart w:id="11" w:name="_Hlk491874948"/>
    <w:bookmarkStart w:id="12" w:name="_Hlk491874949"/>
    <w:bookmarkStart w:id="13" w:name="_Hlk492057944"/>
    <w:bookmarkStart w:id="14" w:name="_Hlk492057945"/>
    <w:bookmarkStart w:id="15" w:name="_Hlk492057946"/>
    <w:bookmarkStart w:id="16" w:name="_Hlk492112243"/>
    <w:bookmarkStart w:id="17" w:name="_Hlk492112244"/>
    <w:bookmarkStart w:id="18" w:name="_Hlk492112245"/>
    <w:bookmarkEnd w:id="10"/>
    <w:bookmarkEnd w:id="11"/>
    <w:bookmarkEnd w:id="12"/>
    <w:bookmarkEnd w:id="13"/>
    <w:bookmarkEnd w:id="14"/>
    <w:bookmarkEnd w:id="15"/>
    <w:bookmarkEnd w:id="16"/>
    <w:bookmarkEnd w:id="17"/>
    <w:bookmarkEnd w:id="18"/>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F0085A" w14:textId="77777777" w:rsidR="009E6A8A" w:rsidRDefault="009E6A8A" w:rsidP="0044504D">
    <w:pPr>
      <w:pStyle w:val="Footer"/>
      <w:pBdr>
        <w:top w:val="single" w:sz="4" w:space="1" w:color="214C90" w:themeColor="text2"/>
      </w:pBdr>
      <w:spacing w:line="80" w:lineRule="exact"/>
    </w:pPr>
  </w:p>
  <w:p w14:paraId="477D4D25" w14:textId="33E23948" w:rsidR="009E6A8A" w:rsidRPr="003B6692" w:rsidRDefault="009E6A8A" w:rsidP="003B6692">
    <w:pPr>
      <w:pStyle w:val="Footer"/>
    </w:pPr>
    <w:r>
      <w:fldChar w:fldCharType="begin"/>
    </w:r>
    <w:r>
      <w:instrText xml:space="preserve"> PAGE   \* MERGEFORMAT </w:instrText>
    </w:r>
    <w:r>
      <w:fldChar w:fldCharType="separate"/>
    </w:r>
    <w:r w:rsidR="0022493D">
      <w:rPr>
        <w:noProof/>
      </w:rPr>
      <w:t>iv</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18880" w14:textId="77777777" w:rsidR="009E6A8A" w:rsidRDefault="009E6A8A" w:rsidP="00887CBF">
    <w:pPr>
      <w:pStyle w:val="Footer"/>
      <w:pBdr>
        <w:top w:val="single" w:sz="4" w:space="1" w:color="0099CC"/>
      </w:pBdr>
      <w:spacing w:line="80" w:lineRule="exact"/>
    </w:pPr>
  </w:p>
  <w:p w14:paraId="763E6C97" w14:textId="3396F1A4" w:rsidR="009E6A8A" w:rsidRDefault="009E6A8A" w:rsidP="004B3D51">
    <w:pPr>
      <w:pStyle w:val="Footer"/>
    </w:pPr>
    <w:r>
      <w:fldChar w:fldCharType="begin"/>
    </w:r>
    <w:r>
      <w:instrText xml:space="preserve"> PAGE   \* MERGEFORMAT </w:instrText>
    </w:r>
    <w:r>
      <w:fldChar w:fldCharType="separate"/>
    </w:r>
    <w:r w:rsidR="0022493D">
      <w:rPr>
        <w:noProof/>
      </w:rPr>
      <w:t>12</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76F646" w14:textId="77777777" w:rsidR="009E6A8A" w:rsidRDefault="009E6A8A" w:rsidP="00887CBF">
    <w:pPr>
      <w:pStyle w:val="Footer"/>
      <w:pBdr>
        <w:top w:val="single" w:sz="4" w:space="1" w:color="0099CC"/>
      </w:pBdr>
      <w:spacing w:line="80" w:lineRule="exact"/>
    </w:pPr>
  </w:p>
  <w:p w14:paraId="7DD2C84C" w14:textId="429C375A" w:rsidR="009E6A8A" w:rsidRDefault="009E6A8A" w:rsidP="004B3D51">
    <w:pPr>
      <w:pStyle w:val="Footer"/>
    </w:pPr>
    <w:r>
      <w:fldChar w:fldCharType="begin"/>
    </w:r>
    <w:r>
      <w:instrText xml:space="preserve"> PAGE   \* MERGEFORMAT </w:instrText>
    </w:r>
    <w:r>
      <w:fldChar w:fldCharType="separate"/>
    </w:r>
    <w:r w:rsidR="0022493D">
      <w:rPr>
        <w:noProof/>
      </w:rPr>
      <w:t>14</w:t>
    </w:r>
    <w:r>
      <w:rPr>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FEBEC0" w14:textId="77777777" w:rsidR="009E6A8A" w:rsidRDefault="009E6A8A" w:rsidP="00887CBF">
    <w:pPr>
      <w:pStyle w:val="Footer"/>
      <w:pBdr>
        <w:top w:val="single" w:sz="4" w:space="1" w:color="0099CC"/>
      </w:pBdr>
      <w:spacing w:line="80" w:lineRule="exact"/>
    </w:pPr>
  </w:p>
  <w:p w14:paraId="25E8D41F" w14:textId="39504684" w:rsidR="009E6A8A" w:rsidRDefault="009E6A8A" w:rsidP="004B3D51">
    <w:pPr>
      <w:pStyle w:val="Footer"/>
    </w:pPr>
    <w:r>
      <w:fldChar w:fldCharType="begin"/>
    </w:r>
    <w:r>
      <w:instrText xml:space="preserve"> PAGE   \* MERGEFORMAT </w:instrText>
    </w:r>
    <w:r>
      <w:fldChar w:fldCharType="separate"/>
    </w:r>
    <w:r w:rsidR="0022493D">
      <w:rPr>
        <w:noProof/>
      </w:rPr>
      <w:t>36</w:t>
    </w:r>
    <w:r>
      <w:rPr>
        <w:noProof/>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B2D591" w14:textId="77777777" w:rsidR="009E6A8A" w:rsidRDefault="009E6A8A" w:rsidP="00887CBF">
    <w:pPr>
      <w:pStyle w:val="Footer"/>
      <w:pBdr>
        <w:top w:val="single" w:sz="4" w:space="1" w:color="0099CC"/>
      </w:pBdr>
      <w:spacing w:line="80" w:lineRule="exact"/>
    </w:pPr>
  </w:p>
  <w:p w14:paraId="0AB8131D" w14:textId="74864935" w:rsidR="009E6A8A" w:rsidRDefault="009E6A8A" w:rsidP="004B3D51">
    <w:pPr>
      <w:pStyle w:val="Footer"/>
    </w:pPr>
    <w:r>
      <w:fldChar w:fldCharType="begin"/>
    </w:r>
    <w:r>
      <w:instrText xml:space="preserve"> PAGE   \* MERGEFORMAT </w:instrText>
    </w:r>
    <w:r>
      <w:fldChar w:fldCharType="separate"/>
    </w:r>
    <w:r w:rsidR="0022493D">
      <w:rPr>
        <w:noProof/>
      </w:rPr>
      <w:t>116</w:t>
    </w:r>
    <w:r>
      <w:rPr>
        <w:noProof/>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53A85F" w14:textId="77777777" w:rsidR="009E6A8A" w:rsidRDefault="009E6A8A" w:rsidP="00852D52">
    <w:pPr>
      <w:pStyle w:val="Footer"/>
      <w:pBdr>
        <w:top w:val="single" w:sz="4" w:space="1" w:color="0099CC"/>
      </w:pBdr>
      <w:spacing w:before="240" w:line="80" w:lineRule="exact"/>
    </w:pPr>
  </w:p>
  <w:p w14:paraId="346F1CC7" w14:textId="2253609A" w:rsidR="009E6A8A" w:rsidRDefault="009E6A8A" w:rsidP="004B3D51">
    <w:pPr>
      <w:pStyle w:val="Footer"/>
    </w:pPr>
    <w:r>
      <w:fldChar w:fldCharType="begin"/>
    </w:r>
    <w:r>
      <w:instrText xml:space="preserve"> PAGE   \* MERGEFORMAT </w:instrText>
    </w:r>
    <w:r>
      <w:fldChar w:fldCharType="separate"/>
    </w:r>
    <w:r w:rsidR="00FF53B6">
      <w:rPr>
        <w:noProof/>
      </w:rPr>
      <w:t>140</w:t>
    </w:r>
    <w:r>
      <w:rPr>
        <w:noProof/>
      </w:rPr>
      <w:fldChar w:fldCharType="end"/>
    </w:r>
  </w:p>
  <w:p w14:paraId="76C788A9" w14:textId="77777777" w:rsidR="009E6A8A" w:rsidRDefault="009E6A8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4CBF94" w14:textId="77777777" w:rsidR="009E6A8A" w:rsidRPr="0022372B" w:rsidRDefault="009E6A8A" w:rsidP="0022372B">
      <w:pPr>
        <w:pStyle w:val="Footer"/>
        <w:spacing w:after="80" w:line="240" w:lineRule="auto"/>
        <w:jc w:val="left"/>
        <w:rPr>
          <w:color w:val="A9A8A9" w:themeColor="accent4"/>
          <w:sz w:val="16"/>
          <w:szCs w:val="16"/>
        </w:rPr>
      </w:pPr>
      <w:r w:rsidRPr="0022372B">
        <w:rPr>
          <w:color w:val="A9A8A9" w:themeColor="accent4"/>
          <w:sz w:val="16"/>
          <w:szCs w:val="16"/>
        </w:rPr>
        <w:t>_________________________________</w:t>
      </w:r>
    </w:p>
  </w:footnote>
  <w:footnote w:type="continuationSeparator" w:id="0">
    <w:p w14:paraId="26EA4572" w14:textId="77777777" w:rsidR="009E6A8A" w:rsidRPr="0022372B" w:rsidRDefault="009E6A8A" w:rsidP="0022372B">
      <w:pPr>
        <w:pStyle w:val="Footer"/>
        <w:spacing w:after="80" w:line="240" w:lineRule="auto"/>
        <w:jc w:val="left"/>
        <w:rPr>
          <w:color w:val="A9A8A9" w:themeColor="accent4"/>
          <w:sz w:val="16"/>
          <w:szCs w:val="16"/>
        </w:rPr>
      </w:pPr>
      <w:r w:rsidRPr="0022372B">
        <w:rPr>
          <w:color w:val="A9A8A9" w:themeColor="accent4"/>
          <w:sz w:val="16"/>
          <w:szCs w:val="16"/>
        </w:rPr>
        <w:t>_________________________________</w:t>
      </w:r>
    </w:p>
  </w:footnote>
  <w:footnote w:type="continuationNotice" w:id="1">
    <w:p w14:paraId="63BC1602" w14:textId="77777777" w:rsidR="009E6A8A" w:rsidRPr="00A176B6" w:rsidRDefault="009E6A8A" w:rsidP="00A176B6">
      <w:pPr>
        <w:spacing w:line="160" w:lineRule="exact"/>
        <w:rPr>
          <w:sz w:val="16"/>
          <w:szCs w:val="16"/>
        </w:rPr>
      </w:pPr>
    </w:p>
  </w:footnote>
  <w:footnote w:id="2">
    <w:p w14:paraId="70303D3B" w14:textId="77777777" w:rsidR="009E6A8A" w:rsidRDefault="009E6A8A" w:rsidP="00854182">
      <w:pPr>
        <w:pStyle w:val="FootnoteText"/>
      </w:pPr>
      <w:r>
        <w:rPr>
          <w:rStyle w:val="FootnoteReference"/>
        </w:rPr>
        <w:footnoteRef/>
      </w:r>
      <w:r>
        <w:t xml:space="preserve"> </w:t>
      </w:r>
      <w:r>
        <w:tab/>
        <w:t>COAG Energy Council, Bulletin Two: Gas Market Reform Package, August 2016.</w:t>
      </w:r>
    </w:p>
  </w:footnote>
  <w:footnote w:id="3">
    <w:p w14:paraId="05A9F134" w14:textId="7FB42683" w:rsidR="009E6A8A" w:rsidRDefault="009E6A8A" w:rsidP="00854182">
      <w:pPr>
        <w:pStyle w:val="FootnoteText"/>
      </w:pPr>
      <w:r>
        <w:rPr>
          <w:rStyle w:val="FootnoteReference"/>
        </w:rPr>
        <w:footnoteRef/>
      </w:r>
      <w:r>
        <w:t xml:space="preserve"> </w:t>
      </w:r>
      <w:r>
        <w:tab/>
        <w:t>A</w:t>
      </w:r>
      <w:r w:rsidRPr="00636AC6">
        <w:t xml:space="preserve">EMC, Stage 2 Final Report: </w:t>
      </w:r>
      <w:r>
        <w:t xml:space="preserve">East Coast </w:t>
      </w:r>
      <w:r w:rsidRPr="00636AC6">
        <w:rPr>
          <w:rFonts w:cs="Arial"/>
          <w:iCs/>
        </w:rPr>
        <w:t>Review, 23 May 2016,</w:t>
      </w:r>
      <w:r w:rsidRPr="00636AC6">
        <w:t xml:space="preserve"> </w:t>
      </w:r>
      <w:r>
        <w:t>p</w:t>
      </w:r>
      <w:r w:rsidRPr="00636AC6">
        <w:t>p. 6</w:t>
      </w:r>
      <w:r>
        <w:t>9 and 73</w:t>
      </w:r>
      <w:r w:rsidRPr="00636AC6">
        <w:t>.</w:t>
      </w:r>
    </w:p>
  </w:footnote>
  <w:footnote w:id="4">
    <w:p w14:paraId="6397199A" w14:textId="77777777" w:rsidR="009E6A8A" w:rsidRDefault="009E6A8A" w:rsidP="00854182">
      <w:pPr>
        <w:pStyle w:val="FootnoteText"/>
      </w:pPr>
      <w:r>
        <w:rPr>
          <w:rStyle w:val="FootnoteReference"/>
        </w:rPr>
        <w:footnoteRef/>
      </w:r>
      <w:r>
        <w:t xml:space="preserve"> </w:t>
      </w:r>
      <w:r>
        <w:tab/>
        <w:t>ibid, p. viii.</w:t>
      </w:r>
    </w:p>
  </w:footnote>
  <w:footnote w:id="5">
    <w:p w14:paraId="039C2A84" w14:textId="77777777" w:rsidR="009E6A8A" w:rsidRDefault="009E6A8A" w:rsidP="00393162">
      <w:pPr>
        <w:pStyle w:val="FootnoteText"/>
      </w:pPr>
      <w:r>
        <w:rPr>
          <w:rStyle w:val="FootnoteReference"/>
        </w:rPr>
        <w:footnoteRef/>
      </w:r>
      <w:r>
        <w:t xml:space="preserve"> </w:t>
      </w:r>
      <w:r>
        <w:tab/>
        <w:t>COAG Energy Council, Australian Gas Market Vision, December 2014.</w:t>
      </w:r>
    </w:p>
  </w:footnote>
  <w:footnote w:id="6">
    <w:p w14:paraId="343576E8" w14:textId="77777777" w:rsidR="009E6A8A" w:rsidRDefault="009E6A8A" w:rsidP="00854182">
      <w:pPr>
        <w:pStyle w:val="FootnoteText"/>
      </w:pPr>
      <w:r>
        <w:rPr>
          <w:rStyle w:val="FootnoteReference"/>
        </w:rPr>
        <w:footnoteRef/>
      </w:r>
      <w:r>
        <w:t xml:space="preserve"> </w:t>
      </w:r>
      <w:r>
        <w:tab/>
        <w:t xml:space="preserve">SCO comprises senior officials from State, Territory and Commonwealth governments. </w:t>
      </w:r>
    </w:p>
  </w:footnote>
  <w:footnote w:id="7">
    <w:p w14:paraId="021F6AF7" w14:textId="77777777" w:rsidR="009E6A8A" w:rsidRDefault="009E6A8A" w:rsidP="00854182">
      <w:pPr>
        <w:pStyle w:val="FootnoteText"/>
      </w:pPr>
      <w:r>
        <w:rPr>
          <w:rStyle w:val="FootnoteReference"/>
        </w:rPr>
        <w:footnoteRef/>
      </w:r>
      <w:r>
        <w:t xml:space="preserve"> </w:t>
      </w:r>
      <w:r>
        <w:tab/>
        <w:t>COAG Energy Council, 12</w:t>
      </w:r>
      <w:r w:rsidRPr="00C76541">
        <w:rPr>
          <w:vertAlign w:val="superscript"/>
        </w:rPr>
        <w:t>th</w:t>
      </w:r>
      <w:r>
        <w:t xml:space="preserve"> Energy Council Meeting Communique, 14 July 2017.</w:t>
      </w:r>
    </w:p>
  </w:footnote>
  <w:footnote w:id="8">
    <w:p w14:paraId="50542B41" w14:textId="3D366C7F" w:rsidR="009E6A8A" w:rsidRDefault="009E6A8A" w:rsidP="00854182">
      <w:pPr>
        <w:pStyle w:val="FootnoteText"/>
      </w:pPr>
      <w:r>
        <w:rPr>
          <w:rStyle w:val="FootnoteReference"/>
        </w:rPr>
        <w:footnoteRef/>
      </w:r>
      <w:r>
        <w:t xml:space="preserve"> </w:t>
      </w:r>
      <w:r>
        <w:tab/>
        <w:t>A</w:t>
      </w:r>
      <w:r w:rsidRPr="00636AC6">
        <w:t xml:space="preserve">EMC, Stage 2 Final Report: </w:t>
      </w:r>
      <w:r>
        <w:t xml:space="preserve">East Coast </w:t>
      </w:r>
      <w:r w:rsidRPr="00636AC6">
        <w:rPr>
          <w:rFonts w:cs="Arial"/>
          <w:iCs/>
        </w:rPr>
        <w:t>Review, 23 May 2016,</w:t>
      </w:r>
      <w:r w:rsidRPr="00636AC6">
        <w:t xml:space="preserve"> </w:t>
      </w:r>
      <w:r>
        <w:t>p</w:t>
      </w:r>
      <w:r w:rsidRPr="00636AC6">
        <w:t>p. 67</w:t>
      </w:r>
      <w:r>
        <w:t>, 73 and 83</w:t>
      </w:r>
      <w:r w:rsidRPr="00636AC6">
        <w:t>.</w:t>
      </w:r>
    </w:p>
  </w:footnote>
  <w:footnote w:id="9">
    <w:p w14:paraId="480C38C4" w14:textId="77777777" w:rsidR="009E6A8A" w:rsidRDefault="009E6A8A" w:rsidP="00854182">
      <w:pPr>
        <w:pStyle w:val="FootnoteText"/>
      </w:pPr>
      <w:r>
        <w:rPr>
          <w:rStyle w:val="FootnoteReference"/>
        </w:rPr>
        <w:footnoteRef/>
      </w:r>
      <w:r>
        <w:t xml:space="preserve"> </w:t>
      </w:r>
      <w:r>
        <w:tab/>
        <w:t>ibid, p. 83.</w:t>
      </w:r>
    </w:p>
  </w:footnote>
  <w:footnote w:id="10">
    <w:p w14:paraId="17EA91CB" w14:textId="77777777" w:rsidR="009E6A8A" w:rsidRDefault="009E6A8A" w:rsidP="00854182">
      <w:pPr>
        <w:pStyle w:val="FootnoteText"/>
      </w:pPr>
      <w:r>
        <w:rPr>
          <w:rStyle w:val="FootnoteReference"/>
        </w:rPr>
        <w:footnoteRef/>
      </w:r>
      <w:r>
        <w:t xml:space="preserve"> </w:t>
      </w:r>
      <w:r>
        <w:tab/>
        <w:t>Shippers will also be able to have recourse to other means to identify potential counterparties and enter into bilateral trades.</w:t>
      </w:r>
    </w:p>
  </w:footnote>
  <w:footnote w:id="11">
    <w:p w14:paraId="1CE7E361" w14:textId="6031A4C1" w:rsidR="009E6A8A" w:rsidRDefault="009E6A8A" w:rsidP="00854182">
      <w:pPr>
        <w:pStyle w:val="FootnoteText"/>
      </w:pPr>
      <w:r>
        <w:rPr>
          <w:rStyle w:val="FootnoteReference"/>
        </w:rPr>
        <w:footnoteRef/>
      </w:r>
      <w:r>
        <w:t xml:space="preserve"> </w:t>
      </w:r>
      <w:r>
        <w:tab/>
        <w:t xml:space="preserve">The pre-matched service allows participants to register off-market trades in listed products to the exchange for settlement. </w:t>
      </w:r>
    </w:p>
  </w:footnote>
  <w:footnote w:id="12">
    <w:p w14:paraId="1BBBF22F" w14:textId="77777777" w:rsidR="009E6A8A" w:rsidRPr="00FB6BDD" w:rsidRDefault="009E6A8A" w:rsidP="00854182">
      <w:pPr>
        <w:pStyle w:val="FootnoteText"/>
        <w:rPr>
          <w:lang w:val="en-US"/>
        </w:rPr>
      </w:pPr>
      <w:r>
        <w:rPr>
          <w:rStyle w:val="FootnoteReference"/>
        </w:rPr>
        <w:footnoteRef/>
      </w:r>
      <w:r>
        <w:t xml:space="preserve"> </w:t>
      </w:r>
      <w:r>
        <w:tab/>
      </w:r>
      <w:r w:rsidRPr="00CE0F95">
        <w:t>The service provider can also offer an operational GTA-style service under a primary GTA, allowing a primary shipper to roll capacity bought in the secondary market into the primary GTA.</w:t>
      </w:r>
    </w:p>
  </w:footnote>
  <w:footnote w:id="13">
    <w:p w14:paraId="7880ED40" w14:textId="77777777" w:rsidR="009E6A8A" w:rsidRDefault="009E6A8A" w:rsidP="00854182">
      <w:pPr>
        <w:pStyle w:val="FootnoteText"/>
      </w:pPr>
      <w:r>
        <w:rPr>
          <w:rStyle w:val="FootnoteReference"/>
        </w:rPr>
        <w:footnoteRef/>
      </w:r>
      <w:r>
        <w:t xml:space="preserve"> </w:t>
      </w:r>
      <w:r>
        <w:tab/>
        <w:t>Section 291 of the NGL.</w:t>
      </w:r>
    </w:p>
  </w:footnote>
  <w:footnote w:id="14">
    <w:p w14:paraId="051AA3DE" w14:textId="77777777" w:rsidR="009E6A8A" w:rsidRDefault="009E6A8A" w:rsidP="00854182">
      <w:pPr>
        <w:pStyle w:val="FootnoteText"/>
      </w:pPr>
      <w:r>
        <w:rPr>
          <w:rStyle w:val="FootnoteReference"/>
        </w:rPr>
        <w:footnoteRef/>
      </w:r>
      <w:r>
        <w:t xml:space="preserve"> </w:t>
      </w:r>
      <w:r>
        <w:tab/>
        <w:t>See section 291 of the NGL.</w:t>
      </w:r>
    </w:p>
  </w:footnote>
  <w:footnote w:id="15">
    <w:p w14:paraId="6A0D399D" w14:textId="77777777" w:rsidR="009E6A8A" w:rsidRDefault="009E6A8A" w:rsidP="00854182">
      <w:pPr>
        <w:pStyle w:val="FootnoteText"/>
      </w:pPr>
      <w:r>
        <w:rPr>
          <w:rStyle w:val="FootnoteReference"/>
        </w:rPr>
        <w:footnoteRef/>
      </w:r>
      <w:r>
        <w:t xml:space="preserve"> </w:t>
      </w:r>
      <w:r>
        <w:tab/>
      </w:r>
      <w:r w:rsidRPr="000A7592">
        <w:t>AEMC, Stage 2 Final Report: Information Provision, May 2016, p. 4.</w:t>
      </w:r>
    </w:p>
  </w:footnote>
  <w:footnote w:id="16">
    <w:p w14:paraId="18681E32" w14:textId="6BED162E" w:rsidR="009E6A8A" w:rsidRDefault="009E6A8A" w:rsidP="00854182">
      <w:pPr>
        <w:pStyle w:val="FootnoteText"/>
      </w:pPr>
      <w:r>
        <w:rPr>
          <w:rStyle w:val="FootnoteReference"/>
        </w:rPr>
        <w:footnoteRef/>
      </w:r>
      <w:r>
        <w:t xml:space="preserve"> </w:t>
      </w:r>
      <w:r>
        <w:tab/>
        <w:t>A</w:t>
      </w:r>
      <w:r w:rsidRPr="00636AC6">
        <w:t xml:space="preserve">EMC, Stage 2 Final Report: </w:t>
      </w:r>
      <w:r>
        <w:t xml:space="preserve">East Coast </w:t>
      </w:r>
      <w:r w:rsidRPr="00636AC6">
        <w:rPr>
          <w:rFonts w:cs="Arial"/>
          <w:iCs/>
        </w:rPr>
        <w:t>Review, 23 May 2016,</w:t>
      </w:r>
      <w:r w:rsidRPr="00636AC6">
        <w:t xml:space="preserve"> </w:t>
      </w:r>
      <w:r>
        <w:t>p</w:t>
      </w:r>
      <w:r w:rsidRPr="00636AC6">
        <w:t xml:space="preserve">p. </w:t>
      </w:r>
      <w:r>
        <w:t>67-</w:t>
      </w:r>
      <w:r w:rsidRPr="00636AC6">
        <w:t>6</w:t>
      </w:r>
      <w:r>
        <w:t>9</w:t>
      </w:r>
      <w:r w:rsidRPr="00636AC6">
        <w:t>.</w:t>
      </w:r>
    </w:p>
  </w:footnote>
  <w:footnote w:id="17">
    <w:p w14:paraId="6D5B15B0" w14:textId="77777777" w:rsidR="009E6A8A" w:rsidRDefault="009E6A8A" w:rsidP="00854182">
      <w:pPr>
        <w:pStyle w:val="FootnoteText"/>
      </w:pPr>
      <w:r>
        <w:rPr>
          <w:rStyle w:val="FootnoteReference"/>
        </w:rPr>
        <w:footnoteRef/>
      </w:r>
      <w:r>
        <w:t xml:space="preserve"> </w:t>
      </w:r>
      <w:r>
        <w:tab/>
        <w:t>COAG Energy Council, Australian Gas Market Vision, December 2014.</w:t>
      </w:r>
    </w:p>
  </w:footnote>
  <w:footnote w:id="18">
    <w:p w14:paraId="5A5C039C" w14:textId="0178DEF2" w:rsidR="009E6A8A" w:rsidRDefault="009E6A8A" w:rsidP="00854182">
      <w:pPr>
        <w:pStyle w:val="FootnoteText"/>
      </w:pPr>
      <w:r>
        <w:rPr>
          <w:rStyle w:val="FootnoteReference"/>
        </w:rPr>
        <w:footnoteRef/>
      </w:r>
      <w:r>
        <w:t xml:space="preserve"> </w:t>
      </w:r>
      <w:r>
        <w:tab/>
        <w:t>A</w:t>
      </w:r>
      <w:r w:rsidRPr="00636AC6">
        <w:t xml:space="preserve">EMC, Stage 2 Final Report: </w:t>
      </w:r>
      <w:r>
        <w:t xml:space="preserve">East Coast </w:t>
      </w:r>
      <w:r w:rsidRPr="00636AC6">
        <w:rPr>
          <w:rFonts w:cs="Arial"/>
          <w:iCs/>
        </w:rPr>
        <w:t>Review, 23 May 2016,</w:t>
      </w:r>
      <w:r w:rsidRPr="00636AC6">
        <w:t xml:space="preserve"> </w:t>
      </w:r>
      <w:r>
        <w:t>p</w:t>
      </w:r>
      <w:r w:rsidRPr="00636AC6">
        <w:t xml:space="preserve">p. </w:t>
      </w:r>
      <w:r>
        <w:t>128-129</w:t>
      </w:r>
      <w:r w:rsidRPr="00636AC6">
        <w:t>.</w:t>
      </w:r>
    </w:p>
  </w:footnote>
  <w:footnote w:id="19">
    <w:p w14:paraId="73655955" w14:textId="77777777" w:rsidR="009E6A8A" w:rsidRDefault="009E6A8A" w:rsidP="00854182">
      <w:pPr>
        <w:pStyle w:val="FootnoteText"/>
      </w:pPr>
      <w:r>
        <w:rPr>
          <w:rStyle w:val="FootnoteReference"/>
        </w:rPr>
        <w:footnoteRef/>
      </w:r>
      <w:r>
        <w:t xml:space="preserve"> </w:t>
      </w:r>
      <w:r>
        <w:tab/>
        <w:t>AEMC, Stage 2 Final Report: East Coast Review, 23 May 2016, pp. 87-92.</w:t>
      </w:r>
    </w:p>
  </w:footnote>
  <w:footnote w:id="20">
    <w:p w14:paraId="12210EF0" w14:textId="77777777" w:rsidR="009E6A8A" w:rsidRDefault="009E6A8A" w:rsidP="00854182">
      <w:pPr>
        <w:pStyle w:val="FootnoteText"/>
      </w:pPr>
      <w:r>
        <w:rPr>
          <w:rStyle w:val="FootnoteReference"/>
        </w:rPr>
        <w:footnoteRef/>
      </w:r>
      <w:r>
        <w:t xml:space="preserve"> </w:t>
      </w:r>
      <w:r>
        <w:tab/>
        <w:t>ibid, p. 87.</w:t>
      </w:r>
    </w:p>
  </w:footnote>
  <w:footnote w:id="21">
    <w:p w14:paraId="17036F7C" w14:textId="77777777" w:rsidR="009E6A8A" w:rsidRDefault="009E6A8A" w:rsidP="00854182">
      <w:pPr>
        <w:pStyle w:val="FootnoteText"/>
      </w:pPr>
      <w:r>
        <w:rPr>
          <w:rStyle w:val="FootnoteReference"/>
        </w:rPr>
        <w:footnoteRef/>
      </w:r>
      <w:r>
        <w:t xml:space="preserve"> </w:t>
      </w:r>
      <w:r>
        <w:tab/>
        <w:t>AEMC, Stage 2 Final Report: East Coast Review, 23 May 2016, pp. 85-86.</w:t>
      </w:r>
    </w:p>
  </w:footnote>
  <w:footnote w:id="22">
    <w:p w14:paraId="79D8AC87" w14:textId="77777777" w:rsidR="009E6A8A" w:rsidRDefault="009E6A8A" w:rsidP="00854182">
      <w:pPr>
        <w:pStyle w:val="FootnoteText"/>
      </w:pPr>
      <w:r>
        <w:rPr>
          <w:rStyle w:val="FootnoteReference"/>
        </w:rPr>
        <w:footnoteRef/>
      </w:r>
      <w:r>
        <w:t xml:space="preserve"> </w:t>
      </w:r>
      <w:r>
        <w:tab/>
        <w:t>AEMC, Pipeline Capacity Discussion Paper, 3 March 2016, p.20.</w:t>
      </w:r>
    </w:p>
  </w:footnote>
  <w:footnote w:id="23">
    <w:p w14:paraId="085FB800" w14:textId="77777777" w:rsidR="009E6A8A" w:rsidRDefault="009E6A8A" w:rsidP="00854182">
      <w:pPr>
        <w:pStyle w:val="FootnoteText"/>
      </w:pPr>
      <w:r>
        <w:rPr>
          <w:rStyle w:val="FootnoteReference"/>
        </w:rPr>
        <w:footnoteRef/>
      </w:r>
      <w:r>
        <w:t xml:space="preserve"> </w:t>
      </w:r>
      <w:r>
        <w:tab/>
        <w:t xml:space="preserve">AEMC, Stage 2 Final Report: East Coast Review, 23 May 2016, pp. 85-86. </w:t>
      </w:r>
    </w:p>
  </w:footnote>
  <w:footnote w:id="24">
    <w:p w14:paraId="5B227C57" w14:textId="77777777" w:rsidR="009E6A8A" w:rsidRDefault="009E6A8A" w:rsidP="00854182">
      <w:pPr>
        <w:pStyle w:val="FootnoteText"/>
      </w:pPr>
      <w:r>
        <w:rPr>
          <w:rStyle w:val="FootnoteReference"/>
        </w:rPr>
        <w:footnoteRef/>
      </w:r>
      <w:r>
        <w:t xml:space="preserve"> </w:t>
      </w:r>
      <w:r>
        <w:tab/>
        <w:t>ibid, p. 89.</w:t>
      </w:r>
    </w:p>
  </w:footnote>
  <w:footnote w:id="25">
    <w:p w14:paraId="5508F31D" w14:textId="77777777" w:rsidR="009E6A8A" w:rsidRDefault="009E6A8A" w:rsidP="00854182">
      <w:pPr>
        <w:pStyle w:val="FootnoteText"/>
      </w:pPr>
      <w:r>
        <w:rPr>
          <w:rStyle w:val="FootnoteReference"/>
        </w:rPr>
        <w:footnoteRef/>
      </w:r>
      <w:r>
        <w:t xml:space="preserve"> </w:t>
      </w:r>
      <w:r>
        <w:tab/>
        <w:t>ibid, p. 90.</w:t>
      </w:r>
    </w:p>
  </w:footnote>
  <w:footnote w:id="26">
    <w:p w14:paraId="536393C0" w14:textId="77777777" w:rsidR="009E6A8A" w:rsidRDefault="009E6A8A" w:rsidP="00854182">
      <w:pPr>
        <w:pStyle w:val="FootnoteText"/>
      </w:pPr>
      <w:r>
        <w:rPr>
          <w:rStyle w:val="FootnoteReference"/>
        </w:rPr>
        <w:footnoteRef/>
      </w:r>
      <w:r>
        <w:t xml:space="preserve"> </w:t>
      </w:r>
      <w:r>
        <w:tab/>
        <w:t>AEMC, Pipeline Capacity Discussion Paper, 3 March 2016, p.20.</w:t>
      </w:r>
    </w:p>
  </w:footnote>
  <w:footnote w:id="27">
    <w:p w14:paraId="2E27FC07" w14:textId="355595AC" w:rsidR="009E6A8A" w:rsidRDefault="009E6A8A" w:rsidP="00BA7FF7">
      <w:pPr>
        <w:pStyle w:val="FootnoteText"/>
        <w:spacing w:before="20" w:after="20"/>
      </w:pPr>
      <w:r>
        <w:rPr>
          <w:rStyle w:val="FootnoteReference"/>
        </w:rPr>
        <w:footnoteRef/>
      </w:r>
      <w:r>
        <w:t xml:space="preserve"> </w:t>
      </w:r>
      <w:r>
        <w:tab/>
        <w:t xml:space="preserve">See </w:t>
      </w:r>
      <w:r w:rsidRPr="00771D19">
        <w:t>https://www.aemo.com.au/Gas/Gas-Supply-Hubs/Market-operations</w:t>
      </w:r>
    </w:p>
  </w:footnote>
  <w:footnote w:id="28">
    <w:p w14:paraId="4EFC52C3" w14:textId="77777777" w:rsidR="009E6A8A" w:rsidRDefault="009E6A8A" w:rsidP="00BA7FF7">
      <w:pPr>
        <w:pStyle w:val="FootnoteText"/>
        <w:spacing w:before="20" w:after="20"/>
      </w:pPr>
      <w:r>
        <w:rPr>
          <w:rStyle w:val="FootnoteReference"/>
        </w:rPr>
        <w:footnoteRef/>
      </w:r>
      <w:r>
        <w:t xml:space="preserve"> </w:t>
      </w:r>
      <w:r>
        <w:tab/>
        <w:t>Changes to primary GTAs may, for example, be required to:</w:t>
      </w:r>
    </w:p>
    <w:p w14:paraId="40FFE1D9" w14:textId="77777777" w:rsidR="009E6A8A" w:rsidRPr="003B21BA" w:rsidRDefault="009E6A8A" w:rsidP="00BA7FF7">
      <w:pPr>
        <w:pStyle w:val="FootnoteText"/>
        <w:numPr>
          <w:ilvl w:val="0"/>
          <w:numId w:val="65"/>
        </w:numPr>
        <w:spacing w:before="20" w:after="20"/>
        <w:rPr>
          <w:szCs w:val="16"/>
        </w:rPr>
      </w:pPr>
      <w:r w:rsidRPr="003B21BA">
        <w:rPr>
          <w:szCs w:val="16"/>
        </w:rPr>
        <w:t>allow the primary shipper’s capacity to be transferred to another shipper via an operational transfer;</w:t>
      </w:r>
    </w:p>
    <w:p w14:paraId="338827F6" w14:textId="77777777" w:rsidR="009E6A8A" w:rsidRPr="003B21BA" w:rsidRDefault="009E6A8A" w:rsidP="00BA7FF7">
      <w:pPr>
        <w:pStyle w:val="FootnoteText"/>
        <w:numPr>
          <w:ilvl w:val="0"/>
          <w:numId w:val="65"/>
        </w:numPr>
        <w:spacing w:before="20" w:after="20"/>
        <w:rPr>
          <w:szCs w:val="16"/>
        </w:rPr>
      </w:pPr>
      <w:r w:rsidRPr="003B21BA">
        <w:rPr>
          <w:szCs w:val="16"/>
        </w:rPr>
        <w:t>introduce the concepts of contract and operational MDQ and allow the primary shipper’s operational MDQ to be adjusted when a trade occurs;</w:t>
      </w:r>
    </w:p>
    <w:p w14:paraId="0971D1F3" w14:textId="77777777" w:rsidR="009E6A8A" w:rsidRDefault="009E6A8A" w:rsidP="00BA7FF7">
      <w:pPr>
        <w:pStyle w:val="FootnoteText"/>
        <w:numPr>
          <w:ilvl w:val="0"/>
          <w:numId w:val="65"/>
        </w:numPr>
        <w:spacing w:before="20" w:after="20"/>
        <w:rPr>
          <w:szCs w:val="16"/>
        </w:rPr>
      </w:pPr>
      <w:r w:rsidRPr="003B21BA">
        <w:rPr>
          <w:szCs w:val="16"/>
        </w:rPr>
        <w:t>recognise that if capacity is traded through an operational GTA the primary shipper will remain liable to pay the tariff for the contract MDQ but the liability to pay any imbalance or overrun charges on the transferred capacity and all the other obligations and liabilities set out in the operational GTA will move to the secondary shipper</w:t>
      </w:r>
      <w:r>
        <w:rPr>
          <w:szCs w:val="16"/>
        </w:rPr>
        <w:t xml:space="preserve">; </w:t>
      </w:r>
    </w:p>
    <w:p w14:paraId="6E9018FD" w14:textId="77777777" w:rsidR="009E6A8A" w:rsidRPr="00C659B4" w:rsidRDefault="009E6A8A" w:rsidP="00BA7FF7">
      <w:pPr>
        <w:pStyle w:val="FootnoteText"/>
        <w:numPr>
          <w:ilvl w:val="0"/>
          <w:numId w:val="65"/>
        </w:numPr>
        <w:spacing w:before="20" w:after="20"/>
        <w:rPr>
          <w:szCs w:val="16"/>
        </w:rPr>
      </w:pPr>
      <w:r w:rsidRPr="00C659B4">
        <w:rPr>
          <w:szCs w:val="16"/>
        </w:rPr>
        <w:t xml:space="preserve">the harmonisation of gas day start times and nomination cut-off times when it occurs; </w:t>
      </w:r>
    </w:p>
    <w:p w14:paraId="291B8737" w14:textId="77777777" w:rsidR="009E6A8A" w:rsidRPr="00C659B4" w:rsidRDefault="009E6A8A" w:rsidP="00BA7FF7">
      <w:pPr>
        <w:pStyle w:val="FootnoteText"/>
        <w:numPr>
          <w:ilvl w:val="0"/>
          <w:numId w:val="65"/>
        </w:numPr>
        <w:spacing w:before="20" w:after="20"/>
        <w:rPr>
          <w:szCs w:val="16"/>
        </w:rPr>
      </w:pPr>
      <w:r w:rsidRPr="00C659B4">
        <w:rPr>
          <w:szCs w:val="16"/>
        </w:rPr>
        <w:t>the adoption of zones and primary/secondary receipt and delivery point concepts.</w:t>
      </w:r>
      <w:r>
        <w:rPr>
          <w:szCs w:val="16"/>
        </w:rPr>
        <w:t xml:space="preserve"> and</w:t>
      </w:r>
    </w:p>
    <w:p w14:paraId="201F12A3" w14:textId="77777777" w:rsidR="009E6A8A" w:rsidRPr="003B21BA" w:rsidRDefault="009E6A8A" w:rsidP="00BA7FF7">
      <w:pPr>
        <w:pStyle w:val="FootnoteText"/>
        <w:numPr>
          <w:ilvl w:val="0"/>
          <w:numId w:val="65"/>
        </w:numPr>
        <w:spacing w:before="20" w:after="20"/>
        <w:rPr>
          <w:szCs w:val="16"/>
        </w:rPr>
      </w:pPr>
      <w:r>
        <w:rPr>
          <w:szCs w:val="16"/>
        </w:rPr>
        <w:t xml:space="preserve">amend service priorities. </w:t>
      </w:r>
    </w:p>
  </w:footnote>
  <w:footnote w:id="29">
    <w:p w14:paraId="631ABFE5" w14:textId="11A1879E" w:rsidR="009E6A8A" w:rsidRDefault="009E6A8A" w:rsidP="00BA7FF7">
      <w:pPr>
        <w:pStyle w:val="FootnoteText"/>
        <w:spacing w:before="0" w:after="0"/>
      </w:pPr>
      <w:r>
        <w:rPr>
          <w:rStyle w:val="FootnoteReference"/>
        </w:rPr>
        <w:footnoteRef/>
      </w:r>
      <w:r>
        <w:t xml:space="preserve"> </w:t>
      </w:r>
      <w:r>
        <w:tab/>
        <w:t xml:space="preserve">In this case, if the operational GTA had different prioritisation principles to those set out in primary GTAs and if there was a curtailment event the </w:t>
      </w:r>
      <w:r w:rsidRPr="0057020B">
        <w:t xml:space="preserve">service provider may have inconsistent contractual obligations to primary shippers from those to secondary shippers and be in breach of </w:t>
      </w:r>
      <w:r>
        <w:t xml:space="preserve">its </w:t>
      </w:r>
      <w:r w:rsidRPr="0057020B">
        <w:t>contract</w:t>
      </w:r>
      <w:r>
        <w:t>s</w:t>
      </w:r>
      <w:r w:rsidRPr="0057020B">
        <w:t>.</w:t>
      </w:r>
    </w:p>
  </w:footnote>
  <w:footnote w:id="30">
    <w:p w14:paraId="1D6FEF45" w14:textId="7BFB6925" w:rsidR="009E6A8A" w:rsidRPr="00181C06" w:rsidRDefault="009E6A8A" w:rsidP="00CC2039">
      <w:pPr>
        <w:pStyle w:val="FootnoteText"/>
        <w:rPr>
          <w:lang w:val="en-US"/>
        </w:rPr>
      </w:pPr>
      <w:r>
        <w:rPr>
          <w:rStyle w:val="FootnoteReference"/>
        </w:rPr>
        <w:footnoteRef/>
      </w:r>
      <w:r>
        <w:t xml:space="preserve"> </w:t>
      </w:r>
      <w:r>
        <w:tab/>
        <w:t>See clause 78 of the Standard Terms, though query its interaction with clause 45.</w:t>
      </w:r>
    </w:p>
  </w:footnote>
  <w:footnote w:id="31">
    <w:p w14:paraId="4480CEE9" w14:textId="520FA2B2" w:rsidR="009E6A8A" w:rsidRDefault="009E6A8A" w:rsidP="00854182">
      <w:pPr>
        <w:pStyle w:val="FootnoteText"/>
      </w:pPr>
      <w:r>
        <w:rPr>
          <w:rStyle w:val="FootnoteReference"/>
        </w:rPr>
        <w:footnoteRef/>
      </w:r>
      <w:r>
        <w:t xml:space="preserve"> </w:t>
      </w:r>
      <w:r>
        <w:tab/>
      </w:r>
      <w:r w:rsidRPr="0057020B">
        <w:t xml:space="preserve">The GMRG is aware of many industries with what would appear to be a workable level of competition where service providers take limited liability – for example road transportation, engineering services and the information technology industry.  </w:t>
      </w:r>
    </w:p>
  </w:footnote>
  <w:footnote w:id="32">
    <w:p w14:paraId="72F2C1D4" w14:textId="5866E074" w:rsidR="009E6A8A" w:rsidRDefault="009E6A8A">
      <w:pPr>
        <w:pStyle w:val="FootnoteText"/>
      </w:pPr>
      <w:r>
        <w:rPr>
          <w:rStyle w:val="FootnoteReference"/>
        </w:rPr>
        <w:footnoteRef/>
      </w:r>
      <w:r>
        <w:t xml:space="preserve"> </w:t>
      </w:r>
      <w:r>
        <w:tab/>
        <w:t>Note that in addition to the credit support requirements set out in the operational GTA, users of the capacity trading platform and auction will also be subject to prudential requirements under the Exchange Agreement and Auction Agreement.</w:t>
      </w:r>
    </w:p>
  </w:footnote>
  <w:footnote w:id="33">
    <w:p w14:paraId="5F388974" w14:textId="77777777" w:rsidR="009E6A8A" w:rsidRDefault="009E6A8A" w:rsidP="0024154A">
      <w:pPr>
        <w:pStyle w:val="FootnoteText"/>
      </w:pPr>
      <w:r>
        <w:rPr>
          <w:rStyle w:val="FootnoteReference"/>
        </w:rPr>
        <w:footnoteRef/>
      </w:r>
      <w:r>
        <w:t xml:space="preserve"> </w:t>
      </w:r>
      <w:r>
        <w:tab/>
        <w:t>More detail on APA’s in-pipe trade service can be found in its standard capacity trading terms: http://capacitytrading.apa.com.au/SGTA%20-%20APA%20Capacity%20Trading%20-%20APA%20web%20site%20version.pdf.</w:t>
      </w:r>
    </w:p>
  </w:footnote>
  <w:footnote w:id="34">
    <w:p w14:paraId="5E34F5A0" w14:textId="738B4141" w:rsidR="009E6A8A" w:rsidRPr="00AD1633" w:rsidRDefault="009E6A8A" w:rsidP="00854182">
      <w:pPr>
        <w:pStyle w:val="FootnoteText"/>
        <w:rPr>
          <w:lang w:val="en-US"/>
        </w:rPr>
      </w:pPr>
      <w:r>
        <w:rPr>
          <w:rStyle w:val="FootnoteReference"/>
        </w:rPr>
        <w:footnoteRef/>
      </w:r>
      <w:r>
        <w:t xml:space="preserve"> </w:t>
      </w:r>
      <w:r>
        <w:tab/>
        <w:t>The main benefits of this option that were cited by these project team members were that it would: allow shippers to access the capacity on the operational, prudential and other contract terms set out in their primary GTA; minimise the number of contracts that secondary shippers and service providers have to manage, although it was noted that primary and secondary capacity would still need to be distinguished in the service provider’s system; and limit the number of trading right numbers (TRN) that shippers using the Short Term Trading Market (STTM) have to manage.</w:t>
      </w:r>
    </w:p>
  </w:footnote>
  <w:footnote w:id="35">
    <w:p w14:paraId="470A5C9C" w14:textId="1CDE01C1" w:rsidR="009E6A8A" w:rsidRPr="002552E0" w:rsidRDefault="009E6A8A" w:rsidP="00E86BB7">
      <w:pPr>
        <w:pStyle w:val="FootnoteText"/>
        <w:rPr>
          <w:lang w:val="en-US"/>
        </w:rPr>
      </w:pPr>
      <w:r>
        <w:rPr>
          <w:rStyle w:val="FootnoteReference"/>
        </w:rPr>
        <w:footnoteRef/>
      </w:r>
      <w:r>
        <w:t xml:space="preserve"> </w:t>
      </w:r>
      <w:r>
        <w:tab/>
      </w:r>
      <w:r>
        <w:rPr>
          <w:lang w:val="en-US"/>
        </w:rPr>
        <w:t>Governance arrangements for zones are discussed in section 4.2.3.</w:t>
      </w:r>
    </w:p>
  </w:footnote>
  <w:footnote w:id="36">
    <w:p w14:paraId="38C357FA" w14:textId="6F84BC55" w:rsidR="009E6A8A" w:rsidRPr="007B4229" w:rsidRDefault="009E6A8A" w:rsidP="00854182">
      <w:pPr>
        <w:pStyle w:val="FootnoteText"/>
        <w:rPr>
          <w:lang w:val="en-US"/>
        </w:rPr>
      </w:pPr>
      <w:r>
        <w:rPr>
          <w:rStyle w:val="FootnoteReference"/>
        </w:rPr>
        <w:footnoteRef/>
      </w:r>
      <w:r>
        <w:t xml:space="preserve"> </w:t>
      </w:r>
      <w:r>
        <w:tab/>
      </w:r>
      <w:r>
        <w:rPr>
          <w:lang w:val="en-US"/>
        </w:rPr>
        <w:t>Changes to the principles in the NGR would be subject to the usual NGR change process managed by the AEMC.</w:t>
      </w:r>
    </w:p>
  </w:footnote>
  <w:footnote w:id="37">
    <w:p w14:paraId="30BFED64" w14:textId="77777777" w:rsidR="009E6A8A" w:rsidRDefault="009E6A8A" w:rsidP="00854182">
      <w:pPr>
        <w:pStyle w:val="FootnoteText"/>
      </w:pPr>
      <w:r>
        <w:rPr>
          <w:rStyle w:val="FootnoteReference"/>
        </w:rPr>
        <w:footnoteRef/>
      </w:r>
      <w:r>
        <w:t xml:space="preserve"> </w:t>
      </w:r>
      <w:r>
        <w:tab/>
        <w:t xml:space="preserve">Changes to the NGL would be required to include the necessary definitions and extend the AEMC’s rule making power to the new arrangements. </w:t>
      </w:r>
    </w:p>
  </w:footnote>
  <w:footnote w:id="38">
    <w:p w14:paraId="4E02EF3E" w14:textId="77777777" w:rsidR="009E6A8A" w:rsidRPr="00C41C5D" w:rsidRDefault="009E6A8A" w:rsidP="00854182">
      <w:pPr>
        <w:pStyle w:val="FootnoteText"/>
        <w:rPr>
          <w:lang w:val="en-US"/>
        </w:rPr>
      </w:pPr>
      <w:r>
        <w:rPr>
          <w:rStyle w:val="FootnoteReference"/>
        </w:rPr>
        <w:footnoteRef/>
      </w:r>
      <w:r>
        <w:t xml:space="preserve"> </w:t>
      </w:r>
      <w:r>
        <w:tab/>
      </w:r>
      <w:r w:rsidRPr="00C41C5D">
        <w:t xml:space="preserve">The </w:t>
      </w:r>
      <w:r>
        <w:t>standard terms in the</w:t>
      </w:r>
      <w:r w:rsidRPr="00C41C5D">
        <w:t xml:space="preserve"> operational GTA </w:t>
      </w:r>
      <w:r>
        <w:t xml:space="preserve">are </w:t>
      </w:r>
      <w:r w:rsidRPr="00C41C5D">
        <w:t>likely to state that services will not start until conditions are met, such as the provision of credit suppor</w:t>
      </w:r>
      <w:r>
        <w:t>t.</w:t>
      </w:r>
    </w:p>
  </w:footnote>
  <w:footnote w:id="39">
    <w:p w14:paraId="665E7BE2" w14:textId="324E2A4E" w:rsidR="009E6A8A" w:rsidRDefault="009E6A8A" w:rsidP="00E86BB7">
      <w:pPr>
        <w:pStyle w:val="FootnoteText"/>
      </w:pPr>
      <w:r>
        <w:rPr>
          <w:rStyle w:val="FootnoteReference"/>
        </w:rPr>
        <w:footnoteRef/>
      </w:r>
      <w:r>
        <w:t xml:space="preserve"> </w:t>
      </w:r>
      <w:r>
        <w:tab/>
      </w:r>
      <w:r w:rsidRPr="0057020B">
        <w:t xml:space="preserve">Foundation </w:t>
      </w:r>
      <w:r>
        <w:t>s</w:t>
      </w:r>
      <w:r w:rsidRPr="0057020B">
        <w:t xml:space="preserve">hippers are those who funded the construction of a pipeline (or part thereof) either by direct contributions or by signing up as the original shippers to the pipeline.  In consideration </w:t>
      </w:r>
      <w:r>
        <w:t xml:space="preserve">of </w:t>
      </w:r>
      <w:r w:rsidRPr="0057020B">
        <w:t xml:space="preserve">this contribution and the risk they take, </w:t>
      </w:r>
      <w:r>
        <w:t>f</w:t>
      </w:r>
      <w:r w:rsidRPr="0057020B">
        <w:t xml:space="preserve">oundation </w:t>
      </w:r>
      <w:r>
        <w:t>s</w:t>
      </w:r>
      <w:r w:rsidRPr="0057020B">
        <w:t>hippers are often granted special rights and the GMRG's view is that these special rights should not be taken into account in determining what is common practice on a pipeline, at least where these rights are inconsistent with such practice.</w:t>
      </w:r>
    </w:p>
  </w:footnote>
  <w:footnote w:id="40">
    <w:p w14:paraId="61A0F629" w14:textId="77777777" w:rsidR="009E6A8A" w:rsidRDefault="009E6A8A" w:rsidP="00854182">
      <w:pPr>
        <w:pStyle w:val="FootnoteText"/>
      </w:pPr>
      <w:r>
        <w:rPr>
          <w:rStyle w:val="FootnoteReference"/>
        </w:rPr>
        <w:footnoteRef/>
      </w:r>
      <w:r>
        <w:t xml:space="preserve"> </w:t>
      </w:r>
      <w:r>
        <w:tab/>
        <w:t>AEMC, Stage 2 Final Report: East Coast Review, 23 May 2016, pp. 91-92.</w:t>
      </w:r>
    </w:p>
  </w:footnote>
  <w:footnote w:id="41">
    <w:p w14:paraId="77107E86" w14:textId="77777777" w:rsidR="009E6A8A" w:rsidRPr="002B1E26" w:rsidRDefault="009E6A8A" w:rsidP="00854182">
      <w:pPr>
        <w:pStyle w:val="FootnoteText"/>
      </w:pPr>
      <w:r w:rsidRPr="002B1E26">
        <w:rPr>
          <w:rStyle w:val="FootnoteReference"/>
          <w:rFonts w:asciiTheme="majorHAnsi" w:hAnsiTheme="majorHAnsi" w:cstheme="majorHAnsi"/>
          <w:szCs w:val="16"/>
        </w:rPr>
        <w:footnoteRef/>
      </w:r>
      <w:r w:rsidRPr="002B1E26">
        <w:t xml:space="preserve"> </w:t>
      </w:r>
      <w:r w:rsidRPr="002B1E26">
        <w:tab/>
      </w:r>
      <w:r>
        <w:t>ibid</w:t>
      </w:r>
      <w:r w:rsidRPr="002B1E26">
        <w:t>.</w:t>
      </w:r>
    </w:p>
  </w:footnote>
  <w:footnote w:id="42">
    <w:p w14:paraId="4ED2CFA4" w14:textId="77777777" w:rsidR="009E6A8A" w:rsidRDefault="009E6A8A" w:rsidP="00854182">
      <w:pPr>
        <w:pStyle w:val="FootnoteText"/>
      </w:pPr>
      <w:r>
        <w:rPr>
          <w:rStyle w:val="FootnoteReference"/>
        </w:rPr>
        <w:footnoteRef/>
      </w:r>
      <w:r>
        <w:t xml:space="preserve"> </w:t>
      </w:r>
      <w:r>
        <w:tab/>
        <w:t>ibid.</w:t>
      </w:r>
    </w:p>
  </w:footnote>
  <w:footnote w:id="43">
    <w:p w14:paraId="0874B540" w14:textId="77777777" w:rsidR="009E6A8A" w:rsidRPr="00E53FFB" w:rsidRDefault="009E6A8A" w:rsidP="00854182">
      <w:pPr>
        <w:pStyle w:val="FootnoteText"/>
      </w:pPr>
      <w:r w:rsidRPr="00E53FFB">
        <w:rPr>
          <w:rStyle w:val="FootnoteReference"/>
          <w:szCs w:val="16"/>
        </w:rPr>
        <w:footnoteRef/>
      </w:r>
      <w:r w:rsidRPr="00E53FFB">
        <w:t xml:space="preserve"> </w:t>
      </w:r>
      <w:r w:rsidRPr="00E53FFB">
        <w:tab/>
        <w:t xml:space="preserve">The GMRG understands from the work carried out by the AEMC on this issue that the point-to-point nature of capacity rights may be more of an issue for industrial customers and gas fired generators because they have traditionally only sought to have gas transported from a receipt point to their facilities. Larger retailers, on the other hand, tend to enter into contracts that provide for the use of multiple delivery and receipt points. That said, larger retailers may be limited in their ability to add further delivery (or receipt) points to accommodate a capacity trade if they haven’t already specified those points in their GTA. They may also be constrained in their ability to transfer the capacity that they have reserved for a particular delivery (receipt) point to another delivery (receipt) point even if the delivery (receipt) point they want to transfer the capacity to is already specified in their GTA.  </w:t>
      </w:r>
    </w:p>
  </w:footnote>
  <w:footnote w:id="44">
    <w:p w14:paraId="005A1698" w14:textId="77777777" w:rsidR="009E6A8A" w:rsidRDefault="009E6A8A" w:rsidP="00854182">
      <w:pPr>
        <w:pStyle w:val="FootnoteText"/>
      </w:pPr>
      <w:r>
        <w:rPr>
          <w:rStyle w:val="FootnoteReference"/>
        </w:rPr>
        <w:footnoteRef/>
      </w:r>
      <w:r>
        <w:t xml:space="preserve"> </w:t>
      </w:r>
      <w:r>
        <w:tab/>
        <w:t xml:space="preserve">Prior to using a multi-user receipt or delivery point within a zone, the secondary shipper will need to become a party to the relevant allocation agreement and any other arrangements that may be in place at the point they wish to use. </w:t>
      </w:r>
    </w:p>
  </w:footnote>
  <w:footnote w:id="45">
    <w:p w14:paraId="6484C0EB" w14:textId="77777777" w:rsidR="009E6A8A" w:rsidRDefault="009E6A8A" w:rsidP="006A5405">
      <w:pPr>
        <w:pStyle w:val="FootnoteText"/>
      </w:pPr>
      <w:r>
        <w:rPr>
          <w:rStyle w:val="FootnoteReference"/>
        </w:rPr>
        <w:footnoteRef/>
      </w:r>
      <w:r>
        <w:t xml:space="preserve"> </w:t>
      </w:r>
      <w:r>
        <w:tab/>
        <w:t xml:space="preserve">For example, should the delivery zone at the western end of the South West Queensland Pipeline (SWQP) only comprise the Moomba delivery point, or should it also include the </w:t>
      </w:r>
      <w:proofErr w:type="spellStart"/>
      <w:r>
        <w:t>Ballera</w:t>
      </w:r>
      <w:proofErr w:type="spellEnd"/>
      <w:r>
        <w:t xml:space="preserve"> delivery point?</w:t>
      </w:r>
    </w:p>
  </w:footnote>
  <w:footnote w:id="46">
    <w:p w14:paraId="53E9D40E" w14:textId="77777777" w:rsidR="009E6A8A" w:rsidRDefault="009E6A8A" w:rsidP="006A5405">
      <w:pPr>
        <w:pStyle w:val="FootnoteText"/>
      </w:pPr>
      <w:r>
        <w:rPr>
          <w:rStyle w:val="FootnoteReference"/>
        </w:rPr>
        <w:footnoteRef/>
      </w:r>
      <w:r>
        <w:t xml:space="preserve"> </w:t>
      </w:r>
      <w:r>
        <w:tab/>
        <w:t>For example, should the delivery zone at the Sydney end of the MSP only include Wilton?</w:t>
      </w:r>
    </w:p>
  </w:footnote>
  <w:footnote w:id="47">
    <w:p w14:paraId="71A04205" w14:textId="77777777" w:rsidR="009E6A8A" w:rsidRDefault="009E6A8A" w:rsidP="00854182">
      <w:pPr>
        <w:pStyle w:val="FootnoteText"/>
      </w:pPr>
      <w:r>
        <w:rPr>
          <w:rStyle w:val="FootnoteReference"/>
        </w:rPr>
        <w:footnoteRef/>
      </w:r>
      <w:r>
        <w:t xml:space="preserve"> </w:t>
      </w:r>
      <w:r>
        <w:tab/>
      </w:r>
      <w:r w:rsidRPr="00BB42E0">
        <w:rPr>
          <w:rStyle w:val="None"/>
          <w:color w:val="000000"/>
          <w:szCs w:val="16"/>
        </w:rPr>
        <w:t>FERC, Order No. 636 – Restructuring of Pipeline Services, 8 April 1992 and FERC, Order No. 637 – Regulation of Short-Term Natural Gas Transportation Services, 9 February 2000.</w:t>
      </w:r>
    </w:p>
  </w:footnote>
  <w:footnote w:id="48">
    <w:p w14:paraId="2C119B4D" w14:textId="77777777" w:rsidR="009E6A8A" w:rsidRDefault="009E6A8A" w:rsidP="00854182">
      <w:pPr>
        <w:pStyle w:val="FootnoteText"/>
      </w:pPr>
      <w:r>
        <w:rPr>
          <w:rStyle w:val="FootnoteReference"/>
        </w:rPr>
        <w:footnoteRef/>
      </w:r>
      <w:r>
        <w:t xml:space="preserve"> </w:t>
      </w:r>
      <w:r>
        <w:tab/>
        <w:t xml:space="preserve">For example, EnergyAustralia would not agree to purchase secondary capacity to supply its </w:t>
      </w:r>
      <w:proofErr w:type="spellStart"/>
      <w:r>
        <w:t>Tallawarra</w:t>
      </w:r>
      <w:proofErr w:type="spellEnd"/>
      <w:r>
        <w:t xml:space="preserve"> Power Station if it knew that the delivery point capacity would already be fully utilised on that day.</w:t>
      </w:r>
    </w:p>
  </w:footnote>
  <w:footnote w:id="49">
    <w:p w14:paraId="3A7F9896" w14:textId="473F4CC4" w:rsidR="009E6A8A" w:rsidRDefault="009E6A8A" w:rsidP="00854182">
      <w:pPr>
        <w:pStyle w:val="FootnoteText"/>
      </w:pPr>
      <w:r>
        <w:rPr>
          <w:rStyle w:val="FootnoteReference"/>
        </w:rPr>
        <w:footnoteRef/>
      </w:r>
      <w:r>
        <w:t xml:space="preserve"> </w:t>
      </w:r>
      <w:r>
        <w:tab/>
        <w:t xml:space="preserve">Note that the AEMC is currently considering whether historic information on receipt and delivery point flows should be published on the BB and a final determination is expected to be made on 3 October 2017. The proposed rule change does not, however, provide for the publication of the capacity of individual receipt and delivery points, so a further rule change would be required. </w:t>
      </w:r>
    </w:p>
    <w:p w14:paraId="4C0D947F" w14:textId="77777777" w:rsidR="009E6A8A" w:rsidRDefault="009E6A8A" w:rsidP="00854182">
      <w:pPr>
        <w:pStyle w:val="FootnoteText"/>
      </w:pPr>
      <w:r>
        <w:tab/>
        <w:t>AEMC, Draft Rule Determination: National Gas Amendment (Improvements to Natural Gas Bulletin Board) Rule 2017, 11 July 2017</w:t>
      </w:r>
    </w:p>
  </w:footnote>
  <w:footnote w:id="50">
    <w:p w14:paraId="4006BC74" w14:textId="77777777" w:rsidR="009E6A8A" w:rsidRDefault="009E6A8A" w:rsidP="00854182">
      <w:pPr>
        <w:pStyle w:val="FootnoteText"/>
      </w:pPr>
      <w:r>
        <w:rPr>
          <w:rStyle w:val="FootnoteReference"/>
        </w:rPr>
        <w:footnoteRef/>
      </w:r>
      <w:r>
        <w:t xml:space="preserve"> </w:t>
      </w:r>
      <w:r>
        <w:tab/>
        <w:t>Changes to the zonal definition may be required for a range of technical reasons (e.g. if new receipt or delivery points are constructed, there is a change in flows on the pipeline, pressure or other operational conditions change).  They may also be required from a market development perspective (e.g. the risk of interruption within a zone is considered too great to encourage trade).</w:t>
      </w:r>
    </w:p>
  </w:footnote>
  <w:footnote w:id="51">
    <w:p w14:paraId="5D7892B1" w14:textId="77777777" w:rsidR="009E6A8A" w:rsidRDefault="009E6A8A" w:rsidP="00854182">
      <w:pPr>
        <w:pStyle w:val="FootnoteText"/>
      </w:pPr>
      <w:r>
        <w:rPr>
          <w:rStyle w:val="FootnoteReference"/>
        </w:rPr>
        <w:footnoteRef/>
      </w:r>
      <w:r>
        <w:t xml:space="preserve"> </w:t>
      </w:r>
      <w:r>
        <w:tab/>
        <w:t>For exam</w:t>
      </w:r>
      <w:r w:rsidRPr="00661269">
        <w:t xml:space="preserve">ple, in New Zealand the pipeline operator, First Gas, uses a formula to calculate the change in capacity arising as a result of a change in receipt or delivery point. </w:t>
      </w:r>
      <w:r w:rsidRPr="00661269">
        <w:rPr>
          <w:iCs/>
        </w:rPr>
        <w:t>The formula pro-rates the shipper’s reserved capacity at the relevant point by the price differential between the two locations, to keep First Gas financially whole.</w:t>
      </w:r>
      <w:r>
        <w:rPr>
          <w:iCs/>
        </w:rPr>
        <w:t xml:space="preserve"> See </w:t>
      </w:r>
      <w:r>
        <w:t>Vector Transmission Code, cl. 4.28.</w:t>
      </w:r>
    </w:p>
  </w:footnote>
  <w:footnote w:id="52">
    <w:p w14:paraId="75A0875C" w14:textId="77777777" w:rsidR="009E6A8A" w:rsidRDefault="009E6A8A" w:rsidP="00854182">
      <w:pPr>
        <w:pStyle w:val="FootnoteText"/>
      </w:pPr>
      <w:r>
        <w:rPr>
          <w:rStyle w:val="FootnoteReference"/>
        </w:rPr>
        <w:footnoteRef/>
      </w:r>
      <w:r>
        <w:t xml:space="preserve"> </w:t>
      </w:r>
      <w:r>
        <w:tab/>
        <w:t>ibid.</w:t>
      </w:r>
    </w:p>
  </w:footnote>
  <w:footnote w:id="53">
    <w:p w14:paraId="2A75C651" w14:textId="77777777" w:rsidR="009E6A8A" w:rsidRDefault="009E6A8A" w:rsidP="00854182">
      <w:pPr>
        <w:pStyle w:val="FootnoteText"/>
      </w:pPr>
      <w:r>
        <w:rPr>
          <w:rStyle w:val="FootnoteReference"/>
        </w:rPr>
        <w:footnoteRef/>
      </w:r>
      <w:r>
        <w:t xml:space="preserve"> </w:t>
      </w:r>
      <w:r>
        <w:tab/>
        <w:t xml:space="preserve">Rule 106 of the NGR, which applies to full regulation pipelines, provides a good example of the form this guidance could take. In short, this rule states that a shipper may, with the service provider’s consent, change receipt or delivery points and the consent must not be withheld unless the service provider has “reasonable grounds, based on technical or commercial considerations for doing so”. The only potential problem with this provision is the phrase “commercial considerations” could be read more broadly than it is intended and accord service providers with a considerable degree of discretion, which is why the GMRG is suggesting changes to this element of the rule. </w:t>
      </w:r>
    </w:p>
  </w:footnote>
  <w:footnote w:id="54">
    <w:p w14:paraId="0345C881" w14:textId="77777777" w:rsidR="009E6A8A" w:rsidRDefault="009E6A8A" w:rsidP="00854182">
      <w:pPr>
        <w:pStyle w:val="FootnoteText"/>
      </w:pPr>
      <w:r>
        <w:rPr>
          <w:rStyle w:val="FootnoteReference"/>
        </w:rPr>
        <w:footnoteRef/>
      </w:r>
      <w:r>
        <w:t xml:space="preserve"> </w:t>
      </w:r>
      <w:r>
        <w:tab/>
        <w:t>Note that this could occur if the pipeline operator utilises distance based or zonal tariffs, but would not occur if the pipeline utilises postage stamp tariffs (i.e. because the shipper’s charges would not change as a result of the move).</w:t>
      </w:r>
    </w:p>
  </w:footnote>
  <w:footnote w:id="55">
    <w:p w14:paraId="27299D62" w14:textId="77777777" w:rsidR="009E6A8A" w:rsidRDefault="009E6A8A" w:rsidP="00854182">
      <w:pPr>
        <w:pStyle w:val="FootnoteText"/>
      </w:pPr>
      <w:r>
        <w:rPr>
          <w:rStyle w:val="FootnoteReference"/>
        </w:rPr>
        <w:footnoteRef/>
      </w:r>
      <w:r>
        <w:t xml:space="preserve"> </w:t>
      </w:r>
      <w:r>
        <w:tab/>
        <w:t>The allocation agent may, or may not be, the pipeline operator.</w:t>
      </w:r>
    </w:p>
  </w:footnote>
  <w:footnote w:id="56">
    <w:p w14:paraId="02878C01" w14:textId="77777777" w:rsidR="009E6A8A" w:rsidRDefault="009E6A8A" w:rsidP="00854182">
      <w:pPr>
        <w:pStyle w:val="FootnoteText"/>
      </w:pPr>
      <w:r>
        <w:rPr>
          <w:rStyle w:val="FootnoteReference"/>
        </w:rPr>
        <w:footnoteRef/>
      </w:r>
      <w:r>
        <w:t xml:space="preserve"> </w:t>
      </w:r>
      <w:r>
        <w:tab/>
        <w:t>AEMC, Stage 2 Final Report: East Coast Review, 23 May 2016, pp. 90-93.</w:t>
      </w:r>
    </w:p>
  </w:footnote>
  <w:footnote w:id="57">
    <w:p w14:paraId="2512ACD9" w14:textId="77777777" w:rsidR="009E6A8A" w:rsidRDefault="009E6A8A" w:rsidP="00854182">
      <w:pPr>
        <w:pStyle w:val="FootnoteText"/>
      </w:pPr>
      <w:r>
        <w:rPr>
          <w:rStyle w:val="FootnoteReference"/>
        </w:rPr>
        <w:footnoteRef/>
      </w:r>
      <w:r>
        <w:t xml:space="preserve"> </w:t>
      </w:r>
      <w:r>
        <w:tab/>
        <w:t xml:space="preserve">For example, by reducing the shipper’s receipts and/or deliveries of gas, or in some cases by buying or selling sufficient gas to clear the imbalance. </w:t>
      </w:r>
    </w:p>
  </w:footnote>
  <w:footnote w:id="58">
    <w:p w14:paraId="587DDA4C" w14:textId="77777777" w:rsidR="009E6A8A" w:rsidRDefault="009E6A8A" w:rsidP="00854182">
      <w:pPr>
        <w:pStyle w:val="FootnoteText"/>
      </w:pPr>
      <w:r>
        <w:rPr>
          <w:rStyle w:val="FootnoteReference"/>
        </w:rPr>
        <w:footnoteRef/>
      </w:r>
      <w:r>
        <w:t xml:space="preserve"> </w:t>
      </w:r>
      <w:r>
        <w:tab/>
        <w:t>This service is currently only offered by APA and Epic.</w:t>
      </w:r>
    </w:p>
  </w:footnote>
  <w:footnote w:id="59">
    <w:p w14:paraId="6F2C81CE" w14:textId="77777777" w:rsidR="009E6A8A" w:rsidRDefault="009E6A8A" w:rsidP="00854182">
      <w:pPr>
        <w:pStyle w:val="FootnoteText"/>
      </w:pPr>
      <w:r>
        <w:rPr>
          <w:rStyle w:val="FootnoteReference"/>
        </w:rPr>
        <w:footnoteRef/>
      </w:r>
      <w:r>
        <w:t xml:space="preserve"> </w:t>
      </w:r>
      <w:r>
        <w:tab/>
        <w:t>AEMC, Final rule determination: National Gas Amendment (Gas day harmonisation) Rule 2017, 16 February 2017, pp. 21-24.</w:t>
      </w:r>
    </w:p>
  </w:footnote>
  <w:footnote w:id="60">
    <w:p w14:paraId="197CA0C4" w14:textId="77777777" w:rsidR="009E6A8A" w:rsidRDefault="009E6A8A" w:rsidP="00854182">
      <w:pPr>
        <w:pStyle w:val="FootnoteText"/>
      </w:pPr>
      <w:r>
        <w:rPr>
          <w:rStyle w:val="FootnoteReference"/>
        </w:rPr>
        <w:footnoteRef/>
      </w:r>
      <w:r>
        <w:t xml:space="preserve"> </w:t>
      </w:r>
      <w:r>
        <w:tab/>
        <w:t xml:space="preserve">The AEMC cited the following example in its rule change to highlight how these differences are dealt with on the South West Queensland Pipeline (SWQP). </w:t>
      </w:r>
    </w:p>
    <w:p w14:paraId="5D304C74" w14:textId="77777777" w:rsidR="009E6A8A" w:rsidRPr="001B7E7C" w:rsidRDefault="009E6A8A" w:rsidP="00854182">
      <w:pPr>
        <w:pStyle w:val="FootnoteText"/>
        <w:rPr>
          <w:i/>
          <w:szCs w:val="16"/>
        </w:rPr>
      </w:pPr>
      <w:r w:rsidRPr="001B7E7C">
        <w:rPr>
          <w:szCs w:val="16"/>
        </w:rPr>
        <w:tab/>
      </w:r>
      <w:r w:rsidRPr="001B7E7C">
        <w:rPr>
          <w:i/>
          <w:szCs w:val="16"/>
        </w:rPr>
        <w:t xml:space="preserve">“The western end of the APA pipeline is at Moomba which operates with a 6.30 am AEST gas day start time. The eastern end of the SWQP is at Wallumbilla where the GSH operates on a gas day that starts at 8.00 am AEST. Nevertheless, shippers using this pipeline are not required to enter into a two-day transportation contract, nor required to negotiate a pro-rating arrangement so that the gas flow matches either the Moomba or Wallumbilla gas day. Instead, SWQP shippers nominate their requirements for a ‘gas day’ and the </w:t>
      </w:r>
      <w:proofErr w:type="spellStart"/>
      <w:r w:rsidRPr="001B7E7C">
        <w:rPr>
          <w:i/>
          <w:szCs w:val="16"/>
        </w:rPr>
        <w:t>linepack</w:t>
      </w:r>
      <w:proofErr w:type="spellEnd"/>
      <w:r w:rsidRPr="001B7E7C">
        <w:rPr>
          <w:i/>
          <w:szCs w:val="16"/>
        </w:rPr>
        <w:t xml:space="preserve"> available on the pipeline allows APA to operate it in a way that accommodates the difference in the gas days of the markets to which the pipeline is connected without any specific contractual requirements or any other action by the shippers.”</w:t>
      </w:r>
    </w:p>
    <w:p w14:paraId="20F1E266" w14:textId="77777777" w:rsidR="009E6A8A" w:rsidRDefault="009E6A8A" w:rsidP="00854182">
      <w:pPr>
        <w:pStyle w:val="FootnoteText"/>
      </w:pPr>
      <w:r>
        <w:rPr>
          <w:sz w:val="18"/>
          <w:szCs w:val="18"/>
        </w:rPr>
        <w:tab/>
      </w:r>
      <w:r>
        <w:t>AEMC, Final rule determination: National Gas Amendment (Gas day harmonisation) Rule 2017, 16 February 2017, p. 21</w:t>
      </w:r>
      <w:r>
        <w:rPr>
          <w:sz w:val="18"/>
          <w:szCs w:val="18"/>
        </w:rPr>
        <w:t xml:space="preserve">. </w:t>
      </w:r>
      <w:r>
        <w:t xml:space="preserve"> </w:t>
      </w:r>
    </w:p>
  </w:footnote>
  <w:footnote w:id="61">
    <w:p w14:paraId="7A8717E0" w14:textId="77777777" w:rsidR="009E6A8A" w:rsidRDefault="009E6A8A" w:rsidP="00854182">
      <w:pPr>
        <w:pStyle w:val="FootnoteText"/>
      </w:pPr>
      <w:r>
        <w:rPr>
          <w:rStyle w:val="FootnoteReference"/>
        </w:rPr>
        <w:footnoteRef/>
      </w:r>
      <w:r>
        <w:t xml:space="preserve"> </w:t>
      </w:r>
      <w:r>
        <w:tab/>
        <w:t>AEMC, Final rule determination: National Gas Amendment (Gas day harmonisation) Rule 2017, 16 February 2017, p. 23.</w:t>
      </w:r>
    </w:p>
  </w:footnote>
  <w:footnote w:id="62">
    <w:p w14:paraId="2BABEEC0" w14:textId="77777777" w:rsidR="009E6A8A" w:rsidRDefault="009E6A8A" w:rsidP="00854182">
      <w:pPr>
        <w:pStyle w:val="FootnoteText"/>
      </w:pPr>
      <w:r>
        <w:rPr>
          <w:rStyle w:val="FootnoteReference"/>
        </w:rPr>
        <w:footnoteRef/>
      </w:r>
      <w:r>
        <w:t xml:space="preserve"> </w:t>
      </w:r>
      <w:r>
        <w:tab/>
        <w:t>ACCC, Inquiry into the east coast gas market, April 2016, p. 79.</w:t>
      </w:r>
    </w:p>
  </w:footnote>
  <w:footnote w:id="63">
    <w:p w14:paraId="7DF317AF" w14:textId="77777777" w:rsidR="009E6A8A" w:rsidRDefault="009E6A8A" w:rsidP="00854182">
      <w:pPr>
        <w:pStyle w:val="FootnoteText"/>
      </w:pPr>
      <w:r>
        <w:rPr>
          <w:rStyle w:val="FootnoteReference"/>
        </w:rPr>
        <w:footnoteRef/>
      </w:r>
      <w:r>
        <w:t xml:space="preserve"> </w:t>
      </w:r>
      <w:r>
        <w:tab/>
        <w:t>AEMC, Final rule determination: National Gas Amendment (Gas day harmonisation) Rule 2017, 16 February 2017, p. i.</w:t>
      </w:r>
    </w:p>
  </w:footnote>
  <w:footnote w:id="64">
    <w:p w14:paraId="71E08FE7" w14:textId="77777777" w:rsidR="009E6A8A" w:rsidRDefault="009E6A8A" w:rsidP="00854182">
      <w:pPr>
        <w:pStyle w:val="FootnoteText"/>
      </w:pPr>
      <w:r>
        <w:rPr>
          <w:rStyle w:val="FootnoteReference"/>
        </w:rPr>
        <w:footnoteRef/>
      </w:r>
      <w:r>
        <w:t xml:space="preserve"> </w:t>
      </w:r>
      <w:r>
        <w:tab/>
        <w:t xml:space="preserve">The 3 pm timing is based on the latest nomination cut-off time that will exist once gas day harmonisation occurs. </w:t>
      </w:r>
    </w:p>
  </w:footnote>
  <w:footnote w:id="65">
    <w:p w14:paraId="4EFD9085" w14:textId="75C1B2A2" w:rsidR="009E6A8A" w:rsidRPr="00EA6045" w:rsidRDefault="009E6A8A" w:rsidP="00854182">
      <w:pPr>
        <w:pStyle w:val="FootnoteText"/>
      </w:pPr>
      <w:r>
        <w:rPr>
          <w:rStyle w:val="FootnoteReference"/>
        </w:rPr>
        <w:footnoteRef/>
      </w:r>
      <w:r>
        <w:t xml:space="preserve"> </w:t>
      </w:r>
      <w:r>
        <w:tab/>
        <w:t>In its f</w:t>
      </w:r>
      <w:r w:rsidRPr="00EA6045">
        <w:t>inal rule determination, the AEMC noted that a 12 month period should provide all affected stakeholders sufficient time to plan and execute the necessary changes to their businesses, including AEMO who wo</w:t>
      </w:r>
      <w:r>
        <w:t>u</w:t>
      </w:r>
      <w:r w:rsidRPr="00EA6045">
        <w:t xml:space="preserve">ld be required to conduct consultation processes to amend the relevant procedures and Exchange Agreement. </w:t>
      </w:r>
    </w:p>
    <w:p w14:paraId="709E250A" w14:textId="77777777" w:rsidR="009E6A8A" w:rsidRDefault="009E6A8A" w:rsidP="00854182">
      <w:pPr>
        <w:pStyle w:val="FootnoteText"/>
      </w:pPr>
      <w:r w:rsidRPr="00EA6045">
        <w:tab/>
        <w:t>See AEMC, Final rule determination: National Gas Amendment (Gas day harmonisation) Rule 2017, 16 February 2017, p. 60.</w:t>
      </w:r>
    </w:p>
  </w:footnote>
  <w:footnote w:id="66">
    <w:p w14:paraId="7DFFF1F5" w14:textId="77777777" w:rsidR="009E6A8A" w:rsidRDefault="009E6A8A" w:rsidP="00854182">
      <w:pPr>
        <w:pStyle w:val="FootnoteText"/>
      </w:pPr>
      <w:r>
        <w:rPr>
          <w:rStyle w:val="FootnoteReference"/>
        </w:rPr>
        <w:footnoteRef/>
      </w:r>
      <w:r>
        <w:t xml:space="preserve"> </w:t>
      </w:r>
      <w:r>
        <w:tab/>
        <w:t>AEMC, Stage 2 Final Report: East Coast Review, 23 May 2016, p. 92.</w:t>
      </w:r>
    </w:p>
  </w:footnote>
  <w:footnote w:id="67">
    <w:p w14:paraId="5EF2319F" w14:textId="77777777" w:rsidR="009E6A8A" w:rsidRDefault="009E6A8A" w:rsidP="00854182">
      <w:pPr>
        <w:pStyle w:val="FootnoteText"/>
      </w:pPr>
      <w:r>
        <w:rPr>
          <w:rStyle w:val="FootnoteReference"/>
        </w:rPr>
        <w:footnoteRef/>
      </w:r>
      <w:r>
        <w:t xml:space="preserve"> </w:t>
      </w:r>
      <w:r>
        <w:tab/>
      </w:r>
      <w:r w:rsidRPr="00D73CE9">
        <w:t xml:space="preserve">The term ‘trade’ is used in this context to refer to a </w:t>
      </w:r>
      <w:r w:rsidRPr="00DF6F93">
        <w:rPr>
          <w:i/>
        </w:rPr>
        <w:t>temporary</w:t>
      </w:r>
      <w:r w:rsidRPr="00D73CE9">
        <w:t xml:space="preserve"> transfer of capacity that does not affect the primary shipper’s rights against, and obligations to, the service provider.</w:t>
      </w:r>
    </w:p>
  </w:footnote>
  <w:footnote w:id="68">
    <w:p w14:paraId="19DF65DE" w14:textId="52762CB7" w:rsidR="009E6A8A" w:rsidRDefault="009E6A8A">
      <w:pPr>
        <w:pStyle w:val="FootnoteText"/>
      </w:pPr>
      <w:r>
        <w:rPr>
          <w:rStyle w:val="FootnoteReference"/>
        </w:rPr>
        <w:footnoteRef/>
      </w:r>
      <w:r>
        <w:t xml:space="preserve"> </w:t>
      </w:r>
      <w:r>
        <w:tab/>
      </w:r>
      <w:r w:rsidRPr="00095979">
        <w:rPr>
          <w:sz w:val="18"/>
          <w:szCs w:val="18"/>
        </w:rPr>
        <w:t xml:space="preserve">AEMC, Stage 2 Final Report: </w:t>
      </w:r>
      <w:r w:rsidRPr="005E3347">
        <w:rPr>
          <w:rFonts w:cs="Arial"/>
          <w:i/>
          <w:iCs/>
          <w:sz w:val="18"/>
          <w:szCs w:val="18"/>
        </w:rPr>
        <w:t>East Coast Review</w:t>
      </w:r>
      <w:r w:rsidRPr="00095979">
        <w:rPr>
          <w:rFonts w:cs="Arial"/>
          <w:iCs/>
          <w:sz w:val="18"/>
          <w:szCs w:val="18"/>
        </w:rPr>
        <w:t>, 23 May 2016,</w:t>
      </w:r>
      <w:r w:rsidRPr="00095979">
        <w:rPr>
          <w:sz w:val="18"/>
          <w:szCs w:val="18"/>
        </w:rPr>
        <w:t xml:space="preserve"> </w:t>
      </w:r>
      <w:r>
        <w:t>pp. 93-94.</w:t>
      </w:r>
    </w:p>
  </w:footnote>
  <w:footnote w:id="69">
    <w:p w14:paraId="653BEC1D" w14:textId="481A3B7E" w:rsidR="009E6A8A" w:rsidRDefault="009E6A8A" w:rsidP="00854182">
      <w:pPr>
        <w:pStyle w:val="FootnoteText"/>
      </w:pPr>
      <w:r>
        <w:rPr>
          <w:rStyle w:val="FootnoteReference"/>
        </w:rPr>
        <w:footnoteRef/>
      </w:r>
      <w:r>
        <w:t xml:space="preserve"> </w:t>
      </w:r>
      <w:r>
        <w:tab/>
      </w:r>
      <w:r>
        <w:rPr>
          <w:sz w:val="18"/>
          <w:szCs w:val="18"/>
        </w:rPr>
        <w:t>ibid</w:t>
      </w:r>
      <w:r w:rsidRPr="00095979">
        <w:rPr>
          <w:rFonts w:cs="Arial"/>
          <w:iCs/>
          <w:sz w:val="18"/>
          <w:szCs w:val="18"/>
        </w:rPr>
        <w:t>,</w:t>
      </w:r>
      <w:r w:rsidRPr="00095979">
        <w:rPr>
          <w:sz w:val="18"/>
          <w:szCs w:val="18"/>
        </w:rPr>
        <w:t xml:space="preserve"> </w:t>
      </w:r>
      <w:r>
        <w:t>p. 95.</w:t>
      </w:r>
    </w:p>
  </w:footnote>
  <w:footnote w:id="70">
    <w:p w14:paraId="12BDFAA3" w14:textId="19B081D1" w:rsidR="009E6A8A" w:rsidRDefault="009E6A8A">
      <w:pPr>
        <w:pStyle w:val="FootnoteText"/>
      </w:pPr>
      <w:r>
        <w:rPr>
          <w:rStyle w:val="FootnoteReference"/>
        </w:rPr>
        <w:footnoteRef/>
      </w:r>
      <w:r>
        <w:t xml:space="preserve"> </w:t>
      </w:r>
      <w:r>
        <w:tab/>
        <w:t>ibid, p. 104.</w:t>
      </w:r>
    </w:p>
  </w:footnote>
  <w:footnote w:id="71">
    <w:p w14:paraId="12BA948E" w14:textId="77777777" w:rsidR="009E6A8A" w:rsidRDefault="009E6A8A" w:rsidP="00854182">
      <w:pPr>
        <w:pStyle w:val="FootnoteText"/>
      </w:pPr>
      <w:r>
        <w:rPr>
          <w:rStyle w:val="FootnoteReference"/>
        </w:rPr>
        <w:footnoteRef/>
      </w:r>
      <w:r>
        <w:t xml:space="preserve"> </w:t>
      </w:r>
      <w:r>
        <w:tab/>
        <w:t>ibid, p. 87.</w:t>
      </w:r>
    </w:p>
  </w:footnote>
  <w:footnote w:id="72">
    <w:p w14:paraId="6F554810" w14:textId="77777777" w:rsidR="009E6A8A" w:rsidRDefault="009E6A8A" w:rsidP="00B0008C">
      <w:pPr>
        <w:pStyle w:val="FootnoteText"/>
      </w:pPr>
      <w:r>
        <w:rPr>
          <w:rStyle w:val="FootnoteReference"/>
        </w:rPr>
        <w:footnoteRef/>
      </w:r>
      <w:r>
        <w:t xml:space="preserve"> </w:t>
      </w:r>
      <w:r>
        <w:tab/>
        <w:t>COAG Energy Council, 12</w:t>
      </w:r>
      <w:r w:rsidRPr="00C76541">
        <w:rPr>
          <w:vertAlign w:val="superscript"/>
        </w:rPr>
        <w:t>th</w:t>
      </w:r>
      <w:r>
        <w:t xml:space="preserve"> Energy Council Meeting Communique, 14 July 2017.</w:t>
      </w:r>
    </w:p>
  </w:footnote>
  <w:footnote w:id="73">
    <w:p w14:paraId="729FC71B" w14:textId="01ACAF05" w:rsidR="009E6A8A" w:rsidRDefault="009E6A8A" w:rsidP="00F626E0">
      <w:pPr>
        <w:pStyle w:val="FootnoteText"/>
      </w:pPr>
      <w:r>
        <w:rPr>
          <w:rStyle w:val="FootnoteReference"/>
          <w:rFonts w:eastAsia="Cambria"/>
        </w:rPr>
        <w:footnoteRef/>
      </w:r>
      <w:r>
        <w:t xml:space="preserve"> </w:t>
      </w:r>
      <w:r>
        <w:tab/>
        <w:t xml:space="preserve">See: </w:t>
      </w:r>
      <w:hyperlink r:id="rId1" w:history="1">
        <w:r w:rsidRPr="007410C0">
          <w:rPr>
            <w:rStyle w:val="Hyperlink"/>
          </w:rPr>
          <w:t>https://www.aemo.com.au/Gas/Gas-Supply-Hubs/Market-operations</w:t>
        </w:r>
      </w:hyperlink>
      <w:r>
        <w:t xml:space="preserve"> </w:t>
      </w:r>
    </w:p>
  </w:footnote>
  <w:footnote w:id="74">
    <w:p w14:paraId="4FF58B48" w14:textId="77777777" w:rsidR="009E6A8A" w:rsidRDefault="009E6A8A" w:rsidP="00B21AEE">
      <w:pPr>
        <w:pStyle w:val="FootnoteText"/>
      </w:pPr>
      <w:r>
        <w:rPr>
          <w:rStyle w:val="FootnoteReference"/>
        </w:rPr>
        <w:footnoteRef/>
      </w:r>
      <w:r>
        <w:t xml:space="preserve"> </w:t>
      </w:r>
      <w:r>
        <w:tab/>
        <w:t>AEMO, Gas Supply Hub Industry Guide, October 2016, p. 39.</w:t>
      </w:r>
    </w:p>
  </w:footnote>
  <w:footnote w:id="75">
    <w:p w14:paraId="0AF1D885" w14:textId="431BD5A9" w:rsidR="009E6A8A" w:rsidRDefault="009E6A8A">
      <w:pPr>
        <w:pStyle w:val="FootnoteText"/>
      </w:pPr>
      <w:r>
        <w:rPr>
          <w:rStyle w:val="FootnoteReference"/>
        </w:rPr>
        <w:footnoteRef/>
      </w:r>
      <w:r>
        <w:t xml:space="preserve"> </w:t>
      </w:r>
      <w:r>
        <w:tab/>
        <w:t>ibid, pp. 44-45.</w:t>
      </w:r>
    </w:p>
  </w:footnote>
  <w:footnote w:id="76">
    <w:p w14:paraId="56F14F31" w14:textId="77777777" w:rsidR="009E6A8A" w:rsidRDefault="009E6A8A" w:rsidP="00F626E0">
      <w:pPr>
        <w:pStyle w:val="FootnoteText"/>
      </w:pPr>
      <w:r>
        <w:rPr>
          <w:rStyle w:val="FootnoteReference"/>
        </w:rPr>
        <w:footnoteRef/>
      </w:r>
      <w:r>
        <w:t xml:space="preserve"> </w:t>
      </w:r>
      <w:r>
        <w:tab/>
        <w:t>AEMO, Impact and Implementation Report: GSH Exchange Agreement, 25 August 2017.</w:t>
      </w:r>
    </w:p>
  </w:footnote>
  <w:footnote w:id="77">
    <w:p w14:paraId="2662A88F" w14:textId="77777777" w:rsidR="009E6A8A" w:rsidRDefault="009E6A8A" w:rsidP="00F626E0">
      <w:pPr>
        <w:pStyle w:val="FootnoteText"/>
      </w:pPr>
      <w:r>
        <w:rPr>
          <w:rStyle w:val="FootnoteReference"/>
        </w:rPr>
        <w:footnoteRef/>
      </w:r>
      <w:r>
        <w:t xml:space="preserve"> </w:t>
      </w:r>
      <w:r>
        <w:tab/>
        <w:t>ibid</w:t>
      </w:r>
    </w:p>
  </w:footnote>
  <w:footnote w:id="78">
    <w:p w14:paraId="181BEB52" w14:textId="1048589A" w:rsidR="009E6A8A" w:rsidRDefault="009E6A8A" w:rsidP="00854182">
      <w:pPr>
        <w:pStyle w:val="FootnoteText"/>
      </w:pPr>
      <w:r>
        <w:rPr>
          <w:rStyle w:val="FootnoteReference"/>
          <w:rFonts w:eastAsia="Cambria"/>
        </w:rPr>
        <w:footnoteRef/>
      </w:r>
      <w:r>
        <w:t xml:space="preserve"> </w:t>
      </w:r>
      <w:r>
        <w:tab/>
        <w:t>Reallocations are a transfer of a settlement amount from one party to another</w:t>
      </w:r>
      <w:r w:rsidRPr="00571F0F">
        <w:t>.</w:t>
      </w:r>
    </w:p>
  </w:footnote>
  <w:footnote w:id="79">
    <w:p w14:paraId="6C284C53" w14:textId="454C5410" w:rsidR="009E6A8A" w:rsidRDefault="009E6A8A" w:rsidP="00854182">
      <w:pPr>
        <w:pStyle w:val="FootnoteText"/>
      </w:pPr>
      <w:r>
        <w:rPr>
          <w:rStyle w:val="FootnoteReference"/>
        </w:rPr>
        <w:footnoteRef/>
      </w:r>
      <w:r>
        <w:t xml:space="preserve"> </w:t>
      </w:r>
      <w:r>
        <w:tab/>
      </w:r>
      <w:r w:rsidRPr="008B1B73">
        <w:t>The registration process takes up to 15 business days from receiving a complete appli</w:t>
      </w:r>
      <w:r>
        <w:t xml:space="preserve">cation and associated documents.  </w:t>
      </w:r>
      <w:r w:rsidRPr="008B1B73">
        <w:t xml:space="preserve">All </w:t>
      </w:r>
      <w:r>
        <w:t xml:space="preserve">the </w:t>
      </w:r>
      <w:r w:rsidRPr="008B1B73">
        <w:t>information required to register in the GSH, including the GSH Member Registration Guide</w:t>
      </w:r>
      <w:r>
        <w:t xml:space="preserve"> can be found </w:t>
      </w:r>
      <w:r w:rsidRPr="008B1B73">
        <w:t>on AEMO’s website.</w:t>
      </w:r>
      <w:r>
        <w:t xml:space="preserve"> See: </w:t>
      </w:r>
      <w:hyperlink r:id="rId2" w:history="1">
        <w:r w:rsidRPr="00CE09C9">
          <w:rPr>
            <w:rStyle w:val="Hyperlink"/>
          </w:rPr>
          <w:t>https://www.aemo.com.au/Gas/Gas-Supply-Hubs/Participant-information/How-to-register</w:t>
        </w:r>
      </w:hyperlink>
      <w:r>
        <w:rPr>
          <w:rStyle w:val="Hyperlink"/>
        </w:rPr>
        <w:t xml:space="preserve"> </w:t>
      </w:r>
    </w:p>
  </w:footnote>
  <w:footnote w:id="80">
    <w:p w14:paraId="4DEA44B3" w14:textId="77777777" w:rsidR="009E6A8A" w:rsidRPr="00FB6BDD" w:rsidRDefault="009E6A8A" w:rsidP="00F85F7D">
      <w:pPr>
        <w:pStyle w:val="FootnoteText"/>
        <w:rPr>
          <w:lang w:val="en-US"/>
        </w:rPr>
      </w:pPr>
      <w:r>
        <w:rPr>
          <w:rStyle w:val="FootnoteReference"/>
        </w:rPr>
        <w:footnoteRef/>
      </w:r>
      <w:r>
        <w:t xml:space="preserve"> </w:t>
      </w:r>
      <w:r>
        <w:tab/>
      </w:r>
      <w:r w:rsidRPr="00CE0F95">
        <w:t>The service provider can also offer an operational GTA-style service under a primary GTA, allowing a primary shipper to roll capacity bought in the secondary market into the primary GTA.</w:t>
      </w:r>
    </w:p>
  </w:footnote>
  <w:footnote w:id="81">
    <w:p w14:paraId="706CE139" w14:textId="24D7259C" w:rsidR="009E6A8A" w:rsidRDefault="009E6A8A">
      <w:pPr>
        <w:pStyle w:val="FootnoteText"/>
      </w:pPr>
      <w:r>
        <w:rPr>
          <w:rStyle w:val="FootnoteReference"/>
        </w:rPr>
        <w:footnoteRef/>
      </w:r>
      <w:r>
        <w:t xml:space="preserve"> </w:t>
      </w:r>
      <w:r>
        <w:tab/>
      </w:r>
      <w:r w:rsidRPr="008B1B73">
        <w:t xml:space="preserve">For example, a participant may ask AEMO to restrict access to the </w:t>
      </w:r>
      <w:r>
        <w:t>South East Queensland (</w:t>
      </w:r>
      <w:r w:rsidRPr="008B1B73">
        <w:t>SEQ</w:t>
      </w:r>
      <w:r>
        <w:t>)</w:t>
      </w:r>
      <w:r w:rsidRPr="008B1B73">
        <w:t xml:space="preserve"> product because it does not have agreements in place on the Roma to Brisbane Pipeline (RBP).</w:t>
      </w:r>
    </w:p>
  </w:footnote>
  <w:footnote w:id="82">
    <w:p w14:paraId="028A0806" w14:textId="54F3A0F8" w:rsidR="009E6A8A" w:rsidRPr="00024AC0" w:rsidRDefault="009E6A8A">
      <w:pPr>
        <w:pStyle w:val="FootnoteText"/>
        <w:rPr>
          <w:szCs w:val="16"/>
        </w:rPr>
      </w:pPr>
      <w:r w:rsidRPr="00024AC0">
        <w:rPr>
          <w:rStyle w:val="FootnoteReference"/>
          <w:szCs w:val="16"/>
        </w:rPr>
        <w:footnoteRef/>
      </w:r>
      <w:r w:rsidRPr="00024AC0">
        <w:rPr>
          <w:szCs w:val="16"/>
        </w:rPr>
        <w:t xml:space="preserve"> </w:t>
      </w:r>
      <w:r w:rsidRPr="00024AC0">
        <w:rPr>
          <w:szCs w:val="16"/>
        </w:rPr>
        <w:tab/>
        <w:t xml:space="preserve">AEMC, Stage 2 Final Report: </w:t>
      </w:r>
      <w:r w:rsidRPr="00024AC0">
        <w:rPr>
          <w:rFonts w:cs="Arial"/>
          <w:i/>
          <w:iCs/>
          <w:szCs w:val="16"/>
        </w:rPr>
        <w:t>East Coast Review</w:t>
      </w:r>
      <w:r w:rsidRPr="00024AC0">
        <w:rPr>
          <w:rFonts w:cs="Arial"/>
          <w:iCs/>
          <w:szCs w:val="16"/>
        </w:rPr>
        <w:t>, 23 May 2016,</w:t>
      </w:r>
      <w:r w:rsidRPr="00024AC0">
        <w:rPr>
          <w:szCs w:val="16"/>
        </w:rPr>
        <w:t xml:space="preserve"> p. 101.</w:t>
      </w:r>
    </w:p>
  </w:footnote>
  <w:footnote w:id="83">
    <w:p w14:paraId="74DB55B1" w14:textId="77777777" w:rsidR="009E6A8A" w:rsidRPr="00024AC0" w:rsidRDefault="009E6A8A" w:rsidP="00F232EA">
      <w:pPr>
        <w:pStyle w:val="ListBullet"/>
        <w:numPr>
          <w:ilvl w:val="0"/>
          <w:numId w:val="0"/>
        </w:numPr>
        <w:ind w:left="357" w:hanging="357"/>
        <w:rPr>
          <w:sz w:val="16"/>
          <w:szCs w:val="16"/>
        </w:rPr>
      </w:pPr>
      <w:r w:rsidRPr="00024AC0">
        <w:rPr>
          <w:rStyle w:val="FootnoteReference"/>
          <w:sz w:val="16"/>
          <w:szCs w:val="16"/>
        </w:rPr>
        <w:footnoteRef/>
      </w:r>
      <w:r w:rsidRPr="00024AC0">
        <w:rPr>
          <w:sz w:val="16"/>
          <w:szCs w:val="16"/>
        </w:rPr>
        <w:t xml:space="preserve"> </w:t>
      </w:r>
      <w:r w:rsidRPr="00024AC0">
        <w:rPr>
          <w:sz w:val="16"/>
          <w:szCs w:val="16"/>
        </w:rPr>
        <w:tab/>
        <w:t xml:space="preserve">A park service allows a shipper to inject more gas into a pipeline than it takes out on a particular day, up to a specified level, without incurring imbalance charges.  The additional gas supplied into the pipeline (positive imbalance) may be withdrawn by the shipper at a later point in time, although the total volume of gas withdrawn on a particular day must not exceed the capacity specified in the shipper’s transportation contract. </w:t>
      </w:r>
    </w:p>
  </w:footnote>
  <w:footnote w:id="84">
    <w:p w14:paraId="75F4C768" w14:textId="205DA9DA" w:rsidR="009E6A8A" w:rsidRPr="00024AC0" w:rsidRDefault="009E6A8A" w:rsidP="00024AC0">
      <w:pPr>
        <w:pStyle w:val="ListBullet"/>
        <w:numPr>
          <w:ilvl w:val="0"/>
          <w:numId w:val="0"/>
        </w:numPr>
        <w:ind w:left="357" w:hanging="357"/>
        <w:rPr>
          <w:sz w:val="16"/>
          <w:szCs w:val="16"/>
        </w:rPr>
      </w:pPr>
      <w:r w:rsidRPr="00024AC0">
        <w:rPr>
          <w:rStyle w:val="FootnoteReference"/>
          <w:sz w:val="16"/>
          <w:szCs w:val="16"/>
        </w:rPr>
        <w:footnoteRef/>
      </w:r>
      <w:r w:rsidRPr="00024AC0">
        <w:rPr>
          <w:sz w:val="16"/>
          <w:szCs w:val="16"/>
        </w:rPr>
        <w:t xml:space="preserve"> </w:t>
      </w:r>
      <w:r w:rsidRPr="00024AC0">
        <w:rPr>
          <w:sz w:val="16"/>
          <w:szCs w:val="16"/>
        </w:rPr>
        <w:tab/>
        <w:t xml:space="preserve">A loan service allows a shipper to inject less gas than it takes on any given day (negative imbalance), up to a specified level, without incurring imbalance charges.  Any additional gas taken by the shipper on a particular day (i.e., the loan) must be ‘repaid’ within the time specified in the contract.  </w:t>
      </w:r>
    </w:p>
  </w:footnote>
  <w:footnote w:id="85">
    <w:p w14:paraId="03BBD6DB" w14:textId="2A409C1B" w:rsidR="009E6A8A" w:rsidRPr="00024AC0" w:rsidRDefault="009E6A8A">
      <w:pPr>
        <w:pStyle w:val="FootnoteText"/>
        <w:rPr>
          <w:szCs w:val="16"/>
        </w:rPr>
      </w:pPr>
      <w:r w:rsidRPr="00024AC0">
        <w:rPr>
          <w:rStyle w:val="FootnoteReference"/>
          <w:szCs w:val="16"/>
        </w:rPr>
        <w:footnoteRef/>
      </w:r>
      <w:r w:rsidRPr="00024AC0">
        <w:rPr>
          <w:szCs w:val="16"/>
        </w:rPr>
        <w:t xml:space="preserve"> </w:t>
      </w:r>
      <w:r w:rsidRPr="00024AC0">
        <w:rPr>
          <w:szCs w:val="16"/>
        </w:rPr>
        <w:tab/>
        <w:t xml:space="preserve">AEMC, Stage 2 Final Report: </w:t>
      </w:r>
      <w:r w:rsidRPr="00024AC0">
        <w:rPr>
          <w:rFonts w:cs="Arial"/>
          <w:i/>
          <w:iCs/>
          <w:szCs w:val="16"/>
        </w:rPr>
        <w:t>East Coast Review</w:t>
      </w:r>
      <w:r w:rsidRPr="00024AC0">
        <w:rPr>
          <w:rFonts w:cs="Arial"/>
          <w:iCs/>
          <w:szCs w:val="16"/>
        </w:rPr>
        <w:t>, 23 May 2016,</w:t>
      </w:r>
      <w:r w:rsidRPr="00024AC0">
        <w:rPr>
          <w:szCs w:val="16"/>
        </w:rPr>
        <w:t xml:space="preserve"> p. </w:t>
      </w:r>
      <w:r>
        <w:rPr>
          <w:szCs w:val="16"/>
        </w:rPr>
        <w:t>97</w:t>
      </w:r>
      <w:r w:rsidRPr="00024AC0">
        <w:rPr>
          <w:szCs w:val="16"/>
        </w:rPr>
        <w:t>.</w:t>
      </w:r>
    </w:p>
  </w:footnote>
  <w:footnote w:id="86">
    <w:p w14:paraId="2EE75E8F" w14:textId="77777777" w:rsidR="009E6A8A" w:rsidRDefault="009E6A8A" w:rsidP="00BF290F">
      <w:pPr>
        <w:pStyle w:val="FootnoteText"/>
        <w:spacing w:before="0" w:after="0"/>
      </w:pPr>
      <w:r>
        <w:rPr>
          <w:rStyle w:val="FootnoteReference"/>
        </w:rPr>
        <w:footnoteRef/>
      </w:r>
      <w:r>
        <w:t xml:space="preserve"> </w:t>
      </w:r>
      <w:r>
        <w:tab/>
        <w:t>A balance-of-day product will not be possible to trade through the platform because of the operation of the day-ahead auction.</w:t>
      </w:r>
    </w:p>
  </w:footnote>
  <w:footnote w:id="87">
    <w:p w14:paraId="6580BA7E" w14:textId="77777777" w:rsidR="009E6A8A" w:rsidRDefault="009E6A8A" w:rsidP="00BF290F">
      <w:pPr>
        <w:pStyle w:val="FootnoteText"/>
      </w:pPr>
      <w:r>
        <w:rPr>
          <w:rStyle w:val="FootnoteReference"/>
        </w:rPr>
        <w:footnoteRef/>
      </w:r>
      <w:r>
        <w:t xml:space="preserve"> </w:t>
      </w:r>
      <w:r>
        <w:tab/>
        <w:t xml:space="preserve">Prior to using a multi-user receipt or delivery point within a zone, the secondary shipper will need to become a party to the relevant allocation agreement and any other arrangements that may be in place at the point they wish to use. </w:t>
      </w:r>
    </w:p>
  </w:footnote>
  <w:footnote w:id="88">
    <w:p w14:paraId="18A2D182" w14:textId="77777777" w:rsidR="009E6A8A" w:rsidRDefault="009E6A8A" w:rsidP="00E16C5B">
      <w:pPr>
        <w:pStyle w:val="FootnoteText"/>
      </w:pPr>
      <w:r>
        <w:rPr>
          <w:rStyle w:val="FootnoteReference"/>
          <w:rFonts w:eastAsia="Cambria"/>
        </w:rPr>
        <w:footnoteRef/>
      </w:r>
      <w:r>
        <w:t xml:space="preserve"> </w:t>
      </w:r>
      <w:r>
        <w:tab/>
        <w:t xml:space="preserve">The LPTP (Low Pressure Trade Point) is a notional point in APA’s Wallumbilla hub at the low pressure header. </w:t>
      </w:r>
    </w:p>
  </w:footnote>
  <w:footnote w:id="89">
    <w:p w14:paraId="394C304F" w14:textId="77777777" w:rsidR="009E6A8A" w:rsidRDefault="009E6A8A" w:rsidP="00E16C5B">
      <w:pPr>
        <w:pStyle w:val="FootnoteText"/>
      </w:pPr>
      <w:r>
        <w:rPr>
          <w:rStyle w:val="FootnoteReference"/>
          <w:rFonts w:eastAsia="Cambria"/>
        </w:rPr>
        <w:footnoteRef/>
      </w:r>
      <w:r>
        <w:t xml:space="preserve"> </w:t>
      </w:r>
      <w:r>
        <w:tab/>
        <w:t>The HPTP (High Pressure Trade Point) is a notional point in APA’s Wallumbilla hub at the high pressure header.</w:t>
      </w:r>
    </w:p>
  </w:footnote>
  <w:footnote w:id="90">
    <w:p w14:paraId="3AE61680" w14:textId="77777777" w:rsidR="009E6A8A" w:rsidRDefault="009E6A8A" w:rsidP="00E16C5B">
      <w:pPr>
        <w:pStyle w:val="FootnoteText"/>
      </w:pPr>
      <w:r>
        <w:rPr>
          <w:rStyle w:val="FootnoteReference"/>
          <w:rFonts w:eastAsia="Cambria"/>
        </w:rPr>
        <w:footnoteRef/>
      </w:r>
      <w:r>
        <w:t xml:space="preserve"> </w:t>
      </w:r>
      <w:r>
        <w:tab/>
        <w:t xml:space="preserve">The MCF (Moomba Compression Facility) is a notional point in APA’s Moomba hub at the low pressure header. </w:t>
      </w:r>
    </w:p>
  </w:footnote>
  <w:footnote w:id="91">
    <w:p w14:paraId="3EFAEDE5" w14:textId="77777777" w:rsidR="009E6A8A" w:rsidRDefault="009E6A8A" w:rsidP="00E16C5B">
      <w:pPr>
        <w:pStyle w:val="FootnoteText"/>
      </w:pPr>
      <w:r>
        <w:rPr>
          <w:rStyle w:val="FootnoteReference"/>
        </w:rPr>
        <w:footnoteRef/>
      </w:r>
      <w:r>
        <w:t xml:space="preserve"> </w:t>
      </w:r>
      <w:r>
        <w:tab/>
      </w:r>
      <w:r w:rsidRPr="008B1B73">
        <w:t xml:space="preserve">The current Wallumbilla compression product listed on the GSH is delivered through a swap instead of an operational transfer. A required outcome from the AEMC’s </w:t>
      </w:r>
      <w:r w:rsidRPr="00CD3486">
        <w:rPr>
          <w:i/>
        </w:rPr>
        <w:t>East Coast Review</w:t>
      </w:r>
      <w:r w:rsidRPr="008B1B73">
        <w:t xml:space="preserve"> is that trades carried out on the capacity trading platform be given effect through an operational transfer. A new Wallumbilla compression product will</w:t>
      </w:r>
      <w:r>
        <w:t xml:space="preserve"> therefore need to be developed </w:t>
      </w:r>
      <w:r w:rsidRPr="008B1B73">
        <w:t>to meet this</w:t>
      </w:r>
      <w:r>
        <w:t xml:space="preserve"> requirement.</w:t>
      </w:r>
    </w:p>
  </w:footnote>
  <w:footnote w:id="92">
    <w:p w14:paraId="53C5BB90" w14:textId="77777777" w:rsidR="009E6A8A" w:rsidRPr="00FB6BDD" w:rsidRDefault="009E6A8A" w:rsidP="00F85F7D">
      <w:pPr>
        <w:pStyle w:val="FootnoteText"/>
        <w:rPr>
          <w:lang w:val="en-US"/>
        </w:rPr>
      </w:pPr>
      <w:r>
        <w:rPr>
          <w:rStyle w:val="FootnoteReference"/>
        </w:rPr>
        <w:footnoteRef/>
      </w:r>
      <w:r>
        <w:t xml:space="preserve"> </w:t>
      </w:r>
      <w:r>
        <w:tab/>
      </w:r>
      <w:r w:rsidRPr="00CE0F95">
        <w:t>The service provider can also offer an operational GTA-style service under a primary GTA, allowing a primary shipper to roll capacity bought in the secondary market into the primary GTA.</w:t>
      </w:r>
    </w:p>
  </w:footnote>
  <w:footnote w:id="93">
    <w:p w14:paraId="2D6342E7" w14:textId="784A1ED0" w:rsidR="009E6A8A" w:rsidRDefault="009E6A8A" w:rsidP="00854182">
      <w:pPr>
        <w:pStyle w:val="FootnoteText"/>
      </w:pPr>
      <w:r>
        <w:rPr>
          <w:rStyle w:val="FootnoteReference"/>
        </w:rPr>
        <w:footnoteRef/>
      </w:r>
      <w:r>
        <w:t xml:space="preserve"> </w:t>
      </w:r>
      <w:r>
        <w:tab/>
      </w:r>
      <w:r>
        <w:rPr>
          <w:rFonts w:cs="Arial"/>
        </w:rPr>
        <w:t xml:space="preserve">The provision of this information to the service provider may be of some value if, for example </w:t>
      </w:r>
      <w:r>
        <w:t xml:space="preserve">the </w:t>
      </w:r>
      <w:r w:rsidRPr="008B1B73">
        <w:t>seller has multiple primary GTAs on a pipeline</w:t>
      </w:r>
      <w:r>
        <w:t xml:space="preserve">, or the </w:t>
      </w:r>
      <w:r w:rsidRPr="008B1B73">
        <w:t>buyer has an operational GTA as well as a primary GTA</w:t>
      </w:r>
      <w:r>
        <w:t xml:space="preserve"> that it can use to allocate capacity to</w:t>
      </w:r>
      <w:r w:rsidRPr="008B1B73">
        <w:t>.</w:t>
      </w:r>
    </w:p>
  </w:footnote>
  <w:footnote w:id="94">
    <w:p w14:paraId="6BC41E08" w14:textId="77777777" w:rsidR="009E6A8A" w:rsidRDefault="009E6A8A" w:rsidP="00854182">
      <w:pPr>
        <w:pStyle w:val="FootnoteText"/>
      </w:pPr>
      <w:r>
        <w:rPr>
          <w:rStyle w:val="FootnoteReference"/>
        </w:rPr>
        <w:footnoteRef/>
      </w:r>
      <w:r>
        <w:t xml:space="preserve"> </w:t>
      </w:r>
      <w:r>
        <w:tab/>
        <w:t xml:space="preserve">As outlined in section 3, a service provider and secondary shipper may agree to include secondary capacity purchases in the shipper’s primary GTA. If this is agreed to, then information on the primary GTA that the shipper wants to add the capacity to could also be collected and provided to the service provider. </w:t>
      </w:r>
    </w:p>
  </w:footnote>
  <w:footnote w:id="95">
    <w:p w14:paraId="3749635A" w14:textId="05C54DD8" w:rsidR="009E6A8A" w:rsidRDefault="009E6A8A" w:rsidP="00854182">
      <w:pPr>
        <w:pStyle w:val="FootnoteText"/>
      </w:pPr>
      <w:r>
        <w:rPr>
          <w:rStyle w:val="FootnoteReference"/>
          <w:rFonts w:eastAsia="Cambria"/>
        </w:rPr>
        <w:footnoteRef/>
      </w:r>
      <w:r>
        <w:t xml:space="preserve"> </w:t>
      </w:r>
      <w:r>
        <w:tab/>
        <w:t>AEMO, Guide to Natural Gas Services Bulletin Board CSV File Transactions, October 2016, p. 7-8.</w:t>
      </w:r>
    </w:p>
  </w:footnote>
  <w:footnote w:id="96">
    <w:p w14:paraId="15754A8A" w14:textId="0E3AC196" w:rsidR="009E6A8A" w:rsidRDefault="009E6A8A" w:rsidP="00854182">
      <w:pPr>
        <w:pStyle w:val="FootnoteText"/>
      </w:pPr>
      <w:r>
        <w:rPr>
          <w:rStyle w:val="FootnoteReference"/>
          <w:rFonts w:eastAsia="Cambria"/>
        </w:rPr>
        <w:footnoteRef/>
      </w:r>
      <w:r>
        <w:t xml:space="preserve"> </w:t>
      </w:r>
      <w:r>
        <w:tab/>
        <w:t>AEMO, STTM Participant Build Pack, 22 March 2017, p. 14.</w:t>
      </w:r>
    </w:p>
  </w:footnote>
  <w:footnote w:id="97">
    <w:p w14:paraId="599DBAEF" w14:textId="2914EEA2" w:rsidR="009E6A8A" w:rsidRDefault="009E6A8A">
      <w:pPr>
        <w:pStyle w:val="FootnoteText"/>
      </w:pPr>
      <w:r>
        <w:rPr>
          <w:rStyle w:val="FootnoteReference"/>
        </w:rPr>
        <w:footnoteRef/>
      </w:r>
      <w:r>
        <w:t xml:space="preserve"> </w:t>
      </w:r>
      <w:r>
        <w:tab/>
      </w:r>
      <w:r>
        <w:rPr>
          <w:rFonts w:cs="Arial"/>
        </w:rPr>
        <w:t>Service provider</w:t>
      </w:r>
      <w:r w:rsidRPr="008B1B73">
        <w:rPr>
          <w:rFonts w:cs="Arial"/>
        </w:rPr>
        <w:t xml:space="preserve">s will need to consider whether transferring MDQ will be undertaken manually or if systems will be built to automate </w:t>
      </w:r>
      <w:r>
        <w:rPr>
          <w:rFonts w:cs="Arial"/>
        </w:rPr>
        <w:t>this transfer</w:t>
      </w:r>
      <w:r w:rsidRPr="008B1B73">
        <w:rPr>
          <w:rFonts w:cs="Arial"/>
        </w:rPr>
        <w:t>.</w:t>
      </w:r>
    </w:p>
  </w:footnote>
  <w:footnote w:id="98">
    <w:p w14:paraId="48160AF3" w14:textId="77777777" w:rsidR="009E6A8A" w:rsidRDefault="009E6A8A" w:rsidP="00FF176A">
      <w:pPr>
        <w:pStyle w:val="FootnoteText"/>
      </w:pPr>
      <w:r>
        <w:rPr>
          <w:rStyle w:val="FootnoteReference"/>
        </w:rPr>
        <w:footnoteRef/>
      </w:r>
      <w:r>
        <w:t xml:space="preserve"> </w:t>
      </w:r>
      <w:r>
        <w:tab/>
      </w:r>
      <w:r w:rsidRPr="008B1B73">
        <w:rPr>
          <w:rFonts w:cs="Arial"/>
        </w:rPr>
        <w:t xml:space="preserve">Organisations must apply to AEMO to be registered in the STTM for the roles they intend to perform and at what hubs. </w:t>
      </w:r>
      <w:r w:rsidRPr="008B1B73">
        <w:t>Participants looking to use the capacity trading platform to flow gas to a STTM will register as a STTM shipper at the STTM hubs they want to participate in (Adelaide, Brisbane and/or Sydney). An organisation submits a registration request using the registration form from the AEMO Gas Market Registration Kit. AEMO completes the registration process within 15 business days.</w:t>
      </w:r>
    </w:p>
  </w:footnote>
  <w:footnote w:id="99">
    <w:p w14:paraId="10AEE55F" w14:textId="063E1E9D" w:rsidR="009E6A8A" w:rsidRDefault="009E6A8A" w:rsidP="00FF176A">
      <w:pPr>
        <w:pStyle w:val="FootnoteText"/>
      </w:pPr>
      <w:r>
        <w:rPr>
          <w:rStyle w:val="FootnoteReference"/>
        </w:rPr>
        <w:footnoteRef/>
      </w:r>
      <w:r>
        <w:t xml:space="preserve"> </w:t>
      </w:r>
      <w:r>
        <w:tab/>
      </w:r>
      <w:r w:rsidRPr="008B1B73">
        <w:t xml:space="preserve">For example, a gas-fired generator located on the RBP may decide late on </w:t>
      </w:r>
      <w:r>
        <w:t xml:space="preserve">gas day </w:t>
      </w:r>
      <w:r w:rsidRPr="008B1B73">
        <w:t xml:space="preserve">D-1 to </w:t>
      </w:r>
      <w:r>
        <w:t xml:space="preserve">transport </w:t>
      </w:r>
      <w:r w:rsidRPr="008B1B73">
        <w:t>additional gas to a STTM so it can increase its output the following day. The gas-fired generator could do this by purchasing gas at Wallumbilla and RBP eastern</w:t>
      </w:r>
      <w:r>
        <w:t>-</w:t>
      </w:r>
      <w:r w:rsidRPr="008B1B73">
        <w:t>haul capacity on the GSH.</w:t>
      </w:r>
      <w:r>
        <w:t xml:space="preserve"> As it would have missed the ex-</w:t>
      </w:r>
      <w:r w:rsidRPr="008B1B73">
        <w:t>ante schedule, the gas-fired generator would submit a MSV with itself to avoid STTM penalties.</w:t>
      </w:r>
    </w:p>
  </w:footnote>
  <w:footnote w:id="100">
    <w:p w14:paraId="6371E9C6" w14:textId="3F4254A2" w:rsidR="009E6A8A" w:rsidRDefault="009E6A8A">
      <w:pPr>
        <w:pStyle w:val="FootnoteText"/>
      </w:pPr>
      <w:r>
        <w:rPr>
          <w:rStyle w:val="FootnoteReference"/>
        </w:rPr>
        <w:footnoteRef/>
      </w:r>
      <w:r>
        <w:t xml:space="preserve"> </w:t>
      </w:r>
      <w:r>
        <w:tab/>
      </w:r>
      <w:r w:rsidRPr="008B1B73">
        <w:t xml:space="preserve">As the day-ahead auction will run after the ex-ante schedule, participants wishing to purchase capacity in the auction to flow gas to a STTM will be required to submit MSVs. This will be discussed further in a day-ahead auction </w:t>
      </w:r>
      <w:r>
        <w:t xml:space="preserve">consultation </w:t>
      </w:r>
      <w:r w:rsidRPr="008B1B73">
        <w:t>paper.</w:t>
      </w:r>
    </w:p>
  </w:footnote>
  <w:footnote w:id="101">
    <w:p w14:paraId="58343230" w14:textId="77777777" w:rsidR="009E6A8A" w:rsidRDefault="009E6A8A" w:rsidP="007332E1">
      <w:pPr>
        <w:pStyle w:val="FootnoteText"/>
      </w:pPr>
      <w:r>
        <w:rPr>
          <w:rStyle w:val="FootnoteReference"/>
          <w:rFonts w:eastAsia="Cambria"/>
        </w:rPr>
        <w:footnoteRef/>
      </w:r>
      <w:r>
        <w:t xml:space="preserve"> </w:t>
      </w:r>
      <w:r>
        <w:tab/>
        <w:t>A system injection/withdrawal point is a transmission system connection point designed to permit gas to flow through a single pipe into the transmission system, which may also be, in the case of a transfer point, a system injection/withdrawal point.</w:t>
      </w:r>
    </w:p>
  </w:footnote>
  <w:footnote w:id="102">
    <w:p w14:paraId="6576447C" w14:textId="239DEB28" w:rsidR="009E6A8A" w:rsidRDefault="009E6A8A" w:rsidP="007332E1">
      <w:pPr>
        <w:pStyle w:val="FootnoteText"/>
      </w:pPr>
      <w:r>
        <w:rPr>
          <w:rStyle w:val="FootnoteReference"/>
        </w:rPr>
        <w:footnoteRef/>
      </w:r>
      <w:r>
        <w:t xml:space="preserve"> </w:t>
      </w:r>
      <w:r>
        <w:tab/>
      </w:r>
      <w:r w:rsidRPr="008B1B73">
        <w:t>Accreditation at S</w:t>
      </w:r>
      <w:r>
        <w:t xml:space="preserve">ystem Injection Points and System Withdrawal Points </w:t>
      </w:r>
      <w:r w:rsidRPr="008B1B73">
        <w:t>takes five business days from receiving the initial application.</w:t>
      </w:r>
      <w:r w:rsidRPr="002D5C8A">
        <w:t xml:space="preserve"> </w:t>
      </w:r>
      <w:r>
        <w:t xml:space="preserve">A </w:t>
      </w:r>
      <w:r w:rsidRPr="008B1B73">
        <w:t>current DWGM system limitation is that only one accreditation per Participant ID at each controllable point is allowed. If participants need to treat accreditations for secondary capacity differently from their primary contracts this will require an additional participant ID to be set up (and bid separately).</w:t>
      </w:r>
    </w:p>
  </w:footnote>
  <w:footnote w:id="103">
    <w:p w14:paraId="4D152812" w14:textId="28D40D3F" w:rsidR="009E6A8A" w:rsidRDefault="009E6A8A">
      <w:pPr>
        <w:pStyle w:val="FootnoteText"/>
      </w:pPr>
      <w:r>
        <w:rPr>
          <w:rStyle w:val="FootnoteReference"/>
        </w:rPr>
        <w:footnoteRef/>
      </w:r>
      <w:r>
        <w:t xml:space="preserve"> </w:t>
      </w:r>
      <w:r>
        <w:tab/>
        <w:t xml:space="preserve">AEMO uses the </w:t>
      </w:r>
      <w:proofErr w:type="spellStart"/>
      <w:r w:rsidRPr="008B1B73">
        <w:rPr>
          <w:rFonts w:cs="Arial"/>
        </w:rPr>
        <w:t>Austraclear</w:t>
      </w:r>
      <w:proofErr w:type="spellEnd"/>
      <w:r w:rsidRPr="008B1B73">
        <w:rPr>
          <w:rFonts w:cs="Arial"/>
        </w:rPr>
        <w:t xml:space="preserve"> system to </w:t>
      </w:r>
      <w:r>
        <w:rPr>
          <w:rFonts w:cs="Arial"/>
        </w:rPr>
        <w:t xml:space="preserve">clear </w:t>
      </w:r>
      <w:r w:rsidRPr="008B1B73">
        <w:rPr>
          <w:rFonts w:cs="Arial"/>
        </w:rPr>
        <w:t xml:space="preserve">the market and </w:t>
      </w:r>
      <w:r>
        <w:rPr>
          <w:rFonts w:cs="Arial"/>
        </w:rPr>
        <w:t>process</w:t>
      </w:r>
      <w:r w:rsidRPr="008B1B73">
        <w:rPr>
          <w:rFonts w:cs="Arial"/>
        </w:rPr>
        <w:t xml:space="preserve"> security deposit</w:t>
      </w:r>
      <w:r>
        <w:rPr>
          <w:rFonts w:cs="Arial"/>
        </w:rPr>
        <w:t>s provided</w:t>
      </w:r>
      <w:r w:rsidRPr="008B1B73">
        <w:rPr>
          <w:rFonts w:cs="Arial"/>
        </w:rPr>
        <w:t xml:space="preserve"> for prudential purposes</w:t>
      </w:r>
      <w:r>
        <w:rPr>
          <w:rFonts w:cs="Arial"/>
        </w:rPr>
        <w:t xml:space="preserve"> (see </w:t>
      </w:r>
      <w:r w:rsidRPr="008B1B73">
        <w:rPr>
          <w:rFonts w:cs="Arial"/>
        </w:rPr>
        <w:t>AEMO Market Clearing Procedure</w:t>
      </w:r>
      <w:r>
        <w:rPr>
          <w:rFonts w:cs="Arial"/>
        </w:rPr>
        <w:t>)</w:t>
      </w:r>
      <w:r w:rsidRPr="008B1B73">
        <w:rPr>
          <w:rFonts w:cs="Arial"/>
        </w:rPr>
        <w:t>. This system provides real-time gross settlement of transactions and is widely used in the finance industry for the settlement of transactions.</w:t>
      </w:r>
    </w:p>
  </w:footnote>
  <w:footnote w:id="104">
    <w:p w14:paraId="024070FE" w14:textId="77777777" w:rsidR="009E6A8A" w:rsidRDefault="009E6A8A" w:rsidP="00853064">
      <w:pPr>
        <w:pStyle w:val="FootnoteText"/>
      </w:pPr>
      <w:r>
        <w:rPr>
          <w:rStyle w:val="FootnoteReference"/>
        </w:rPr>
        <w:footnoteRef/>
      </w:r>
      <w:r>
        <w:t xml:space="preserve"> </w:t>
      </w:r>
      <w:r>
        <w:tab/>
        <w:t xml:space="preserve">A breakdown of the </w:t>
      </w:r>
      <w:r>
        <w:rPr>
          <w:rFonts w:cs="Arial"/>
        </w:rPr>
        <w:t>s</w:t>
      </w:r>
      <w:r w:rsidRPr="008B1B73">
        <w:rPr>
          <w:rFonts w:cs="Arial"/>
        </w:rPr>
        <w:t xml:space="preserve">ettlement amounts for </w:t>
      </w:r>
      <w:r>
        <w:rPr>
          <w:rFonts w:cs="Arial"/>
        </w:rPr>
        <w:t xml:space="preserve">capacity </w:t>
      </w:r>
      <w:r w:rsidRPr="008B1B73">
        <w:rPr>
          <w:rFonts w:cs="Arial"/>
        </w:rPr>
        <w:t xml:space="preserve">products </w:t>
      </w:r>
      <w:r>
        <w:rPr>
          <w:rFonts w:cs="Arial"/>
        </w:rPr>
        <w:t xml:space="preserve">would, however, be listed as a separate line item on the </w:t>
      </w:r>
      <w:r w:rsidRPr="008B1B73">
        <w:rPr>
          <w:rFonts w:cs="Arial"/>
        </w:rPr>
        <w:t>settlement statement.</w:t>
      </w:r>
    </w:p>
  </w:footnote>
  <w:footnote w:id="105">
    <w:p w14:paraId="36A04C88" w14:textId="79D7ED97" w:rsidR="009E6A8A" w:rsidRDefault="009E6A8A">
      <w:pPr>
        <w:pStyle w:val="FootnoteText"/>
      </w:pPr>
      <w:r>
        <w:rPr>
          <w:rStyle w:val="FootnoteReference"/>
        </w:rPr>
        <w:footnoteRef/>
      </w:r>
      <w:r>
        <w:t xml:space="preserve"> </w:t>
      </w:r>
      <w:r>
        <w:tab/>
        <w:t>This is consistent with the approach used in the STTM and DWGM.</w:t>
      </w:r>
    </w:p>
  </w:footnote>
  <w:footnote w:id="106">
    <w:p w14:paraId="2A4973C8" w14:textId="4CF2F43E" w:rsidR="009E6A8A" w:rsidRDefault="009E6A8A">
      <w:pPr>
        <w:pStyle w:val="FootnoteText"/>
      </w:pPr>
      <w:r>
        <w:rPr>
          <w:rStyle w:val="FootnoteReference"/>
        </w:rPr>
        <w:footnoteRef/>
      </w:r>
      <w:r>
        <w:t xml:space="preserve"> </w:t>
      </w:r>
      <w:r>
        <w:tab/>
      </w:r>
      <w:r w:rsidRPr="008B1B73">
        <w:t>AEMO has a single financial guarantee pro forma for use in existing gas and electricity markets and all guarantees must be in the prescribed format.</w:t>
      </w:r>
    </w:p>
  </w:footnote>
  <w:footnote w:id="107">
    <w:p w14:paraId="14BC5336" w14:textId="77777777" w:rsidR="009E6A8A" w:rsidRDefault="009E6A8A" w:rsidP="005D71A2">
      <w:pPr>
        <w:pStyle w:val="FootnoteText"/>
      </w:pPr>
      <w:r>
        <w:rPr>
          <w:rStyle w:val="FootnoteReference"/>
        </w:rPr>
        <w:footnoteRef/>
      </w:r>
      <w:r>
        <w:t xml:space="preserve"> </w:t>
      </w:r>
      <w:r>
        <w:tab/>
        <w:t xml:space="preserve">Financial default includes the failure by the Trading Participant to pay an invoice or to make a margin call. </w:t>
      </w:r>
    </w:p>
  </w:footnote>
  <w:footnote w:id="108">
    <w:p w14:paraId="66B76866" w14:textId="4785819A" w:rsidR="009E6A8A" w:rsidRDefault="009E6A8A">
      <w:pPr>
        <w:pStyle w:val="FootnoteText"/>
      </w:pPr>
      <w:r>
        <w:rPr>
          <w:rStyle w:val="FootnoteReference"/>
        </w:rPr>
        <w:footnoteRef/>
      </w:r>
      <w:r>
        <w:t xml:space="preserve"> </w:t>
      </w:r>
      <w:r>
        <w:tab/>
        <w:t>The civil penalty provisions are set out in section 3 of the NGL. The maximum civil penalty is currently $100,000 for body corporates (or $20,000 for individuals) plus $10,000 ($2,000 for individuals) for every day it continues.</w:t>
      </w:r>
    </w:p>
  </w:footnote>
  <w:footnote w:id="109">
    <w:p w14:paraId="2AD82F25" w14:textId="67C84CBF" w:rsidR="009E6A8A" w:rsidRDefault="009E6A8A" w:rsidP="00857DFB">
      <w:pPr>
        <w:pStyle w:val="FootnoteText"/>
      </w:pPr>
      <w:r>
        <w:rPr>
          <w:rStyle w:val="FootnoteReference"/>
        </w:rPr>
        <w:footnoteRef/>
      </w:r>
      <w:r>
        <w:t xml:space="preserve"> </w:t>
      </w:r>
      <w:r>
        <w:tab/>
        <w:t xml:space="preserve">The AER may also issue an infringement notice if the AER has reason to a Trading Participant has breached a civil penalty provision. The maximum infringement notice is $20,000 for body corporates and $4,000 for individuals. </w:t>
      </w:r>
    </w:p>
  </w:footnote>
  <w:footnote w:id="110">
    <w:p w14:paraId="24FB98E4" w14:textId="77777777" w:rsidR="009E6A8A" w:rsidRDefault="009E6A8A">
      <w:pPr>
        <w:pStyle w:val="FootnoteText"/>
      </w:pPr>
      <w:r>
        <w:rPr>
          <w:rStyle w:val="FootnoteReference"/>
        </w:rPr>
        <w:footnoteRef/>
      </w:r>
      <w:r>
        <w:t xml:space="preserve"> </w:t>
      </w:r>
      <w:r>
        <w:tab/>
        <w:t xml:space="preserve">If, rather than defaulting on their delivery obligation, the Trading Participant breaches its gas delivery obligation and the variance is outside a 5% tolerance level then compensation must be paid to the counterparty (the compensation is based on the delivery variance quantity and the delivery price). If the delivery variance quantity is outside this tolerance then the party at fault must compensate the counterpart 25% of the value of the variation quantity. </w:t>
      </w:r>
    </w:p>
    <w:p w14:paraId="383224D8" w14:textId="17FA23F9" w:rsidR="009E6A8A" w:rsidRDefault="009E6A8A">
      <w:pPr>
        <w:pStyle w:val="FootnoteText"/>
      </w:pPr>
      <w:r>
        <w:tab/>
        <w:t>See AEMO, Gas Supply Hub Industry Guide, October 2016, p. 74 for more detail.</w:t>
      </w:r>
    </w:p>
  </w:footnote>
  <w:footnote w:id="111">
    <w:p w14:paraId="6479A7D7" w14:textId="1A2098BC" w:rsidR="009E6A8A" w:rsidRDefault="009E6A8A">
      <w:pPr>
        <w:pStyle w:val="FootnoteText"/>
      </w:pPr>
      <w:r>
        <w:rPr>
          <w:rStyle w:val="FootnoteReference"/>
        </w:rPr>
        <w:footnoteRef/>
      </w:r>
      <w:r>
        <w:t xml:space="preserve"> </w:t>
      </w:r>
      <w:r>
        <w:tab/>
        <w:t>That is to verify a seller had the requisite amount of capacity before the trade was entered into.</w:t>
      </w:r>
    </w:p>
  </w:footnote>
  <w:footnote w:id="112">
    <w:p w14:paraId="48D7B3B4" w14:textId="6BC252AA" w:rsidR="009E6A8A" w:rsidRPr="003F121E" w:rsidRDefault="009E6A8A" w:rsidP="003F121E">
      <w:pPr>
        <w:pStyle w:val="FootnoteText"/>
        <w:rPr>
          <w:szCs w:val="16"/>
        </w:rPr>
      </w:pPr>
      <w:r>
        <w:rPr>
          <w:rStyle w:val="FootnoteReference"/>
        </w:rPr>
        <w:footnoteRef/>
      </w:r>
      <w:r>
        <w:t xml:space="preserve"> </w:t>
      </w:r>
      <w:r>
        <w:tab/>
        <w:t>For example, if a service provide has primary GTAs with Shipper 1 (30 TJ) and Shipper 2 (30 TJ) and each shipper on-sells capacity to Secondary Shipper 3 (20 TJ) and Secondary Shipper 4 (20 TJ), who in turn on-sell capacity to Secondary Shipper 5 (30 TJ) and Secondary Shipper 6 (10 TJ).  If the service provider terminates Shipper 1’s primary GTA, then consideration will need to be given to how to treat the 20 TJ of capacity that it has sold. The options in this case includ</w:t>
      </w:r>
      <w:r w:rsidRPr="003F121E">
        <w:rPr>
          <w:szCs w:val="16"/>
        </w:rPr>
        <w:t>e:</w:t>
      </w:r>
    </w:p>
    <w:p w14:paraId="7543546D" w14:textId="77880193" w:rsidR="009E6A8A" w:rsidRPr="003F121E" w:rsidRDefault="009E6A8A" w:rsidP="005C4789">
      <w:pPr>
        <w:pStyle w:val="BodyText"/>
        <w:numPr>
          <w:ilvl w:val="2"/>
          <w:numId w:val="69"/>
        </w:numPr>
        <w:spacing w:before="60" w:after="60"/>
        <w:ind w:left="714" w:hanging="357"/>
        <w:rPr>
          <w:sz w:val="16"/>
          <w:szCs w:val="16"/>
        </w:rPr>
      </w:pPr>
      <w:r w:rsidRPr="003F121E">
        <w:rPr>
          <w:sz w:val="16"/>
          <w:szCs w:val="16"/>
        </w:rPr>
        <w:t xml:space="preserve">treating the 20 TJ defaulted capacity as if it were shared between Secondary Shipper 5 and Secondary Shipper 6 on a pro rata basis and curtail accordingly; or </w:t>
      </w:r>
    </w:p>
    <w:p w14:paraId="18EA2671" w14:textId="7E70E17A" w:rsidR="009E6A8A" w:rsidRPr="003F121E" w:rsidRDefault="009E6A8A" w:rsidP="005C4789">
      <w:pPr>
        <w:pStyle w:val="BodyText"/>
        <w:numPr>
          <w:ilvl w:val="2"/>
          <w:numId w:val="69"/>
        </w:numPr>
        <w:spacing w:before="60" w:after="60"/>
        <w:ind w:left="714" w:hanging="357"/>
        <w:rPr>
          <w:sz w:val="16"/>
          <w:szCs w:val="16"/>
        </w:rPr>
      </w:pPr>
      <w:r w:rsidRPr="003F121E">
        <w:rPr>
          <w:sz w:val="16"/>
          <w:szCs w:val="16"/>
        </w:rPr>
        <w:t>tra</w:t>
      </w:r>
      <w:r>
        <w:rPr>
          <w:sz w:val="16"/>
          <w:szCs w:val="16"/>
        </w:rPr>
        <w:t>c</w:t>
      </w:r>
      <w:r w:rsidRPr="003F121E">
        <w:rPr>
          <w:sz w:val="16"/>
          <w:szCs w:val="16"/>
        </w:rPr>
        <w:t xml:space="preserve">ing the trades through and treating the 20 TJ defaulted capacity as if it were held by Secondary Shipper 5 only and curtail on that basis. </w:t>
      </w:r>
    </w:p>
  </w:footnote>
  <w:footnote w:id="113">
    <w:p w14:paraId="2306B934" w14:textId="4A8A141C" w:rsidR="009E6A8A" w:rsidRDefault="009E6A8A">
      <w:pPr>
        <w:pStyle w:val="FootnoteText"/>
      </w:pPr>
      <w:r>
        <w:rPr>
          <w:rStyle w:val="FootnoteReference"/>
        </w:rPr>
        <w:footnoteRef/>
      </w:r>
      <w:r>
        <w:t xml:space="preserve"> </w:t>
      </w:r>
      <w:r>
        <w:tab/>
      </w:r>
      <w:r w:rsidRPr="00F232EA">
        <w:rPr>
          <w:szCs w:val="16"/>
        </w:rPr>
        <w:t xml:space="preserve">AEMC, Stage 2 Final Report: </w:t>
      </w:r>
      <w:r w:rsidRPr="00F232EA">
        <w:rPr>
          <w:rFonts w:cs="Arial"/>
          <w:i/>
          <w:iCs/>
          <w:szCs w:val="16"/>
        </w:rPr>
        <w:t>East Coast Review</w:t>
      </w:r>
      <w:r w:rsidRPr="00F232EA">
        <w:rPr>
          <w:rFonts w:cs="Arial"/>
          <w:iCs/>
          <w:szCs w:val="16"/>
        </w:rPr>
        <w:t>, 23 May 2016,</w:t>
      </w:r>
      <w:r w:rsidRPr="00F232EA">
        <w:rPr>
          <w:szCs w:val="16"/>
        </w:rPr>
        <w:t xml:space="preserve"> p. 1</w:t>
      </w:r>
      <w:r>
        <w:rPr>
          <w:szCs w:val="16"/>
        </w:rPr>
        <w:t>7</w:t>
      </w:r>
      <w:r w:rsidRPr="00F232EA">
        <w:rPr>
          <w:szCs w:val="16"/>
        </w:rPr>
        <w:t>.</w:t>
      </w:r>
    </w:p>
  </w:footnote>
  <w:footnote w:id="114">
    <w:p w14:paraId="17A79DC6" w14:textId="2C3B973B" w:rsidR="009E6A8A" w:rsidRDefault="009E6A8A">
      <w:pPr>
        <w:pStyle w:val="FootnoteText"/>
      </w:pPr>
      <w:r>
        <w:rPr>
          <w:rStyle w:val="FootnoteReference"/>
        </w:rPr>
        <w:footnoteRef/>
      </w:r>
      <w:r>
        <w:t xml:space="preserve"> </w:t>
      </w:r>
      <w:r>
        <w:tab/>
        <w:t>ibid, p. 98.</w:t>
      </w:r>
    </w:p>
  </w:footnote>
  <w:footnote w:id="115">
    <w:p w14:paraId="083F70B0" w14:textId="77777777" w:rsidR="009E6A8A" w:rsidRDefault="009E6A8A" w:rsidP="00151A17">
      <w:pPr>
        <w:pStyle w:val="FootnoteText"/>
      </w:pPr>
      <w:r>
        <w:rPr>
          <w:rStyle w:val="FootnoteReference"/>
        </w:rPr>
        <w:footnoteRef/>
      </w:r>
      <w:r>
        <w:t xml:space="preserve"> </w:t>
      </w:r>
      <w:r>
        <w:tab/>
        <w:t>ibid, p. 104.</w:t>
      </w:r>
    </w:p>
  </w:footnote>
  <w:footnote w:id="116">
    <w:p w14:paraId="57126E35" w14:textId="77777777" w:rsidR="009E6A8A" w:rsidRDefault="009E6A8A" w:rsidP="005F7365">
      <w:pPr>
        <w:pStyle w:val="FootnoteText"/>
      </w:pPr>
      <w:r>
        <w:rPr>
          <w:rStyle w:val="FootnoteReference"/>
        </w:rPr>
        <w:footnoteRef/>
      </w:r>
      <w:r>
        <w:t xml:space="preserve"> </w:t>
      </w:r>
      <w:r>
        <w:tab/>
        <w:t xml:space="preserve">Changes to the NGL would be required to include the necessary definitions and extend the AEMC’s rule making power to the new arrangements. </w:t>
      </w:r>
    </w:p>
  </w:footnote>
  <w:footnote w:id="117">
    <w:p w14:paraId="45AEFA92" w14:textId="12AF9DF9" w:rsidR="009E6A8A" w:rsidRDefault="009E6A8A">
      <w:pPr>
        <w:pStyle w:val="FootnoteText"/>
      </w:pPr>
      <w:r>
        <w:rPr>
          <w:rStyle w:val="FootnoteReference"/>
        </w:rPr>
        <w:footnoteRef/>
      </w:r>
      <w:r>
        <w:t xml:space="preserve"> </w:t>
      </w:r>
      <w:r>
        <w:tab/>
      </w:r>
      <w:r w:rsidRPr="00F232EA">
        <w:rPr>
          <w:szCs w:val="16"/>
        </w:rPr>
        <w:t xml:space="preserve">AEMC, Stage 2 Final Report: </w:t>
      </w:r>
      <w:r w:rsidRPr="00F232EA">
        <w:rPr>
          <w:rFonts w:cs="Arial"/>
          <w:i/>
          <w:iCs/>
          <w:szCs w:val="16"/>
        </w:rPr>
        <w:t>East Coast Review</w:t>
      </w:r>
      <w:r w:rsidRPr="00F232EA">
        <w:rPr>
          <w:rFonts w:cs="Arial"/>
          <w:iCs/>
          <w:szCs w:val="16"/>
        </w:rPr>
        <w:t>, 23 May 2016,</w:t>
      </w:r>
      <w:r w:rsidRPr="00F232EA">
        <w:rPr>
          <w:szCs w:val="16"/>
        </w:rPr>
        <w:t xml:space="preserve"> p</w:t>
      </w:r>
      <w:r>
        <w:rPr>
          <w:szCs w:val="16"/>
        </w:rPr>
        <w:t>p</w:t>
      </w:r>
      <w:r w:rsidRPr="00F232EA">
        <w:rPr>
          <w:szCs w:val="16"/>
        </w:rPr>
        <w:t xml:space="preserve">. </w:t>
      </w:r>
      <w:r>
        <w:rPr>
          <w:szCs w:val="16"/>
        </w:rPr>
        <w:t>104-105</w:t>
      </w:r>
      <w:r w:rsidRPr="00F232EA">
        <w:rPr>
          <w:szCs w:val="16"/>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4FFCF5" w14:textId="578AB260" w:rsidR="009E6A8A" w:rsidRPr="00E35A55" w:rsidRDefault="009E6A8A" w:rsidP="00F61E4D">
    <w:pPr>
      <w:pStyle w:val="Header"/>
      <w:tabs>
        <w:tab w:val="clear" w:pos="7796"/>
        <w:tab w:val="left" w:pos="4621"/>
      </w:tabs>
      <w:ind w:left="-623" w:hanging="142"/>
      <w:rPr>
        <w:b/>
        <w:sz w:val="24"/>
        <w:szCs w:val="24"/>
      </w:rPr>
    </w:pPr>
    <w:r>
      <w:rPr>
        <w:b/>
        <w:noProof/>
        <w:sz w:val="24"/>
        <w:szCs w:val="24"/>
        <w:lang w:eastAsia="en-AU"/>
      </w:rPr>
      <w:pict w14:anchorId="2E93CD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Gas Market Reform Group Logo" style="width:39.75pt;height:66pt">
          <v:imagedata r:id="rId1" o:title="GMRG-logo-stacked-small"/>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251434" w14:textId="5D1144F6" w:rsidR="009E6A8A" w:rsidRPr="00570893" w:rsidRDefault="009E6A8A" w:rsidP="00570893">
    <w:pPr>
      <w:pStyle w:val="Header"/>
      <w:ind w:left="-993" w:hanging="28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513C51" w14:textId="5EDF8E57" w:rsidR="009E6A8A" w:rsidRPr="00570893" w:rsidRDefault="009E6A8A" w:rsidP="00F61E4D">
    <w:pPr>
      <w:pStyle w:val="Header"/>
      <w:ind w:left="-623" w:hanging="142"/>
    </w:pPr>
    <w:bookmarkStart w:id="20" w:name="_Hlk491874944"/>
    <w:bookmarkStart w:id="21" w:name="_Hlk491874945"/>
    <w:bookmarkStart w:id="22" w:name="_Hlk491874946"/>
    <w:bookmarkStart w:id="23" w:name="_Hlk492057941"/>
    <w:bookmarkStart w:id="24" w:name="_Hlk492057942"/>
    <w:bookmarkStart w:id="25" w:name="_Hlk492057943"/>
    <w:bookmarkStart w:id="26" w:name="_Hlk492112240"/>
    <w:bookmarkStart w:id="27" w:name="_Hlk492112241"/>
    <w:bookmarkStart w:id="28" w:name="_Hlk492112242"/>
    <w:r>
      <w:rPr>
        <w:b/>
        <w:noProof/>
        <w:sz w:val="24"/>
        <w:szCs w:val="24"/>
        <w:lang w:eastAsia="en-AU"/>
      </w:rPr>
      <w:drawing>
        <wp:inline distT="0" distB="0" distL="0" distR="0" wp14:anchorId="0F919778" wp14:editId="5F6C89EB">
          <wp:extent cx="504825" cy="838200"/>
          <wp:effectExtent l="0" t="0" r="9525" b="0"/>
          <wp:docPr id="39" name="Picture 39" descr="GMRG-logo-stacked-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MRG-logo-stacked-sma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38200"/>
                  </a:xfrm>
                  <a:prstGeom prst="rect">
                    <a:avLst/>
                  </a:prstGeom>
                  <a:noFill/>
                  <a:ln>
                    <a:noFill/>
                  </a:ln>
                </pic:spPr>
              </pic:pic>
            </a:graphicData>
          </a:graphic>
        </wp:inline>
      </w:drawing>
    </w:r>
    <w:bookmarkEnd w:id="20"/>
    <w:bookmarkEnd w:id="21"/>
    <w:bookmarkEnd w:id="22"/>
    <w:bookmarkEnd w:id="23"/>
    <w:bookmarkEnd w:id="24"/>
    <w:bookmarkEnd w:id="25"/>
    <w:bookmarkEnd w:id="26"/>
    <w:bookmarkEnd w:id="27"/>
    <w:bookmarkEnd w:id="28"/>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2F741F" w14:textId="0A1DCDE2" w:rsidR="009E6A8A" w:rsidRPr="00395A4B" w:rsidRDefault="009E6A8A" w:rsidP="00F61E4D">
    <w:pPr>
      <w:pStyle w:val="Header"/>
      <w:ind w:left="-623" w:hanging="142"/>
    </w:pPr>
    <w:r>
      <w:rPr>
        <w:b/>
        <w:noProof/>
        <w:sz w:val="24"/>
        <w:szCs w:val="24"/>
        <w:lang w:eastAsia="en-AU"/>
      </w:rPr>
      <w:drawing>
        <wp:inline distT="0" distB="0" distL="0" distR="0" wp14:anchorId="61F3E678" wp14:editId="2F8A3364">
          <wp:extent cx="504825" cy="857250"/>
          <wp:effectExtent l="0" t="0" r="9525" b="0"/>
          <wp:docPr id="40" name="Picture 40" descr="Gas Market Reform Group Logo" title="GMR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F34DA6" w14:textId="0E323F91" w:rsidR="009E6A8A" w:rsidRPr="00395A4B" w:rsidRDefault="009E6A8A" w:rsidP="00F61E4D">
    <w:pPr>
      <w:pStyle w:val="Header"/>
      <w:ind w:left="-623" w:hanging="142"/>
    </w:pPr>
    <w:r>
      <w:rPr>
        <w:b/>
        <w:noProof/>
        <w:sz w:val="24"/>
        <w:szCs w:val="24"/>
        <w:lang w:eastAsia="en-AU"/>
      </w:rPr>
      <w:drawing>
        <wp:inline distT="0" distB="0" distL="0" distR="0" wp14:anchorId="1D675D8C" wp14:editId="7B87EA09">
          <wp:extent cx="504825" cy="857250"/>
          <wp:effectExtent l="0" t="0" r="9525" b="0"/>
          <wp:docPr id="41" name="Picture 41"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70E147" w14:textId="2F040CED" w:rsidR="009E6A8A" w:rsidRPr="00395A4B" w:rsidRDefault="009E6A8A" w:rsidP="00F61E4D">
    <w:pPr>
      <w:pStyle w:val="Header"/>
      <w:ind w:left="-623" w:hanging="142"/>
    </w:pPr>
    <w:r>
      <w:rPr>
        <w:b/>
        <w:noProof/>
        <w:sz w:val="24"/>
        <w:szCs w:val="24"/>
        <w:lang w:eastAsia="en-AU"/>
      </w:rPr>
      <w:drawing>
        <wp:inline distT="0" distB="0" distL="0" distR="0" wp14:anchorId="43AC79DB" wp14:editId="7A4396E0">
          <wp:extent cx="504825" cy="857250"/>
          <wp:effectExtent l="0" t="0" r="9525" b="0"/>
          <wp:docPr id="42" name="Picture 42"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4ADDB9" w14:textId="206DD57B" w:rsidR="009E6A8A" w:rsidRPr="00395A4B" w:rsidRDefault="009E6A8A" w:rsidP="00F61E4D">
    <w:pPr>
      <w:pStyle w:val="Header"/>
      <w:ind w:left="-623" w:hanging="142"/>
    </w:pPr>
    <w:r>
      <w:rPr>
        <w:b/>
        <w:noProof/>
        <w:sz w:val="24"/>
        <w:szCs w:val="24"/>
        <w:lang w:eastAsia="en-AU"/>
      </w:rPr>
      <w:drawing>
        <wp:inline distT="0" distB="0" distL="0" distR="0" wp14:anchorId="7428B12F" wp14:editId="32F81760">
          <wp:extent cx="504825" cy="857250"/>
          <wp:effectExtent l="0" t="0" r="9525" b="0"/>
          <wp:docPr id="21" name="Picture 21"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6072C8" w14:textId="7A0FCAC7" w:rsidR="009E6A8A" w:rsidRDefault="009E6A8A" w:rsidP="00B33AD5">
    <w:pPr>
      <w:pStyle w:val="Header"/>
      <w:ind w:left="-623" w:hanging="142"/>
    </w:pPr>
    <w:r>
      <w:rPr>
        <w:b/>
        <w:noProof/>
        <w:sz w:val="24"/>
        <w:szCs w:val="24"/>
        <w:lang w:eastAsia="en-AU"/>
      </w:rPr>
      <w:drawing>
        <wp:inline distT="0" distB="0" distL="0" distR="0" wp14:anchorId="4AA5A8C4" wp14:editId="111C8574">
          <wp:extent cx="504825" cy="857250"/>
          <wp:effectExtent l="0" t="0" r="9525" b="0"/>
          <wp:docPr id="45" name="Picture 45" descr="Gas Market Reform Group Logo" title="GMR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E783C7" w14:textId="5BADBD11" w:rsidR="009E6A8A" w:rsidRPr="00395A4B" w:rsidRDefault="009E6A8A" w:rsidP="00947034">
    <w:pPr>
      <w:pStyle w:val="Header"/>
      <w:ind w:left="-709" w:hanging="142"/>
    </w:pPr>
    <w:r>
      <w:rPr>
        <w:b/>
        <w:noProof/>
        <w:sz w:val="24"/>
        <w:szCs w:val="24"/>
        <w:lang w:eastAsia="en-AU"/>
      </w:rPr>
      <w:drawing>
        <wp:inline distT="0" distB="0" distL="0" distR="0" wp14:anchorId="6EA6D683" wp14:editId="56A4BBEB">
          <wp:extent cx="504825" cy="857250"/>
          <wp:effectExtent l="0" t="0" r="9525" b="0"/>
          <wp:docPr id="46" name="Picture 46" descr="Gas Market Reform Group Logo" title="Gas Marke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32DB9"/>
    <w:multiLevelType w:val="multilevel"/>
    <w:tmpl w:val="E5E89F92"/>
    <w:styleLink w:val="BulletList"/>
    <w:lvl w:ilvl="0">
      <w:start w:val="1"/>
      <w:numFmt w:val="bullet"/>
      <w:lvlText w:val=""/>
      <w:lvlJc w:val="left"/>
      <w:pPr>
        <w:ind w:left="369" w:hanging="369"/>
      </w:pPr>
      <w:rPr>
        <w:rFonts w:ascii="Symbol" w:hAnsi="Symbol" w:hint="default"/>
      </w:rPr>
    </w:lvl>
    <w:lvl w:ilvl="1">
      <w:start w:val="1"/>
      <w:numFmt w:val="none"/>
      <w:lvlText w:val="-"/>
      <w:lvlJc w:val="left"/>
      <w:pPr>
        <w:ind w:left="737" w:hanging="368"/>
      </w:pPr>
    </w:lvl>
    <w:lvl w:ilvl="2">
      <w:start w:val="1"/>
      <w:numFmt w:val="none"/>
      <w:lvlText w:val=":"/>
      <w:lvlJc w:val="left"/>
      <w:pPr>
        <w:ind w:left="1106" w:hanging="369"/>
      </w:pPr>
    </w:lvl>
    <w:lvl w:ilvl="3">
      <w:start w:val="1"/>
      <w:numFmt w:val="none"/>
      <w:lvlText w:val=""/>
      <w:lvlJc w:val="left"/>
      <w:pPr>
        <w:ind w:left="1474" w:hanging="368"/>
      </w:pPr>
      <w:rPr>
        <w:color w:val="auto"/>
      </w:rPr>
    </w:lvl>
    <w:lvl w:ilvl="4">
      <w:start w:val="1"/>
      <w:numFmt w:val="none"/>
      <w:lvlText w:val=""/>
      <w:lvlJc w:val="left"/>
      <w:pPr>
        <w:ind w:left="1800" w:hanging="360"/>
      </w:pPr>
      <w:rPr>
        <w:color w:val="auto"/>
      </w:rPr>
    </w:lvl>
    <w:lvl w:ilvl="5">
      <w:start w:val="1"/>
      <w:numFmt w:val="none"/>
      <w:lvlText w:val=""/>
      <w:lvlJc w:val="left"/>
      <w:pPr>
        <w:ind w:left="2160" w:hanging="360"/>
      </w:pPr>
      <w:rPr>
        <w:color w:val="auto"/>
      </w:rPr>
    </w:lvl>
    <w:lvl w:ilvl="6">
      <w:start w:val="1"/>
      <w:numFmt w:val="none"/>
      <w:lvlText w:val=""/>
      <w:lvlJc w:val="left"/>
      <w:pPr>
        <w:ind w:left="2520" w:hanging="360"/>
      </w:pPr>
      <w:rPr>
        <w:color w:val="auto"/>
      </w:rPr>
    </w:lvl>
    <w:lvl w:ilvl="7">
      <w:start w:val="1"/>
      <w:numFmt w:val="none"/>
      <w:lvlText w:val=""/>
      <w:lvlJc w:val="left"/>
      <w:pPr>
        <w:ind w:left="2880" w:hanging="360"/>
      </w:pPr>
      <w:rPr>
        <w:color w:val="auto"/>
      </w:rPr>
    </w:lvl>
    <w:lvl w:ilvl="8">
      <w:start w:val="1"/>
      <w:numFmt w:val="none"/>
      <w:lvlText w:val=""/>
      <w:lvlJc w:val="left"/>
      <w:pPr>
        <w:ind w:left="3240" w:hanging="360"/>
      </w:pPr>
      <w:rPr>
        <w:color w:val="auto"/>
      </w:rPr>
    </w:lvl>
  </w:abstractNum>
  <w:abstractNum w:abstractNumId="1" w15:restartNumberingAfterBreak="0">
    <w:nsid w:val="00F7340A"/>
    <w:multiLevelType w:val="multilevel"/>
    <w:tmpl w:val="1062F0D2"/>
    <w:lvl w:ilvl="0">
      <w:start w:val="1"/>
      <w:numFmt w:val="decimal"/>
      <w:lvlText w:val="(%1)"/>
      <w:lvlJc w:val="left"/>
      <w:pPr>
        <w:tabs>
          <w:tab w:val="num" w:pos="-31680"/>
        </w:tabs>
        <w:ind w:left="369" w:hanging="284"/>
      </w:pPr>
      <w:rPr>
        <w:rFonts w:ascii="Arial" w:hAnsi="Arial" w:hint="default"/>
        <w:b w:val="0"/>
        <w:i w:val="0"/>
        <w:sz w:val="18"/>
        <w:szCs w:val="26"/>
      </w:rPr>
    </w:lvl>
    <w:lvl w:ilvl="1">
      <w:start w:val="1"/>
      <w:numFmt w:val="lowerLetter"/>
      <w:lvlText w:val="%2."/>
      <w:lvlJc w:val="left"/>
      <w:pPr>
        <w:ind w:left="652" w:hanging="283"/>
      </w:pPr>
      <w:rPr>
        <w:rFonts w:hint="default"/>
      </w:rPr>
    </w:lvl>
    <w:lvl w:ilvl="2">
      <w:start w:val="1"/>
      <w:numFmt w:val="lowerRoman"/>
      <w:lvlText w:val="%3."/>
      <w:lvlJc w:val="left"/>
      <w:pPr>
        <w:ind w:left="936" w:hanging="284"/>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11F3B4F"/>
    <w:multiLevelType w:val="hybridMultilevel"/>
    <w:tmpl w:val="05608A08"/>
    <w:lvl w:ilvl="0" w:tplc="8F8EC1A6">
      <w:start w:val="1"/>
      <w:numFmt w:val="bullet"/>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3" w15:restartNumberingAfterBreak="0">
    <w:nsid w:val="02BA3DBE"/>
    <w:multiLevelType w:val="multilevel"/>
    <w:tmpl w:val="8DF8C6B6"/>
    <w:name w:val="MyNumbering8"/>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4" w15:restartNumberingAfterBreak="0">
    <w:nsid w:val="0364475F"/>
    <w:multiLevelType w:val="multilevel"/>
    <w:tmpl w:val="583A35FA"/>
    <w:name w:val="MyBullets9"/>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5" w15:restartNumberingAfterBreak="0">
    <w:nsid w:val="036F68CE"/>
    <w:multiLevelType w:val="multilevel"/>
    <w:tmpl w:val="9F2A8B76"/>
    <w:styleLink w:val="MyListNumbering"/>
    <w:lvl w:ilvl="0">
      <w:start w:val="1"/>
      <w:numFmt w:val="lowerLetter"/>
      <w:lvlText w:val="(%1)"/>
      <w:lvlJc w:val="left"/>
      <w:pPr>
        <w:tabs>
          <w:tab w:val="num" w:pos="567"/>
        </w:tabs>
        <w:ind w:left="360" w:hanging="360"/>
      </w:pPr>
      <w:rPr>
        <w:rFonts w:hint="default"/>
      </w:rPr>
    </w:lvl>
    <w:lvl w:ilvl="1">
      <w:start w:val="1"/>
      <w:numFmt w:val="lowerRoman"/>
      <w:lvlText w:val="%2."/>
      <w:lvlJc w:val="left"/>
      <w:pPr>
        <w:ind w:left="1440" w:hanging="360"/>
      </w:pPr>
      <w:rPr>
        <w:rFonts w:hint="default"/>
      </w:rPr>
    </w:lvl>
    <w:lvl w:ilvl="2">
      <w:start w:val="1"/>
      <w:numFmt w:val="decimal"/>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03B57116"/>
    <w:multiLevelType w:val="multilevel"/>
    <w:tmpl w:val="D8C832B8"/>
    <w:name w:val="TableNumbering2"/>
    <w:lvl w:ilvl="0">
      <w:start w:val="1"/>
      <w:numFmt w:val="none"/>
      <w:suff w:val="nothing"/>
      <w:lvlText w:val=""/>
      <w:lvlJc w:val="left"/>
      <w:pPr>
        <w:ind w:left="113" w:firstLine="0"/>
      </w:pPr>
      <w:rPr>
        <w:rFonts w:hint="default"/>
      </w:rPr>
    </w:lvl>
    <w:lvl w:ilvl="1">
      <w:start w:val="1"/>
      <w:numFmt w:val="decimal"/>
      <w:lvlText w:val="(%2)"/>
      <w:lvlJc w:val="left"/>
      <w:pPr>
        <w:tabs>
          <w:tab w:val="num" w:pos="425"/>
        </w:tabs>
        <w:ind w:left="425" w:hanging="425"/>
      </w:pPr>
      <w:rPr>
        <w:rFonts w:hint="default"/>
      </w:rPr>
    </w:lvl>
    <w:lvl w:ilvl="2">
      <w:start w:val="1"/>
      <w:numFmt w:val="none"/>
      <w:lvlText w:val=""/>
      <w:lvlJc w:val="left"/>
      <w:pPr>
        <w:ind w:left="340" w:hanging="340"/>
      </w:pPr>
      <w:rPr>
        <w:rFonts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7" w15:restartNumberingAfterBreak="0">
    <w:nsid w:val="0A8C43AA"/>
    <w:multiLevelType w:val="hybridMultilevel"/>
    <w:tmpl w:val="90406000"/>
    <w:name w:val="MyNumbering6222"/>
    <w:lvl w:ilvl="0" w:tplc="713CADB2">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BBA645EA">
      <w:start w:val="1"/>
      <w:numFmt w:val="lowerRoman"/>
      <w:lvlText w:val="(%4)"/>
      <w:lvlJc w:val="left"/>
      <w:pPr>
        <w:ind w:left="2880" w:hanging="360"/>
      </w:pPr>
      <w:rPr>
        <w:rFonts w:ascii="Arial" w:hAnsi="Arial" w:hint="default"/>
        <w:b w:val="0"/>
        <w:i/>
        <w:sz w:val="20"/>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34249880">
      <w:start w:val="1"/>
      <w:numFmt w:val="decimal"/>
      <w:lvlText w:val="%7."/>
      <w:lvlJc w:val="left"/>
      <w:pPr>
        <w:ind w:left="5040" w:hanging="360"/>
      </w:pPr>
      <w:rPr>
        <w:rFonts w:ascii="Arial" w:hAnsi="Arial" w:hint="default"/>
        <w:b w:val="0"/>
        <w:i w:val="0"/>
        <w:sz w:val="20"/>
      </w:r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0D7210F9"/>
    <w:multiLevelType w:val="multilevel"/>
    <w:tmpl w:val="583A35FA"/>
    <w:name w:val="MyBullets15"/>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9" w15:restartNumberingAfterBreak="0">
    <w:nsid w:val="0DA64AB1"/>
    <w:multiLevelType w:val="hybridMultilevel"/>
    <w:tmpl w:val="3A7033E8"/>
    <w:lvl w:ilvl="0" w:tplc="8F8EC1A6">
      <w:start w:val="1"/>
      <w:numFmt w:val="bullet"/>
      <w:lvlText w:val="-"/>
      <w:lvlJc w:val="left"/>
      <w:pPr>
        <w:ind w:left="72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0FB2573F"/>
    <w:multiLevelType w:val="multilevel"/>
    <w:tmpl w:val="DE1A4C60"/>
    <w:name w:val="TableFootnotes"/>
    <w:lvl w:ilvl="0">
      <w:start w:val="1"/>
      <w:numFmt w:val="none"/>
      <w:suff w:val="nothing"/>
      <w:lvlText w:val=""/>
      <w:lvlJc w:val="left"/>
      <w:pPr>
        <w:ind w:left="113" w:firstLine="0"/>
      </w:pPr>
      <w:rPr>
        <w:rFonts w:hint="default"/>
        <w:spacing w:val="-10"/>
      </w:rPr>
    </w:lvl>
    <w:lvl w:ilvl="1">
      <w:start w:val="1"/>
      <w:numFmt w:val="decimal"/>
      <w:lvlText w:val="(%2)"/>
      <w:lvlJc w:val="left"/>
      <w:pPr>
        <w:tabs>
          <w:tab w:val="num" w:pos="425"/>
        </w:tabs>
        <w:ind w:left="425" w:hanging="425"/>
      </w:pPr>
      <w:rPr>
        <w:rFonts w:hint="default"/>
        <w:spacing w:val="0"/>
        <w:w w:val="100"/>
        <w:kern w:val="0"/>
        <w:position w:val="0"/>
      </w:rPr>
    </w:lvl>
    <w:lvl w:ilvl="2">
      <w:start w:val="1"/>
      <w:numFmt w:val="none"/>
      <w:lvlRestart w:val="1"/>
      <w:lvlText w:val=""/>
      <w:lvlJc w:val="left"/>
      <w:pPr>
        <w:tabs>
          <w:tab w:val="num" w:pos="284"/>
        </w:tabs>
        <w:ind w:left="284" w:hanging="284"/>
      </w:pPr>
      <w:rPr>
        <w:rFonts w:hint="default"/>
        <w:color w:val="auto"/>
        <w:spacing w:val="-4"/>
      </w:rPr>
    </w:lvl>
    <w:lvl w:ilvl="3">
      <w:start w:val="1"/>
      <w:numFmt w:val="none"/>
      <w:lvlText w:val=""/>
      <w:lvlJc w:val="left"/>
      <w:pPr>
        <w:tabs>
          <w:tab w:val="num" w:pos="0"/>
        </w:tabs>
        <w:ind w:left="-709" w:firstLine="0"/>
      </w:pPr>
      <w:rPr>
        <w:rFonts w:hint="default"/>
        <w:spacing w:val="-10"/>
        <w:w w:val="100"/>
      </w:rPr>
    </w:lvl>
    <w:lvl w:ilvl="4">
      <w:start w:val="1"/>
      <w:numFmt w:val="none"/>
      <w:lvlText w:val=""/>
      <w:lvlJc w:val="left"/>
      <w:pPr>
        <w:tabs>
          <w:tab w:val="num" w:pos="2835"/>
        </w:tabs>
        <w:ind w:left="2835" w:hanging="567"/>
      </w:pPr>
      <w:rPr>
        <w:rFonts w:hint="default"/>
      </w:rPr>
    </w:lvl>
    <w:lvl w:ilvl="5">
      <w:start w:val="1"/>
      <w:numFmt w:val="none"/>
      <w:lvlText w:val=""/>
      <w:lvlJc w:val="left"/>
      <w:pPr>
        <w:tabs>
          <w:tab w:val="num" w:pos="2160"/>
        </w:tabs>
        <w:ind w:left="2016" w:hanging="936"/>
      </w:pPr>
      <w:rPr>
        <w:rFonts w:hint="default"/>
      </w:rPr>
    </w:lvl>
    <w:lvl w:ilvl="6">
      <w:start w:val="1"/>
      <w:numFmt w:val="lowerRoman"/>
      <w:lvlRestart w:val="1"/>
      <w:lvlText w:val="%7"/>
      <w:lvlJc w:val="left"/>
      <w:pPr>
        <w:tabs>
          <w:tab w:val="num" w:pos="369"/>
        </w:tabs>
        <w:ind w:left="369" w:hanging="369"/>
      </w:pPr>
      <w:rPr>
        <w:rFonts w:hint="default"/>
      </w:rPr>
    </w:lvl>
    <w:lvl w:ilvl="7">
      <w:start w:val="1"/>
      <w:numFmt w:val="lowerLetter"/>
      <w:lvlText w:val="%8."/>
      <w:lvlJc w:val="left"/>
      <w:pPr>
        <w:tabs>
          <w:tab w:val="num" w:pos="737"/>
        </w:tabs>
        <w:ind w:left="737" w:hanging="368"/>
      </w:pPr>
      <w:rPr>
        <w:rFonts w:hint="default"/>
        <w:position w:val="0"/>
      </w:rPr>
    </w:lvl>
    <w:lvl w:ilvl="8">
      <w:start w:val="1"/>
      <w:numFmt w:val="bullet"/>
      <w:lvlText w:val=""/>
      <w:lvlJc w:val="left"/>
      <w:pPr>
        <w:tabs>
          <w:tab w:val="num" w:pos="1106"/>
        </w:tabs>
        <w:ind w:left="1106" w:hanging="369"/>
      </w:pPr>
      <w:rPr>
        <w:rFonts w:ascii="Symbol" w:hAnsi="Symbol" w:hint="default"/>
        <w:position w:val="2"/>
        <w:sz w:val="20"/>
        <w:szCs w:val="20"/>
      </w:rPr>
    </w:lvl>
  </w:abstractNum>
  <w:abstractNum w:abstractNumId="11" w15:restartNumberingAfterBreak="0">
    <w:nsid w:val="0FF31932"/>
    <w:multiLevelType w:val="multilevel"/>
    <w:tmpl w:val="583A35FA"/>
    <w:name w:val="MyBullets22"/>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2" w15:restartNumberingAfterBreak="0">
    <w:nsid w:val="11A77141"/>
    <w:multiLevelType w:val="multilevel"/>
    <w:tmpl w:val="583A35FA"/>
    <w:name w:val="MyBullets16"/>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3" w15:restartNumberingAfterBreak="0">
    <w:nsid w:val="126B4FB4"/>
    <w:multiLevelType w:val="multilevel"/>
    <w:tmpl w:val="583A35FA"/>
    <w:name w:val="MyBullets36"/>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4" w15:restartNumberingAfterBreak="0">
    <w:nsid w:val="13111E92"/>
    <w:multiLevelType w:val="multilevel"/>
    <w:tmpl w:val="583A35FA"/>
    <w:name w:val="MyBullets14"/>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5" w15:restartNumberingAfterBreak="0">
    <w:nsid w:val="14890D1D"/>
    <w:multiLevelType w:val="multilevel"/>
    <w:tmpl w:val="583A35FA"/>
    <w:name w:val="MyBullets"/>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6" w15:restartNumberingAfterBreak="0">
    <w:nsid w:val="150E00BA"/>
    <w:multiLevelType w:val="multilevel"/>
    <w:tmpl w:val="583A35FA"/>
    <w:name w:val="MyBullets34"/>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7" w15:restartNumberingAfterBreak="0">
    <w:nsid w:val="17263C8B"/>
    <w:multiLevelType w:val="hybridMultilevel"/>
    <w:tmpl w:val="CB38E1DA"/>
    <w:lvl w:ilvl="0" w:tplc="8F8EC1A6">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174A3534"/>
    <w:multiLevelType w:val="multilevel"/>
    <w:tmpl w:val="583A35FA"/>
    <w:name w:val="MyBullets5"/>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19" w15:restartNumberingAfterBreak="0">
    <w:nsid w:val="18B347EF"/>
    <w:multiLevelType w:val="multilevel"/>
    <w:tmpl w:val="583A35FA"/>
    <w:name w:val="MyBullets33"/>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20" w15:restartNumberingAfterBreak="0">
    <w:nsid w:val="18DB37BE"/>
    <w:multiLevelType w:val="multilevel"/>
    <w:tmpl w:val="59A8F944"/>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21" w15:restartNumberingAfterBreak="0">
    <w:nsid w:val="19417B70"/>
    <w:multiLevelType w:val="hybridMultilevel"/>
    <w:tmpl w:val="763EB00E"/>
    <w:lvl w:ilvl="0" w:tplc="74404744">
      <w:start w:val="1"/>
      <w:numFmt w:val="bullet"/>
      <w:lvlText w:val=""/>
      <w:lvlJc w:val="left"/>
      <w:pPr>
        <w:tabs>
          <w:tab w:val="num" w:pos="720"/>
        </w:tabs>
        <w:ind w:left="720" w:hanging="360"/>
      </w:pPr>
      <w:rPr>
        <w:rFonts w:ascii="Wingdings 2" w:hAnsi="Wingdings 2" w:hint="default"/>
      </w:rPr>
    </w:lvl>
    <w:lvl w:ilvl="1" w:tplc="85CC88AA" w:tentative="1">
      <w:start w:val="1"/>
      <w:numFmt w:val="bullet"/>
      <w:lvlText w:val=""/>
      <w:lvlJc w:val="left"/>
      <w:pPr>
        <w:tabs>
          <w:tab w:val="num" w:pos="1440"/>
        </w:tabs>
        <w:ind w:left="1440" w:hanging="360"/>
      </w:pPr>
      <w:rPr>
        <w:rFonts w:ascii="Wingdings 2" w:hAnsi="Wingdings 2" w:hint="default"/>
      </w:rPr>
    </w:lvl>
    <w:lvl w:ilvl="2" w:tplc="68CA8FAA">
      <w:start w:val="1"/>
      <w:numFmt w:val="bullet"/>
      <w:lvlText w:val=""/>
      <w:lvlJc w:val="left"/>
      <w:pPr>
        <w:tabs>
          <w:tab w:val="num" w:pos="2160"/>
        </w:tabs>
        <w:ind w:left="2160" w:hanging="360"/>
      </w:pPr>
      <w:rPr>
        <w:rFonts w:ascii="Wingdings 2" w:hAnsi="Wingdings 2" w:hint="default"/>
      </w:rPr>
    </w:lvl>
    <w:lvl w:ilvl="3" w:tplc="FE0A65B4" w:tentative="1">
      <w:start w:val="1"/>
      <w:numFmt w:val="bullet"/>
      <w:lvlText w:val=""/>
      <w:lvlJc w:val="left"/>
      <w:pPr>
        <w:tabs>
          <w:tab w:val="num" w:pos="2880"/>
        </w:tabs>
        <w:ind w:left="2880" w:hanging="360"/>
      </w:pPr>
      <w:rPr>
        <w:rFonts w:ascii="Wingdings 2" w:hAnsi="Wingdings 2" w:hint="default"/>
      </w:rPr>
    </w:lvl>
    <w:lvl w:ilvl="4" w:tplc="1B0036B2" w:tentative="1">
      <w:start w:val="1"/>
      <w:numFmt w:val="bullet"/>
      <w:lvlText w:val=""/>
      <w:lvlJc w:val="left"/>
      <w:pPr>
        <w:tabs>
          <w:tab w:val="num" w:pos="3600"/>
        </w:tabs>
        <w:ind w:left="3600" w:hanging="360"/>
      </w:pPr>
      <w:rPr>
        <w:rFonts w:ascii="Wingdings 2" w:hAnsi="Wingdings 2" w:hint="default"/>
      </w:rPr>
    </w:lvl>
    <w:lvl w:ilvl="5" w:tplc="BBB24834" w:tentative="1">
      <w:start w:val="1"/>
      <w:numFmt w:val="bullet"/>
      <w:lvlText w:val=""/>
      <w:lvlJc w:val="left"/>
      <w:pPr>
        <w:tabs>
          <w:tab w:val="num" w:pos="4320"/>
        </w:tabs>
        <w:ind w:left="4320" w:hanging="360"/>
      </w:pPr>
      <w:rPr>
        <w:rFonts w:ascii="Wingdings 2" w:hAnsi="Wingdings 2" w:hint="default"/>
      </w:rPr>
    </w:lvl>
    <w:lvl w:ilvl="6" w:tplc="63BEE594" w:tentative="1">
      <w:start w:val="1"/>
      <w:numFmt w:val="bullet"/>
      <w:lvlText w:val=""/>
      <w:lvlJc w:val="left"/>
      <w:pPr>
        <w:tabs>
          <w:tab w:val="num" w:pos="5040"/>
        </w:tabs>
        <w:ind w:left="5040" w:hanging="360"/>
      </w:pPr>
      <w:rPr>
        <w:rFonts w:ascii="Wingdings 2" w:hAnsi="Wingdings 2" w:hint="default"/>
      </w:rPr>
    </w:lvl>
    <w:lvl w:ilvl="7" w:tplc="0426A4D2" w:tentative="1">
      <w:start w:val="1"/>
      <w:numFmt w:val="bullet"/>
      <w:lvlText w:val=""/>
      <w:lvlJc w:val="left"/>
      <w:pPr>
        <w:tabs>
          <w:tab w:val="num" w:pos="5760"/>
        </w:tabs>
        <w:ind w:left="5760" w:hanging="360"/>
      </w:pPr>
      <w:rPr>
        <w:rFonts w:ascii="Wingdings 2" w:hAnsi="Wingdings 2" w:hint="default"/>
      </w:rPr>
    </w:lvl>
    <w:lvl w:ilvl="8" w:tplc="AD7296D6" w:tentative="1">
      <w:start w:val="1"/>
      <w:numFmt w:val="bullet"/>
      <w:lvlText w:val=""/>
      <w:lvlJc w:val="left"/>
      <w:pPr>
        <w:tabs>
          <w:tab w:val="num" w:pos="6480"/>
        </w:tabs>
        <w:ind w:left="6480" w:hanging="360"/>
      </w:pPr>
      <w:rPr>
        <w:rFonts w:ascii="Wingdings 2" w:hAnsi="Wingdings 2" w:hint="default"/>
      </w:rPr>
    </w:lvl>
  </w:abstractNum>
  <w:abstractNum w:abstractNumId="22" w15:restartNumberingAfterBreak="0">
    <w:nsid w:val="1CC032E9"/>
    <w:multiLevelType w:val="multilevel"/>
    <w:tmpl w:val="583A35FA"/>
    <w:name w:val="MyBullets27"/>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23" w15:restartNumberingAfterBreak="0">
    <w:nsid w:val="1D6A2037"/>
    <w:multiLevelType w:val="hybridMultilevel"/>
    <w:tmpl w:val="CE5EA1C8"/>
    <w:lvl w:ilvl="0" w:tplc="91AE3A2E">
      <w:start w:val="1"/>
      <w:numFmt w:val="lowerRoman"/>
      <w:lvlText w:val="(%1)"/>
      <w:lvlJc w:val="left"/>
      <w:pPr>
        <w:ind w:left="720" w:hanging="360"/>
      </w:pPr>
      <w:rPr>
        <w:rFonts w:ascii="Arial" w:hAnsi="Arial" w:hint="default"/>
        <w:b w:val="0"/>
        <w:i w:val="0"/>
        <w:sz w:val="18"/>
        <w:szCs w:val="26"/>
      </w:rPr>
    </w:lvl>
    <w:lvl w:ilvl="1" w:tplc="0840F2F8">
      <w:start w:val="1"/>
      <w:numFmt w:val="lowerRoman"/>
      <w:lvlText w:val="(%2)"/>
      <w:lvlJc w:val="left"/>
      <w:pPr>
        <w:ind w:left="1440" w:hanging="360"/>
      </w:pPr>
      <w:rPr>
        <w:rFonts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1E752802"/>
    <w:multiLevelType w:val="hybridMultilevel"/>
    <w:tmpl w:val="57084850"/>
    <w:name w:val="MyNumbering33"/>
    <w:lvl w:ilvl="0" w:tplc="62EEBF52">
      <w:start w:val="1"/>
      <w:numFmt w:val="lowerLetter"/>
      <w:lvlText w:val="(%1)"/>
      <w:lvlJc w:val="left"/>
      <w:pPr>
        <w:ind w:left="720" w:hanging="360"/>
      </w:pPr>
      <w:rPr>
        <w:rFonts w:ascii="Arial" w:hAnsi="Arial" w:hint="default"/>
        <w:b w:val="0"/>
        <w:i w:val="0"/>
        <w:color w:val="231F20"/>
        <w:w w:val="100"/>
        <w:sz w:val="22"/>
        <w:szCs w:val="2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15:restartNumberingAfterBreak="0">
    <w:nsid w:val="1FF6579C"/>
    <w:multiLevelType w:val="multilevel"/>
    <w:tmpl w:val="8DF8C6B6"/>
    <w:name w:val="MyNumbering"/>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26" w15:restartNumberingAfterBreak="0">
    <w:nsid w:val="226A6EE6"/>
    <w:multiLevelType w:val="multilevel"/>
    <w:tmpl w:val="E4FE780E"/>
    <w:lvl w:ilvl="0">
      <w:start w:val="1"/>
      <w:numFmt w:val="bullet"/>
      <w:pStyle w:val="TableBullet1"/>
      <w:lvlText w:val=""/>
      <w:lvlJc w:val="left"/>
      <w:pPr>
        <w:tabs>
          <w:tab w:val="num" w:pos="312"/>
        </w:tabs>
        <w:ind w:left="312" w:hanging="227"/>
      </w:pPr>
      <w:rPr>
        <w:rFonts w:ascii="Wingdings" w:hAnsi="Wingdings" w:hint="default"/>
        <w:color w:val="auto"/>
        <w:position w:val="0"/>
        <w:sz w:val="18"/>
      </w:rPr>
    </w:lvl>
    <w:lvl w:ilvl="1">
      <w:start w:val="1"/>
      <w:numFmt w:val="bullet"/>
      <w:pStyle w:val="TableBullet2"/>
      <w:lvlText w:val="–"/>
      <w:lvlJc w:val="left"/>
      <w:pPr>
        <w:tabs>
          <w:tab w:val="num" w:pos="539"/>
        </w:tabs>
        <w:ind w:left="539" w:hanging="227"/>
      </w:pPr>
      <w:rPr>
        <w:rFonts w:ascii="Arial" w:hAnsi="Arial" w:hint="default"/>
        <w:color w:val="auto"/>
        <w:position w:val="0"/>
        <w:sz w:val="18"/>
      </w:rPr>
    </w:lvl>
    <w:lvl w:ilvl="2">
      <w:start w:val="1"/>
      <w:numFmt w:val="bullet"/>
      <w:pStyle w:val="TableBullet3"/>
      <w:lvlText w:val="•"/>
      <w:lvlJc w:val="left"/>
      <w:pPr>
        <w:tabs>
          <w:tab w:val="num" w:pos="765"/>
        </w:tabs>
        <w:ind w:left="765" w:hanging="226"/>
      </w:pPr>
      <w:rPr>
        <w:rFonts w:ascii="Book Antiqua" w:hAnsi="Book Antiqua" w:hint="default"/>
        <w:color w:val="auto"/>
        <w:position w:val="0"/>
        <w:sz w:val="18"/>
      </w:rPr>
    </w:lvl>
    <w:lvl w:ilvl="3">
      <w:start w:val="1"/>
      <w:numFmt w:val="none"/>
      <w:lvlText w:val=""/>
      <w:lvlJc w:val="left"/>
      <w:pPr>
        <w:tabs>
          <w:tab w:val="num" w:pos="1021"/>
        </w:tabs>
        <w:ind w:left="908" w:hanging="227"/>
      </w:pPr>
      <w:rPr>
        <w:rFonts w:hint="default"/>
        <w:color w:val="214C90" w:themeColor="text2"/>
        <w:sz w:val="16"/>
      </w:rPr>
    </w:lvl>
    <w:lvl w:ilvl="4">
      <w:start w:val="1"/>
      <w:numFmt w:val="none"/>
      <w:lvlText w:val=""/>
      <w:lvlJc w:val="left"/>
      <w:pPr>
        <w:tabs>
          <w:tab w:val="num" w:pos="1248"/>
        </w:tabs>
        <w:ind w:left="1135" w:hanging="227"/>
      </w:pPr>
      <w:rPr>
        <w:rFonts w:hint="default"/>
        <w:color w:val="214C90" w:themeColor="text2"/>
      </w:rPr>
    </w:lvl>
    <w:lvl w:ilvl="5">
      <w:start w:val="1"/>
      <w:numFmt w:val="none"/>
      <w:lvlText w:val=""/>
      <w:lvlJc w:val="left"/>
      <w:pPr>
        <w:tabs>
          <w:tab w:val="num" w:pos="1475"/>
        </w:tabs>
        <w:ind w:left="1362" w:hanging="227"/>
      </w:pPr>
      <w:rPr>
        <w:rFonts w:hint="default"/>
      </w:rPr>
    </w:lvl>
    <w:lvl w:ilvl="6">
      <w:start w:val="1"/>
      <w:numFmt w:val="none"/>
      <w:lvlText w:val=""/>
      <w:lvlJc w:val="left"/>
      <w:pPr>
        <w:tabs>
          <w:tab w:val="num" w:pos="1702"/>
        </w:tabs>
        <w:ind w:left="1589" w:hanging="227"/>
      </w:pPr>
      <w:rPr>
        <w:rFonts w:hint="default"/>
      </w:rPr>
    </w:lvl>
    <w:lvl w:ilvl="7">
      <w:start w:val="1"/>
      <w:numFmt w:val="none"/>
      <w:lvlText w:val=""/>
      <w:lvlJc w:val="left"/>
      <w:pPr>
        <w:tabs>
          <w:tab w:val="num" w:pos="1929"/>
        </w:tabs>
        <w:ind w:left="1816" w:hanging="227"/>
      </w:pPr>
      <w:rPr>
        <w:rFonts w:hint="default"/>
      </w:rPr>
    </w:lvl>
    <w:lvl w:ilvl="8">
      <w:start w:val="1"/>
      <w:numFmt w:val="none"/>
      <w:lvlText w:val=""/>
      <w:lvlJc w:val="left"/>
      <w:pPr>
        <w:tabs>
          <w:tab w:val="num" w:pos="2156"/>
        </w:tabs>
        <w:ind w:left="2043" w:hanging="227"/>
      </w:pPr>
      <w:rPr>
        <w:rFonts w:hint="default"/>
      </w:rPr>
    </w:lvl>
  </w:abstractNum>
  <w:abstractNum w:abstractNumId="27" w15:restartNumberingAfterBreak="0">
    <w:nsid w:val="254A468D"/>
    <w:multiLevelType w:val="hybridMultilevel"/>
    <w:tmpl w:val="A3568734"/>
    <w:name w:val="MyNumbering32"/>
    <w:lvl w:ilvl="0" w:tplc="A432922E">
      <w:start w:val="1"/>
      <w:numFmt w:val="decimal"/>
      <w:lvlText w:val="(%1)"/>
      <w:lvlJc w:val="left"/>
      <w:pPr>
        <w:ind w:left="720" w:hanging="360"/>
      </w:pPr>
      <w:rPr>
        <w:rFonts w:ascii="Arial" w:hAnsi="Arial" w:hint="default"/>
        <w:b w:val="0"/>
        <w:i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254B6A47"/>
    <w:multiLevelType w:val="multilevel"/>
    <w:tmpl w:val="305A6728"/>
    <w:name w:val="AlphaList"/>
    <w:lvl w:ilvl="0">
      <w:start w:val="1"/>
      <w:numFmt w:val="lowerLetter"/>
      <w:lvlText w:val="(%1)"/>
      <w:lvlJc w:val="left"/>
      <w:pPr>
        <w:tabs>
          <w:tab w:val="num" w:pos="397"/>
        </w:tabs>
        <w:ind w:left="397" w:hanging="397"/>
      </w:pPr>
      <w:rPr>
        <w:rFonts w:hint="default"/>
      </w:rPr>
    </w:lvl>
    <w:lvl w:ilvl="1">
      <w:start w:val="1"/>
      <w:numFmt w:val="lowerRoman"/>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decimal"/>
      <w:lvlText w:val="%4."/>
      <w:lvlJc w:val="left"/>
      <w:pPr>
        <w:tabs>
          <w:tab w:val="num" w:pos="1588"/>
        </w:tabs>
        <w:ind w:left="1588" w:hanging="397"/>
      </w:pPr>
      <w:rPr>
        <w:rFonts w:hint="default"/>
      </w:rPr>
    </w:lvl>
    <w:lvl w:ilvl="4">
      <w:start w:val="1"/>
      <w:numFmt w:val="none"/>
      <w:lvlText w:val=""/>
      <w:lvlJc w:val="left"/>
      <w:pPr>
        <w:tabs>
          <w:tab w:val="num" w:pos="2013"/>
        </w:tabs>
        <w:ind w:left="1985" w:hanging="397"/>
      </w:pPr>
      <w:rPr>
        <w:rFonts w:hint="default"/>
      </w:rPr>
    </w:lvl>
    <w:lvl w:ilvl="5">
      <w:start w:val="1"/>
      <w:numFmt w:val="none"/>
      <w:lvlText w:val=""/>
      <w:lvlJc w:val="left"/>
      <w:pPr>
        <w:tabs>
          <w:tab w:val="num" w:pos="2410"/>
        </w:tabs>
        <w:ind w:left="2382" w:hanging="397"/>
      </w:pPr>
      <w:rPr>
        <w:rFonts w:hint="default"/>
      </w:rPr>
    </w:lvl>
    <w:lvl w:ilvl="6">
      <w:start w:val="1"/>
      <w:numFmt w:val="none"/>
      <w:lvlText w:val=""/>
      <w:lvlJc w:val="left"/>
      <w:pPr>
        <w:tabs>
          <w:tab w:val="num" w:pos="2807"/>
        </w:tabs>
        <w:ind w:left="2779" w:hanging="397"/>
      </w:pPr>
      <w:rPr>
        <w:rFonts w:hint="default"/>
      </w:rPr>
    </w:lvl>
    <w:lvl w:ilvl="7">
      <w:start w:val="1"/>
      <w:numFmt w:val="none"/>
      <w:lvlText w:val=""/>
      <w:lvlJc w:val="left"/>
      <w:pPr>
        <w:tabs>
          <w:tab w:val="num" w:pos="3204"/>
        </w:tabs>
        <w:ind w:left="3176" w:hanging="397"/>
      </w:pPr>
      <w:rPr>
        <w:rFonts w:hint="default"/>
      </w:rPr>
    </w:lvl>
    <w:lvl w:ilvl="8">
      <w:start w:val="1"/>
      <w:numFmt w:val="none"/>
      <w:lvlText w:val=""/>
      <w:lvlJc w:val="left"/>
      <w:pPr>
        <w:tabs>
          <w:tab w:val="num" w:pos="3601"/>
        </w:tabs>
        <w:ind w:left="3573" w:hanging="397"/>
      </w:pPr>
      <w:rPr>
        <w:rFonts w:hint="default"/>
      </w:rPr>
    </w:lvl>
  </w:abstractNum>
  <w:abstractNum w:abstractNumId="29" w15:restartNumberingAfterBreak="0">
    <w:nsid w:val="26CB72D7"/>
    <w:multiLevelType w:val="hybridMultilevel"/>
    <w:tmpl w:val="EF16C6B4"/>
    <w:lvl w:ilvl="0" w:tplc="0840F2F8">
      <w:start w:val="1"/>
      <w:numFmt w:val="lowerRoman"/>
      <w:lvlText w:val="(%1)"/>
      <w:lvlJc w:val="left"/>
      <w:pPr>
        <w:ind w:left="72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27C445F5"/>
    <w:multiLevelType w:val="multilevel"/>
    <w:tmpl w:val="0EDEA0D8"/>
    <w:styleLink w:val="HangingList"/>
    <w:lvl w:ilvl="0">
      <w:start w:val="1"/>
      <w:numFmt w:val="none"/>
      <w:suff w:val="nothing"/>
      <w:lvlText w:val=""/>
      <w:lvlJc w:val="left"/>
      <w:pPr>
        <w:ind w:left="992" w:hanging="992"/>
      </w:pPr>
      <w:rPr>
        <w:rFonts w:hint="default"/>
      </w:rPr>
    </w:lvl>
    <w:lvl w:ilvl="1">
      <w:start w:val="1"/>
      <w:numFmt w:val="none"/>
      <w:suff w:val="nothing"/>
      <w:lvlText w:val=""/>
      <w:lvlJc w:val="left"/>
      <w:pPr>
        <w:ind w:left="1701" w:hanging="709"/>
      </w:pPr>
      <w:rPr>
        <w:rFonts w:hint="default"/>
      </w:rPr>
    </w:lvl>
    <w:lvl w:ilvl="2">
      <w:start w:val="1"/>
      <w:numFmt w:val="none"/>
      <w:suff w:val="nothing"/>
      <w:lvlText w:val=""/>
      <w:lvlJc w:val="left"/>
      <w:pPr>
        <w:ind w:left="2410" w:hanging="709"/>
      </w:pPr>
      <w:rPr>
        <w:rFonts w:hint="default"/>
      </w:rPr>
    </w:lvl>
    <w:lvl w:ilvl="3">
      <w:start w:val="1"/>
      <w:numFmt w:val="none"/>
      <w:suff w:val="nothing"/>
      <w:lvlText w:val=""/>
      <w:lvlJc w:val="left"/>
      <w:pPr>
        <w:ind w:left="3119" w:hanging="709"/>
      </w:pPr>
      <w:rPr>
        <w:rFonts w:hint="default"/>
      </w:rPr>
    </w:lvl>
    <w:lvl w:ilvl="4">
      <w:start w:val="1"/>
      <w:numFmt w:val="none"/>
      <w:suff w:val="nothing"/>
      <w:lvlText w:val=""/>
      <w:lvlJc w:val="left"/>
      <w:pPr>
        <w:ind w:left="3828" w:hanging="709"/>
      </w:pPr>
      <w:rPr>
        <w:rFonts w:hint="default"/>
      </w:rPr>
    </w:lvl>
    <w:lvl w:ilvl="5">
      <w:start w:val="1"/>
      <w:numFmt w:val="none"/>
      <w:suff w:val="nothing"/>
      <w:lvlText w:val=""/>
      <w:lvlJc w:val="left"/>
      <w:pPr>
        <w:ind w:left="4537" w:hanging="710"/>
      </w:pPr>
      <w:rPr>
        <w:rFonts w:hint="default"/>
      </w:rPr>
    </w:lvl>
    <w:lvl w:ilvl="6">
      <w:start w:val="1"/>
      <w:numFmt w:val="none"/>
      <w:suff w:val="nothing"/>
      <w:lvlText w:val=""/>
      <w:lvlJc w:val="left"/>
      <w:pPr>
        <w:ind w:left="5246" w:hanging="710"/>
      </w:pPr>
      <w:rPr>
        <w:rFonts w:hint="default"/>
      </w:rPr>
    </w:lvl>
    <w:lvl w:ilvl="7">
      <w:start w:val="1"/>
      <w:numFmt w:val="none"/>
      <w:suff w:val="nothing"/>
      <w:lvlText w:val=""/>
      <w:lvlJc w:val="left"/>
      <w:pPr>
        <w:ind w:left="5955" w:hanging="992"/>
      </w:pPr>
      <w:rPr>
        <w:rFonts w:hint="default"/>
      </w:rPr>
    </w:lvl>
    <w:lvl w:ilvl="8">
      <w:start w:val="1"/>
      <w:numFmt w:val="none"/>
      <w:suff w:val="nothing"/>
      <w:lvlText w:val=""/>
      <w:lvlJc w:val="left"/>
      <w:pPr>
        <w:ind w:left="6664" w:hanging="992"/>
      </w:pPr>
      <w:rPr>
        <w:rFonts w:hint="default"/>
      </w:rPr>
    </w:lvl>
  </w:abstractNum>
  <w:abstractNum w:abstractNumId="31" w15:restartNumberingAfterBreak="0">
    <w:nsid w:val="2911260D"/>
    <w:multiLevelType w:val="multilevel"/>
    <w:tmpl w:val="BB8EE6B2"/>
    <w:lvl w:ilvl="0">
      <w:start w:val="1"/>
      <w:numFmt w:val="decimal"/>
      <w:pStyle w:val="NotesNumbered"/>
      <w:lvlText w:val="%1."/>
      <w:lvlJc w:val="left"/>
      <w:pPr>
        <w:tabs>
          <w:tab w:val="num" w:pos="284"/>
        </w:tabs>
        <w:ind w:left="284" w:hanging="28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29E20C04"/>
    <w:multiLevelType w:val="multilevel"/>
    <w:tmpl w:val="775ED5F2"/>
    <w:lvl w:ilvl="0">
      <w:start w:val="1"/>
      <w:numFmt w:val="upperLetter"/>
      <w:pStyle w:val="AppendixLevel1"/>
      <w:lvlText w:val="%1."/>
      <w:lvlJc w:val="left"/>
      <w:pPr>
        <w:ind w:left="1134" w:hanging="1134"/>
      </w:pPr>
    </w:lvl>
    <w:lvl w:ilvl="1">
      <w:start w:val="1"/>
      <w:numFmt w:val="decimal"/>
      <w:pStyle w:val="AppendixLevel2"/>
      <w:lvlText w:val="%1.%2"/>
      <w:lvlJc w:val="left"/>
      <w:pPr>
        <w:ind w:left="1134" w:hanging="1134"/>
      </w:pPr>
    </w:lvl>
    <w:lvl w:ilvl="2">
      <w:start w:val="1"/>
      <w:numFmt w:val="decimal"/>
      <w:pStyle w:val="AppendixLevel3"/>
      <w:lvlText w:val="%1.%2.%3"/>
      <w:lvlJc w:val="left"/>
      <w:pPr>
        <w:ind w:left="1134" w:hanging="1134"/>
      </w:pPr>
    </w:lvl>
    <w:lvl w:ilvl="3">
      <w:start w:val="1"/>
      <w:numFmt w:val="none"/>
      <w:lvlText w:val="(%4)"/>
      <w:lvlJc w:val="left"/>
      <w:pPr>
        <w:ind w:left="1808" w:hanging="737"/>
      </w:pPr>
    </w:lvl>
    <w:lvl w:ilvl="4">
      <w:start w:val="1"/>
      <w:numFmt w:val="lowerLetter"/>
      <w:lvlText w:val="(%5)"/>
      <w:lvlJc w:val="left"/>
      <w:pPr>
        <w:ind w:left="2165" w:hanging="737"/>
      </w:pPr>
    </w:lvl>
    <w:lvl w:ilvl="5">
      <w:start w:val="1"/>
      <w:numFmt w:val="lowerRoman"/>
      <w:lvlText w:val="(%6)"/>
      <w:lvlJc w:val="left"/>
      <w:pPr>
        <w:ind w:left="2522" w:hanging="737"/>
      </w:pPr>
    </w:lvl>
    <w:lvl w:ilvl="6">
      <w:start w:val="1"/>
      <w:numFmt w:val="decimal"/>
      <w:lvlText w:val="%7."/>
      <w:lvlJc w:val="left"/>
      <w:pPr>
        <w:ind w:left="2879" w:hanging="737"/>
      </w:pPr>
    </w:lvl>
    <w:lvl w:ilvl="7">
      <w:start w:val="1"/>
      <w:numFmt w:val="lowerLetter"/>
      <w:lvlText w:val="%8."/>
      <w:lvlJc w:val="left"/>
      <w:pPr>
        <w:ind w:left="3236" w:hanging="737"/>
      </w:pPr>
    </w:lvl>
    <w:lvl w:ilvl="8">
      <w:start w:val="1"/>
      <w:numFmt w:val="lowerRoman"/>
      <w:lvlText w:val="%9."/>
      <w:lvlJc w:val="left"/>
      <w:pPr>
        <w:ind w:left="3593" w:hanging="737"/>
      </w:pPr>
    </w:lvl>
  </w:abstractNum>
  <w:abstractNum w:abstractNumId="33" w15:restartNumberingAfterBreak="0">
    <w:nsid w:val="2C976934"/>
    <w:multiLevelType w:val="multilevel"/>
    <w:tmpl w:val="C9881CB4"/>
    <w:name w:val="TableBullets"/>
    <w:styleLink w:val="TableBullets"/>
    <w:lvl w:ilvl="0">
      <w:start w:val="1"/>
      <w:numFmt w:val="bullet"/>
      <w:suff w:val="nothing"/>
      <w:lvlText w:val=""/>
      <w:lvlJc w:val="left"/>
      <w:pPr>
        <w:ind w:left="284" w:hanging="171"/>
      </w:pPr>
      <w:rPr>
        <w:rFonts w:ascii="Symbol" w:hAnsi="Symbol" w:hint="default"/>
        <w:color w:val="auto"/>
      </w:rPr>
    </w:lvl>
    <w:lvl w:ilvl="1">
      <w:start w:val="1"/>
      <w:numFmt w:val="bullet"/>
      <w:lvlText w:val="–"/>
      <w:lvlJc w:val="left"/>
      <w:pPr>
        <w:ind w:left="454" w:hanging="170"/>
      </w:pPr>
      <w:rPr>
        <w:rFonts w:ascii="Georgia" w:hAnsi="Georgia" w:hint="default"/>
        <w:color w:val="auto"/>
      </w:rPr>
    </w:lvl>
    <w:lvl w:ilvl="2">
      <w:start w:val="1"/>
      <w:numFmt w:val="bullet"/>
      <w:lvlText w:val="o"/>
      <w:lvlJc w:val="left"/>
      <w:pPr>
        <w:tabs>
          <w:tab w:val="num" w:pos="454"/>
        </w:tabs>
        <w:ind w:left="624" w:hanging="170"/>
      </w:pPr>
      <w:rPr>
        <w:rFonts w:ascii="Courier New" w:hAnsi="Courier New"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34" w15:restartNumberingAfterBreak="0">
    <w:nsid w:val="2CF45687"/>
    <w:multiLevelType w:val="multilevel"/>
    <w:tmpl w:val="583A35FA"/>
    <w:name w:val="MyBullets4"/>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35" w15:restartNumberingAfterBreak="0">
    <w:nsid w:val="2DCE6818"/>
    <w:multiLevelType w:val="multilevel"/>
    <w:tmpl w:val="583A35FA"/>
    <w:name w:val="MyBullets13"/>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36" w15:restartNumberingAfterBreak="0">
    <w:nsid w:val="315672CA"/>
    <w:multiLevelType w:val="multilevel"/>
    <w:tmpl w:val="938274C0"/>
    <w:name w:val="Table Numbering"/>
    <w:lvl w:ilvl="0">
      <w:start w:val="1"/>
      <w:numFmt w:val="decimal"/>
      <w:lvlText w:val="%1."/>
      <w:lvlJc w:val="left"/>
      <w:pPr>
        <w:tabs>
          <w:tab w:val="num" w:pos="425"/>
        </w:tabs>
        <w:ind w:left="425" w:hanging="425"/>
      </w:pPr>
      <w:rPr>
        <w:rFonts w:hint="default"/>
        <w:b/>
        <w:i w:val="0"/>
        <w:color w:val="auto"/>
      </w:rPr>
    </w:lvl>
    <w:lvl w:ilvl="1">
      <w:start w:val="1"/>
      <w:numFmt w:val="lowerLetter"/>
      <w:lvlText w:val="%2)"/>
      <w:lvlJc w:val="left"/>
      <w:pPr>
        <w:tabs>
          <w:tab w:val="num" w:pos="851"/>
        </w:tabs>
        <w:ind w:left="850" w:hanging="425"/>
      </w:pPr>
      <w:rPr>
        <w:rFonts w:hint="default"/>
        <w:b/>
        <w:i w:val="0"/>
        <w:color w:val="auto"/>
      </w:rPr>
    </w:lvl>
    <w:lvl w:ilvl="2">
      <w:start w:val="1"/>
      <w:numFmt w:val="lowerRoman"/>
      <w:lvlText w:val="%3)"/>
      <w:lvlJc w:val="left"/>
      <w:pPr>
        <w:tabs>
          <w:tab w:val="num" w:pos="1276"/>
        </w:tabs>
        <w:ind w:left="1275" w:hanging="425"/>
      </w:pPr>
      <w:rPr>
        <w:rFonts w:hint="default"/>
        <w:b/>
        <w:i w:val="0"/>
        <w:color w:val="auto"/>
        <w:sz w:val="18"/>
      </w:rPr>
    </w:lvl>
    <w:lvl w:ilvl="3">
      <w:start w:val="1"/>
      <w:numFmt w:val="none"/>
      <w:lvlText w:val="%4"/>
      <w:lvlJc w:val="left"/>
      <w:pPr>
        <w:tabs>
          <w:tab w:val="num" w:pos="1701"/>
        </w:tabs>
        <w:ind w:left="1700" w:hanging="425"/>
      </w:pPr>
      <w:rPr>
        <w:rFonts w:hint="default"/>
        <w:b/>
        <w:i w:val="0"/>
        <w:color w:val="000000" w:themeColor="text1"/>
      </w:rPr>
    </w:lvl>
    <w:lvl w:ilvl="4">
      <w:start w:val="1"/>
      <w:numFmt w:val="none"/>
      <w:lvlText w:val="%5"/>
      <w:lvlJc w:val="left"/>
      <w:pPr>
        <w:tabs>
          <w:tab w:val="num" w:pos="2126"/>
        </w:tabs>
        <w:ind w:left="2125" w:hanging="425"/>
      </w:pPr>
      <w:rPr>
        <w:rFonts w:hint="default"/>
        <w:b/>
        <w:i w:val="0"/>
        <w:color w:val="000000" w:themeColor="text1"/>
      </w:rPr>
    </w:lvl>
    <w:lvl w:ilvl="5">
      <w:start w:val="1"/>
      <w:numFmt w:val="none"/>
      <w:lvlText w:val=""/>
      <w:lvlJc w:val="left"/>
      <w:pPr>
        <w:tabs>
          <w:tab w:val="num" w:pos="2522"/>
        </w:tabs>
        <w:ind w:left="2550" w:hanging="425"/>
      </w:pPr>
      <w:rPr>
        <w:rFonts w:hint="default"/>
      </w:rPr>
    </w:lvl>
    <w:lvl w:ilvl="6">
      <w:start w:val="1"/>
      <w:numFmt w:val="none"/>
      <w:lvlText w:val=""/>
      <w:lvlJc w:val="left"/>
      <w:pPr>
        <w:tabs>
          <w:tab w:val="num" w:pos="2947"/>
        </w:tabs>
        <w:ind w:left="2975" w:hanging="425"/>
      </w:pPr>
      <w:rPr>
        <w:rFonts w:hint="default"/>
      </w:rPr>
    </w:lvl>
    <w:lvl w:ilvl="7">
      <w:start w:val="1"/>
      <w:numFmt w:val="none"/>
      <w:lvlText w:val=""/>
      <w:lvlJc w:val="left"/>
      <w:pPr>
        <w:tabs>
          <w:tab w:val="num" w:pos="3372"/>
        </w:tabs>
        <w:ind w:left="3400" w:hanging="425"/>
      </w:pPr>
      <w:rPr>
        <w:rFonts w:hint="default"/>
      </w:rPr>
    </w:lvl>
    <w:lvl w:ilvl="8">
      <w:start w:val="1"/>
      <w:numFmt w:val="none"/>
      <w:lvlText w:val=""/>
      <w:lvlJc w:val="left"/>
      <w:pPr>
        <w:tabs>
          <w:tab w:val="num" w:pos="3797"/>
        </w:tabs>
        <w:ind w:left="3825" w:hanging="425"/>
      </w:pPr>
      <w:rPr>
        <w:rFonts w:hint="default"/>
      </w:rPr>
    </w:lvl>
  </w:abstractNum>
  <w:abstractNum w:abstractNumId="37" w15:restartNumberingAfterBreak="0">
    <w:nsid w:val="3192772E"/>
    <w:multiLevelType w:val="multilevel"/>
    <w:tmpl w:val="583A35FA"/>
    <w:name w:val="MyBullets8"/>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38" w15:restartNumberingAfterBreak="0">
    <w:nsid w:val="32F0649C"/>
    <w:multiLevelType w:val="multilevel"/>
    <w:tmpl w:val="583A35FA"/>
    <w:name w:val="MyBullets25"/>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39" w15:restartNumberingAfterBreak="0">
    <w:nsid w:val="353B574C"/>
    <w:multiLevelType w:val="multilevel"/>
    <w:tmpl w:val="583A35FA"/>
    <w:name w:val="MyBullets21"/>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0" w15:restartNumberingAfterBreak="0">
    <w:nsid w:val="37BD00BF"/>
    <w:multiLevelType w:val="multilevel"/>
    <w:tmpl w:val="583A35FA"/>
    <w:name w:val="MyBullets23"/>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1" w15:restartNumberingAfterBreak="0">
    <w:nsid w:val="37E16566"/>
    <w:multiLevelType w:val="multilevel"/>
    <w:tmpl w:val="8DF8C6B6"/>
    <w:name w:val="MyNumbering7"/>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42" w15:restartNumberingAfterBreak="0">
    <w:nsid w:val="39CB5DDF"/>
    <w:multiLevelType w:val="multilevel"/>
    <w:tmpl w:val="583A35FA"/>
    <w:name w:val="MyBullets10"/>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3" w15:restartNumberingAfterBreak="0">
    <w:nsid w:val="3A51023F"/>
    <w:multiLevelType w:val="hybridMultilevel"/>
    <w:tmpl w:val="97E81086"/>
    <w:lvl w:ilvl="0" w:tplc="450679CA">
      <w:start w:val="1"/>
      <w:numFmt w:val="lowerLetter"/>
      <w:lvlText w:val="(%1)"/>
      <w:lvlJc w:val="left"/>
      <w:pPr>
        <w:ind w:left="720" w:hanging="360"/>
      </w:pPr>
      <w:rPr>
        <w:rFonts w:ascii="Arial" w:hAnsi="Arial" w:hint="default"/>
        <w:b w:val="0"/>
        <w:i w:val="0"/>
        <w:color w:val="231F20"/>
        <w:w w:val="100"/>
        <w:sz w:val="20"/>
        <w:szCs w:val="2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4" w15:restartNumberingAfterBreak="0">
    <w:nsid w:val="3AC734CF"/>
    <w:multiLevelType w:val="hybridMultilevel"/>
    <w:tmpl w:val="6E9E426C"/>
    <w:name w:val="MyNumbering5"/>
    <w:lvl w:ilvl="0" w:tplc="A432922E">
      <w:start w:val="1"/>
      <w:numFmt w:val="decimal"/>
      <w:lvlText w:val="(%1)"/>
      <w:lvlJc w:val="left"/>
      <w:pPr>
        <w:ind w:left="720" w:hanging="360"/>
      </w:pPr>
      <w:rPr>
        <w:rFonts w:ascii="Arial" w:hAnsi="Arial" w:hint="default"/>
        <w:b w:val="0"/>
        <w:i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5" w15:restartNumberingAfterBreak="0">
    <w:nsid w:val="3EDB238B"/>
    <w:multiLevelType w:val="multilevel"/>
    <w:tmpl w:val="761CA308"/>
    <w:lvl w:ilvl="0">
      <w:start w:val="1"/>
      <w:numFmt w:val="decimal"/>
      <w:pStyle w:val="Heading1"/>
      <w:lvlText w:val="%1."/>
      <w:lvlJc w:val="left"/>
      <w:pPr>
        <w:ind w:left="4169" w:hanging="624"/>
      </w:pPr>
      <w:rPr>
        <w:rFonts w:hint="default"/>
      </w:rPr>
    </w:lvl>
    <w:lvl w:ilvl="1">
      <w:start w:val="1"/>
      <w:numFmt w:val="decimal"/>
      <w:pStyle w:val="Heading2"/>
      <w:lvlText w:val="%1.%2"/>
      <w:lvlJc w:val="left"/>
      <w:pPr>
        <w:ind w:left="3744" w:hanging="624"/>
      </w:pPr>
      <w:rPr>
        <w:rFonts w:hint="default"/>
      </w:rPr>
    </w:lvl>
    <w:lvl w:ilvl="2">
      <w:start w:val="1"/>
      <w:numFmt w:val="decimal"/>
      <w:pStyle w:val="Heading3"/>
      <w:lvlText w:val="%1.%2.%3"/>
      <w:lvlJc w:val="left"/>
      <w:pPr>
        <w:ind w:left="624" w:hanging="624"/>
      </w:pPr>
      <w:rPr>
        <w:rFonts w:hint="default"/>
        <w:b/>
      </w:rPr>
    </w:lvl>
    <w:lvl w:ilvl="3">
      <w:start w:val="1"/>
      <w:numFmt w:val="decimal"/>
      <w:pStyle w:val="Heading4"/>
      <w:lvlText w:val="%1.%2.%3.%4"/>
      <w:lvlJc w:val="left"/>
      <w:pPr>
        <w:ind w:left="907" w:hanging="907"/>
      </w:pPr>
      <w:rPr>
        <w:rFonts w:hint="default"/>
      </w:rPr>
    </w:lvl>
    <w:lvl w:ilvl="4">
      <w:start w:val="1"/>
      <w:numFmt w:val="decimal"/>
      <w:pStyle w:val="Heading5"/>
      <w:lvlText w:val="%1.%2.%3.%4.%5"/>
      <w:lvlJc w:val="left"/>
      <w:pPr>
        <w:ind w:left="1134" w:hanging="1134"/>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6" w15:restartNumberingAfterBreak="0">
    <w:nsid w:val="3F240BDB"/>
    <w:multiLevelType w:val="hybridMultilevel"/>
    <w:tmpl w:val="EDE639C2"/>
    <w:name w:val="MyNumbering4"/>
    <w:lvl w:ilvl="0" w:tplc="0C090003">
      <w:start w:val="1"/>
      <w:numFmt w:val="bullet"/>
      <w:lvlText w:val="o"/>
      <w:lvlJc w:val="left"/>
      <w:pPr>
        <w:ind w:left="720" w:hanging="360"/>
      </w:pPr>
      <w:rPr>
        <w:rFonts w:ascii="Courier New" w:hAnsi="Courier New" w:cs="Courier New"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15:restartNumberingAfterBreak="0">
    <w:nsid w:val="3F9D3D47"/>
    <w:multiLevelType w:val="multilevel"/>
    <w:tmpl w:val="583A35FA"/>
    <w:name w:val="MyBullets18"/>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48" w15:restartNumberingAfterBreak="0">
    <w:nsid w:val="4247713B"/>
    <w:multiLevelType w:val="multilevel"/>
    <w:tmpl w:val="277629B6"/>
    <w:name w:val="MyNumbering622"/>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49" w15:restartNumberingAfterBreak="0">
    <w:nsid w:val="434C71DD"/>
    <w:multiLevelType w:val="hybridMultilevel"/>
    <w:tmpl w:val="8EB68272"/>
    <w:lvl w:ilvl="0" w:tplc="56349C82">
      <w:start w:val="1"/>
      <w:numFmt w:val="lowerLetter"/>
      <w:lvlText w:val="(%1)"/>
      <w:lvlJc w:val="left"/>
      <w:pPr>
        <w:ind w:left="720" w:hanging="360"/>
      </w:pPr>
      <w:rPr>
        <w:rFonts w:ascii="Arial" w:hAnsi="Arial" w:hint="default"/>
        <w:b w:val="0"/>
        <w:i w:val="0"/>
        <w:sz w:val="18"/>
        <w:szCs w:val="26"/>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0" w15:restartNumberingAfterBreak="0">
    <w:nsid w:val="43665411"/>
    <w:multiLevelType w:val="multilevel"/>
    <w:tmpl w:val="583A35FA"/>
    <w:name w:val="MyBullets35"/>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51" w15:restartNumberingAfterBreak="0">
    <w:nsid w:val="45D07742"/>
    <w:multiLevelType w:val="multilevel"/>
    <w:tmpl w:val="8DF8C6B6"/>
    <w:name w:val="MyNumbering9"/>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52" w15:restartNumberingAfterBreak="0">
    <w:nsid w:val="45FF7C58"/>
    <w:multiLevelType w:val="multilevel"/>
    <w:tmpl w:val="583A35FA"/>
    <w:name w:val="MyBullets19"/>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53" w15:restartNumberingAfterBreak="0">
    <w:nsid w:val="47844F2D"/>
    <w:multiLevelType w:val="multilevel"/>
    <w:tmpl w:val="DC0412A8"/>
    <w:name w:val="items"/>
    <w:lvl w:ilvl="0">
      <w:start w:val="1"/>
      <w:numFmt w:val="decimal"/>
      <w:lvlRestart w:val="0"/>
      <w:lvlText w:val="%1."/>
      <w:lvlJc w:val="left"/>
      <w:pPr>
        <w:ind w:left="624" w:hanging="624"/>
      </w:pPr>
      <w:rPr>
        <w:color w:val="5D89B4" w:themeColor="accent3"/>
        <w:sz w:val="22"/>
        <w:szCs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4" w15:restartNumberingAfterBreak="0">
    <w:nsid w:val="49267E33"/>
    <w:multiLevelType w:val="multilevel"/>
    <w:tmpl w:val="583A35FA"/>
    <w:name w:val="MyBullets32"/>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55" w15:restartNumberingAfterBreak="0">
    <w:nsid w:val="495451BC"/>
    <w:multiLevelType w:val="multilevel"/>
    <w:tmpl w:val="583A35FA"/>
    <w:name w:val="MyBullets2"/>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56" w15:restartNumberingAfterBreak="0">
    <w:nsid w:val="4A9D27B0"/>
    <w:multiLevelType w:val="hybridMultilevel"/>
    <w:tmpl w:val="E27A23E6"/>
    <w:name w:val="MyNumbering62242"/>
    <w:lvl w:ilvl="0" w:tplc="3290243E">
      <w:start w:val="1"/>
      <w:numFmt w:val="lowerLetter"/>
      <w:lvlText w:val="%1"/>
      <w:lvlJc w:val="left"/>
      <w:pPr>
        <w:ind w:left="1077" w:hanging="360"/>
      </w:pPr>
      <w:rPr>
        <w:rFonts w:ascii="Arial" w:hAnsi="Arial" w:hint="default"/>
        <w:b w:val="0"/>
        <w:i w:val="0"/>
        <w:sz w:val="22"/>
        <w:szCs w:val="26"/>
      </w:rPr>
    </w:lvl>
    <w:lvl w:ilvl="1" w:tplc="0C090019" w:tentative="1">
      <w:start w:val="1"/>
      <w:numFmt w:val="lowerLetter"/>
      <w:lvlText w:val="%2."/>
      <w:lvlJc w:val="left"/>
      <w:pPr>
        <w:ind w:left="1797" w:hanging="360"/>
      </w:pPr>
    </w:lvl>
    <w:lvl w:ilvl="2" w:tplc="0C09001B" w:tentative="1">
      <w:start w:val="1"/>
      <w:numFmt w:val="lowerRoman"/>
      <w:lvlText w:val="%3."/>
      <w:lvlJc w:val="right"/>
      <w:pPr>
        <w:ind w:left="2517" w:hanging="180"/>
      </w:pPr>
    </w:lvl>
    <w:lvl w:ilvl="3" w:tplc="0C09000F" w:tentative="1">
      <w:start w:val="1"/>
      <w:numFmt w:val="decimal"/>
      <w:lvlText w:val="%4."/>
      <w:lvlJc w:val="left"/>
      <w:pPr>
        <w:ind w:left="3237" w:hanging="360"/>
      </w:pPr>
    </w:lvl>
    <w:lvl w:ilvl="4" w:tplc="0C090019" w:tentative="1">
      <w:start w:val="1"/>
      <w:numFmt w:val="lowerLetter"/>
      <w:lvlText w:val="%5."/>
      <w:lvlJc w:val="left"/>
      <w:pPr>
        <w:ind w:left="3957" w:hanging="360"/>
      </w:pPr>
    </w:lvl>
    <w:lvl w:ilvl="5" w:tplc="0C09001B" w:tentative="1">
      <w:start w:val="1"/>
      <w:numFmt w:val="lowerRoman"/>
      <w:lvlText w:val="%6."/>
      <w:lvlJc w:val="right"/>
      <w:pPr>
        <w:ind w:left="4677" w:hanging="180"/>
      </w:pPr>
    </w:lvl>
    <w:lvl w:ilvl="6" w:tplc="0C09000F" w:tentative="1">
      <w:start w:val="1"/>
      <w:numFmt w:val="decimal"/>
      <w:lvlText w:val="%7."/>
      <w:lvlJc w:val="left"/>
      <w:pPr>
        <w:ind w:left="5397" w:hanging="360"/>
      </w:pPr>
    </w:lvl>
    <w:lvl w:ilvl="7" w:tplc="0C090019" w:tentative="1">
      <w:start w:val="1"/>
      <w:numFmt w:val="lowerLetter"/>
      <w:lvlText w:val="%8."/>
      <w:lvlJc w:val="left"/>
      <w:pPr>
        <w:ind w:left="6117" w:hanging="360"/>
      </w:pPr>
    </w:lvl>
    <w:lvl w:ilvl="8" w:tplc="0C09001B" w:tentative="1">
      <w:start w:val="1"/>
      <w:numFmt w:val="lowerRoman"/>
      <w:lvlText w:val="%9."/>
      <w:lvlJc w:val="right"/>
      <w:pPr>
        <w:ind w:left="6837" w:hanging="180"/>
      </w:pPr>
    </w:lvl>
  </w:abstractNum>
  <w:abstractNum w:abstractNumId="57" w15:restartNumberingAfterBreak="0">
    <w:nsid w:val="4BFF2C71"/>
    <w:multiLevelType w:val="hybridMultilevel"/>
    <w:tmpl w:val="7160E82E"/>
    <w:name w:val="MyNumbering3"/>
    <w:lvl w:ilvl="0" w:tplc="9036DE78">
      <w:start w:val="1"/>
      <w:numFmt w:val="decimal"/>
      <w:lvlText w:val="(%1)"/>
      <w:lvlJc w:val="left"/>
      <w:pPr>
        <w:ind w:left="720" w:hanging="360"/>
      </w:pPr>
      <w:rPr>
        <w:rFonts w:ascii="Arial" w:hAnsi="Arial" w:hint="default"/>
        <w:b w:val="0"/>
        <w:i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8" w15:restartNumberingAfterBreak="0">
    <w:nsid w:val="4EF67232"/>
    <w:multiLevelType w:val="multilevel"/>
    <w:tmpl w:val="100AAA4C"/>
    <w:name w:val="Axiom Appendices"/>
    <w:lvl w:ilvl="0">
      <w:start w:val="1"/>
      <w:numFmt w:val="upperLetter"/>
      <w:lvlRestart w:val="0"/>
      <w:pStyle w:val="Heading9"/>
      <w:lvlText w:val="Appendix %1"/>
      <w:lvlJc w:val="left"/>
      <w:pPr>
        <w:ind w:left="2268" w:hanging="2268"/>
      </w:pPr>
      <w:rPr>
        <w:rFonts w:hint="default"/>
      </w:rPr>
    </w:lvl>
    <w:lvl w:ilvl="1">
      <w:start w:val="1"/>
      <w:numFmt w:val="decimal"/>
      <w:pStyle w:val="AppendixHeading2"/>
      <w:lvlText w:val="%1.%2"/>
      <w:lvlJc w:val="left"/>
      <w:pPr>
        <w:ind w:left="851" w:hanging="851"/>
      </w:pPr>
      <w:rPr>
        <w:rFonts w:hint="default"/>
      </w:rPr>
    </w:lvl>
    <w:lvl w:ilvl="2">
      <w:start w:val="1"/>
      <w:numFmt w:val="decimal"/>
      <w:pStyle w:val="AppendixHeading3"/>
      <w:lvlText w:val="%1.%2.%3"/>
      <w:lvlJc w:val="left"/>
      <w:pPr>
        <w:ind w:left="851" w:hanging="851"/>
      </w:pPr>
      <w:rPr>
        <w:rFonts w:hint="default"/>
      </w:rPr>
    </w:lvl>
    <w:lvl w:ilvl="3">
      <w:start w:val="1"/>
      <w:numFmt w:val="decimal"/>
      <w:pStyle w:val="AppendixHeading4"/>
      <w:lvlText w:val="%1.%2.%3.%4"/>
      <w:lvlJc w:val="left"/>
      <w:pPr>
        <w:ind w:left="851" w:hanging="851"/>
      </w:pPr>
      <w:rPr>
        <w:rFonts w:hint="default"/>
        <w:b/>
        <w:i w:val="0"/>
      </w:rPr>
    </w:lvl>
    <w:lvl w:ilvl="4">
      <w:start w:val="1"/>
      <w:numFmt w:val="none"/>
      <w:suff w:val="space"/>
      <w:lvlText w:val=""/>
      <w:lvlJc w:val="left"/>
      <w:pPr>
        <w:ind w:left="851" w:hanging="851"/>
      </w:pPr>
      <w:rPr>
        <w:rFonts w:hint="default"/>
      </w:rPr>
    </w:lvl>
    <w:lvl w:ilvl="5">
      <w:start w:val="1"/>
      <w:numFmt w:val="none"/>
      <w:lvlText w:val=""/>
      <w:lvlJc w:val="left"/>
      <w:pPr>
        <w:ind w:left="851" w:hanging="851"/>
      </w:pPr>
      <w:rPr>
        <w:rFonts w:hint="default"/>
      </w:rPr>
    </w:lvl>
    <w:lvl w:ilvl="6">
      <w:start w:val="1"/>
      <w:numFmt w:val="none"/>
      <w:lvlText w:val=""/>
      <w:lvlJc w:val="left"/>
      <w:pPr>
        <w:ind w:left="851" w:hanging="851"/>
      </w:pPr>
      <w:rPr>
        <w:rFonts w:hint="default"/>
      </w:rPr>
    </w:lvl>
    <w:lvl w:ilvl="7">
      <w:start w:val="1"/>
      <w:numFmt w:val="none"/>
      <w:lvlText w:val=""/>
      <w:lvlJc w:val="left"/>
      <w:pPr>
        <w:ind w:left="851" w:hanging="851"/>
      </w:pPr>
      <w:rPr>
        <w:rFonts w:hint="default"/>
      </w:rPr>
    </w:lvl>
    <w:lvl w:ilvl="8">
      <w:start w:val="1"/>
      <w:numFmt w:val="none"/>
      <w:lvlText w:val=""/>
      <w:lvlJc w:val="left"/>
      <w:pPr>
        <w:ind w:left="851" w:hanging="851"/>
      </w:pPr>
      <w:rPr>
        <w:rFonts w:hint="default"/>
      </w:rPr>
    </w:lvl>
  </w:abstractNum>
  <w:abstractNum w:abstractNumId="59" w15:restartNumberingAfterBreak="0">
    <w:nsid w:val="4FE25902"/>
    <w:multiLevelType w:val="multilevel"/>
    <w:tmpl w:val="E89892DA"/>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60" w15:restartNumberingAfterBreak="0">
    <w:nsid w:val="4FED0F20"/>
    <w:multiLevelType w:val="multilevel"/>
    <w:tmpl w:val="8FFE7F86"/>
    <w:lvl w:ilvl="0">
      <w:start w:val="1"/>
      <w:numFmt w:val="bullet"/>
      <w:lvlText w:val=""/>
      <w:lvlJc w:val="left"/>
      <w:pPr>
        <w:ind w:left="369" w:hanging="369"/>
      </w:pPr>
      <w:rPr>
        <w:rFonts w:ascii="Wingdings" w:hAnsi="Wingdings" w:hint="default"/>
      </w:rPr>
    </w:lvl>
    <w:lvl w:ilvl="1">
      <w:start w:val="1"/>
      <w:numFmt w:val="bullet"/>
      <w:lvlText w:val="o"/>
      <w:lvlJc w:val="left"/>
      <w:pPr>
        <w:ind w:left="737" w:hanging="368"/>
      </w:pPr>
      <w:rPr>
        <w:rFonts w:ascii="Courier New" w:hAnsi="Courier New" w:cs="Courier New" w:hint="default"/>
      </w:rPr>
    </w:lvl>
    <w:lvl w:ilvl="2">
      <w:start w:val="1"/>
      <w:numFmt w:val="none"/>
      <w:lvlText w:val=":"/>
      <w:lvlJc w:val="left"/>
      <w:pPr>
        <w:ind w:left="1106" w:hanging="369"/>
      </w:pPr>
      <w:rPr>
        <w:rFonts w:hint="default"/>
      </w:rPr>
    </w:lvl>
    <w:lvl w:ilvl="3">
      <w:start w:val="1"/>
      <w:numFmt w:val="none"/>
      <w:lvlText w:val=""/>
      <w:lvlJc w:val="left"/>
      <w:pPr>
        <w:ind w:left="1474" w:hanging="368"/>
      </w:pPr>
      <w:rPr>
        <w:rFonts w:hint="default"/>
        <w:color w:val="auto"/>
      </w:rPr>
    </w:lvl>
    <w:lvl w:ilvl="4">
      <w:start w:val="1"/>
      <w:numFmt w:val="none"/>
      <w:lvlText w:val=""/>
      <w:lvlJc w:val="left"/>
      <w:pPr>
        <w:ind w:left="1800" w:hanging="360"/>
      </w:pPr>
      <w:rPr>
        <w:rFonts w:hint="default"/>
        <w:color w:val="auto"/>
      </w:rPr>
    </w:lvl>
    <w:lvl w:ilvl="5">
      <w:start w:val="1"/>
      <w:numFmt w:val="none"/>
      <w:lvlText w:val=""/>
      <w:lvlJc w:val="left"/>
      <w:pPr>
        <w:ind w:left="2160" w:hanging="360"/>
      </w:pPr>
      <w:rPr>
        <w:rFonts w:hint="default"/>
        <w:color w:val="auto"/>
      </w:rPr>
    </w:lvl>
    <w:lvl w:ilvl="6">
      <w:start w:val="1"/>
      <w:numFmt w:val="none"/>
      <w:lvlText w:val=""/>
      <w:lvlJc w:val="left"/>
      <w:pPr>
        <w:ind w:left="2520" w:hanging="360"/>
      </w:pPr>
      <w:rPr>
        <w:rFonts w:hint="default"/>
        <w:color w:val="auto"/>
      </w:rPr>
    </w:lvl>
    <w:lvl w:ilvl="7">
      <w:start w:val="1"/>
      <w:numFmt w:val="none"/>
      <w:lvlText w:val=""/>
      <w:lvlJc w:val="left"/>
      <w:pPr>
        <w:ind w:left="2880" w:hanging="360"/>
      </w:pPr>
      <w:rPr>
        <w:rFonts w:hint="default"/>
        <w:color w:val="auto"/>
      </w:rPr>
    </w:lvl>
    <w:lvl w:ilvl="8">
      <w:start w:val="1"/>
      <w:numFmt w:val="none"/>
      <w:lvlText w:val=""/>
      <w:lvlJc w:val="left"/>
      <w:pPr>
        <w:ind w:left="3240" w:hanging="360"/>
      </w:pPr>
      <w:rPr>
        <w:rFonts w:hint="default"/>
        <w:color w:val="auto"/>
      </w:rPr>
    </w:lvl>
  </w:abstractNum>
  <w:abstractNum w:abstractNumId="61" w15:restartNumberingAfterBreak="0">
    <w:nsid w:val="512A7060"/>
    <w:multiLevelType w:val="multilevel"/>
    <w:tmpl w:val="583A35FA"/>
    <w:name w:val="MyBullets11"/>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2" w15:restartNumberingAfterBreak="0">
    <w:nsid w:val="51A144D2"/>
    <w:multiLevelType w:val="multilevel"/>
    <w:tmpl w:val="583A35FA"/>
    <w:name w:val="MyBullets29"/>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3" w15:restartNumberingAfterBreak="0">
    <w:nsid w:val="52456C28"/>
    <w:multiLevelType w:val="multilevel"/>
    <w:tmpl w:val="472A8ED0"/>
    <w:name w:val="U1_Legal Numbering"/>
    <w:lvl w:ilvl="0">
      <w:start w:val="1"/>
      <w:numFmt w:val="decimal"/>
      <w:lvlText w:val="%1."/>
      <w:lvlJc w:val="left"/>
      <w:pPr>
        <w:ind w:left="567" w:hanging="567"/>
      </w:pPr>
      <w:rPr>
        <w:rFonts w:hint="default"/>
      </w:rPr>
    </w:lvl>
    <w:lvl w:ilvl="1">
      <w:start w:val="1"/>
      <w:numFmt w:val="decimal"/>
      <w:lvlText w:val="%1.%2"/>
      <w:lvlJc w:val="left"/>
      <w:pPr>
        <w:ind w:left="1134" w:hanging="567"/>
      </w:pPr>
      <w:rPr>
        <w:rFonts w:hint="default"/>
      </w:rPr>
    </w:lvl>
    <w:lvl w:ilvl="2">
      <w:start w:val="1"/>
      <w:numFmt w:val="decimal"/>
      <w:lvlText w:val="%1.%2.%3"/>
      <w:lvlJc w:val="left"/>
      <w:pPr>
        <w:tabs>
          <w:tab w:val="num" w:pos="1134"/>
        </w:tabs>
        <w:ind w:left="1814" w:hanging="680"/>
      </w:pPr>
      <w:rPr>
        <w:rFonts w:hint="default"/>
      </w:rPr>
    </w:lvl>
    <w:lvl w:ilvl="3">
      <w:start w:val="1"/>
      <w:numFmt w:val="decimal"/>
      <w:suff w:val="space"/>
      <w:lvlText w:val="%1.%2.%3.%4  "/>
      <w:lvlJc w:val="left"/>
      <w:pPr>
        <w:ind w:left="2268" w:hanging="454"/>
      </w:pPr>
      <w:rPr>
        <w:rFonts w:hint="default"/>
      </w:rPr>
    </w:lvl>
    <w:lvl w:ilvl="4">
      <w:start w:val="1"/>
      <w:numFmt w:val="none"/>
      <w:suff w:val="space"/>
      <w:lvlText w:val=""/>
      <w:lvlJc w:val="left"/>
      <w:pPr>
        <w:ind w:left="2835" w:hanging="567"/>
      </w:pPr>
      <w:rPr>
        <w:rFonts w:hint="default"/>
      </w:rPr>
    </w:lvl>
    <w:lvl w:ilvl="5">
      <w:start w:val="1"/>
      <w:numFmt w:val="none"/>
      <w:suff w:val="space"/>
      <w:lvlText w:val=""/>
      <w:lvlJc w:val="left"/>
      <w:pPr>
        <w:ind w:left="3402" w:hanging="567"/>
      </w:pPr>
      <w:rPr>
        <w:rFonts w:hint="default"/>
      </w:rPr>
    </w:lvl>
    <w:lvl w:ilvl="6">
      <w:start w:val="1"/>
      <w:numFmt w:val="none"/>
      <w:suff w:val="space"/>
      <w:lvlText w:val=""/>
      <w:lvlJc w:val="left"/>
      <w:pPr>
        <w:ind w:left="3969" w:hanging="567"/>
      </w:pPr>
      <w:rPr>
        <w:rFonts w:hint="default"/>
      </w:rPr>
    </w:lvl>
    <w:lvl w:ilvl="7">
      <w:start w:val="1"/>
      <w:numFmt w:val="none"/>
      <w:suff w:val="space"/>
      <w:lvlText w:val=""/>
      <w:lvlJc w:val="left"/>
      <w:pPr>
        <w:ind w:left="4536" w:hanging="567"/>
      </w:pPr>
      <w:rPr>
        <w:rFonts w:hint="default"/>
      </w:rPr>
    </w:lvl>
    <w:lvl w:ilvl="8">
      <w:start w:val="1"/>
      <w:numFmt w:val="none"/>
      <w:suff w:val="space"/>
      <w:lvlText w:val=""/>
      <w:lvlJc w:val="left"/>
      <w:pPr>
        <w:ind w:left="5103" w:hanging="567"/>
      </w:pPr>
      <w:rPr>
        <w:rFonts w:hint="default"/>
      </w:rPr>
    </w:lvl>
  </w:abstractNum>
  <w:abstractNum w:abstractNumId="64" w15:restartNumberingAfterBreak="0">
    <w:nsid w:val="52890B29"/>
    <w:multiLevelType w:val="hybridMultilevel"/>
    <w:tmpl w:val="067CFC18"/>
    <w:name w:val="MyHeadings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5" w15:restartNumberingAfterBreak="0">
    <w:nsid w:val="55A605C1"/>
    <w:multiLevelType w:val="multilevel"/>
    <w:tmpl w:val="583A35FA"/>
    <w:name w:val="MyBullets20"/>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6" w15:restartNumberingAfterBreak="0">
    <w:nsid w:val="55D6482D"/>
    <w:multiLevelType w:val="multilevel"/>
    <w:tmpl w:val="583A35FA"/>
    <w:name w:val="MyBullets3"/>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7" w15:restartNumberingAfterBreak="0">
    <w:nsid w:val="571F7B36"/>
    <w:multiLevelType w:val="multilevel"/>
    <w:tmpl w:val="583A35FA"/>
    <w:name w:val="MyBullets12"/>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68" w15:restartNumberingAfterBreak="0">
    <w:nsid w:val="58741D25"/>
    <w:multiLevelType w:val="multilevel"/>
    <w:tmpl w:val="10107B4A"/>
    <w:name w:val="TableNumbering"/>
    <w:styleLink w:val="TableFootnotes"/>
    <w:lvl w:ilvl="0">
      <w:start w:val="1"/>
      <w:numFmt w:val="none"/>
      <w:suff w:val="nothing"/>
      <w:lvlText w:val=""/>
      <w:lvlJc w:val="left"/>
      <w:pPr>
        <w:ind w:left="0" w:firstLine="0"/>
      </w:pPr>
      <w:rPr>
        <w:rFonts w:hint="default"/>
      </w:rPr>
    </w:lvl>
    <w:lvl w:ilvl="1">
      <w:start w:val="1"/>
      <w:numFmt w:val="decimal"/>
      <w:lvlText w:val="(%2)"/>
      <w:lvlJc w:val="left"/>
      <w:pPr>
        <w:ind w:left="340" w:hanging="340"/>
      </w:pPr>
      <w:rPr>
        <w:rFonts w:hint="default"/>
      </w:rPr>
    </w:lvl>
    <w:lvl w:ilvl="2">
      <w:start w:val="1"/>
      <w:numFmt w:val="none"/>
      <w:lvlText w:val=""/>
      <w:lvlJc w:val="left"/>
      <w:pPr>
        <w:ind w:left="340" w:hanging="340"/>
      </w:pPr>
      <w:rPr>
        <w:rFonts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69" w15:restartNumberingAfterBreak="0">
    <w:nsid w:val="593E71A5"/>
    <w:multiLevelType w:val="multilevel"/>
    <w:tmpl w:val="583A35FA"/>
    <w:name w:val="MyBullets26"/>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70" w15:restartNumberingAfterBreak="0">
    <w:nsid w:val="5A5A77E1"/>
    <w:multiLevelType w:val="multilevel"/>
    <w:tmpl w:val="583A35FA"/>
    <w:name w:val="MyBullets6"/>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71" w15:restartNumberingAfterBreak="0">
    <w:nsid w:val="5AE6625A"/>
    <w:multiLevelType w:val="multilevel"/>
    <w:tmpl w:val="FF203CF0"/>
    <w:name w:val="MyHeadings"/>
    <w:lvl w:ilvl="0">
      <w:start w:val="1"/>
      <w:numFmt w:val="decimal"/>
      <w:suff w:val="space"/>
      <w:lvlText w:val="%1."/>
      <w:lvlJc w:val="left"/>
      <w:pPr>
        <w:ind w:left="0" w:firstLine="0"/>
      </w:pPr>
      <w:rPr>
        <w:rFonts w:asciiTheme="majorHAnsi" w:hAnsiTheme="majorHAnsi" w:hint="default"/>
        <w:b/>
        <w:i w:val="0"/>
        <w:color w:val="E1E2E7" w:themeColor="background2"/>
        <w:sz w:val="40"/>
      </w:rPr>
    </w:lvl>
    <w:lvl w:ilvl="1">
      <w:start w:val="1"/>
      <w:numFmt w:val="decimal"/>
      <w:suff w:val="space"/>
      <w:lvlText w:val="%1.%2"/>
      <w:lvlJc w:val="left"/>
      <w:pPr>
        <w:ind w:left="0" w:firstLine="0"/>
      </w:pPr>
      <w:rPr>
        <w:rFonts w:asciiTheme="majorHAnsi" w:hAnsiTheme="majorHAnsi" w:hint="default"/>
        <w:b/>
        <w:i w:val="0"/>
        <w:color w:val="214C90" w:themeColor="text2"/>
        <w:spacing w:val="-6"/>
        <w:sz w:val="32"/>
      </w:rPr>
    </w:lvl>
    <w:lvl w:ilvl="2">
      <w:start w:val="1"/>
      <w:numFmt w:val="decimal"/>
      <w:suff w:val="space"/>
      <w:lvlText w:val="%1.%2.%3"/>
      <w:lvlJc w:val="left"/>
      <w:pPr>
        <w:ind w:left="0" w:firstLine="0"/>
      </w:pPr>
      <w:rPr>
        <w:rFonts w:asciiTheme="majorHAnsi" w:hAnsiTheme="majorHAnsi" w:hint="default"/>
        <w:b/>
        <w:i w:val="0"/>
        <w:color w:val="46A6A9" w:themeColor="accent2"/>
        <w:spacing w:val="-4"/>
        <w:sz w:val="24"/>
      </w:rPr>
    </w:lvl>
    <w:lvl w:ilvl="3">
      <w:start w:val="1"/>
      <w:numFmt w:val="decimal"/>
      <w:suff w:val="space"/>
      <w:lvlText w:val="%1.%2.%3.%4"/>
      <w:lvlJc w:val="left"/>
      <w:pPr>
        <w:ind w:left="0" w:firstLine="0"/>
      </w:pPr>
      <w:rPr>
        <w:rFonts w:asciiTheme="majorHAnsi" w:hAnsiTheme="majorHAnsi" w:hint="default"/>
        <w:b/>
        <w:i w:val="0"/>
        <w:color w:val="auto"/>
        <w:sz w:val="20"/>
      </w:rPr>
    </w:lvl>
    <w:lvl w:ilvl="4">
      <w:start w:val="1"/>
      <w:numFmt w:val="none"/>
      <w:suff w:val="space"/>
      <w:lvlText w:val=""/>
      <w:lvlJc w:val="left"/>
      <w:pPr>
        <w:ind w:left="0" w:firstLine="0"/>
      </w:pPr>
      <w:rPr>
        <w:rFonts w:hint="default"/>
      </w:rPr>
    </w:lvl>
    <w:lvl w:ilvl="5">
      <w:start w:val="1"/>
      <w:numFmt w:val="none"/>
      <w:lvlText w:val=""/>
      <w:lvlJc w:val="left"/>
      <w:pPr>
        <w:tabs>
          <w:tab w:val="num" w:pos="-31680"/>
        </w:tabs>
        <w:ind w:left="0" w:firstLine="0"/>
      </w:pPr>
      <w:rPr>
        <w:rFonts w:hint="default"/>
      </w:rPr>
    </w:lvl>
    <w:lvl w:ilvl="6">
      <w:start w:val="1"/>
      <w:numFmt w:val="none"/>
      <w:lvlText w:val=""/>
      <w:lvlJc w:val="left"/>
      <w:pPr>
        <w:tabs>
          <w:tab w:val="num" w:pos="-31680"/>
        </w:tabs>
        <w:ind w:left="0" w:firstLine="0"/>
      </w:pPr>
      <w:rPr>
        <w:rFonts w:hint="default"/>
      </w:rPr>
    </w:lvl>
    <w:lvl w:ilvl="7">
      <w:start w:val="1"/>
      <w:numFmt w:val="none"/>
      <w:lvlText w:val=""/>
      <w:lvlJc w:val="left"/>
      <w:pPr>
        <w:tabs>
          <w:tab w:val="num" w:pos="-31680"/>
        </w:tabs>
        <w:ind w:left="0" w:firstLine="0"/>
      </w:pPr>
      <w:rPr>
        <w:rFonts w:hint="default"/>
      </w:rPr>
    </w:lvl>
    <w:lvl w:ilvl="8">
      <w:start w:val="1"/>
      <w:numFmt w:val="none"/>
      <w:lvlText w:val=""/>
      <w:lvlJc w:val="left"/>
      <w:pPr>
        <w:tabs>
          <w:tab w:val="num" w:pos="-31680"/>
        </w:tabs>
        <w:ind w:left="0" w:firstLine="0"/>
      </w:pPr>
      <w:rPr>
        <w:rFonts w:hint="default"/>
      </w:rPr>
    </w:lvl>
  </w:abstractNum>
  <w:abstractNum w:abstractNumId="72" w15:restartNumberingAfterBreak="0">
    <w:nsid w:val="5B3A7D91"/>
    <w:multiLevelType w:val="hybridMultilevel"/>
    <w:tmpl w:val="B4C0DA34"/>
    <w:name w:val="MyNumbering2"/>
    <w:lvl w:ilvl="0" w:tplc="77A6A824">
      <w:start w:val="1"/>
      <w:numFmt w:val="bullet"/>
      <w:pStyle w:val="ListBullet2"/>
      <w:lvlText w:val="o"/>
      <w:lvlJc w:val="left"/>
      <w:pPr>
        <w:ind w:left="4330" w:hanging="360"/>
      </w:pPr>
      <w:rPr>
        <w:rFonts w:ascii="Courier New" w:hAnsi="Courier New" w:cs="Courier New"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3" w15:restartNumberingAfterBreak="0">
    <w:nsid w:val="5B5936B0"/>
    <w:multiLevelType w:val="hybridMultilevel"/>
    <w:tmpl w:val="42FC20B2"/>
    <w:lvl w:ilvl="0" w:tplc="BC2EC844">
      <w:start w:val="1"/>
      <w:numFmt w:val="lowerLetter"/>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2C8F9CA">
      <w:start w:val="1"/>
      <w:numFmt w:val="lowerLetter"/>
      <w:lvlText w:val="(%5)"/>
      <w:lvlJc w:val="left"/>
      <w:pPr>
        <w:ind w:left="3600" w:hanging="360"/>
      </w:pPr>
      <w:rPr>
        <w:rFonts w:ascii="Arial" w:hAnsi="Arial" w:hint="default"/>
        <w:b w:val="0"/>
        <w:i w:val="0"/>
        <w:sz w:val="19"/>
        <w:szCs w:val="26"/>
      </w:r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4" w15:restartNumberingAfterBreak="0">
    <w:nsid w:val="5B8E3352"/>
    <w:multiLevelType w:val="multilevel"/>
    <w:tmpl w:val="583A35FA"/>
    <w:name w:val="MyBullets28"/>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75" w15:restartNumberingAfterBreak="0">
    <w:nsid w:val="5C213769"/>
    <w:multiLevelType w:val="hybridMultilevel"/>
    <w:tmpl w:val="11EE3840"/>
    <w:lvl w:ilvl="0" w:tplc="BC2EC844">
      <w:start w:val="1"/>
      <w:numFmt w:val="lowerLetter"/>
      <w:lvlText w:val="(%1)"/>
      <w:lvlJc w:val="left"/>
      <w:pPr>
        <w:ind w:left="720" w:hanging="360"/>
      </w:pPr>
      <w:rPr>
        <w:rFonts w:ascii="Arial" w:hAnsi="Arial" w:hint="default"/>
        <w:b w:val="0"/>
        <w:i w:val="0"/>
        <w:sz w:val="22"/>
        <w:szCs w:val="26"/>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6" w15:restartNumberingAfterBreak="0">
    <w:nsid w:val="5D0540A9"/>
    <w:multiLevelType w:val="multilevel"/>
    <w:tmpl w:val="DBC00818"/>
    <w:name w:val="MyAppendicesNumbering"/>
    <w:lvl w:ilvl="0">
      <w:start w:val="1"/>
      <w:numFmt w:val="upperLetter"/>
      <w:suff w:val="space"/>
      <w:lvlText w:val="Appendix %1."/>
      <w:lvlJc w:val="left"/>
      <w:pPr>
        <w:ind w:left="0" w:firstLine="0"/>
      </w:pPr>
      <w:rPr>
        <w:rFonts w:asciiTheme="majorHAnsi" w:hAnsiTheme="majorHAnsi" w:hint="default"/>
        <w:b/>
        <w:i w:val="0"/>
        <w:sz w:val="40"/>
      </w:rPr>
    </w:lvl>
    <w:lvl w:ilvl="1">
      <w:start w:val="1"/>
      <w:numFmt w:val="decimal"/>
      <w:suff w:val="space"/>
      <w:lvlText w:val="%1.%2"/>
      <w:lvlJc w:val="left"/>
      <w:pPr>
        <w:ind w:left="0" w:firstLine="0"/>
      </w:pPr>
      <w:rPr>
        <w:rFonts w:hint="default"/>
        <w:sz w:val="32"/>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none"/>
      <w:lvlText w:val=""/>
      <w:lvlJc w:val="right"/>
      <w:pPr>
        <w:tabs>
          <w:tab w:val="num" w:pos="2268"/>
        </w:tabs>
        <w:ind w:left="0" w:firstLine="0"/>
      </w:pPr>
      <w:rPr>
        <w:rFonts w:hint="default"/>
      </w:rPr>
    </w:lvl>
    <w:lvl w:ilvl="6">
      <w:start w:val="1"/>
      <w:numFmt w:val="none"/>
      <w:lvlText w:val=""/>
      <w:lvlJc w:val="left"/>
      <w:pPr>
        <w:tabs>
          <w:tab w:val="num" w:pos="2268"/>
        </w:tabs>
        <w:ind w:left="0" w:firstLine="0"/>
      </w:pPr>
      <w:rPr>
        <w:rFonts w:hint="default"/>
      </w:rPr>
    </w:lvl>
    <w:lvl w:ilvl="7">
      <w:start w:val="1"/>
      <w:numFmt w:val="none"/>
      <w:lvlText w:val=""/>
      <w:lvlJc w:val="left"/>
      <w:pPr>
        <w:tabs>
          <w:tab w:val="num" w:pos="2268"/>
        </w:tabs>
        <w:ind w:left="0" w:firstLine="0"/>
      </w:pPr>
      <w:rPr>
        <w:rFonts w:hint="default"/>
      </w:rPr>
    </w:lvl>
    <w:lvl w:ilvl="8">
      <w:start w:val="1"/>
      <w:numFmt w:val="none"/>
      <w:lvlText w:val=""/>
      <w:lvlJc w:val="right"/>
      <w:pPr>
        <w:tabs>
          <w:tab w:val="num" w:pos="2268"/>
        </w:tabs>
        <w:ind w:left="0" w:firstLine="0"/>
      </w:pPr>
      <w:rPr>
        <w:rFonts w:hint="default"/>
      </w:rPr>
    </w:lvl>
  </w:abstractNum>
  <w:abstractNum w:abstractNumId="77" w15:restartNumberingAfterBreak="0">
    <w:nsid w:val="5E773BE7"/>
    <w:multiLevelType w:val="hybridMultilevel"/>
    <w:tmpl w:val="B7F611CC"/>
    <w:lvl w:ilvl="0" w:tplc="BC2EC844">
      <w:start w:val="1"/>
      <w:numFmt w:val="lowerLetter"/>
      <w:lvlText w:val="(%1)"/>
      <w:lvlJc w:val="left"/>
      <w:pPr>
        <w:ind w:left="720" w:hanging="360"/>
      </w:pPr>
      <w:rPr>
        <w:rFonts w:ascii="Arial" w:hAnsi="Arial" w:hint="default"/>
        <w:b w:val="0"/>
        <w:i w:val="0"/>
        <w:sz w:val="22"/>
        <w:szCs w:val="26"/>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8" w15:restartNumberingAfterBreak="0">
    <w:nsid w:val="5EC860DC"/>
    <w:multiLevelType w:val="multilevel"/>
    <w:tmpl w:val="52749BF4"/>
    <w:name w:val="MyNumbering62"/>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79" w15:restartNumberingAfterBreak="0">
    <w:nsid w:val="60561366"/>
    <w:multiLevelType w:val="multilevel"/>
    <w:tmpl w:val="CB80A4C6"/>
    <w:lvl w:ilvl="0">
      <w:start w:val="1"/>
      <w:numFmt w:val="bullet"/>
      <w:pStyle w:val="ListBullet"/>
      <w:lvlText w:val="§"/>
      <w:lvlJc w:val="left"/>
      <w:pPr>
        <w:ind w:left="720" w:hanging="360"/>
      </w:pPr>
      <w:rPr>
        <w:rFonts w:ascii="Wingdings" w:hAnsi="Wingdings" w:hint="default"/>
        <w:sz w:val="18"/>
        <w:szCs w:val="26"/>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80" w15:restartNumberingAfterBreak="0">
    <w:nsid w:val="607E17E0"/>
    <w:multiLevelType w:val="multilevel"/>
    <w:tmpl w:val="583A35FA"/>
    <w:name w:val="MyBullets38"/>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81" w15:restartNumberingAfterBreak="0">
    <w:nsid w:val="62D54977"/>
    <w:multiLevelType w:val="multilevel"/>
    <w:tmpl w:val="4F909688"/>
    <w:lvl w:ilvl="0">
      <w:start w:val="1"/>
      <w:numFmt w:val="decimal"/>
      <w:lvlText w:val="%1."/>
      <w:lvlJc w:val="left"/>
      <w:pPr>
        <w:ind w:left="360" w:hanging="360"/>
      </w:pPr>
      <w:rPr>
        <w:rFonts w:hint="default"/>
        <w:b w:val="0"/>
        <w:i w:val="0"/>
        <w:color w:val="auto"/>
        <w:sz w:val="21"/>
        <w:szCs w:val="21"/>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82" w15:restartNumberingAfterBreak="0">
    <w:nsid w:val="6313234F"/>
    <w:multiLevelType w:val="multilevel"/>
    <w:tmpl w:val="18444FC6"/>
    <w:name w:val="MyNumbering6224"/>
    <w:lvl w:ilvl="0">
      <w:start w:val="1"/>
      <w:numFmt w:val="decimal"/>
      <w:pStyle w:val="ListNumber"/>
      <w:lvlText w:val="%1."/>
      <w:lvlJc w:val="left"/>
      <w:pPr>
        <w:ind w:left="360" w:hanging="360"/>
      </w:pPr>
      <w:rPr>
        <w:rFonts w:ascii="Arial" w:hAnsi="Arial" w:hint="default"/>
        <w:b w:val="0"/>
        <w:i w:val="0"/>
        <w:color w:val="auto"/>
        <w:sz w:val="22"/>
        <w:szCs w:val="18"/>
      </w:rPr>
    </w:lvl>
    <w:lvl w:ilvl="1">
      <w:start w:val="1"/>
      <w:numFmt w:val="lowerLetter"/>
      <w:pStyle w:val="ListNumber2"/>
      <w:lvlText w:val="%2."/>
      <w:lvlJc w:val="left"/>
      <w:pPr>
        <w:ind w:left="714" w:hanging="357"/>
      </w:pPr>
      <w:rPr>
        <w:rFonts w:hint="default"/>
      </w:rPr>
    </w:lvl>
    <w:lvl w:ilvl="2">
      <w:start w:val="1"/>
      <w:numFmt w:val="lowerRoman"/>
      <w:pStyle w:val="ListNumber3"/>
      <w:lvlText w:val="%3."/>
      <w:lvlJc w:val="left"/>
      <w:pPr>
        <w:ind w:left="1071" w:hanging="357"/>
      </w:pPr>
      <w:rPr>
        <w:rFonts w:hint="default"/>
      </w:rPr>
    </w:lvl>
    <w:lvl w:ilvl="3">
      <w:start w:val="1"/>
      <w:numFmt w:val="upperLetter"/>
      <w:pStyle w:val="ListNumber4"/>
      <w:lvlText w:val="%4."/>
      <w:lvlJc w:val="left"/>
      <w:pPr>
        <w:ind w:left="1428" w:hanging="357"/>
      </w:pPr>
      <w:rPr>
        <w:rFonts w:hint="default"/>
      </w:rPr>
    </w:lvl>
    <w:lvl w:ilvl="4">
      <w:start w:val="1"/>
      <w:numFmt w:val="upperRoman"/>
      <w:pStyle w:val="ListNumber5"/>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83" w15:restartNumberingAfterBreak="0">
    <w:nsid w:val="654852CE"/>
    <w:multiLevelType w:val="multilevel"/>
    <w:tmpl w:val="583A35FA"/>
    <w:name w:val="MyBullets37"/>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84" w15:restartNumberingAfterBreak="0">
    <w:nsid w:val="659B38C9"/>
    <w:multiLevelType w:val="multilevel"/>
    <w:tmpl w:val="5B4E4206"/>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85" w15:restartNumberingAfterBreak="0">
    <w:nsid w:val="67283FA7"/>
    <w:multiLevelType w:val="multilevel"/>
    <w:tmpl w:val="66148666"/>
    <w:name w:val="MyNumbering6"/>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86" w15:restartNumberingAfterBreak="0">
    <w:nsid w:val="69884CA8"/>
    <w:multiLevelType w:val="multilevel"/>
    <w:tmpl w:val="1716F1D0"/>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87" w15:restartNumberingAfterBreak="0">
    <w:nsid w:val="6CE848E0"/>
    <w:multiLevelType w:val="multilevel"/>
    <w:tmpl w:val="583A35FA"/>
    <w:name w:val="MyBullets17"/>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88" w15:restartNumberingAfterBreak="0">
    <w:nsid w:val="6D56407A"/>
    <w:multiLevelType w:val="multilevel"/>
    <w:tmpl w:val="583A35FA"/>
    <w:name w:val="MyBullets7"/>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89" w15:restartNumberingAfterBreak="0">
    <w:nsid w:val="6F4C0B22"/>
    <w:multiLevelType w:val="multilevel"/>
    <w:tmpl w:val="583A35FA"/>
    <w:name w:val="MyBullets24"/>
    <w:lvl w:ilvl="0">
      <w:start w:val="7"/>
      <w:numFmt w:val="bullet"/>
      <w:lvlText w:val=""/>
      <w:lvlJc w:val="left"/>
      <w:pPr>
        <w:tabs>
          <w:tab w:val="num" w:pos="357"/>
        </w:tabs>
        <w:ind w:left="357" w:hanging="357"/>
      </w:pPr>
      <w:rPr>
        <w:rFonts w:ascii="Wingdings" w:hAnsi="Wingdings" w:hint="default"/>
        <w:color w:val="auto"/>
        <w:position w:val="1"/>
        <w:sz w:val="20"/>
      </w:rPr>
    </w:lvl>
    <w:lvl w:ilvl="1">
      <w:start w:val="5"/>
      <w:numFmt w:val="bullet"/>
      <w:lvlText w:val="—"/>
      <w:lvlJc w:val="left"/>
      <w:pPr>
        <w:tabs>
          <w:tab w:val="num" w:pos="3760"/>
        </w:tabs>
        <w:ind w:left="3760" w:hanging="357"/>
      </w:pPr>
      <w:rPr>
        <w:rFonts w:ascii="Book Antiqua" w:hAnsi="Book Antiqua" w:hint="default"/>
        <w:b w:val="0"/>
        <w:i w:val="0"/>
        <w:color w:val="auto"/>
        <w:position w:val="0"/>
        <w:sz w:val="20"/>
      </w:rPr>
    </w:lvl>
    <w:lvl w:ilvl="2">
      <w:start w:val="1"/>
      <w:numFmt w:val="bullet"/>
      <w:lvlText w:val=""/>
      <w:lvlJc w:val="left"/>
      <w:pPr>
        <w:tabs>
          <w:tab w:val="num" w:pos="1072"/>
        </w:tabs>
        <w:ind w:left="1071" w:hanging="357"/>
      </w:pPr>
      <w:rPr>
        <w:rFonts w:ascii="Wingdings" w:hAnsi="Wingdings" w:hint="default"/>
        <w:b w:val="0"/>
        <w:i w:val="0"/>
        <w:color w:val="auto"/>
        <w:position w:val="0"/>
        <w:sz w:val="22"/>
      </w:rPr>
    </w:lvl>
    <w:lvl w:ilvl="3">
      <w:start w:val="1"/>
      <w:numFmt w:val="bullet"/>
      <w:lvlText w:val="-"/>
      <w:lvlJc w:val="left"/>
      <w:pPr>
        <w:tabs>
          <w:tab w:val="num" w:pos="1638"/>
        </w:tabs>
        <w:ind w:left="1428" w:hanging="357"/>
      </w:pPr>
      <w:rPr>
        <w:rFonts w:ascii="Arial Rounded MT Bold" w:hAnsi="Arial Rounded MT Bold" w:hint="default"/>
        <w:color w:val="auto"/>
      </w:rPr>
    </w:lvl>
    <w:lvl w:ilvl="4">
      <w:start w:val="1"/>
      <w:numFmt w:val="bullet"/>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90" w15:restartNumberingAfterBreak="0">
    <w:nsid w:val="6FC65F59"/>
    <w:multiLevelType w:val="hybridMultilevel"/>
    <w:tmpl w:val="4622D28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1" w15:restartNumberingAfterBreak="0">
    <w:nsid w:val="711E56F4"/>
    <w:multiLevelType w:val="multilevel"/>
    <w:tmpl w:val="8DF8C6B6"/>
    <w:name w:val="MyNumbering72"/>
    <w:lvl w:ilvl="0">
      <w:start w:val="1"/>
      <w:numFmt w:val="decimal"/>
      <w:lvlText w:val="%1."/>
      <w:lvlJc w:val="left"/>
      <w:pPr>
        <w:ind w:left="360" w:hanging="360"/>
      </w:pPr>
      <w:rPr>
        <w:rFonts w:ascii="Arial" w:hAnsi="Arial" w:hint="default"/>
        <w:b w:val="0"/>
        <w:i w:val="0"/>
        <w:color w:val="auto"/>
        <w:sz w:val="22"/>
        <w:szCs w:val="18"/>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92" w15:restartNumberingAfterBreak="0">
    <w:nsid w:val="72224F0A"/>
    <w:multiLevelType w:val="multilevel"/>
    <w:tmpl w:val="4F5E492C"/>
    <w:name w:val="Bullets"/>
    <w:lvl w:ilvl="0">
      <w:start w:val="1"/>
      <w:numFmt w:val="bullet"/>
      <w:lvlText w:val=""/>
      <w:lvlJc w:val="left"/>
      <w:pPr>
        <w:tabs>
          <w:tab w:val="num" w:pos="425"/>
        </w:tabs>
        <w:ind w:left="425" w:hanging="425"/>
      </w:pPr>
      <w:rPr>
        <w:rFonts w:ascii="Wingdings" w:hAnsi="Wingdings" w:hint="default"/>
        <w:color w:val="214C90" w:themeColor="text2"/>
        <w:position w:val="0"/>
        <w:sz w:val="20"/>
      </w:rPr>
    </w:lvl>
    <w:lvl w:ilvl="1">
      <w:start w:val="1"/>
      <w:numFmt w:val="bullet"/>
      <w:lvlText w:val=""/>
      <w:lvlJc w:val="left"/>
      <w:pPr>
        <w:tabs>
          <w:tab w:val="num" w:pos="851"/>
        </w:tabs>
        <w:ind w:left="850" w:hanging="425"/>
      </w:pPr>
      <w:rPr>
        <w:rFonts w:ascii="Wingdings" w:hAnsi="Wingdings" w:hint="default"/>
        <w:color w:val="214C90" w:themeColor="text2"/>
      </w:rPr>
    </w:lvl>
    <w:lvl w:ilvl="2">
      <w:start w:val="1"/>
      <w:numFmt w:val="bullet"/>
      <w:lvlText w:val=""/>
      <w:lvlJc w:val="left"/>
      <w:pPr>
        <w:tabs>
          <w:tab w:val="num" w:pos="1276"/>
        </w:tabs>
        <w:ind w:left="1275" w:hanging="425"/>
      </w:pPr>
      <w:rPr>
        <w:rFonts w:ascii="Symbol" w:hAnsi="Symbol" w:hint="default"/>
        <w:color w:val="214C90" w:themeColor="text2"/>
      </w:rPr>
    </w:lvl>
    <w:lvl w:ilvl="3">
      <w:start w:val="1"/>
      <w:numFmt w:val="bullet"/>
      <w:lvlText w:val=""/>
      <w:lvlJc w:val="left"/>
      <w:pPr>
        <w:tabs>
          <w:tab w:val="num" w:pos="1701"/>
        </w:tabs>
        <w:ind w:left="1700" w:hanging="425"/>
      </w:pPr>
      <w:rPr>
        <w:rFonts w:ascii="Symbol" w:hAnsi="Symbol" w:hint="default"/>
        <w:color w:val="214C90" w:themeColor="text2"/>
        <w:sz w:val="20"/>
      </w:rPr>
    </w:lvl>
    <w:lvl w:ilvl="4">
      <w:start w:val="1"/>
      <w:numFmt w:val="bullet"/>
      <w:lvlText w:val=""/>
      <w:lvlJc w:val="left"/>
      <w:pPr>
        <w:tabs>
          <w:tab w:val="num" w:pos="2126"/>
        </w:tabs>
        <w:ind w:left="2125" w:hanging="425"/>
      </w:pPr>
      <w:rPr>
        <w:rFonts w:ascii="Wingdings" w:hAnsi="Wingdings" w:hint="default"/>
        <w:color w:val="214C90" w:themeColor="text2"/>
      </w:rPr>
    </w:lvl>
    <w:lvl w:ilvl="5">
      <w:start w:val="1"/>
      <w:numFmt w:val="lowerRoman"/>
      <w:lvlText w:val="(%6)"/>
      <w:lvlJc w:val="left"/>
      <w:pPr>
        <w:tabs>
          <w:tab w:val="num" w:pos="3630"/>
        </w:tabs>
        <w:ind w:left="2550" w:hanging="425"/>
      </w:pPr>
      <w:rPr>
        <w:rFonts w:hint="default"/>
      </w:rPr>
    </w:lvl>
    <w:lvl w:ilvl="6">
      <w:start w:val="1"/>
      <w:numFmt w:val="decimal"/>
      <w:lvlText w:val="%7."/>
      <w:lvlJc w:val="left"/>
      <w:pPr>
        <w:tabs>
          <w:tab w:val="num" w:pos="4055"/>
        </w:tabs>
        <w:ind w:left="2975" w:hanging="425"/>
      </w:pPr>
      <w:rPr>
        <w:rFonts w:hint="default"/>
      </w:rPr>
    </w:lvl>
    <w:lvl w:ilvl="7">
      <w:start w:val="1"/>
      <w:numFmt w:val="lowerLetter"/>
      <w:lvlText w:val="%8."/>
      <w:lvlJc w:val="left"/>
      <w:pPr>
        <w:tabs>
          <w:tab w:val="num" w:pos="4480"/>
        </w:tabs>
        <w:ind w:left="3400" w:hanging="425"/>
      </w:pPr>
      <w:rPr>
        <w:rFonts w:hint="default"/>
      </w:rPr>
    </w:lvl>
    <w:lvl w:ilvl="8">
      <w:start w:val="1"/>
      <w:numFmt w:val="lowerRoman"/>
      <w:lvlText w:val="%9."/>
      <w:lvlJc w:val="left"/>
      <w:pPr>
        <w:tabs>
          <w:tab w:val="num" w:pos="4905"/>
        </w:tabs>
        <w:ind w:left="3825" w:hanging="425"/>
      </w:pPr>
      <w:rPr>
        <w:rFonts w:hint="default"/>
      </w:rPr>
    </w:lvl>
  </w:abstractNum>
  <w:abstractNum w:abstractNumId="93" w15:restartNumberingAfterBreak="0">
    <w:nsid w:val="73EF6592"/>
    <w:multiLevelType w:val="hybridMultilevel"/>
    <w:tmpl w:val="E2B24F3A"/>
    <w:lvl w:ilvl="0" w:tplc="BCF6DC2A">
      <w:start w:val="1"/>
      <w:numFmt w:val="bullet"/>
      <w:lvlText w:val="§"/>
      <w:lvlJc w:val="left"/>
      <w:pPr>
        <w:ind w:left="720" w:hanging="360"/>
      </w:pPr>
      <w:rPr>
        <w:rFonts w:ascii="Wingdings" w:hAnsi="Wingdings" w:hint="default"/>
        <w:sz w:val="18"/>
        <w:szCs w:val="26"/>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4" w15:restartNumberingAfterBreak="0">
    <w:nsid w:val="762964D5"/>
    <w:multiLevelType w:val="multilevel"/>
    <w:tmpl w:val="E898CC72"/>
    <w:styleLink w:val="KeyPoints"/>
    <w:lvl w:ilvl="0">
      <w:start w:val="1"/>
      <w:numFmt w:val="decimal"/>
      <w:lvlText w:val="%1."/>
      <w:lvlJc w:val="left"/>
      <w:pPr>
        <w:ind w:left="369" w:hanging="369"/>
      </w:pPr>
      <w:rPr>
        <w:rFonts w:ascii="Arial" w:hAnsi="Arial" w:hint="default"/>
        <w:sz w:val="22"/>
      </w:rPr>
    </w:lvl>
    <w:lvl w:ilvl="1">
      <w:start w:val="1"/>
      <w:numFmt w:val="lowerLetter"/>
      <w:lvlText w:val="%2."/>
      <w:lvlJc w:val="left"/>
      <w:pPr>
        <w:ind w:left="738" w:hanging="369"/>
      </w:pPr>
      <w:rPr>
        <w:rFonts w:hint="default"/>
      </w:rPr>
    </w:lvl>
    <w:lvl w:ilvl="2">
      <w:start w:val="1"/>
      <w:numFmt w:val="lowerRoman"/>
      <w:lvlText w:val="%3."/>
      <w:lvlJc w:val="left"/>
      <w:pPr>
        <w:ind w:left="1107" w:hanging="369"/>
      </w:pPr>
      <w:rPr>
        <w:rFonts w:hint="default"/>
      </w:rPr>
    </w:lvl>
    <w:lvl w:ilvl="3">
      <w:start w:val="1"/>
      <w:numFmt w:val="none"/>
      <w:lvlText w:val="%4"/>
      <w:lvlJc w:val="left"/>
      <w:pPr>
        <w:ind w:left="1476" w:hanging="369"/>
      </w:pPr>
      <w:rPr>
        <w:rFonts w:hint="default"/>
      </w:rPr>
    </w:lvl>
    <w:lvl w:ilvl="4">
      <w:start w:val="1"/>
      <w:numFmt w:val="none"/>
      <w:lvlText w:val=""/>
      <w:lvlJc w:val="left"/>
      <w:pPr>
        <w:ind w:left="1845" w:hanging="369"/>
      </w:pPr>
      <w:rPr>
        <w:rFonts w:hint="default"/>
      </w:rPr>
    </w:lvl>
    <w:lvl w:ilvl="5">
      <w:start w:val="1"/>
      <w:numFmt w:val="none"/>
      <w:lvlText w:val=""/>
      <w:lvlJc w:val="left"/>
      <w:pPr>
        <w:ind w:left="2214" w:hanging="369"/>
      </w:pPr>
      <w:rPr>
        <w:rFonts w:hint="default"/>
      </w:rPr>
    </w:lvl>
    <w:lvl w:ilvl="6">
      <w:start w:val="1"/>
      <w:numFmt w:val="none"/>
      <w:lvlText w:val=""/>
      <w:lvlJc w:val="left"/>
      <w:pPr>
        <w:ind w:left="2583" w:hanging="369"/>
      </w:pPr>
      <w:rPr>
        <w:rFonts w:hint="default"/>
      </w:rPr>
    </w:lvl>
    <w:lvl w:ilvl="7">
      <w:start w:val="1"/>
      <w:numFmt w:val="none"/>
      <w:lvlText w:val=""/>
      <w:lvlJc w:val="left"/>
      <w:pPr>
        <w:ind w:left="2952" w:hanging="369"/>
      </w:pPr>
      <w:rPr>
        <w:rFonts w:hint="default"/>
      </w:rPr>
    </w:lvl>
    <w:lvl w:ilvl="8">
      <w:start w:val="1"/>
      <w:numFmt w:val="none"/>
      <w:lvlText w:val=""/>
      <w:lvlJc w:val="left"/>
      <w:pPr>
        <w:ind w:left="3321" w:hanging="369"/>
      </w:pPr>
      <w:rPr>
        <w:rFonts w:hint="default"/>
      </w:rPr>
    </w:lvl>
  </w:abstractNum>
  <w:abstractNum w:abstractNumId="95" w15:restartNumberingAfterBreak="0">
    <w:nsid w:val="76683FAC"/>
    <w:multiLevelType w:val="hybridMultilevel"/>
    <w:tmpl w:val="7584CEB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6" w15:restartNumberingAfterBreak="0">
    <w:nsid w:val="77664A87"/>
    <w:multiLevelType w:val="hybridMultilevel"/>
    <w:tmpl w:val="BC4AF7E4"/>
    <w:name w:val="MyNumbering62243"/>
    <w:lvl w:ilvl="0" w:tplc="8F8EC1A6">
      <w:start w:val="1"/>
      <w:numFmt w:val="bullet"/>
      <w:lvlText w:val="-"/>
      <w:lvlJc w:val="left"/>
      <w:pPr>
        <w:ind w:left="72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7" w15:restartNumberingAfterBreak="0">
    <w:nsid w:val="7A1C5BCC"/>
    <w:multiLevelType w:val="hybridMultilevel"/>
    <w:tmpl w:val="BD7AA7CA"/>
    <w:lvl w:ilvl="0" w:tplc="0C090001">
      <w:start w:val="1"/>
      <w:numFmt w:val="bullet"/>
      <w:lvlText w:val=""/>
      <w:lvlJc w:val="left"/>
      <w:pPr>
        <w:ind w:left="1069" w:hanging="360"/>
      </w:pPr>
      <w:rPr>
        <w:rFonts w:ascii="Symbol" w:hAnsi="Symbol" w:hint="default"/>
      </w:rPr>
    </w:lvl>
    <w:lvl w:ilvl="1" w:tplc="0C090003">
      <w:start w:val="1"/>
      <w:numFmt w:val="bullet"/>
      <w:lvlText w:val="o"/>
      <w:lvlJc w:val="left"/>
      <w:pPr>
        <w:ind w:left="5888" w:hanging="360"/>
      </w:pPr>
      <w:rPr>
        <w:rFonts w:ascii="Courier New" w:hAnsi="Courier New" w:cs="Courier New" w:hint="default"/>
      </w:rPr>
    </w:lvl>
    <w:lvl w:ilvl="2" w:tplc="0C090019">
      <w:start w:val="1"/>
      <w:numFmt w:val="lowerLetter"/>
      <w:lvlText w:val="%3."/>
      <w:lvlJc w:val="left"/>
      <w:pPr>
        <w:ind w:left="2160" w:hanging="360"/>
      </w:pPr>
      <w:rPr>
        <w:rFont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8" w15:restartNumberingAfterBreak="0">
    <w:nsid w:val="7C6626FE"/>
    <w:multiLevelType w:val="hybridMultilevel"/>
    <w:tmpl w:val="4920E35C"/>
    <w:lvl w:ilvl="0" w:tplc="35F8C790">
      <w:start w:val="1"/>
      <w:numFmt w:val="decimal"/>
      <w:lvlText w:val="(%1)"/>
      <w:lvlJc w:val="left"/>
      <w:pPr>
        <w:ind w:left="720" w:hanging="360"/>
      </w:pPr>
      <w:rPr>
        <w:rFonts w:ascii="Arial" w:hAnsi="Arial" w:hint="default"/>
        <w:b w:val="0"/>
        <w:i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9" w15:restartNumberingAfterBreak="0">
    <w:nsid w:val="7E030DAE"/>
    <w:multiLevelType w:val="multilevel"/>
    <w:tmpl w:val="0C09001D"/>
    <w:name w:val="MyNumbering"/>
    <w:lvl w:ilvl="0">
      <w:start w:val="1"/>
      <w:numFmt w:val="decimal"/>
      <w:lvlText w:val="%1)"/>
      <w:lvlJc w:val="left"/>
      <w:pPr>
        <w:ind w:left="1779" w:hanging="360"/>
      </w:pPr>
      <w:rPr>
        <w:rFonts w:hint="default"/>
        <w:b w:val="0"/>
        <w:i w:val="0"/>
        <w:color w:val="auto"/>
        <w:sz w:val="22"/>
      </w:rPr>
    </w:lvl>
    <w:lvl w:ilvl="1">
      <w:start w:val="1"/>
      <w:numFmt w:val="lowerLetter"/>
      <w:lvlText w:val="%2)"/>
      <w:lvlJc w:val="left"/>
      <w:pPr>
        <w:ind w:left="2139" w:hanging="360"/>
      </w:pPr>
      <w:rPr>
        <w:rFonts w:hint="default"/>
        <w:b w:val="0"/>
        <w:i w:val="0"/>
        <w:color w:val="auto"/>
        <w:sz w:val="22"/>
      </w:rPr>
    </w:lvl>
    <w:lvl w:ilvl="2">
      <w:start w:val="1"/>
      <w:numFmt w:val="lowerRoman"/>
      <w:lvlText w:val="%3)"/>
      <w:lvlJc w:val="left"/>
      <w:pPr>
        <w:ind w:left="2499" w:hanging="360"/>
      </w:pPr>
      <w:rPr>
        <w:rFonts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4)"/>
      <w:lvlJc w:val="left"/>
      <w:pPr>
        <w:ind w:left="2859" w:hanging="360"/>
      </w:pPr>
      <w:rPr>
        <w:rFonts w:hint="default"/>
        <w:b w:val="0"/>
        <w:i w:val="0"/>
        <w:color w:val="auto"/>
      </w:rPr>
    </w:lvl>
    <w:lvl w:ilvl="4">
      <w:start w:val="1"/>
      <w:numFmt w:val="lowerLetter"/>
      <w:lvlText w:val="(%5)"/>
      <w:lvlJc w:val="left"/>
      <w:pPr>
        <w:ind w:left="3219" w:hanging="360"/>
      </w:pPr>
      <w:rPr>
        <w:rFonts w:hint="default"/>
        <w:b w:val="0"/>
        <w:i w:val="0"/>
        <w:color w:val="auto"/>
      </w:rPr>
    </w:lvl>
    <w:lvl w:ilvl="5">
      <w:start w:val="1"/>
      <w:numFmt w:val="lowerRoman"/>
      <w:lvlText w:val="(%6)"/>
      <w:lvlJc w:val="left"/>
      <w:pPr>
        <w:ind w:left="3579" w:hanging="360"/>
      </w:pPr>
      <w:rPr>
        <w:rFonts w:hint="default"/>
      </w:rPr>
    </w:lvl>
    <w:lvl w:ilvl="6">
      <w:start w:val="1"/>
      <w:numFmt w:val="decimal"/>
      <w:lvlText w:val="%7."/>
      <w:lvlJc w:val="left"/>
      <w:pPr>
        <w:ind w:left="3939" w:hanging="360"/>
      </w:pPr>
      <w:rPr>
        <w:rFonts w:hint="default"/>
      </w:rPr>
    </w:lvl>
    <w:lvl w:ilvl="7">
      <w:start w:val="1"/>
      <w:numFmt w:val="lowerLetter"/>
      <w:lvlText w:val="%8."/>
      <w:lvlJc w:val="left"/>
      <w:pPr>
        <w:ind w:left="4299" w:hanging="360"/>
      </w:pPr>
      <w:rPr>
        <w:rFonts w:hint="default"/>
      </w:rPr>
    </w:lvl>
    <w:lvl w:ilvl="8">
      <w:start w:val="1"/>
      <w:numFmt w:val="lowerRoman"/>
      <w:lvlText w:val="%9."/>
      <w:lvlJc w:val="left"/>
      <w:pPr>
        <w:ind w:left="4659" w:hanging="360"/>
      </w:pPr>
      <w:rPr>
        <w:rFonts w:hint="default"/>
      </w:rPr>
    </w:lvl>
  </w:abstractNum>
  <w:abstractNum w:abstractNumId="100" w15:restartNumberingAfterBreak="0">
    <w:nsid w:val="7E2819EC"/>
    <w:multiLevelType w:val="multilevel"/>
    <w:tmpl w:val="1250F310"/>
    <w:lvl w:ilvl="0">
      <w:start w:val="1"/>
      <w:numFmt w:val="bullet"/>
      <w:pStyle w:val="AERbulletlistfirststyle"/>
      <w:lvlText w:val=""/>
      <w:lvlJc w:val="left"/>
      <w:pPr>
        <w:ind w:left="644"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1" w15:restartNumberingAfterBreak="0">
    <w:nsid w:val="7ED3322D"/>
    <w:multiLevelType w:val="hybridMultilevel"/>
    <w:tmpl w:val="3B047FFC"/>
    <w:name w:val="MyNumbering6223"/>
    <w:lvl w:ilvl="0" w:tplc="BC2EC844">
      <w:start w:val="1"/>
      <w:numFmt w:val="lowerLetter"/>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30"/>
  </w:num>
  <w:num w:numId="2">
    <w:abstractNumId w:val="5"/>
  </w:num>
  <w:num w:numId="3">
    <w:abstractNumId w:val="33"/>
  </w:num>
  <w:num w:numId="4">
    <w:abstractNumId w:val="68"/>
  </w:num>
  <w:num w:numId="5">
    <w:abstractNumId w:val="58"/>
  </w:num>
  <w:num w:numId="6">
    <w:abstractNumId w:val="31"/>
  </w:num>
  <w:num w:numId="7">
    <w:abstractNumId w:val="26"/>
  </w:num>
  <w:num w:numId="8">
    <w:abstractNumId w:val="1"/>
  </w:num>
  <w:num w:numId="9">
    <w:abstractNumId w:val="45"/>
  </w:num>
  <w:num w:numId="10">
    <w:abstractNumId w:val="0"/>
  </w:num>
  <w:num w:numId="11">
    <w:abstractNumId w:val="94"/>
  </w:num>
  <w:num w:numId="12">
    <w:abstractNumId w:val="79"/>
  </w:num>
  <w:num w:numId="13">
    <w:abstractNumId w:val="72"/>
  </w:num>
  <w:num w:numId="1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num>
  <w:num w:numId="16">
    <w:abstractNumId w:val="60"/>
  </w:num>
  <w:num w:numId="17">
    <w:abstractNumId w:val="43"/>
  </w:num>
  <w:num w:numId="18">
    <w:abstractNumId w:val="90"/>
  </w:num>
  <w:num w:numId="19">
    <w:abstractNumId w:val="20"/>
  </w:num>
  <w:num w:numId="20">
    <w:abstractNumId w:val="59"/>
  </w:num>
  <w:num w:numId="21">
    <w:abstractNumId w:val="86"/>
  </w:num>
  <w:num w:numId="22">
    <w:abstractNumId w:val="84"/>
  </w:num>
  <w:num w:numId="23">
    <w:abstractNumId w:val="81"/>
  </w:num>
  <w:num w:numId="24">
    <w:abstractNumId w:val="77"/>
  </w:num>
  <w:num w:numId="25">
    <w:abstractNumId w:val="2"/>
  </w:num>
  <w:num w:numId="2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98"/>
  </w:num>
  <w:num w:numId="28">
    <w:abstractNumId w:val="17"/>
  </w:num>
  <w:num w:numId="29">
    <w:abstractNumId w:val="29"/>
  </w:num>
  <w:num w:numId="30">
    <w:abstractNumId w:val="82"/>
  </w:num>
  <w:num w:numId="31">
    <w:abstractNumId w:val="56"/>
  </w:num>
  <w:num w:numId="32">
    <w:abstractNumId w:val="49"/>
  </w:num>
  <w:num w:numId="33">
    <w:abstractNumId w:val="23"/>
  </w:num>
  <w:num w:numId="34">
    <w:abstractNumId w:val="100"/>
  </w:num>
  <w:num w:numId="35">
    <w:abstractNumId w:val="97"/>
  </w:num>
  <w:num w:numId="36">
    <w:abstractNumId w:val="9"/>
  </w:num>
  <w:num w:numId="37">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
  </w:num>
  <w:num w:numId="40">
    <w:abstractNumId w:val="75"/>
    <w:lvlOverride w:ilvl="0">
      <w:startOverride w:val="1"/>
    </w:lvlOverride>
    <w:lvlOverride w:ilvl="1"/>
    <w:lvlOverride w:ilvl="2"/>
    <w:lvlOverride w:ilvl="3"/>
    <w:lvlOverride w:ilvl="4"/>
    <w:lvlOverride w:ilvl="5"/>
    <w:lvlOverride w:ilvl="6"/>
    <w:lvlOverride w:ilvl="7"/>
    <w:lvlOverride w:ilvl="8"/>
  </w:num>
  <w:num w:numId="41">
    <w:abstractNumId w:val="55"/>
  </w:num>
  <w:num w:numId="42">
    <w:abstractNumId w:val="66"/>
  </w:num>
  <w:num w:numId="43">
    <w:abstractNumId w:val="88"/>
  </w:num>
  <w:num w:numId="44">
    <w:abstractNumId w:val="37"/>
  </w:num>
  <w:num w:numId="45">
    <w:abstractNumId w:val="42"/>
  </w:num>
  <w:num w:numId="46">
    <w:abstractNumId w:val="61"/>
  </w:num>
  <w:num w:numId="47">
    <w:abstractNumId w:val="67"/>
  </w:num>
  <w:num w:numId="48">
    <w:abstractNumId w:val="35"/>
  </w:num>
  <w:num w:numId="49">
    <w:abstractNumId w:val="14"/>
  </w:num>
  <w:num w:numId="50">
    <w:abstractNumId w:val="87"/>
  </w:num>
  <w:num w:numId="51">
    <w:abstractNumId w:val="19"/>
  </w:num>
  <w:num w:numId="52">
    <w:abstractNumId w:val="47"/>
  </w:num>
  <w:num w:numId="53">
    <w:abstractNumId w:val="52"/>
  </w:num>
  <w:num w:numId="54">
    <w:abstractNumId w:val="65"/>
  </w:num>
  <w:num w:numId="55">
    <w:abstractNumId w:val="39"/>
  </w:num>
  <w:num w:numId="56">
    <w:abstractNumId w:val="11"/>
  </w:num>
  <w:num w:numId="57">
    <w:abstractNumId w:val="40"/>
  </w:num>
  <w:num w:numId="58">
    <w:abstractNumId w:val="89"/>
  </w:num>
  <w:num w:numId="59">
    <w:abstractNumId w:val="16"/>
  </w:num>
  <w:num w:numId="60">
    <w:abstractNumId w:val="50"/>
  </w:num>
  <w:num w:numId="61">
    <w:abstractNumId w:val="13"/>
  </w:num>
  <w:num w:numId="62">
    <w:abstractNumId w:val="80"/>
  </w:num>
  <w:num w:numId="63">
    <w:abstractNumId w:val="73"/>
  </w:num>
  <w:num w:numId="64">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93"/>
  </w:num>
  <w:num w:numId="66">
    <w:abstractNumId w:val="95"/>
  </w:num>
  <w:num w:numId="67">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21"/>
  </w:num>
  <w:num w:numId="7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82"/>
  </w:num>
  <w:num w:numId="72">
    <w:abstractNumId w:val="82"/>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oNotTrackFormatting/>
  <w:defaultTabStop w:val="720"/>
  <w:clickAndTypeStyle w:val="BodyText"/>
  <w:drawingGridHorizontalSpacing w:val="110"/>
  <w:displayHorizontalDrawingGridEvery w:val="2"/>
  <w:characterSpacingControl w:val="doNotCompress"/>
  <w:hdrShapeDefaults>
    <o:shapedefaults v:ext="edit" spidmax="1024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bbreviations" w:val="False"/>
    <w:docVar w:name="ABN" w:val="ABN 78 006 769 339"/>
    <w:docVar w:name="Address" w:val="Level 27, Ernst &amp; Young Centre ~680 George Street ~Sydney NSW 2000"/>
    <w:docVar w:name="Branch" w:val="Sydney"/>
    <w:docVar w:name="ContentType" w:val="LTR-"/>
    <w:docVar w:name="Country" w:val="Australia"/>
    <w:docVar w:name="CustomTemplates" w:val="True"/>
    <w:docVar w:name="Discipline" w:val="~"/>
    <w:docVar w:name="DOCID" w:val="72499381"/>
    <w:docVar w:name="DocNameType" w:val="ANZ"/>
    <w:docVar w:name="DocNo" w:val="~"/>
    <w:docVar w:name="Entity" w:val="WSP Structures Pty Ltd"/>
    <w:docVar w:name="ExecutiveSummary" w:val="False"/>
    <w:docVar w:name="Fax" w:val="61 2 9272 5101"/>
    <w:docVar w:name="Glossary" w:val="False"/>
    <w:docVar w:name="isReport" w:val="True"/>
    <w:docVar w:name="Para" w:val="_x000d__x000a_"/>
    <w:docVar w:name="Phone" w:val="61 2 9272 5100"/>
    <w:docVar w:name="Postal" w:val="GPO Box 5394 ~Sydney NSW 2001"/>
    <w:docVar w:name="ProjectCode" w:val="~"/>
    <w:docVar w:name="SimpleOurRef" w:val="~"/>
    <w:docVar w:name="TOC" w:val="True"/>
    <w:docVar w:name="TOCImported" w:val="True"/>
    <w:docVar w:name="TOCNew" w:val="True"/>
    <w:docVar w:name="UpdateTheme" w:val="False"/>
    <w:docVar w:name="VERSIONLABEL" w:val="1"/>
    <w:docVar w:name="WSPAuthor" w:val="FD-"/>
    <w:docVar w:name="WSPContentType" w:val=" FD-"/>
    <w:docVar w:name="WSPDiscipline" w:val=" FD-"/>
    <w:docVar w:name="WSPDocDescription" w:val="FDSFSFS"/>
    <w:docVar w:name="WSPDocNamingDate" w:val="151215-"/>
    <w:docVar w:name="WSPDocNo" w:val=" FDS"/>
    <w:docVar w:name="WSPGeneralOurRef" w:val="barfdsa"/>
    <w:docVar w:name="WSPOfficeCode" w:val="FFDSAFSAFS-"/>
    <w:docVar w:name="WSPOurRef" w:val=" FFDA- FD- FD- FDS Rev FD"/>
    <w:docVar w:name="WSPProjectCode" w:val=" FFDA-"/>
    <w:docVar w:name="WSPRevNo" w:val=" FD"/>
    <w:docVar w:name="xAppendixName" w:val="Appendix"/>
    <w:docVar w:name="xTOCApp" w:val="H"/>
    <w:docVar w:name="xTOCFigure" w:val="H"/>
    <w:docVar w:name="xTOCH2" w:val="Y"/>
    <w:docVar w:name="xTOCH3" w:val="Y"/>
    <w:docVar w:name="xTOCPhoto" w:val="S"/>
    <w:docVar w:name="xTOCTable" w:val="H"/>
  </w:docVars>
  <w:rsids>
    <w:rsidRoot w:val="004C69F6"/>
    <w:rsid w:val="00000093"/>
    <w:rsid w:val="00000194"/>
    <w:rsid w:val="0000032A"/>
    <w:rsid w:val="00000333"/>
    <w:rsid w:val="000009F2"/>
    <w:rsid w:val="00000B9A"/>
    <w:rsid w:val="00000E4C"/>
    <w:rsid w:val="00000F1A"/>
    <w:rsid w:val="00001322"/>
    <w:rsid w:val="00001DFB"/>
    <w:rsid w:val="000025DD"/>
    <w:rsid w:val="0000290E"/>
    <w:rsid w:val="00002B57"/>
    <w:rsid w:val="00003094"/>
    <w:rsid w:val="000035F6"/>
    <w:rsid w:val="000037E4"/>
    <w:rsid w:val="000038C7"/>
    <w:rsid w:val="00003A67"/>
    <w:rsid w:val="00003E56"/>
    <w:rsid w:val="00004219"/>
    <w:rsid w:val="00004810"/>
    <w:rsid w:val="00004A68"/>
    <w:rsid w:val="0000577C"/>
    <w:rsid w:val="000057E4"/>
    <w:rsid w:val="00005823"/>
    <w:rsid w:val="0000598E"/>
    <w:rsid w:val="00005A5C"/>
    <w:rsid w:val="00006028"/>
    <w:rsid w:val="0000634A"/>
    <w:rsid w:val="000063C4"/>
    <w:rsid w:val="000068B5"/>
    <w:rsid w:val="00006D53"/>
    <w:rsid w:val="00006DD3"/>
    <w:rsid w:val="00007007"/>
    <w:rsid w:val="000105A9"/>
    <w:rsid w:val="00010618"/>
    <w:rsid w:val="00010C8A"/>
    <w:rsid w:val="00011772"/>
    <w:rsid w:val="00011A64"/>
    <w:rsid w:val="00011EB4"/>
    <w:rsid w:val="00011F39"/>
    <w:rsid w:val="0001201E"/>
    <w:rsid w:val="00012054"/>
    <w:rsid w:val="00012371"/>
    <w:rsid w:val="000125A5"/>
    <w:rsid w:val="00012827"/>
    <w:rsid w:val="0001322B"/>
    <w:rsid w:val="00013597"/>
    <w:rsid w:val="00013700"/>
    <w:rsid w:val="00013D78"/>
    <w:rsid w:val="00013FB3"/>
    <w:rsid w:val="00014071"/>
    <w:rsid w:val="000140CE"/>
    <w:rsid w:val="00015CD4"/>
    <w:rsid w:val="0001614C"/>
    <w:rsid w:val="00016CA2"/>
    <w:rsid w:val="0001718D"/>
    <w:rsid w:val="000171D8"/>
    <w:rsid w:val="000173A1"/>
    <w:rsid w:val="00017BB7"/>
    <w:rsid w:val="00017E18"/>
    <w:rsid w:val="00020425"/>
    <w:rsid w:val="00020547"/>
    <w:rsid w:val="000205FF"/>
    <w:rsid w:val="00020F11"/>
    <w:rsid w:val="00021F13"/>
    <w:rsid w:val="000221B9"/>
    <w:rsid w:val="00022905"/>
    <w:rsid w:val="00022A9D"/>
    <w:rsid w:val="00022B6D"/>
    <w:rsid w:val="00022C5C"/>
    <w:rsid w:val="0002318A"/>
    <w:rsid w:val="000231E0"/>
    <w:rsid w:val="0002337C"/>
    <w:rsid w:val="00023518"/>
    <w:rsid w:val="00023619"/>
    <w:rsid w:val="0002371F"/>
    <w:rsid w:val="00023F61"/>
    <w:rsid w:val="00024007"/>
    <w:rsid w:val="00024931"/>
    <w:rsid w:val="00024AC0"/>
    <w:rsid w:val="00024C3D"/>
    <w:rsid w:val="00024D26"/>
    <w:rsid w:val="00024E5F"/>
    <w:rsid w:val="00024FBE"/>
    <w:rsid w:val="00025161"/>
    <w:rsid w:val="00025438"/>
    <w:rsid w:val="0002642C"/>
    <w:rsid w:val="0002668E"/>
    <w:rsid w:val="00026A90"/>
    <w:rsid w:val="00026ED5"/>
    <w:rsid w:val="00027800"/>
    <w:rsid w:val="00027BC7"/>
    <w:rsid w:val="00027C6C"/>
    <w:rsid w:val="00030349"/>
    <w:rsid w:val="00030444"/>
    <w:rsid w:val="0003062F"/>
    <w:rsid w:val="0003079E"/>
    <w:rsid w:val="00030EA5"/>
    <w:rsid w:val="00031503"/>
    <w:rsid w:val="000318C7"/>
    <w:rsid w:val="00031978"/>
    <w:rsid w:val="000323F1"/>
    <w:rsid w:val="0003249B"/>
    <w:rsid w:val="00032806"/>
    <w:rsid w:val="00032892"/>
    <w:rsid w:val="00032A32"/>
    <w:rsid w:val="00032E8F"/>
    <w:rsid w:val="00033625"/>
    <w:rsid w:val="00033C30"/>
    <w:rsid w:val="000343D3"/>
    <w:rsid w:val="0003553E"/>
    <w:rsid w:val="00035A63"/>
    <w:rsid w:val="000362CA"/>
    <w:rsid w:val="000364F2"/>
    <w:rsid w:val="00036751"/>
    <w:rsid w:val="00036BCF"/>
    <w:rsid w:val="00036C8E"/>
    <w:rsid w:val="00036D45"/>
    <w:rsid w:val="00037286"/>
    <w:rsid w:val="00037486"/>
    <w:rsid w:val="000374E9"/>
    <w:rsid w:val="00040011"/>
    <w:rsid w:val="0004046E"/>
    <w:rsid w:val="00040531"/>
    <w:rsid w:val="000405AB"/>
    <w:rsid w:val="000406EF"/>
    <w:rsid w:val="00040A04"/>
    <w:rsid w:val="00040FD1"/>
    <w:rsid w:val="00041613"/>
    <w:rsid w:val="00041B06"/>
    <w:rsid w:val="00041CE0"/>
    <w:rsid w:val="00041D53"/>
    <w:rsid w:val="00042366"/>
    <w:rsid w:val="0004277C"/>
    <w:rsid w:val="00042C9F"/>
    <w:rsid w:val="00042CAF"/>
    <w:rsid w:val="000431D6"/>
    <w:rsid w:val="000438A1"/>
    <w:rsid w:val="00043AC5"/>
    <w:rsid w:val="00043B16"/>
    <w:rsid w:val="00043B69"/>
    <w:rsid w:val="000443F1"/>
    <w:rsid w:val="00044DCE"/>
    <w:rsid w:val="00044F8F"/>
    <w:rsid w:val="00044FDB"/>
    <w:rsid w:val="00045471"/>
    <w:rsid w:val="00045A2E"/>
    <w:rsid w:val="00045D96"/>
    <w:rsid w:val="0004619B"/>
    <w:rsid w:val="000463D7"/>
    <w:rsid w:val="0004747E"/>
    <w:rsid w:val="00047A4F"/>
    <w:rsid w:val="00047C91"/>
    <w:rsid w:val="00050713"/>
    <w:rsid w:val="0005109B"/>
    <w:rsid w:val="000510BB"/>
    <w:rsid w:val="000516BE"/>
    <w:rsid w:val="00051D5C"/>
    <w:rsid w:val="00051F2B"/>
    <w:rsid w:val="0005213F"/>
    <w:rsid w:val="00052454"/>
    <w:rsid w:val="0005252A"/>
    <w:rsid w:val="000525D6"/>
    <w:rsid w:val="00052756"/>
    <w:rsid w:val="0005283A"/>
    <w:rsid w:val="00052A4B"/>
    <w:rsid w:val="0005399F"/>
    <w:rsid w:val="000539FE"/>
    <w:rsid w:val="00053FEC"/>
    <w:rsid w:val="000540B4"/>
    <w:rsid w:val="000542A1"/>
    <w:rsid w:val="00054BE0"/>
    <w:rsid w:val="00055A15"/>
    <w:rsid w:val="00055FA7"/>
    <w:rsid w:val="00056406"/>
    <w:rsid w:val="0005644F"/>
    <w:rsid w:val="00056D39"/>
    <w:rsid w:val="00056D42"/>
    <w:rsid w:val="0005705F"/>
    <w:rsid w:val="00057226"/>
    <w:rsid w:val="00057416"/>
    <w:rsid w:val="000574CC"/>
    <w:rsid w:val="00057571"/>
    <w:rsid w:val="0005762C"/>
    <w:rsid w:val="00057661"/>
    <w:rsid w:val="00057ACD"/>
    <w:rsid w:val="000603EE"/>
    <w:rsid w:val="00060521"/>
    <w:rsid w:val="0006053E"/>
    <w:rsid w:val="000608FB"/>
    <w:rsid w:val="00060B55"/>
    <w:rsid w:val="00060B9F"/>
    <w:rsid w:val="00060D90"/>
    <w:rsid w:val="00061E0A"/>
    <w:rsid w:val="000622CB"/>
    <w:rsid w:val="00062536"/>
    <w:rsid w:val="000628AA"/>
    <w:rsid w:val="00062F76"/>
    <w:rsid w:val="000634B5"/>
    <w:rsid w:val="000635DA"/>
    <w:rsid w:val="00063820"/>
    <w:rsid w:val="0006386D"/>
    <w:rsid w:val="000642D2"/>
    <w:rsid w:val="00064444"/>
    <w:rsid w:val="0006590D"/>
    <w:rsid w:val="00065B1F"/>
    <w:rsid w:val="00065CDA"/>
    <w:rsid w:val="00066037"/>
    <w:rsid w:val="00066597"/>
    <w:rsid w:val="000665B5"/>
    <w:rsid w:val="00066710"/>
    <w:rsid w:val="000669A6"/>
    <w:rsid w:val="00066A4B"/>
    <w:rsid w:val="00066CEB"/>
    <w:rsid w:val="00066FB6"/>
    <w:rsid w:val="0006708F"/>
    <w:rsid w:val="000679A1"/>
    <w:rsid w:val="00067A55"/>
    <w:rsid w:val="00067F43"/>
    <w:rsid w:val="00070500"/>
    <w:rsid w:val="000707E8"/>
    <w:rsid w:val="00070897"/>
    <w:rsid w:val="000709D4"/>
    <w:rsid w:val="00071584"/>
    <w:rsid w:val="00071915"/>
    <w:rsid w:val="00071A2F"/>
    <w:rsid w:val="00071F31"/>
    <w:rsid w:val="00072942"/>
    <w:rsid w:val="0007368F"/>
    <w:rsid w:val="000738AF"/>
    <w:rsid w:val="00073C88"/>
    <w:rsid w:val="00073DDA"/>
    <w:rsid w:val="000747C4"/>
    <w:rsid w:val="00074C02"/>
    <w:rsid w:val="00074CCC"/>
    <w:rsid w:val="00074E5F"/>
    <w:rsid w:val="00074EF6"/>
    <w:rsid w:val="000755B1"/>
    <w:rsid w:val="00075AB0"/>
    <w:rsid w:val="00075D68"/>
    <w:rsid w:val="000764DD"/>
    <w:rsid w:val="00076A72"/>
    <w:rsid w:val="00076A7D"/>
    <w:rsid w:val="00076CEC"/>
    <w:rsid w:val="000773DF"/>
    <w:rsid w:val="0007772F"/>
    <w:rsid w:val="00077CD3"/>
    <w:rsid w:val="000800F0"/>
    <w:rsid w:val="00080188"/>
    <w:rsid w:val="00080774"/>
    <w:rsid w:val="0008215B"/>
    <w:rsid w:val="00082339"/>
    <w:rsid w:val="00082CAC"/>
    <w:rsid w:val="00082CF7"/>
    <w:rsid w:val="00083038"/>
    <w:rsid w:val="000831F0"/>
    <w:rsid w:val="000834AE"/>
    <w:rsid w:val="00084311"/>
    <w:rsid w:val="00084B10"/>
    <w:rsid w:val="00084BE8"/>
    <w:rsid w:val="000851F6"/>
    <w:rsid w:val="0008527D"/>
    <w:rsid w:val="00085314"/>
    <w:rsid w:val="00085393"/>
    <w:rsid w:val="000856C4"/>
    <w:rsid w:val="00085D93"/>
    <w:rsid w:val="00086400"/>
    <w:rsid w:val="000866EB"/>
    <w:rsid w:val="00086C5B"/>
    <w:rsid w:val="000870AB"/>
    <w:rsid w:val="000874AC"/>
    <w:rsid w:val="000874D6"/>
    <w:rsid w:val="00087A2D"/>
    <w:rsid w:val="00087AE7"/>
    <w:rsid w:val="00087F6D"/>
    <w:rsid w:val="000905D6"/>
    <w:rsid w:val="0009093C"/>
    <w:rsid w:val="0009097B"/>
    <w:rsid w:val="00090D68"/>
    <w:rsid w:val="00090D84"/>
    <w:rsid w:val="00090E6C"/>
    <w:rsid w:val="0009129D"/>
    <w:rsid w:val="00091B4A"/>
    <w:rsid w:val="00091D20"/>
    <w:rsid w:val="00091E67"/>
    <w:rsid w:val="00091FE2"/>
    <w:rsid w:val="00092080"/>
    <w:rsid w:val="0009208D"/>
    <w:rsid w:val="0009229B"/>
    <w:rsid w:val="00092C7D"/>
    <w:rsid w:val="00092EBC"/>
    <w:rsid w:val="0009364B"/>
    <w:rsid w:val="00093982"/>
    <w:rsid w:val="00093F0B"/>
    <w:rsid w:val="00093F99"/>
    <w:rsid w:val="00094658"/>
    <w:rsid w:val="000948CB"/>
    <w:rsid w:val="000949A1"/>
    <w:rsid w:val="00094AE6"/>
    <w:rsid w:val="00095314"/>
    <w:rsid w:val="00095B22"/>
    <w:rsid w:val="000964E7"/>
    <w:rsid w:val="000968BE"/>
    <w:rsid w:val="000969DE"/>
    <w:rsid w:val="00096E00"/>
    <w:rsid w:val="000977C2"/>
    <w:rsid w:val="00097DD0"/>
    <w:rsid w:val="00097FC2"/>
    <w:rsid w:val="000A043A"/>
    <w:rsid w:val="000A04DF"/>
    <w:rsid w:val="000A0D39"/>
    <w:rsid w:val="000A0E4C"/>
    <w:rsid w:val="000A1058"/>
    <w:rsid w:val="000A115A"/>
    <w:rsid w:val="000A1328"/>
    <w:rsid w:val="000A16D5"/>
    <w:rsid w:val="000A1998"/>
    <w:rsid w:val="000A1A10"/>
    <w:rsid w:val="000A1A4F"/>
    <w:rsid w:val="000A1D36"/>
    <w:rsid w:val="000A1F71"/>
    <w:rsid w:val="000A24D0"/>
    <w:rsid w:val="000A2528"/>
    <w:rsid w:val="000A2A5F"/>
    <w:rsid w:val="000A3069"/>
    <w:rsid w:val="000A3AF8"/>
    <w:rsid w:val="000A4208"/>
    <w:rsid w:val="000A43D8"/>
    <w:rsid w:val="000A47B2"/>
    <w:rsid w:val="000A48AC"/>
    <w:rsid w:val="000A4BD4"/>
    <w:rsid w:val="000A4C4A"/>
    <w:rsid w:val="000A4DDA"/>
    <w:rsid w:val="000A4EB8"/>
    <w:rsid w:val="000A4F73"/>
    <w:rsid w:val="000A50F3"/>
    <w:rsid w:val="000A561E"/>
    <w:rsid w:val="000A5C39"/>
    <w:rsid w:val="000A64D2"/>
    <w:rsid w:val="000A712A"/>
    <w:rsid w:val="000A71FC"/>
    <w:rsid w:val="000A7592"/>
    <w:rsid w:val="000A76C7"/>
    <w:rsid w:val="000A7E9C"/>
    <w:rsid w:val="000B111C"/>
    <w:rsid w:val="000B183F"/>
    <w:rsid w:val="000B19B2"/>
    <w:rsid w:val="000B1CB2"/>
    <w:rsid w:val="000B22FB"/>
    <w:rsid w:val="000B2413"/>
    <w:rsid w:val="000B26A4"/>
    <w:rsid w:val="000B30E5"/>
    <w:rsid w:val="000B3476"/>
    <w:rsid w:val="000B35F1"/>
    <w:rsid w:val="000B36A7"/>
    <w:rsid w:val="000B389A"/>
    <w:rsid w:val="000B3B9C"/>
    <w:rsid w:val="000B4921"/>
    <w:rsid w:val="000B492A"/>
    <w:rsid w:val="000B49AE"/>
    <w:rsid w:val="000B4AC7"/>
    <w:rsid w:val="000B51C9"/>
    <w:rsid w:val="000B52BE"/>
    <w:rsid w:val="000B5313"/>
    <w:rsid w:val="000B5663"/>
    <w:rsid w:val="000B59CB"/>
    <w:rsid w:val="000B646C"/>
    <w:rsid w:val="000B6475"/>
    <w:rsid w:val="000B65EE"/>
    <w:rsid w:val="000B6907"/>
    <w:rsid w:val="000B7039"/>
    <w:rsid w:val="000B756F"/>
    <w:rsid w:val="000B76ED"/>
    <w:rsid w:val="000B7A66"/>
    <w:rsid w:val="000B7C10"/>
    <w:rsid w:val="000C036C"/>
    <w:rsid w:val="000C043D"/>
    <w:rsid w:val="000C059C"/>
    <w:rsid w:val="000C2607"/>
    <w:rsid w:val="000C269E"/>
    <w:rsid w:val="000C28DF"/>
    <w:rsid w:val="000C2BCB"/>
    <w:rsid w:val="000C321B"/>
    <w:rsid w:val="000C3390"/>
    <w:rsid w:val="000C3784"/>
    <w:rsid w:val="000C3AA0"/>
    <w:rsid w:val="000C3B23"/>
    <w:rsid w:val="000C3DB5"/>
    <w:rsid w:val="000C4716"/>
    <w:rsid w:val="000C48E8"/>
    <w:rsid w:val="000C4ED6"/>
    <w:rsid w:val="000C5015"/>
    <w:rsid w:val="000C5571"/>
    <w:rsid w:val="000C5778"/>
    <w:rsid w:val="000C5B43"/>
    <w:rsid w:val="000C5BA9"/>
    <w:rsid w:val="000C5F1C"/>
    <w:rsid w:val="000C6237"/>
    <w:rsid w:val="000C68E3"/>
    <w:rsid w:val="000C70ED"/>
    <w:rsid w:val="000C76B8"/>
    <w:rsid w:val="000C7788"/>
    <w:rsid w:val="000C7BB4"/>
    <w:rsid w:val="000D01DB"/>
    <w:rsid w:val="000D024E"/>
    <w:rsid w:val="000D1689"/>
    <w:rsid w:val="000D19C5"/>
    <w:rsid w:val="000D1DA0"/>
    <w:rsid w:val="000D2354"/>
    <w:rsid w:val="000D271C"/>
    <w:rsid w:val="000D2F86"/>
    <w:rsid w:val="000D36FC"/>
    <w:rsid w:val="000D3881"/>
    <w:rsid w:val="000D38C3"/>
    <w:rsid w:val="000D3AAE"/>
    <w:rsid w:val="000D3E4A"/>
    <w:rsid w:val="000D4049"/>
    <w:rsid w:val="000D4681"/>
    <w:rsid w:val="000D5321"/>
    <w:rsid w:val="000D57ED"/>
    <w:rsid w:val="000D5967"/>
    <w:rsid w:val="000D5E74"/>
    <w:rsid w:val="000D60E9"/>
    <w:rsid w:val="000D66AF"/>
    <w:rsid w:val="000D6AF6"/>
    <w:rsid w:val="000D6E50"/>
    <w:rsid w:val="000D73BF"/>
    <w:rsid w:val="000D73CA"/>
    <w:rsid w:val="000D7723"/>
    <w:rsid w:val="000D77A2"/>
    <w:rsid w:val="000D77B1"/>
    <w:rsid w:val="000D77EE"/>
    <w:rsid w:val="000D797F"/>
    <w:rsid w:val="000D7DC1"/>
    <w:rsid w:val="000E0068"/>
    <w:rsid w:val="000E0767"/>
    <w:rsid w:val="000E0775"/>
    <w:rsid w:val="000E0F37"/>
    <w:rsid w:val="000E1102"/>
    <w:rsid w:val="000E1187"/>
    <w:rsid w:val="000E1490"/>
    <w:rsid w:val="000E1770"/>
    <w:rsid w:val="000E1A47"/>
    <w:rsid w:val="000E21F5"/>
    <w:rsid w:val="000E2819"/>
    <w:rsid w:val="000E2A35"/>
    <w:rsid w:val="000E2E35"/>
    <w:rsid w:val="000E2F22"/>
    <w:rsid w:val="000E31CA"/>
    <w:rsid w:val="000E31FF"/>
    <w:rsid w:val="000E326D"/>
    <w:rsid w:val="000E32D8"/>
    <w:rsid w:val="000E3A3C"/>
    <w:rsid w:val="000E3B79"/>
    <w:rsid w:val="000E3C49"/>
    <w:rsid w:val="000E4043"/>
    <w:rsid w:val="000E4843"/>
    <w:rsid w:val="000E4B5B"/>
    <w:rsid w:val="000E4C86"/>
    <w:rsid w:val="000E5431"/>
    <w:rsid w:val="000E5885"/>
    <w:rsid w:val="000E5A00"/>
    <w:rsid w:val="000E5A52"/>
    <w:rsid w:val="000E60DA"/>
    <w:rsid w:val="000E64A9"/>
    <w:rsid w:val="000E6504"/>
    <w:rsid w:val="000E6B5A"/>
    <w:rsid w:val="000E6DF0"/>
    <w:rsid w:val="000E72D4"/>
    <w:rsid w:val="000E76D9"/>
    <w:rsid w:val="000E7BC0"/>
    <w:rsid w:val="000E7E62"/>
    <w:rsid w:val="000F0B18"/>
    <w:rsid w:val="000F0DA5"/>
    <w:rsid w:val="000F0DAC"/>
    <w:rsid w:val="000F0FCE"/>
    <w:rsid w:val="000F1017"/>
    <w:rsid w:val="000F13E5"/>
    <w:rsid w:val="000F15C6"/>
    <w:rsid w:val="000F1687"/>
    <w:rsid w:val="000F17C0"/>
    <w:rsid w:val="000F1B74"/>
    <w:rsid w:val="000F20C3"/>
    <w:rsid w:val="000F2FC7"/>
    <w:rsid w:val="000F3362"/>
    <w:rsid w:val="000F3396"/>
    <w:rsid w:val="000F3961"/>
    <w:rsid w:val="000F47F5"/>
    <w:rsid w:val="000F4910"/>
    <w:rsid w:val="000F4BCB"/>
    <w:rsid w:val="000F4CD8"/>
    <w:rsid w:val="000F4D26"/>
    <w:rsid w:val="000F5351"/>
    <w:rsid w:val="000F5626"/>
    <w:rsid w:val="000F59FB"/>
    <w:rsid w:val="000F5E55"/>
    <w:rsid w:val="000F5EA7"/>
    <w:rsid w:val="000F62C7"/>
    <w:rsid w:val="000F631C"/>
    <w:rsid w:val="000F6433"/>
    <w:rsid w:val="000F656F"/>
    <w:rsid w:val="000F6995"/>
    <w:rsid w:val="000F6CD8"/>
    <w:rsid w:val="000F6CDF"/>
    <w:rsid w:val="000F6F60"/>
    <w:rsid w:val="000F6F9C"/>
    <w:rsid w:val="000F7430"/>
    <w:rsid w:val="000F7466"/>
    <w:rsid w:val="000F7619"/>
    <w:rsid w:val="00101883"/>
    <w:rsid w:val="00101EBF"/>
    <w:rsid w:val="001022DC"/>
    <w:rsid w:val="0010299D"/>
    <w:rsid w:val="00103077"/>
    <w:rsid w:val="00103449"/>
    <w:rsid w:val="00103624"/>
    <w:rsid w:val="00103964"/>
    <w:rsid w:val="00103B3A"/>
    <w:rsid w:val="001041CD"/>
    <w:rsid w:val="001042E1"/>
    <w:rsid w:val="001044BF"/>
    <w:rsid w:val="001044FD"/>
    <w:rsid w:val="00104E03"/>
    <w:rsid w:val="00105AB9"/>
    <w:rsid w:val="00105C04"/>
    <w:rsid w:val="001065C1"/>
    <w:rsid w:val="001067B2"/>
    <w:rsid w:val="001075A2"/>
    <w:rsid w:val="001078D4"/>
    <w:rsid w:val="00107EE2"/>
    <w:rsid w:val="0011000B"/>
    <w:rsid w:val="0011087C"/>
    <w:rsid w:val="001109A0"/>
    <w:rsid w:val="00110A2C"/>
    <w:rsid w:val="00110A83"/>
    <w:rsid w:val="00110EF0"/>
    <w:rsid w:val="00111BE5"/>
    <w:rsid w:val="001122BF"/>
    <w:rsid w:val="00112941"/>
    <w:rsid w:val="00112A71"/>
    <w:rsid w:val="00112B57"/>
    <w:rsid w:val="001136AD"/>
    <w:rsid w:val="0011371C"/>
    <w:rsid w:val="0011378C"/>
    <w:rsid w:val="00114377"/>
    <w:rsid w:val="001144A5"/>
    <w:rsid w:val="0011526B"/>
    <w:rsid w:val="0011591D"/>
    <w:rsid w:val="00115C53"/>
    <w:rsid w:val="00115DA7"/>
    <w:rsid w:val="00115DD5"/>
    <w:rsid w:val="00116264"/>
    <w:rsid w:val="001162AF"/>
    <w:rsid w:val="001163C1"/>
    <w:rsid w:val="00116683"/>
    <w:rsid w:val="00116B5E"/>
    <w:rsid w:val="00116D89"/>
    <w:rsid w:val="00117629"/>
    <w:rsid w:val="001176AC"/>
    <w:rsid w:val="0011772E"/>
    <w:rsid w:val="00117C80"/>
    <w:rsid w:val="00117FAD"/>
    <w:rsid w:val="00120355"/>
    <w:rsid w:val="001206DB"/>
    <w:rsid w:val="00120706"/>
    <w:rsid w:val="001211ED"/>
    <w:rsid w:val="00121691"/>
    <w:rsid w:val="00121D2C"/>
    <w:rsid w:val="00121D83"/>
    <w:rsid w:val="0012201F"/>
    <w:rsid w:val="00122335"/>
    <w:rsid w:val="001225B3"/>
    <w:rsid w:val="001227AB"/>
    <w:rsid w:val="00122EA0"/>
    <w:rsid w:val="001230A0"/>
    <w:rsid w:val="0012313C"/>
    <w:rsid w:val="00123448"/>
    <w:rsid w:val="0012364F"/>
    <w:rsid w:val="0012390B"/>
    <w:rsid w:val="00123B35"/>
    <w:rsid w:val="00123D46"/>
    <w:rsid w:val="00123E7D"/>
    <w:rsid w:val="00124191"/>
    <w:rsid w:val="00124CCE"/>
    <w:rsid w:val="00124D6D"/>
    <w:rsid w:val="0012540B"/>
    <w:rsid w:val="001255AA"/>
    <w:rsid w:val="001256E6"/>
    <w:rsid w:val="00125D09"/>
    <w:rsid w:val="00125DB7"/>
    <w:rsid w:val="00125FCE"/>
    <w:rsid w:val="00126476"/>
    <w:rsid w:val="00126E13"/>
    <w:rsid w:val="00127A79"/>
    <w:rsid w:val="0013024E"/>
    <w:rsid w:val="00130333"/>
    <w:rsid w:val="0013044E"/>
    <w:rsid w:val="00130493"/>
    <w:rsid w:val="00130909"/>
    <w:rsid w:val="00130BED"/>
    <w:rsid w:val="00131307"/>
    <w:rsid w:val="0013164E"/>
    <w:rsid w:val="00131967"/>
    <w:rsid w:val="001320DB"/>
    <w:rsid w:val="001323B8"/>
    <w:rsid w:val="00132471"/>
    <w:rsid w:val="0013250D"/>
    <w:rsid w:val="001326BD"/>
    <w:rsid w:val="0013272F"/>
    <w:rsid w:val="00133305"/>
    <w:rsid w:val="00133412"/>
    <w:rsid w:val="00133CEB"/>
    <w:rsid w:val="00134014"/>
    <w:rsid w:val="001353CF"/>
    <w:rsid w:val="00135442"/>
    <w:rsid w:val="001356BB"/>
    <w:rsid w:val="00135753"/>
    <w:rsid w:val="00135948"/>
    <w:rsid w:val="00135974"/>
    <w:rsid w:val="00136465"/>
    <w:rsid w:val="00136750"/>
    <w:rsid w:val="0013752B"/>
    <w:rsid w:val="00137655"/>
    <w:rsid w:val="00137A08"/>
    <w:rsid w:val="00137A24"/>
    <w:rsid w:val="00137ACF"/>
    <w:rsid w:val="00137B45"/>
    <w:rsid w:val="00137D02"/>
    <w:rsid w:val="00137FAA"/>
    <w:rsid w:val="0014097B"/>
    <w:rsid w:val="001411AF"/>
    <w:rsid w:val="00141D23"/>
    <w:rsid w:val="00141D2C"/>
    <w:rsid w:val="00142351"/>
    <w:rsid w:val="00143F47"/>
    <w:rsid w:val="0014403A"/>
    <w:rsid w:val="0014471B"/>
    <w:rsid w:val="00144A90"/>
    <w:rsid w:val="001451D5"/>
    <w:rsid w:val="0014559D"/>
    <w:rsid w:val="00145982"/>
    <w:rsid w:val="00145D7D"/>
    <w:rsid w:val="001460B2"/>
    <w:rsid w:val="00146277"/>
    <w:rsid w:val="0014642B"/>
    <w:rsid w:val="0014650E"/>
    <w:rsid w:val="00146643"/>
    <w:rsid w:val="0014667D"/>
    <w:rsid w:val="001466B3"/>
    <w:rsid w:val="0014693E"/>
    <w:rsid w:val="00146947"/>
    <w:rsid w:val="00146A3F"/>
    <w:rsid w:val="00146C74"/>
    <w:rsid w:val="0014710F"/>
    <w:rsid w:val="0014722D"/>
    <w:rsid w:val="001479A5"/>
    <w:rsid w:val="00147BB6"/>
    <w:rsid w:val="00147EA6"/>
    <w:rsid w:val="00150164"/>
    <w:rsid w:val="00150368"/>
    <w:rsid w:val="00150656"/>
    <w:rsid w:val="00150D9F"/>
    <w:rsid w:val="00151633"/>
    <w:rsid w:val="001516A1"/>
    <w:rsid w:val="001516EC"/>
    <w:rsid w:val="00151A17"/>
    <w:rsid w:val="00151C85"/>
    <w:rsid w:val="00151DA3"/>
    <w:rsid w:val="00152358"/>
    <w:rsid w:val="0015260C"/>
    <w:rsid w:val="00152758"/>
    <w:rsid w:val="00153551"/>
    <w:rsid w:val="001536B2"/>
    <w:rsid w:val="00153B23"/>
    <w:rsid w:val="00154325"/>
    <w:rsid w:val="001550C3"/>
    <w:rsid w:val="001555DE"/>
    <w:rsid w:val="00155B41"/>
    <w:rsid w:val="00155D28"/>
    <w:rsid w:val="00156764"/>
    <w:rsid w:val="001568ED"/>
    <w:rsid w:val="00156B5B"/>
    <w:rsid w:val="001571C1"/>
    <w:rsid w:val="00157379"/>
    <w:rsid w:val="001574A5"/>
    <w:rsid w:val="00157D57"/>
    <w:rsid w:val="00157F04"/>
    <w:rsid w:val="00160DE7"/>
    <w:rsid w:val="00161419"/>
    <w:rsid w:val="00161666"/>
    <w:rsid w:val="001616D6"/>
    <w:rsid w:val="00162508"/>
    <w:rsid w:val="00162678"/>
    <w:rsid w:val="0016271B"/>
    <w:rsid w:val="00162997"/>
    <w:rsid w:val="00162A49"/>
    <w:rsid w:val="001631C0"/>
    <w:rsid w:val="00163259"/>
    <w:rsid w:val="001633DF"/>
    <w:rsid w:val="0016341A"/>
    <w:rsid w:val="0016371D"/>
    <w:rsid w:val="00163A67"/>
    <w:rsid w:val="001640C8"/>
    <w:rsid w:val="001643AC"/>
    <w:rsid w:val="00164716"/>
    <w:rsid w:val="00164D13"/>
    <w:rsid w:val="00164E25"/>
    <w:rsid w:val="00164F8C"/>
    <w:rsid w:val="001657F2"/>
    <w:rsid w:val="0016580D"/>
    <w:rsid w:val="00165A12"/>
    <w:rsid w:val="00165E30"/>
    <w:rsid w:val="00165F99"/>
    <w:rsid w:val="00166097"/>
    <w:rsid w:val="0016616C"/>
    <w:rsid w:val="00166229"/>
    <w:rsid w:val="00166491"/>
    <w:rsid w:val="001664D3"/>
    <w:rsid w:val="00166E6D"/>
    <w:rsid w:val="00167820"/>
    <w:rsid w:val="00167B65"/>
    <w:rsid w:val="00170058"/>
    <w:rsid w:val="00170080"/>
    <w:rsid w:val="0017085C"/>
    <w:rsid w:val="001708D3"/>
    <w:rsid w:val="00171873"/>
    <w:rsid w:val="001719B2"/>
    <w:rsid w:val="00171A5E"/>
    <w:rsid w:val="00171D16"/>
    <w:rsid w:val="00171F34"/>
    <w:rsid w:val="0017219E"/>
    <w:rsid w:val="0017251D"/>
    <w:rsid w:val="001726D4"/>
    <w:rsid w:val="00172B6D"/>
    <w:rsid w:val="00172C46"/>
    <w:rsid w:val="001732ED"/>
    <w:rsid w:val="00173326"/>
    <w:rsid w:val="0017356C"/>
    <w:rsid w:val="0017370E"/>
    <w:rsid w:val="0017378D"/>
    <w:rsid w:val="00173C32"/>
    <w:rsid w:val="00173F1F"/>
    <w:rsid w:val="00174203"/>
    <w:rsid w:val="0017473C"/>
    <w:rsid w:val="001750A0"/>
    <w:rsid w:val="001750C5"/>
    <w:rsid w:val="00175FA7"/>
    <w:rsid w:val="00176269"/>
    <w:rsid w:val="001764BF"/>
    <w:rsid w:val="001769C9"/>
    <w:rsid w:val="00176E07"/>
    <w:rsid w:val="00177B21"/>
    <w:rsid w:val="00177F40"/>
    <w:rsid w:val="001800D4"/>
    <w:rsid w:val="001805F3"/>
    <w:rsid w:val="001817AB"/>
    <w:rsid w:val="00182310"/>
    <w:rsid w:val="001825EE"/>
    <w:rsid w:val="001827CC"/>
    <w:rsid w:val="00182C1A"/>
    <w:rsid w:val="00182E10"/>
    <w:rsid w:val="0018347E"/>
    <w:rsid w:val="0018366A"/>
    <w:rsid w:val="0018426D"/>
    <w:rsid w:val="0018427A"/>
    <w:rsid w:val="00184327"/>
    <w:rsid w:val="001843B1"/>
    <w:rsid w:val="00184490"/>
    <w:rsid w:val="001844C6"/>
    <w:rsid w:val="001845EF"/>
    <w:rsid w:val="001847A9"/>
    <w:rsid w:val="00184AA3"/>
    <w:rsid w:val="00184B22"/>
    <w:rsid w:val="0018549D"/>
    <w:rsid w:val="00185868"/>
    <w:rsid w:val="00185F1D"/>
    <w:rsid w:val="0018615C"/>
    <w:rsid w:val="001863C4"/>
    <w:rsid w:val="00186850"/>
    <w:rsid w:val="00186A36"/>
    <w:rsid w:val="001874D7"/>
    <w:rsid w:val="001874EB"/>
    <w:rsid w:val="00187658"/>
    <w:rsid w:val="00187681"/>
    <w:rsid w:val="0018787D"/>
    <w:rsid w:val="00187905"/>
    <w:rsid w:val="00187D9F"/>
    <w:rsid w:val="00187E2C"/>
    <w:rsid w:val="00187EBF"/>
    <w:rsid w:val="00187F1D"/>
    <w:rsid w:val="001900BE"/>
    <w:rsid w:val="00190145"/>
    <w:rsid w:val="0019042B"/>
    <w:rsid w:val="0019074B"/>
    <w:rsid w:val="001908A8"/>
    <w:rsid w:val="00190B97"/>
    <w:rsid w:val="00190C4D"/>
    <w:rsid w:val="00190CD1"/>
    <w:rsid w:val="00190E12"/>
    <w:rsid w:val="00192407"/>
    <w:rsid w:val="0019286D"/>
    <w:rsid w:val="00193328"/>
    <w:rsid w:val="001933E1"/>
    <w:rsid w:val="00193AD2"/>
    <w:rsid w:val="00193F98"/>
    <w:rsid w:val="00194B60"/>
    <w:rsid w:val="00194D51"/>
    <w:rsid w:val="00194DB0"/>
    <w:rsid w:val="0019530F"/>
    <w:rsid w:val="001955D4"/>
    <w:rsid w:val="00195D19"/>
    <w:rsid w:val="001968DC"/>
    <w:rsid w:val="00196958"/>
    <w:rsid w:val="00196D8E"/>
    <w:rsid w:val="0019714F"/>
    <w:rsid w:val="001979A7"/>
    <w:rsid w:val="00197B2E"/>
    <w:rsid w:val="00197B79"/>
    <w:rsid w:val="001A01A2"/>
    <w:rsid w:val="001A0286"/>
    <w:rsid w:val="001A0A05"/>
    <w:rsid w:val="001A137F"/>
    <w:rsid w:val="001A1DEE"/>
    <w:rsid w:val="001A201E"/>
    <w:rsid w:val="001A2DE8"/>
    <w:rsid w:val="001A2F93"/>
    <w:rsid w:val="001A321D"/>
    <w:rsid w:val="001A3352"/>
    <w:rsid w:val="001A3420"/>
    <w:rsid w:val="001A353D"/>
    <w:rsid w:val="001A3695"/>
    <w:rsid w:val="001A4DF2"/>
    <w:rsid w:val="001A4EBF"/>
    <w:rsid w:val="001A5205"/>
    <w:rsid w:val="001A551E"/>
    <w:rsid w:val="001A55D5"/>
    <w:rsid w:val="001A581E"/>
    <w:rsid w:val="001A5AD3"/>
    <w:rsid w:val="001A6071"/>
    <w:rsid w:val="001A60EA"/>
    <w:rsid w:val="001A6640"/>
    <w:rsid w:val="001A6E48"/>
    <w:rsid w:val="001A729B"/>
    <w:rsid w:val="001A7909"/>
    <w:rsid w:val="001A79E9"/>
    <w:rsid w:val="001A7C6E"/>
    <w:rsid w:val="001B0076"/>
    <w:rsid w:val="001B00AD"/>
    <w:rsid w:val="001B0447"/>
    <w:rsid w:val="001B071A"/>
    <w:rsid w:val="001B07A7"/>
    <w:rsid w:val="001B07E8"/>
    <w:rsid w:val="001B0E44"/>
    <w:rsid w:val="001B13A0"/>
    <w:rsid w:val="001B13C6"/>
    <w:rsid w:val="001B1519"/>
    <w:rsid w:val="001B17B0"/>
    <w:rsid w:val="001B1992"/>
    <w:rsid w:val="001B1A92"/>
    <w:rsid w:val="001B1B2B"/>
    <w:rsid w:val="001B22F9"/>
    <w:rsid w:val="001B2323"/>
    <w:rsid w:val="001B2481"/>
    <w:rsid w:val="001B31DC"/>
    <w:rsid w:val="001B32B4"/>
    <w:rsid w:val="001B3B88"/>
    <w:rsid w:val="001B3FE6"/>
    <w:rsid w:val="001B40A3"/>
    <w:rsid w:val="001B429E"/>
    <w:rsid w:val="001B453A"/>
    <w:rsid w:val="001B4653"/>
    <w:rsid w:val="001B4907"/>
    <w:rsid w:val="001B49B6"/>
    <w:rsid w:val="001B4BA8"/>
    <w:rsid w:val="001B4CCD"/>
    <w:rsid w:val="001B4FC0"/>
    <w:rsid w:val="001B5085"/>
    <w:rsid w:val="001B520A"/>
    <w:rsid w:val="001B53D2"/>
    <w:rsid w:val="001B56DF"/>
    <w:rsid w:val="001B5836"/>
    <w:rsid w:val="001B5D15"/>
    <w:rsid w:val="001B6919"/>
    <w:rsid w:val="001B6BC7"/>
    <w:rsid w:val="001B6CAD"/>
    <w:rsid w:val="001B6D41"/>
    <w:rsid w:val="001B6E81"/>
    <w:rsid w:val="001B702E"/>
    <w:rsid w:val="001B7CE2"/>
    <w:rsid w:val="001B7E7C"/>
    <w:rsid w:val="001C097B"/>
    <w:rsid w:val="001C145F"/>
    <w:rsid w:val="001C1CFF"/>
    <w:rsid w:val="001C201E"/>
    <w:rsid w:val="001C20BD"/>
    <w:rsid w:val="001C20D9"/>
    <w:rsid w:val="001C2527"/>
    <w:rsid w:val="001C2C24"/>
    <w:rsid w:val="001C2D48"/>
    <w:rsid w:val="001C33AC"/>
    <w:rsid w:val="001C3916"/>
    <w:rsid w:val="001C3968"/>
    <w:rsid w:val="001C3B0B"/>
    <w:rsid w:val="001C3C13"/>
    <w:rsid w:val="001C3F15"/>
    <w:rsid w:val="001C3F4E"/>
    <w:rsid w:val="001C4691"/>
    <w:rsid w:val="001C4739"/>
    <w:rsid w:val="001C48E5"/>
    <w:rsid w:val="001C4E1C"/>
    <w:rsid w:val="001C51CF"/>
    <w:rsid w:val="001C6166"/>
    <w:rsid w:val="001C6C42"/>
    <w:rsid w:val="001C6CEE"/>
    <w:rsid w:val="001C6E63"/>
    <w:rsid w:val="001C729B"/>
    <w:rsid w:val="001D01A9"/>
    <w:rsid w:val="001D0C43"/>
    <w:rsid w:val="001D1134"/>
    <w:rsid w:val="001D1223"/>
    <w:rsid w:val="001D1732"/>
    <w:rsid w:val="001D2957"/>
    <w:rsid w:val="001D299E"/>
    <w:rsid w:val="001D2A2F"/>
    <w:rsid w:val="001D2B3A"/>
    <w:rsid w:val="001D30DA"/>
    <w:rsid w:val="001D3169"/>
    <w:rsid w:val="001D39F8"/>
    <w:rsid w:val="001D3B02"/>
    <w:rsid w:val="001D3C3A"/>
    <w:rsid w:val="001D3CCF"/>
    <w:rsid w:val="001D46CE"/>
    <w:rsid w:val="001D4D13"/>
    <w:rsid w:val="001D4DE9"/>
    <w:rsid w:val="001D4F12"/>
    <w:rsid w:val="001D4F49"/>
    <w:rsid w:val="001D5B01"/>
    <w:rsid w:val="001D6229"/>
    <w:rsid w:val="001D6234"/>
    <w:rsid w:val="001D62ED"/>
    <w:rsid w:val="001D63D0"/>
    <w:rsid w:val="001D69E8"/>
    <w:rsid w:val="001D71A2"/>
    <w:rsid w:val="001D7362"/>
    <w:rsid w:val="001D73C3"/>
    <w:rsid w:val="001D770E"/>
    <w:rsid w:val="001D7831"/>
    <w:rsid w:val="001D79A7"/>
    <w:rsid w:val="001D7B5F"/>
    <w:rsid w:val="001D7B78"/>
    <w:rsid w:val="001D7C3A"/>
    <w:rsid w:val="001D7CF6"/>
    <w:rsid w:val="001D7D07"/>
    <w:rsid w:val="001D7DBC"/>
    <w:rsid w:val="001E00E9"/>
    <w:rsid w:val="001E04BC"/>
    <w:rsid w:val="001E0720"/>
    <w:rsid w:val="001E11DD"/>
    <w:rsid w:val="001E11E2"/>
    <w:rsid w:val="001E159D"/>
    <w:rsid w:val="001E1D0D"/>
    <w:rsid w:val="001E2129"/>
    <w:rsid w:val="001E2259"/>
    <w:rsid w:val="001E2412"/>
    <w:rsid w:val="001E2AB6"/>
    <w:rsid w:val="001E2CC1"/>
    <w:rsid w:val="001E2DD7"/>
    <w:rsid w:val="001E2E95"/>
    <w:rsid w:val="001E3159"/>
    <w:rsid w:val="001E3189"/>
    <w:rsid w:val="001E39DD"/>
    <w:rsid w:val="001E3E6C"/>
    <w:rsid w:val="001E426B"/>
    <w:rsid w:val="001E477D"/>
    <w:rsid w:val="001E4C31"/>
    <w:rsid w:val="001E5016"/>
    <w:rsid w:val="001E524C"/>
    <w:rsid w:val="001E5ACD"/>
    <w:rsid w:val="001E5BD6"/>
    <w:rsid w:val="001E6421"/>
    <w:rsid w:val="001E6595"/>
    <w:rsid w:val="001E6674"/>
    <w:rsid w:val="001E692E"/>
    <w:rsid w:val="001E6C37"/>
    <w:rsid w:val="001E7273"/>
    <w:rsid w:val="001E7CB8"/>
    <w:rsid w:val="001E7E57"/>
    <w:rsid w:val="001E7F43"/>
    <w:rsid w:val="001E7FD1"/>
    <w:rsid w:val="001F01D7"/>
    <w:rsid w:val="001F034A"/>
    <w:rsid w:val="001F042C"/>
    <w:rsid w:val="001F0810"/>
    <w:rsid w:val="001F089D"/>
    <w:rsid w:val="001F0B10"/>
    <w:rsid w:val="001F0E3C"/>
    <w:rsid w:val="001F137E"/>
    <w:rsid w:val="001F156E"/>
    <w:rsid w:val="001F1733"/>
    <w:rsid w:val="001F1C13"/>
    <w:rsid w:val="001F204F"/>
    <w:rsid w:val="001F28F7"/>
    <w:rsid w:val="001F2B15"/>
    <w:rsid w:val="001F3275"/>
    <w:rsid w:val="001F3378"/>
    <w:rsid w:val="001F35C2"/>
    <w:rsid w:val="001F44D3"/>
    <w:rsid w:val="001F4755"/>
    <w:rsid w:val="001F47CC"/>
    <w:rsid w:val="001F4D34"/>
    <w:rsid w:val="001F5040"/>
    <w:rsid w:val="001F5E51"/>
    <w:rsid w:val="001F6112"/>
    <w:rsid w:val="001F6336"/>
    <w:rsid w:val="001F63DD"/>
    <w:rsid w:val="001F6A93"/>
    <w:rsid w:val="001F7151"/>
    <w:rsid w:val="001F7290"/>
    <w:rsid w:val="001F797E"/>
    <w:rsid w:val="001F79F3"/>
    <w:rsid w:val="0020005A"/>
    <w:rsid w:val="0020006C"/>
    <w:rsid w:val="002004FD"/>
    <w:rsid w:val="00200DCF"/>
    <w:rsid w:val="002012AB"/>
    <w:rsid w:val="0020188A"/>
    <w:rsid w:val="00201DE9"/>
    <w:rsid w:val="00201EF9"/>
    <w:rsid w:val="002021BE"/>
    <w:rsid w:val="00202A0D"/>
    <w:rsid w:val="00202C1A"/>
    <w:rsid w:val="00202D57"/>
    <w:rsid w:val="0020374C"/>
    <w:rsid w:val="002038F9"/>
    <w:rsid w:val="00204710"/>
    <w:rsid w:val="002048E2"/>
    <w:rsid w:val="00204C97"/>
    <w:rsid w:val="00205962"/>
    <w:rsid w:val="00205D13"/>
    <w:rsid w:val="0020602F"/>
    <w:rsid w:val="00206A7F"/>
    <w:rsid w:val="00206FA5"/>
    <w:rsid w:val="002070C8"/>
    <w:rsid w:val="002071C2"/>
    <w:rsid w:val="00207596"/>
    <w:rsid w:val="002077EF"/>
    <w:rsid w:val="00207EA2"/>
    <w:rsid w:val="00210064"/>
    <w:rsid w:val="002103EB"/>
    <w:rsid w:val="002108C5"/>
    <w:rsid w:val="00210E4E"/>
    <w:rsid w:val="002114B9"/>
    <w:rsid w:val="00211830"/>
    <w:rsid w:val="00211B79"/>
    <w:rsid w:val="00211CE6"/>
    <w:rsid w:val="002129A4"/>
    <w:rsid w:val="00212A14"/>
    <w:rsid w:val="0021309A"/>
    <w:rsid w:val="0021323E"/>
    <w:rsid w:val="00213571"/>
    <w:rsid w:val="00213B11"/>
    <w:rsid w:val="00213CBB"/>
    <w:rsid w:val="0021443A"/>
    <w:rsid w:val="002144C1"/>
    <w:rsid w:val="002146AD"/>
    <w:rsid w:val="00214B0D"/>
    <w:rsid w:val="00214B1F"/>
    <w:rsid w:val="00214F01"/>
    <w:rsid w:val="00214FE7"/>
    <w:rsid w:val="00215754"/>
    <w:rsid w:val="00215C18"/>
    <w:rsid w:val="00216466"/>
    <w:rsid w:val="002164EF"/>
    <w:rsid w:val="00216B82"/>
    <w:rsid w:val="00216CEE"/>
    <w:rsid w:val="00217082"/>
    <w:rsid w:val="002171E0"/>
    <w:rsid w:val="002173F2"/>
    <w:rsid w:val="00217ACA"/>
    <w:rsid w:val="00217E26"/>
    <w:rsid w:val="00220056"/>
    <w:rsid w:val="002205A4"/>
    <w:rsid w:val="00220698"/>
    <w:rsid w:val="0022097F"/>
    <w:rsid w:val="00220A07"/>
    <w:rsid w:val="0022152C"/>
    <w:rsid w:val="00221952"/>
    <w:rsid w:val="00221AD1"/>
    <w:rsid w:val="0022290D"/>
    <w:rsid w:val="00222C12"/>
    <w:rsid w:val="00222E2C"/>
    <w:rsid w:val="00222F3A"/>
    <w:rsid w:val="00223252"/>
    <w:rsid w:val="0022372B"/>
    <w:rsid w:val="002239CD"/>
    <w:rsid w:val="00224671"/>
    <w:rsid w:val="0022493D"/>
    <w:rsid w:val="00224A4D"/>
    <w:rsid w:val="00225087"/>
    <w:rsid w:val="00225089"/>
    <w:rsid w:val="002251B8"/>
    <w:rsid w:val="00225414"/>
    <w:rsid w:val="00226225"/>
    <w:rsid w:val="0022637A"/>
    <w:rsid w:val="00226459"/>
    <w:rsid w:val="002272DE"/>
    <w:rsid w:val="002274C1"/>
    <w:rsid w:val="002276FF"/>
    <w:rsid w:val="00230209"/>
    <w:rsid w:val="002303F9"/>
    <w:rsid w:val="00230925"/>
    <w:rsid w:val="00230E9E"/>
    <w:rsid w:val="0023109D"/>
    <w:rsid w:val="00231D84"/>
    <w:rsid w:val="002320B0"/>
    <w:rsid w:val="002321B9"/>
    <w:rsid w:val="002323F4"/>
    <w:rsid w:val="00232D3E"/>
    <w:rsid w:val="00232F96"/>
    <w:rsid w:val="00232FA5"/>
    <w:rsid w:val="002331AE"/>
    <w:rsid w:val="00233547"/>
    <w:rsid w:val="00233571"/>
    <w:rsid w:val="002343EF"/>
    <w:rsid w:val="002347C4"/>
    <w:rsid w:val="0023503C"/>
    <w:rsid w:val="002355C6"/>
    <w:rsid w:val="0023587F"/>
    <w:rsid w:val="00235905"/>
    <w:rsid w:val="00235BC7"/>
    <w:rsid w:val="0023601B"/>
    <w:rsid w:val="002360FC"/>
    <w:rsid w:val="0023624D"/>
    <w:rsid w:val="002363C2"/>
    <w:rsid w:val="00237339"/>
    <w:rsid w:val="002375C1"/>
    <w:rsid w:val="002375CF"/>
    <w:rsid w:val="00237CF3"/>
    <w:rsid w:val="002405F1"/>
    <w:rsid w:val="00240AF3"/>
    <w:rsid w:val="00240D37"/>
    <w:rsid w:val="00240F6F"/>
    <w:rsid w:val="00241020"/>
    <w:rsid w:val="00241092"/>
    <w:rsid w:val="002412D5"/>
    <w:rsid w:val="002414F5"/>
    <w:rsid w:val="0024154A"/>
    <w:rsid w:val="00241D64"/>
    <w:rsid w:val="00241E84"/>
    <w:rsid w:val="00242040"/>
    <w:rsid w:val="00242224"/>
    <w:rsid w:val="00242254"/>
    <w:rsid w:val="002422A1"/>
    <w:rsid w:val="00243082"/>
    <w:rsid w:val="00243399"/>
    <w:rsid w:val="002438A7"/>
    <w:rsid w:val="00243C88"/>
    <w:rsid w:val="00243EE2"/>
    <w:rsid w:val="0024464C"/>
    <w:rsid w:val="0024465D"/>
    <w:rsid w:val="002448CB"/>
    <w:rsid w:val="00244AE8"/>
    <w:rsid w:val="00244EF4"/>
    <w:rsid w:val="00244F4A"/>
    <w:rsid w:val="00245558"/>
    <w:rsid w:val="0024643C"/>
    <w:rsid w:val="00246458"/>
    <w:rsid w:val="002464C4"/>
    <w:rsid w:val="002468BD"/>
    <w:rsid w:val="00246A9B"/>
    <w:rsid w:val="00246AA6"/>
    <w:rsid w:val="002471B4"/>
    <w:rsid w:val="0024795F"/>
    <w:rsid w:val="00247DAF"/>
    <w:rsid w:val="00247DBA"/>
    <w:rsid w:val="00247F99"/>
    <w:rsid w:val="00250943"/>
    <w:rsid w:val="002509AF"/>
    <w:rsid w:val="00250CEC"/>
    <w:rsid w:val="00251830"/>
    <w:rsid w:val="00251AE0"/>
    <w:rsid w:val="00251BAB"/>
    <w:rsid w:val="00252137"/>
    <w:rsid w:val="002528E2"/>
    <w:rsid w:val="00252C1C"/>
    <w:rsid w:val="00252C93"/>
    <w:rsid w:val="0025316E"/>
    <w:rsid w:val="0025340F"/>
    <w:rsid w:val="00253A96"/>
    <w:rsid w:val="002541C8"/>
    <w:rsid w:val="00254418"/>
    <w:rsid w:val="002548F2"/>
    <w:rsid w:val="00255643"/>
    <w:rsid w:val="0025626D"/>
    <w:rsid w:val="00256560"/>
    <w:rsid w:val="00256624"/>
    <w:rsid w:val="00256C87"/>
    <w:rsid w:val="00256DDA"/>
    <w:rsid w:val="00257738"/>
    <w:rsid w:val="00257F30"/>
    <w:rsid w:val="00257F46"/>
    <w:rsid w:val="002600AD"/>
    <w:rsid w:val="00260278"/>
    <w:rsid w:val="00260892"/>
    <w:rsid w:val="00260CB3"/>
    <w:rsid w:val="00260FF7"/>
    <w:rsid w:val="00261317"/>
    <w:rsid w:val="00261321"/>
    <w:rsid w:val="002618F0"/>
    <w:rsid w:val="002619E4"/>
    <w:rsid w:val="002620C0"/>
    <w:rsid w:val="002622B1"/>
    <w:rsid w:val="00262ACE"/>
    <w:rsid w:val="00262EDE"/>
    <w:rsid w:val="00263094"/>
    <w:rsid w:val="002632C9"/>
    <w:rsid w:val="002633E5"/>
    <w:rsid w:val="002634B1"/>
    <w:rsid w:val="00263646"/>
    <w:rsid w:val="0026389C"/>
    <w:rsid w:val="002639D5"/>
    <w:rsid w:val="00264319"/>
    <w:rsid w:val="002647C1"/>
    <w:rsid w:val="00264BC6"/>
    <w:rsid w:val="00264E21"/>
    <w:rsid w:val="00265270"/>
    <w:rsid w:val="002657DD"/>
    <w:rsid w:val="002658BA"/>
    <w:rsid w:val="00265B4D"/>
    <w:rsid w:val="00265BC4"/>
    <w:rsid w:val="00265C0D"/>
    <w:rsid w:val="00265F14"/>
    <w:rsid w:val="002663F1"/>
    <w:rsid w:val="0026655E"/>
    <w:rsid w:val="00266ACC"/>
    <w:rsid w:val="00266CF8"/>
    <w:rsid w:val="0026795F"/>
    <w:rsid w:val="00267C47"/>
    <w:rsid w:val="00267F2B"/>
    <w:rsid w:val="00270096"/>
    <w:rsid w:val="0027009D"/>
    <w:rsid w:val="002707A0"/>
    <w:rsid w:val="00270F05"/>
    <w:rsid w:val="00270F65"/>
    <w:rsid w:val="0027144D"/>
    <w:rsid w:val="002714C2"/>
    <w:rsid w:val="00271DE1"/>
    <w:rsid w:val="00272037"/>
    <w:rsid w:val="00272332"/>
    <w:rsid w:val="0027240B"/>
    <w:rsid w:val="00272507"/>
    <w:rsid w:val="00272F24"/>
    <w:rsid w:val="0027324A"/>
    <w:rsid w:val="00273322"/>
    <w:rsid w:val="002738B5"/>
    <w:rsid w:val="00273900"/>
    <w:rsid w:val="002747A2"/>
    <w:rsid w:val="002748A7"/>
    <w:rsid w:val="00274DE8"/>
    <w:rsid w:val="00274DED"/>
    <w:rsid w:val="00274EE7"/>
    <w:rsid w:val="0027536C"/>
    <w:rsid w:val="002758B4"/>
    <w:rsid w:val="0027593C"/>
    <w:rsid w:val="00276040"/>
    <w:rsid w:val="002760EF"/>
    <w:rsid w:val="00276A82"/>
    <w:rsid w:val="00276C54"/>
    <w:rsid w:val="00276FF5"/>
    <w:rsid w:val="00277289"/>
    <w:rsid w:val="002773F6"/>
    <w:rsid w:val="0027759D"/>
    <w:rsid w:val="00277618"/>
    <w:rsid w:val="002778AD"/>
    <w:rsid w:val="00280745"/>
    <w:rsid w:val="0028076D"/>
    <w:rsid w:val="00280CB0"/>
    <w:rsid w:val="0028139F"/>
    <w:rsid w:val="002818C0"/>
    <w:rsid w:val="00281D9D"/>
    <w:rsid w:val="002820ED"/>
    <w:rsid w:val="00282660"/>
    <w:rsid w:val="002827FE"/>
    <w:rsid w:val="00282A1D"/>
    <w:rsid w:val="00282E1D"/>
    <w:rsid w:val="0028301E"/>
    <w:rsid w:val="00283444"/>
    <w:rsid w:val="0028351E"/>
    <w:rsid w:val="00283565"/>
    <w:rsid w:val="0028382A"/>
    <w:rsid w:val="002839D3"/>
    <w:rsid w:val="00283A30"/>
    <w:rsid w:val="00283A59"/>
    <w:rsid w:val="00283CB4"/>
    <w:rsid w:val="00283EA9"/>
    <w:rsid w:val="0028415A"/>
    <w:rsid w:val="002841C5"/>
    <w:rsid w:val="00284A0E"/>
    <w:rsid w:val="00284BDB"/>
    <w:rsid w:val="00285107"/>
    <w:rsid w:val="00285129"/>
    <w:rsid w:val="00285493"/>
    <w:rsid w:val="002857D1"/>
    <w:rsid w:val="00285A11"/>
    <w:rsid w:val="00285A96"/>
    <w:rsid w:val="002860F2"/>
    <w:rsid w:val="002864BE"/>
    <w:rsid w:val="00287018"/>
    <w:rsid w:val="00287851"/>
    <w:rsid w:val="00290957"/>
    <w:rsid w:val="00290A20"/>
    <w:rsid w:val="00290C12"/>
    <w:rsid w:val="00290C34"/>
    <w:rsid w:val="0029115F"/>
    <w:rsid w:val="002913E4"/>
    <w:rsid w:val="00291D62"/>
    <w:rsid w:val="00291D93"/>
    <w:rsid w:val="00292BF8"/>
    <w:rsid w:val="00292E8C"/>
    <w:rsid w:val="002934E1"/>
    <w:rsid w:val="0029372A"/>
    <w:rsid w:val="00293CCF"/>
    <w:rsid w:val="0029403A"/>
    <w:rsid w:val="00294170"/>
    <w:rsid w:val="0029450C"/>
    <w:rsid w:val="00294589"/>
    <w:rsid w:val="00294804"/>
    <w:rsid w:val="00294BCA"/>
    <w:rsid w:val="00294DCA"/>
    <w:rsid w:val="00295115"/>
    <w:rsid w:val="00295190"/>
    <w:rsid w:val="00295246"/>
    <w:rsid w:val="0029533B"/>
    <w:rsid w:val="002953E2"/>
    <w:rsid w:val="00295A37"/>
    <w:rsid w:val="00295C21"/>
    <w:rsid w:val="00295E80"/>
    <w:rsid w:val="00296065"/>
    <w:rsid w:val="0029619B"/>
    <w:rsid w:val="00296311"/>
    <w:rsid w:val="00296A7A"/>
    <w:rsid w:val="0029752D"/>
    <w:rsid w:val="00297C2D"/>
    <w:rsid w:val="002A0474"/>
    <w:rsid w:val="002A0A44"/>
    <w:rsid w:val="002A0C1C"/>
    <w:rsid w:val="002A11B8"/>
    <w:rsid w:val="002A120F"/>
    <w:rsid w:val="002A1613"/>
    <w:rsid w:val="002A175E"/>
    <w:rsid w:val="002A19B8"/>
    <w:rsid w:val="002A19FA"/>
    <w:rsid w:val="002A28DF"/>
    <w:rsid w:val="002A2BE2"/>
    <w:rsid w:val="002A2E62"/>
    <w:rsid w:val="002A301D"/>
    <w:rsid w:val="002A34B7"/>
    <w:rsid w:val="002A395B"/>
    <w:rsid w:val="002A3B81"/>
    <w:rsid w:val="002A4049"/>
    <w:rsid w:val="002A440A"/>
    <w:rsid w:val="002A4637"/>
    <w:rsid w:val="002A466D"/>
    <w:rsid w:val="002A4AEB"/>
    <w:rsid w:val="002A4B4E"/>
    <w:rsid w:val="002A57C6"/>
    <w:rsid w:val="002A5DB0"/>
    <w:rsid w:val="002A633A"/>
    <w:rsid w:val="002A64C3"/>
    <w:rsid w:val="002A662F"/>
    <w:rsid w:val="002A692B"/>
    <w:rsid w:val="002A6C39"/>
    <w:rsid w:val="002A70F0"/>
    <w:rsid w:val="002A732E"/>
    <w:rsid w:val="002A7606"/>
    <w:rsid w:val="002A7D81"/>
    <w:rsid w:val="002B04E3"/>
    <w:rsid w:val="002B118F"/>
    <w:rsid w:val="002B1DBC"/>
    <w:rsid w:val="002B23F8"/>
    <w:rsid w:val="002B2E9C"/>
    <w:rsid w:val="002B2EB4"/>
    <w:rsid w:val="002B2FDF"/>
    <w:rsid w:val="002B3418"/>
    <w:rsid w:val="002B373F"/>
    <w:rsid w:val="002B42E1"/>
    <w:rsid w:val="002B44A4"/>
    <w:rsid w:val="002B4A7C"/>
    <w:rsid w:val="002B4B9F"/>
    <w:rsid w:val="002B4D58"/>
    <w:rsid w:val="002B4E6A"/>
    <w:rsid w:val="002B4F61"/>
    <w:rsid w:val="002B4F86"/>
    <w:rsid w:val="002B4F97"/>
    <w:rsid w:val="002B5140"/>
    <w:rsid w:val="002B5FD4"/>
    <w:rsid w:val="002B63BF"/>
    <w:rsid w:val="002B679E"/>
    <w:rsid w:val="002B6B22"/>
    <w:rsid w:val="002B6CB3"/>
    <w:rsid w:val="002B6D00"/>
    <w:rsid w:val="002B71E0"/>
    <w:rsid w:val="002B742D"/>
    <w:rsid w:val="002B750E"/>
    <w:rsid w:val="002B7B5A"/>
    <w:rsid w:val="002B7D2E"/>
    <w:rsid w:val="002C02B3"/>
    <w:rsid w:val="002C09EB"/>
    <w:rsid w:val="002C0D03"/>
    <w:rsid w:val="002C1717"/>
    <w:rsid w:val="002C1758"/>
    <w:rsid w:val="002C2B76"/>
    <w:rsid w:val="002C37A5"/>
    <w:rsid w:val="002C3AB1"/>
    <w:rsid w:val="002C3B36"/>
    <w:rsid w:val="002C4185"/>
    <w:rsid w:val="002C43DB"/>
    <w:rsid w:val="002C4B01"/>
    <w:rsid w:val="002C4DC4"/>
    <w:rsid w:val="002C4F15"/>
    <w:rsid w:val="002C546E"/>
    <w:rsid w:val="002C5CA7"/>
    <w:rsid w:val="002C5D2D"/>
    <w:rsid w:val="002C6755"/>
    <w:rsid w:val="002C6963"/>
    <w:rsid w:val="002C7228"/>
    <w:rsid w:val="002C7471"/>
    <w:rsid w:val="002C7694"/>
    <w:rsid w:val="002D01C6"/>
    <w:rsid w:val="002D040A"/>
    <w:rsid w:val="002D0781"/>
    <w:rsid w:val="002D079E"/>
    <w:rsid w:val="002D12E0"/>
    <w:rsid w:val="002D1BFE"/>
    <w:rsid w:val="002D1CB3"/>
    <w:rsid w:val="002D1CCE"/>
    <w:rsid w:val="002D21C9"/>
    <w:rsid w:val="002D2577"/>
    <w:rsid w:val="002D2A80"/>
    <w:rsid w:val="002D2CBE"/>
    <w:rsid w:val="002D2D1D"/>
    <w:rsid w:val="002D2D90"/>
    <w:rsid w:val="002D2F00"/>
    <w:rsid w:val="002D30F2"/>
    <w:rsid w:val="002D3177"/>
    <w:rsid w:val="002D38A2"/>
    <w:rsid w:val="002D38F3"/>
    <w:rsid w:val="002D4010"/>
    <w:rsid w:val="002D40C2"/>
    <w:rsid w:val="002D4174"/>
    <w:rsid w:val="002D4942"/>
    <w:rsid w:val="002D52F3"/>
    <w:rsid w:val="002D55FC"/>
    <w:rsid w:val="002D5C8A"/>
    <w:rsid w:val="002D621F"/>
    <w:rsid w:val="002D6AAE"/>
    <w:rsid w:val="002D6B21"/>
    <w:rsid w:val="002D6D04"/>
    <w:rsid w:val="002D6E54"/>
    <w:rsid w:val="002D750D"/>
    <w:rsid w:val="002D757C"/>
    <w:rsid w:val="002D7760"/>
    <w:rsid w:val="002D792E"/>
    <w:rsid w:val="002D7AA5"/>
    <w:rsid w:val="002D7E94"/>
    <w:rsid w:val="002E00DA"/>
    <w:rsid w:val="002E0889"/>
    <w:rsid w:val="002E0BA3"/>
    <w:rsid w:val="002E0D48"/>
    <w:rsid w:val="002E0ED2"/>
    <w:rsid w:val="002E0FB3"/>
    <w:rsid w:val="002E1949"/>
    <w:rsid w:val="002E1BA4"/>
    <w:rsid w:val="002E1C79"/>
    <w:rsid w:val="002E22C2"/>
    <w:rsid w:val="002E2336"/>
    <w:rsid w:val="002E2499"/>
    <w:rsid w:val="002E2C77"/>
    <w:rsid w:val="002E2EA6"/>
    <w:rsid w:val="002E3000"/>
    <w:rsid w:val="002E3165"/>
    <w:rsid w:val="002E32D3"/>
    <w:rsid w:val="002E338E"/>
    <w:rsid w:val="002E34C5"/>
    <w:rsid w:val="002E368F"/>
    <w:rsid w:val="002E3829"/>
    <w:rsid w:val="002E3970"/>
    <w:rsid w:val="002E3DA4"/>
    <w:rsid w:val="002E3F4B"/>
    <w:rsid w:val="002E3F60"/>
    <w:rsid w:val="002E4491"/>
    <w:rsid w:val="002E44C4"/>
    <w:rsid w:val="002E4641"/>
    <w:rsid w:val="002E4B07"/>
    <w:rsid w:val="002E4E4D"/>
    <w:rsid w:val="002E5052"/>
    <w:rsid w:val="002E5064"/>
    <w:rsid w:val="002E5E0C"/>
    <w:rsid w:val="002E5E25"/>
    <w:rsid w:val="002E60A8"/>
    <w:rsid w:val="002E6506"/>
    <w:rsid w:val="002E6528"/>
    <w:rsid w:val="002E6550"/>
    <w:rsid w:val="002E6955"/>
    <w:rsid w:val="002E707C"/>
    <w:rsid w:val="002E70BF"/>
    <w:rsid w:val="002E723F"/>
    <w:rsid w:val="002E72DB"/>
    <w:rsid w:val="002E739D"/>
    <w:rsid w:val="002E75A8"/>
    <w:rsid w:val="002E78EB"/>
    <w:rsid w:val="002E7AA3"/>
    <w:rsid w:val="002F01D2"/>
    <w:rsid w:val="002F01F1"/>
    <w:rsid w:val="002F0297"/>
    <w:rsid w:val="002F045C"/>
    <w:rsid w:val="002F0DF6"/>
    <w:rsid w:val="002F0F9F"/>
    <w:rsid w:val="002F150C"/>
    <w:rsid w:val="002F2E67"/>
    <w:rsid w:val="002F2E98"/>
    <w:rsid w:val="002F2ECF"/>
    <w:rsid w:val="002F2F0A"/>
    <w:rsid w:val="002F3298"/>
    <w:rsid w:val="002F35A4"/>
    <w:rsid w:val="002F3625"/>
    <w:rsid w:val="002F3731"/>
    <w:rsid w:val="002F379A"/>
    <w:rsid w:val="002F4619"/>
    <w:rsid w:val="002F495B"/>
    <w:rsid w:val="002F4F65"/>
    <w:rsid w:val="002F599D"/>
    <w:rsid w:val="002F5B6B"/>
    <w:rsid w:val="002F5BC8"/>
    <w:rsid w:val="002F6102"/>
    <w:rsid w:val="002F6303"/>
    <w:rsid w:val="002F64CD"/>
    <w:rsid w:val="002F6809"/>
    <w:rsid w:val="002F6EE0"/>
    <w:rsid w:val="002F7009"/>
    <w:rsid w:val="002F74E3"/>
    <w:rsid w:val="002F74EF"/>
    <w:rsid w:val="002F7531"/>
    <w:rsid w:val="002F7B3B"/>
    <w:rsid w:val="002F7C11"/>
    <w:rsid w:val="002F7DBC"/>
    <w:rsid w:val="002F7FE7"/>
    <w:rsid w:val="00300022"/>
    <w:rsid w:val="003002FF"/>
    <w:rsid w:val="00300843"/>
    <w:rsid w:val="00300C1A"/>
    <w:rsid w:val="003011BE"/>
    <w:rsid w:val="00301482"/>
    <w:rsid w:val="00301647"/>
    <w:rsid w:val="003019FB"/>
    <w:rsid w:val="00301E77"/>
    <w:rsid w:val="0030259D"/>
    <w:rsid w:val="00302894"/>
    <w:rsid w:val="00302943"/>
    <w:rsid w:val="00302CCD"/>
    <w:rsid w:val="0030357D"/>
    <w:rsid w:val="00303694"/>
    <w:rsid w:val="00303E9C"/>
    <w:rsid w:val="0030427C"/>
    <w:rsid w:val="003042FF"/>
    <w:rsid w:val="003045FC"/>
    <w:rsid w:val="00304BD4"/>
    <w:rsid w:val="00305176"/>
    <w:rsid w:val="0030521E"/>
    <w:rsid w:val="00305B43"/>
    <w:rsid w:val="00305BB8"/>
    <w:rsid w:val="00305DE1"/>
    <w:rsid w:val="0030613F"/>
    <w:rsid w:val="00306444"/>
    <w:rsid w:val="00306892"/>
    <w:rsid w:val="00306BBB"/>
    <w:rsid w:val="003076F2"/>
    <w:rsid w:val="00307881"/>
    <w:rsid w:val="003101A2"/>
    <w:rsid w:val="00310334"/>
    <w:rsid w:val="00310968"/>
    <w:rsid w:val="00310B88"/>
    <w:rsid w:val="00310B91"/>
    <w:rsid w:val="00310E60"/>
    <w:rsid w:val="00311385"/>
    <w:rsid w:val="0031211F"/>
    <w:rsid w:val="00312218"/>
    <w:rsid w:val="0031270D"/>
    <w:rsid w:val="00313CA4"/>
    <w:rsid w:val="0031429A"/>
    <w:rsid w:val="0031470D"/>
    <w:rsid w:val="00315186"/>
    <w:rsid w:val="00315198"/>
    <w:rsid w:val="0031522A"/>
    <w:rsid w:val="003157EA"/>
    <w:rsid w:val="00315B52"/>
    <w:rsid w:val="003165F4"/>
    <w:rsid w:val="00317218"/>
    <w:rsid w:val="003172A7"/>
    <w:rsid w:val="00317665"/>
    <w:rsid w:val="00317857"/>
    <w:rsid w:val="00317B7C"/>
    <w:rsid w:val="00317D2D"/>
    <w:rsid w:val="003201BC"/>
    <w:rsid w:val="003212C2"/>
    <w:rsid w:val="00321590"/>
    <w:rsid w:val="00321765"/>
    <w:rsid w:val="00321B2F"/>
    <w:rsid w:val="0032239E"/>
    <w:rsid w:val="003225A7"/>
    <w:rsid w:val="00322C60"/>
    <w:rsid w:val="00323279"/>
    <w:rsid w:val="0032337F"/>
    <w:rsid w:val="003237B6"/>
    <w:rsid w:val="0032390B"/>
    <w:rsid w:val="00323D64"/>
    <w:rsid w:val="00323DC1"/>
    <w:rsid w:val="0032452D"/>
    <w:rsid w:val="00324699"/>
    <w:rsid w:val="00324ED9"/>
    <w:rsid w:val="00325018"/>
    <w:rsid w:val="00325069"/>
    <w:rsid w:val="00325136"/>
    <w:rsid w:val="00325572"/>
    <w:rsid w:val="003255DA"/>
    <w:rsid w:val="00325884"/>
    <w:rsid w:val="003258F0"/>
    <w:rsid w:val="00325E0A"/>
    <w:rsid w:val="00326269"/>
    <w:rsid w:val="0032641A"/>
    <w:rsid w:val="00326432"/>
    <w:rsid w:val="003268E7"/>
    <w:rsid w:val="00326B06"/>
    <w:rsid w:val="00326B30"/>
    <w:rsid w:val="00326E4B"/>
    <w:rsid w:val="00326E64"/>
    <w:rsid w:val="003273C1"/>
    <w:rsid w:val="003277C5"/>
    <w:rsid w:val="00327C3B"/>
    <w:rsid w:val="00327C8E"/>
    <w:rsid w:val="00327D0E"/>
    <w:rsid w:val="00330865"/>
    <w:rsid w:val="00330913"/>
    <w:rsid w:val="00330A7A"/>
    <w:rsid w:val="003312AE"/>
    <w:rsid w:val="00331625"/>
    <w:rsid w:val="00331931"/>
    <w:rsid w:val="00331E8A"/>
    <w:rsid w:val="00332060"/>
    <w:rsid w:val="00332132"/>
    <w:rsid w:val="00332ADB"/>
    <w:rsid w:val="00332B93"/>
    <w:rsid w:val="003332DD"/>
    <w:rsid w:val="00333567"/>
    <w:rsid w:val="003335B4"/>
    <w:rsid w:val="003337C6"/>
    <w:rsid w:val="00333A7B"/>
    <w:rsid w:val="00333DA0"/>
    <w:rsid w:val="003347F7"/>
    <w:rsid w:val="0033561D"/>
    <w:rsid w:val="003359D7"/>
    <w:rsid w:val="00335F1C"/>
    <w:rsid w:val="00335F33"/>
    <w:rsid w:val="00336245"/>
    <w:rsid w:val="00337017"/>
    <w:rsid w:val="003371D4"/>
    <w:rsid w:val="00337BE5"/>
    <w:rsid w:val="00337DDB"/>
    <w:rsid w:val="0034071E"/>
    <w:rsid w:val="003409C0"/>
    <w:rsid w:val="00340F88"/>
    <w:rsid w:val="003419CC"/>
    <w:rsid w:val="00341AAE"/>
    <w:rsid w:val="00341D4C"/>
    <w:rsid w:val="003425C3"/>
    <w:rsid w:val="00342A07"/>
    <w:rsid w:val="00343100"/>
    <w:rsid w:val="003438B3"/>
    <w:rsid w:val="00343DBB"/>
    <w:rsid w:val="00343F71"/>
    <w:rsid w:val="00343F93"/>
    <w:rsid w:val="00344A4A"/>
    <w:rsid w:val="00344DAB"/>
    <w:rsid w:val="00345664"/>
    <w:rsid w:val="003457C5"/>
    <w:rsid w:val="00345BF1"/>
    <w:rsid w:val="003465E9"/>
    <w:rsid w:val="003465FA"/>
    <w:rsid w:val="00346ADF"/>
    <w:rsid w:val="0034718F"/>
    <w:rsid w:val="003471A8"/>
    <w:rsid w:val="003474C4"/>
    <w:rsid w:val="00347812"/>
    <w:rsid w:val="00347E5F"/>
    <w:rsid w:val="00347F2B"/>
    <w:rsid w:val="00350E30"/>
    <w:rsid w:val="00350E40"/>
    <w:rsid w:val="003511E3"/>
    <w:rsid w:val="00351341"/>
    <w:rsid w:val="003514A9"/>
    <w:rsid w:val="003516DA"/>
    <w:rsid w:val="00351989"/>
    <w:rsid w:val="0035206E"/>
    <w:rsid w:val="003529C7"/>
    <w:rsid w:val="00352A74"/>
    <w:rsid w:val="003531FF"/>
    <w:rsid w:val="00353BAE"/>
    <w:rsid w:val="00353FA1"/>
    <w:rsid w:val="003544A7"/>
    <w:rsid w:val="00354603"/>
    <w:rsid w:val="003547A1"/>
    <w:rsid w:val="003548C6"/>
    <w:rsid w:val="003549D7"/>
    <w:rsid w:val="00354A5A"/>
    <w:rsid w:val="003553BA"/>
    <w:rsid w:val="0035563B"/>
    <w:rsid w:val="0035572D"/>
    <w:rsid w:val="00355E2A"/>
    <w:rsid w:val="00356162"/>
    <w:rsid w:val="003563BB"/>
    <w:rsid w:val="003563BC"/>
    <w:rsid w:val="00356A63"/>
    <w:rsid w:val="00356D89"/>
    <w:rsid w:val="0035727D"/>
    <w:rsid w:val="003601E1"/>
    <w:rsid w:val="003603C1"/>
    <w:rsid w:val="003604E5"/>
    <w:rsid w:val="003613E3"/>
    <w:rsid w:val="00361ECA"/>
    <w:rsid w:val="00362070"/>
    <w:rsid w:val="00362583"/>
    <w:rsid w:val="0036258B"/>
    <w:rsid w:val="00362A4A"/>
    <w:rsid w:val="00362B0F"/>
    <w:rsid w:val="00362D0A"/>
    <w:rsid w:val="00362FDF"/>
    <w:rsid w:val="00363254"/>
    <w:rsid w:val="00363448"/>
    <w:rsid w:val="00363B33"/>
    <w:rsid w:val="003649DA"/>
    <w:rsid w:val="00364EC2"/>
    <w:rsid w:val="00365367"/>
    <w:rsid w:val="003654F4"/>
    <w:rsid w:val="003657BB"/>
    <w:rsid w:val="003664C4"/>
    <w:rsid w:val="00366521"/>
    <w:rsid w:val="00366821"/>
    <w:rsid w:val="00366E1B"/>
    <w:rsid w:val="00367497"/>
    <w:rsid w:val="0036774F"/>
    <w:rsid w:val="00370000"/>
    <w:rsid w:val="00370341"/>
    <w:rsid w:val="003717D4"/>
    <w:rsid w:val="00371E13"/>
    <w:rsid w:val="00372030"/>
    <w:rsid w:val="003721CD"/>
    <w:rsid w:val="0037233C"/>
    <w:rsid w:val="003727EE"/>
    <w:rsid w:val="00372CAF"/>
    <w:rsid w:val="00373AA3"/>
    <w:rsid w:val="00373C41"/>
    <w:rsid w:val="003740F6"/>
    <w:rsid w:val="003742BA"/>
    <w:rsid w:val="00374482"/>
    <w:rsid w:val="00374529"/>
    <w:rsid w:val="003749F4"/>
    <w:rsid w:val="00374D48"/>
    <w:rsid w:val="003752EB"/>
    <w:rsid w:val="003756A1"/>
    <w:rsid w:val="003756C4"/>
    <w:rsid w:val="00375747"/>
    <w:rsid w:val="00375A2D"/>
    <w:rsid w:val="0037614D"/>
    <w:rsid w:val="003763C4"/>
    <w:rsid w:val="00376458"/>
    <w:rsid w:val="00376D4E"/>
    <w:rsid w:val="00376F6B"/>
    <w:rsid w:val="00376F78"/>
    <w:rsid w:val="0037730A"/>
    <w:rsid w:val="0037738A"/>
    <w:rsid w:val="00377C21"/>
    <w:rsid w:val="00377EC4"/>
    <w:rsid w:val="00380138"/>
    <w:rsid w:val="003803CA"/>
    <w:rsid w:val="00380679"/>
    <w:rsid w:val="0038095A"/>
    <w:rsid w:val="003809E8"/>
    <w:rsid w:val="00380B3B"/>
    <w:rsid w:val="0038160D"/>
    <w:rsid w:val="00381626"/>
    <w:rsid w:val="00381F41"/>
    <w:rsid w:val="003820A2"/>
    <w:rsid w:val="003824AA"/>
    <w:rsid w:val="003824E2"/>
    <w:rsid w:val="003827E9"/>
    <w:rsid w:val="00383AB0"/>
    <w:rsid w:val="00383E80"/>
    <w:rsid w:val="00384E72"/>
    <w:rsid w:val="00384E82"/>
    <w:rsid w:val="003853A3"/>
    <w:rsid w:val="00385418"/>
    <w:rsid w:val="00385D41"/>
    <w:rsid w:val="00386110"/>
    <w:rsid w:val="003863CD"/>
    <w:rsid w:val="003867F0"/>
    <w:rsid w:val="00386AAD"/>
    <w:rsid w:val="00386B5F"/>
    <w:rsid w:val="00386C9A"/>
    <w:rsid w:val="00387811"/>
    <w:rsid w:val="00390055"/>
    <w:rsid w:val="003906C9"/>
    <w:rsid w:val="00390A82"/>
    <w:rsid w:val="00390FE6"/>
    <w:rsid w:val="003913A4"/>
    <w:rsid w:val="003917A7"/>
    <w:rsid w:val="003917DE"/>
    <w:rsid w:val="00391BDC"/>
    <w:rsid w:val="00392218"/>
    <w:rsid w:val="0039222A"/>
    <w:rsid w:val="00392534"/>
    <w:rsid w:val="00392885"/>
    <w:rsid w:val="00392C30"/>
    <w:rsid w:val="00392F1B"/>
    <w:rsid w:val="00393162"/>
    <w:rsid w:val="00393AC3"/>
    <w:rsid w:val="00393FB6"/>
    <w:rsid w:val="0039425E"/>
    <w:rsid w:val="0039477E"/>
    <w:rsid w:val="0039484E"/>
    <w:rsid w:val="003948B8"/>
    <w:rsid w:val="00394B7E"/>
    <w:rsid w:val="00394E2D"/>
    <w:rsid w:val="00394F92"/>
    <w:rsid w:val="00395A4B"/>
    <w:rsid w:val="003960ED"/>
    <w:rsid w:val="00396529"/>
    <w:rsid w:val="00396877"/>
    <w:rsid w:val="00396913"/>
    <w:rsid w:val="00396EC5"/>
    <w:rsid w:val="0039726C"/>
    <w:rsid w:val="003972DF"/>
    <w:rsid w:val="003976B4"/>
    <w:rsid w:val="0039772E"/>
    <w:rsid w:val="00397B30"/>
    <w:rsid w:val="00397DB2"/>
    <w:rsid w:val="00397E74"/>
    <w:rsid w:val="00397ECE"/>
    <w:rsid w:val="00397FA2"/>
    <w:rsid w:val="003A00BE"/>
    <w:rsid w:val="003A014C"/>
    <w:rsid w:val="003A0279"/>
    <w:rsid w:val="003A05D3"/>
    <w:rsid w:val="003A062D"/>
    <w:rsid w:val="003A066D"/>
    <w:rsid w:val="003A076D"/>
    <w:rsid w:val="003A0C77"/>
    <w:rsid w:val="003A11E3"/>
    <w:rsid w:val="003A15BA"/>
    <w:rsid w:val="003A1806"/>
    <w:rsid w:val="003A185A"/>
    <w:rsid w:val="003A1D52"/>
    <w:rsid w:val="003A2CCF"/>
    <w:rsid w:val="003A373E"/>
    <w:rsid w:val="003A3A56"/>
    <w:rsid w:val="003A3EDD"/>
    <w:rsid w:val="003A4633"/>
    <w:rsid w:val="003A4666"/>
    <w:rsid w:val="003A4AD1"/>
    <w:rsid w:val="003A5D86"/>
    <w:rsid w:val="003A60CD"/>
    <w:rsid w:val="003A62CF"/>
    <w:rsid w:val="003A66F9"/>
    <w:rsid w:val="003A686F"/>
    <w:rsid w:val="003A690E"/>
    <w:rsid w:val="003A6993"/>
    <w:rsid w:val="003A6BD8"/>
    <w:rsid w:val="003A72F2"/>
    <w:rsid w:val="003A7755"/>
    <w:rsid w:val="003A7785"/>
    <w:rsid w:val="003A7E6D"/>
    <w:rsid w:val="003B0121"/>
    <w:rsid w:val="003B0201"/>
    <w:rsid w:val="003B02F9"/>
    <w:rsid w:val="003B038E"/>
    <w:rsid w:val="003B06D0"/>
    <w:rsid w:val="003B06D8"/>
    <w:rsid w:val="003B0740"/>
    <w:rsid w:val="003B076B"/>
    <w:rsid w:val="003B0C17"/>
    <w:rsid w:val="003B10F6"/>
    <w:rsid w:val="003B18A0"/>
    <w:rsid w:val="003B1932"/>
    <w:rsid w:val="003B1C54"/>
    <w:rsid w:val="003B1D62"/>
    <w:rsid w:val="003B2007"/>
    <w:rsid w:val="003B208D"/>
    <w:rsid w:val="003B21BA"/>
    <w:rsid w:val="003B2B65"/>
    <w:rsid w:val="003B2E0D"/>
    <w:rsid w:val="003B32D3"/>
    <w:rsid w:val="003B3BAA"/>
    <w:rsid w:val="003B3CAC"/>
    <w:rsid w:val="003B3DAA"/>
    <w:rsid w:val="003B401F"/>
    <w:rsid w:val="003B41DA"/>
    <w:rsid w:val="003B42D7"/>
    <w:rsid w:val="003B442D"/>
    <w:rsid w:val="003B4604"/>
    <w:rsid w:val="003B4729"/>
    <w:rsid w:val="003B4D3F"/>
    <w:rsid w:val="003B5342"/>
    <w:rsid w:val="003B53BD"/>
    <w:rsid w:val="003B55A9"/>
    <w:rsid w:val="003B56DB"/>
    <w:rsid w:val="003B5806"/>
    <w:rsid w:val="003B5892"/>
    <w:rsid w:val="003B5EEF"/>
    <w:rsid w:val="003B6692"/>
    <w:rsid w:val="003B6B57"/>
    <w:rsid w:val="003B6CE2"/>
    <w:rsid w:val="003B6D60"/>
    <w:rsid w:val="003B74BE"/>
    <w:rsid w:val="003B7A23"/>
    <w:rsid w:val="003C00D0"/>
    <w:rsid w:val="003C0BC8"/>
    <w:rsid w:val="003C0C05"/>
    <w:rsid w:val="003C1105"/>
    <w:rsid w:val="003C14B5"/>
    <w:rsid w:val="003C187B"/>
    <w:rsid w:val="003C19C4"/>
    <w:rsid w:val="003C25F9"/>
    <w:rsid w:val="003C27A5"/>
    <w:rsid w:val="003C2968"/>
    <w:rsid w:val="003C2C0D"/>
    <w:rsid w:val="003C2C66"/>
    <w:rsid w:val="003C2DC3"/>
    <w:rsid w:val="003C2F1C"/>
    <w:rsid w:val="003C300B"/>
    <w:rsid w:val="003C3102"/>
    <w:rsid w:val="003C37DD"/>
    <w:rsid w:val="003C391B"/>
    <w:rsid w:val="003C3A8F"/>
    <w:rsid w:val="003C3B57"/>
    <w:rsid w:val="003C3C7D"/>
    <w:rsid w:val="003C49AA"/>
    <w:rsid w:val="003C567D"/>
    <w:rsid w:val="003C5C66"/>
    <w:rsid w:val="003C6C8E"/>
    <w:rsid w:val="003C71C0"/>
    <w:rsid w:val="003C757A"/>
    <w:rsid w:val="003C7AF9"/>
    <w:rsid w:val="003C7C59"/>
    <w:rsid w:val="003C7DAD"/>
    <w:rsid w:val="003D03E3"/>
    <w:rsid w:val="003D0CB1"/>
    <w:rsid w:val="003D0F60"/>
    <w:rsid w:val="003D133D"/>
    <w:rsid w:val="003D13D0"/>
    <w:rsid w:val="003D1B6E"/>
    <w:rsid w:val="003D1B95"/>
    <w:rsid w:val="003D2092"/>
    <w:rsid w:val="003D22F2"/>
    <w:rsid w:val="003D2562"/>
    <w:rsid w:val="003D2757"/>
    <w:rsid w:val="003D2777"/>
    <w:rsid w:val="003D2DEC"/>
    <w:rsid w:val="003D306C"/>
    <w:rsid w:val="003D3CF5"/>
    <w:rsid w:val="003D412D"/>
    <w:rsid w:val="003D4747"/>
    <w:rsid w:val="003D48B7"/>
    <w:rsid w:val="003D4DAC"/>
    <w:rsid w:val="003D4E10"/>
    <w:rsid w:val="003D64F6"/>
    <w:rsid w:val="003D661B"/>
    <w:rsid w:val="003D67E8"/>
    <w:rsid w:val="003D70B4"/>
    <w:rsid w:val="003D70C8"/>
    <w:rsid w:val="003D759B"/>
    <w:rsid w:val="003D7CC3"/>
    <w:rsid w:val="003E002F"/>
    <w:rsid w:val="003E05A8"/>
    <w:rsid w:val="003E05CF"/>
    <w:rsid w:val="003E1BAD"/>
    <w:rsid w:val="003E1D34"/>
    <w:rsid w:val="003E27BA"/>
    <w:rsid w:val="003E297C"/>
    <w:rsid w:val="003E329A"/>
    <w:rsid w:val="003E329B"/>
    <w:rsid w:val="003E376A"/>
    <w:rsid w:val="003E41DD"/>
    <w:rsid w:val="003E4715"/>
    <w:rsid w:val="003E4809"/>
    <w:rsid w:val="003E5011"/>
    <w:rsid w:val="003E51CD"/>
    <w:rsid w:val="003E55A4"/>
    <w:rsid w:val="003E578C"/>
    <w:rsid w:val="003E5F52"/>
    <w:rsid w:val="003E629A"/>
    <w:rsid w:val="003E6482"/>
    <w:rsid w:val="003E7234"/>
    <w:rsid w:val="003E7504"/>
    <w:rsid w:val="003E752A"/>
    <w:rsid w:val="003E7774"/>
    <w:rsid w:val="003F0473"/>
    <w:rsid w:val="003F093B"/>
    <w:rsid w:val="003F09FF"/>
    <w:rsid w:val="003F0C6C"/>
    <w:rsid w:val="003F0C9C"/>
    <w:rsid w:val="003F0E7A"/>
    <w:rsid w:val="003F10B9"/>
    <w:rsid w:val="003F121E"/>
    <w:rsid w:val="003F176B"/>
    <w:rsid w:val="003F1930"/>
    <w:rsid w:val="003F1A32"/>
    <w:rsid w:val="003F1A61"/>
    <w:rsid w:val="003F1B96"/>
    <w:rsid w:val="003F1FE5"/>
    <w:rsid w:val="003F2850"/>
    <w:rsid w:val="003F2EA4"/>
    <w:rsid w:val="003F38A2"/>
    <w:rsid w:val="003F41AE"/>
    <w:rsid w:val="003F47F1"/>
    <w:rsid w:val="003F49AD"/>
    <w:rsid w:val="003F4E97"/>
    <w:rsid w:val="003F5238"/>
    <w:rsid w:val="003F56D8"/>
    <w:rsid w:val="003F65E7"/>
    <w:rsid w:val="003F6EBE"/>
    <w:rsid w:val="003F705B"/>
    <w:rsid w:val="003F73A2"/>
    <w:rsid w:val="003F782D"/>
    <w:rsid w:val="003F7DDE"/>
    <w:rsid w:val="00400210"/>
    <w:rsid w:val="004006EF"/>
    <w:rsid w:val="00400AC3"/>
    <w:rsid w:val="00400B30"/>
    <w:rsid w:val="00400BA1"/>
    <w:rsid w:val="00400EA2"/>
    <w:rsid w:val="00402105"/>
    <w:rsid w:val="0040292D"/>
    <w:rsid w:val="00402F91"/>
    <w:rsid w:val="00402FAD"/>
    <w:rsid w:val="00403099"/>
    <w:rsid w:val="0040325C"/>
    <w:rsid w:val="00403274"/>
    <w:rsid w:val="00403D55"/>
    <w:rsid w:val="00404230"/>
    <w:rsid w:val="00404BF4"/>
    <w:rsid w:val="00404DB2"/>
    <w:rsid w:val="004051C3"/>
    <w:rsid w:val="00405202"/>
    <w:rsid w:val="004052AB"/>
    <w:rsid w:val="00406AA0"/>
    <w:rsid w:val="00406B39"/>
    <w:rsid w:val="00407016"/>
    <w:rsid w:val="0040743E"/>
    <w:rsid w:val="004076E7"/>
    <w:rsid w:val="00407885"/>
    <w:rsid w:val="00407AFB"/>
    <w:rsid w:val="00410077"/>
    <w:rsid w:val="004100F3"/>
    <w:rsid w:val="0041023F"/>
    <w:rsid w:val="00410766"/>
    <w:rsid w:val="00411440"/>
    <w:rsid w:val="004114F9"/>
    <w:rsid w:val="004116D9"/>
    <w:rsid w:val="00411F87"/>
    <w:rsid w:val="004126AB"/>
    <w:rsid w:val="00412820"/>
    <w:rsid w:val="00412ABA"/>
    <w:rsid w:val="004134FB"/>
    <w:rsid w:val="0041356A"/>
    <w:rsid w:val="00413A28"/>
    <w:rsid w:val="00413CFC"/>
    <w:rsid w:val="004141F0"/>
    <w:rsid w:val="00414809"/>
    <w:rsid w:val="00414878"/>
    <w:rsid w:val="00414976"/>
    <w:rsid w:val="00414C7D"/>
    <w:rsid w:val="00414F69"/>
    <w:rsid w:val="004151CC"/>
    <w:rsid w:val="004153F7"/>
    <w:rsid w:val="00415648"/>
    <w:rsid w:val="00415846"/>
    <w:rsid w:val="004158D2"/>
    <w:rsid w:val="00415BD4"/>
    <w:rsid w:val="00415D38"/>
    <w:rsid w:val="00415DDD"/>
    <w:rsid w:val="00416B61"/>
    <w:rsid w:val="00416D9C"/>
    <w:rsid w:val="00417333"/>
    <w:rsid w:val="004176B5"/>
    <w:rsid w:val="004178B0"/>
    <w:rsid w:val="00417A53"/>
    <w:rsid w:val="00417AB7"/>
    <w:rsid w:val="00417EBE"/>
    <w:rsid w:val="0042045C"/>
    <w:rsid w:val="004207D1"/>
    <w:rsid w:val="00420EBC"/>
    <w:rsid w:val="004212A3"/>
    <w:rsid w:val="00421450"/>
    <w:rsid w:val="00421614"/>
    <w:rsid w:val="00421B7A"/>
    <w:rsid w:val="00423901"/>
    <w:rsid w:val="00423F02"/>
    <w:rsid w:val="0042461D"/>
    <w:rsid w:val="00424A4B"/>
    <w:rsid w:val="00424EB0"/>
    <w:rsid w:val="0042566E"/>
    <w:rsid w:val="0042583F"/>
    <w:rsid w:val="004258EF"/>
    <w:rsid w:val="00425A7C"/>
    <w:rsid w:val="00425E6B"/>
    <w:rsid w:val="00426268"/>
    <w:rsid w:val="004270D3"/>
    <w:rsid w:val="004276AC"/>
    <w:rsid w:val="00430035"/>
    <w:rsid w:val="004302DE"/>
    <w:rsid w:val="00430335"/>
    <w:rsid w:val="00430AF0"/>
    <w:rsid w:val="00430D04"/>
    <w:rsid w:val="0043127F"/>
    <w:rsid w:val="004318E7"/>
    <w:rsid w:val="0043198C"/>
    <w:rsid w:val="00431B3C"/>
    <w:rsid w:val="004325C6"/>
    <w:rsid w:val="00432D12"/>
    <w:rsid w:val="00432D3D"/>
    <w:rsid w:val="00433266"/>
    <w:rsid w:val="004332D1"/>
    <w:rsid w:val="004335DB"/>
    <w:rsid w:val="00433D0D"/>
    <w:rsid w:val="00433E06"/>
    <w:rsid w:val="00433F43"/>
    <w:rsid w:val="004340F6"/>
    <w:rsid w:val="0043439D"/>
    <w:rsid w:val="00434606"/>
    <w:rsid w:val="004348BF"/>
    <w:rsid w:val="00434F85"/>
    <w:rsid w:val="00435178"/>
    <w:rsid w:val="004354FA"/>
    <w:rsid w:val="0043556F"/>
    <w:rsid w:val="00435F16"/>
    <w:rsid w:val="00436175"/>
    <w:rsid w:val="004364F6"/>
    <w:rsid w:val="0043718F"/>
    <w:rsid w:val="00437445"/>
    <w:rsid w:val="004376C7"/>
    <w:rsid w:val="004376D3"/>
    <w:rsid w:val="00437842"/>
    <w:rsid w:val="004378BD"/>
    <w:rsid w:val="00437FF3"/>
    <w:rsid w:val="00440653"/>
    <w:rsid w:val="00440AF0"/>
    <w:rsid w:val="00440C07"/>
    <w:rsid w:val="00440F4B"/>
    <w:rsid w:val="004410F1"/>
    <w:rsid w:val="0044145F"/>
    <w:rsid w:val="00441F48"/>
    <w:rsid w:val="004421F1"/>
    <w:rsid w:val="004423A6"/>
    <w:rsid w:val="00442419"/>
    <w:rsid w:val="00442495"/>
    <w:rsid w:val="004425B3"/>
    <w:rsid w:val="004425CD"/>
    <w:rsid w:val="004428C5"/>
    <w:rsid w:val="004429BF"/>
    <w:rsid w:val="00442D93"/>
    <w:rsid w:val="0044315F"/>
    <w:rsid w:val="00443305"/>
    <w:rsid w:val="004435BE"/>
    <w:rsid w:val="004438E2"/>
    <w:rsid w:val="00444185"/>
    <w:rsid w:val="004445FF"/>
    <w:rsid w:val="0044492F"/>
    <w:rsid w:val="00444E5D"/>
    <w:rsid w:val="0044504D"/>
    <w:rsid w:val="0044582B"/>
    <w:rsid w:val="00445A6D"/>
    <w:rsid w:val="00445B59"/>
    <w:rsid w:val="004464F3"/>
    <w:rsid w:val="00446745"/>
    <w:rsid w:val="004467E7"/>
    <w:rsid w:val="0044693C"/>
    <w:rsid w:val="004469F5"/>
    <w:rsid w:val="00446B58"/>
    <w:rsid w:val="00446E25"/>
    <w:rsid w:val="00446F34"/>
    <w:rsid w:val="00447150"/>
    <w:rsid w:val="00447256"/>
    <w:rsid w:val="004476B0"/>
    <w:rsid w:val="004478E0"/>
    <w:rsid w:val="00447941"/>
    <w:rsid w:val="00447FE6"/>
    <w:rsid w:val="0045025E"/>
    <w:rsid w:val="00450324"/>
    <w:rsid w:val="00450486"/>
    <w:rsid w:val="00450DBA"/>
    <w:rsid w:val="00451299"/>
    <w:rsid w:val="00451A01"/>
    <w:rsid w:val="00451AED"/>
    <w:rsid w:val="00451B5A"/>
    <w:rsid w:val="00451E05"/>
    <w:rsid w:val="00452294"/>
    <w:rsid w:val="00452568"/>
    <w:rsid w:val="0045293D"/>
    <w:rsid w:val="00452A1D"/>
    <w:rsid w:val="00452E80"/>
    <w:rsid w:val="004540F0"/>
    <w:rsid w:val="004543BE"/>
    <w:rsid w:val="004546BE"/>
    <w:rsid w:val="004547DD"/>
    <w:rsid w:val="004548A6"/>
    <w:rsid w:val="00454A8F"/>
    <w:rsid w:val="004556FE"/>
    <w:rsid w:val="004558E4"/>
    <w:rsid w:val="00455994"/>
    <w:rsid w:val="00455C55"/>
    <w:rsid w:val="00456210"/>
    <w:rsid w:val="00456780"/>
    <w:rsid w:val="0045687C"/>
    <w:rsid w:val="0045794A"/>
    <w:rsid w:val="0045796F"/>
    <w:rsid w:val="00457E48"/>
    <w:rsid w:val="00457F6F"/>
    <w:rsid w:val="004602AA"/>
    <w:rsid w:val="004603CC"/>
    <w:rsid w:val="00460B70"/>
    <w:rsid w:val="00460DE0"/>
    <w:rsid w:val="0046102E"/>
    <w:rsid w:val="004612C3"/>
    <w:rsid w:val="0046187D"/>
    <w:rsid w:val="00461991"/>
    <w:rsid w:val="004620C7"/>
    <w:rsid w:val="00462210"/>
    <w:rsid w:val="0046221A"/>
    <w:rsid w:val="00462464"/>
    <w:rsid w:val="00462AF0"/>
    <w:rsid w:val="00462BEC"/>
    <w:rsid w:val="0046344D"/>
    <w:rsid w:val="004637DC"/>
    <w:rsid w:val="00463BBC"/>
    <w:rsid w:val="00463E1E"/>
    <w:rsid w:val="004646E4"/>
    <w:rsid w:val="0046474B"/>
    <w:rsid w:val="004649D4"/>
    <w:rsid w:val="00464A85"/>
    <w:rsid w:val="00465134"/>
    <w:rsid w:val="0046529F"/>
    <w:rsid w:val="004652B7"/>
    <w:rsid w:val="00465A2D"/>
    <w:rsid w:val="00465CBD"/>
    <w:rsid w:val="00466199"/>
    <w:rsid w:val="0046621E"/>
    <w:rsid w:val="004664F8"/>
    <w:rsid w:val="00466504"/>
    <w:rsid w:val="00466CDD"/>
    <w:rsid w:val="0046714A"/>
    <w:rsid w:val="004674AD"/>
    <w:rsid w:val="00467742"/>
    <w:rsid w:val="00467DB2"/>
    <w:rsid w:val="00467F25"/>
    <w:rsid w:val="00470069"/>
    <w:rsid w:val="00470926"/>
    <w:rsid w:val="004713FB"/>
    <w:rsid w:val="00472602"/>
    <w:rsid w:val="004726B7"/>
    <w:rsid w:val="004726CE"/>
    <w:rsid w:val="00472E7C"/>
    <w:rsid w:val="00472F38"/>
    <w:rsid w:val="004732D1"/>
    <w:rsid w:val="004735EC"/>
    <w:rsid w:val="00473982"/>
    <w:rsid w:val="00473CD3"/>
    <w:rsid w:val="0047410F"/>
    <w:rsid w:val="004744DC"/>
    <w:rsid w:val="004745F6"/>
    <w:rsid w:val="00474714"/>
    <w:rsid w:val="00474A0B"/>
    <w:rsid w:val="00474C5F"/>
    <w:rsid w:val="00474DDB"/>
    <w:rsid w:val="00474E91"/>
    <w:rsid w:val="00474F66"/>
    <w:rsid w:val="00475088"/>
    <w:rsid w:val="00475145"/>
    <w:rsid w:val="0047517F"/>
    <w:rsid w:val="00475624"/>
    <w:rsid w:val="00475670"/>
    <w:rsid w:val="00475A7E"/>
    <w:rsid w:val="0047603B"/>
    <w:rsid w:val="00476B9D"/>
    <w:rsid w:val="00476D8D"/>
    <w:rsid w:val="00477263"/>
    <w:rsid w:val="0047727F"/>
    <w:rsid w:val="00477844"/>
    <w:rsid w:val="00477FE9"/>
    <w:rsid w:val="00480149"/>
    <w:rsid w:val="0048036E"/>
    <w:rsid w:val="00480AF1"/>
    <w:rsid w:val="00481240"/>
    <w:rsid w:val="00481819"/>
    <w:rsid w:val="00481855"/>
    <w:rsid w:val="004818F3"/>
    <w:rsid w:val="00481A08"/>
    <w:rsid w:val="00482534"/>
    <w:rsid w:val="0048263F"/>
    <w:rsid w:val="004826B5"/>
    <w:rsid w:val="00482FD6"/>
    <w:rsid w:val="00483025"/>
    <w:rsid w:val="004831EF"/>
    <w:rsid w:val="004833C9"/>
    <w:rsid w:val="004833F1"/>
    <w:rsid w:val="0048370C"/>
    <w:rsid w:val="00483CE2"/>
    <w:rsid w:val="00483D17"/>
    <w:rsid w:val="00484F7A"/>
    <w:rsid w:val="00485496"/>
    <w:rsid w:val="004854CC"/>
    <w:rsid w:val="00485C23"/>
    <w:rsid w:val="00486499"/>
    <w:rsid w:val="0048667B"/>
    <w:rsid w:val="00486789"/>
    <w:rsid w:val="00486E56"/>
    <w:rsid w:val="00486FE9"/>
    <w:rsid w:val="00487817"/>
    <w:rsid w:val="0048783D"/>
    <w:rsid w:val="004900DF"/>
    <w:rsid w:val="004902B5"/>
    <w:rsid w:val="004902E1"/>
    <w:rsid w:val="0049048D"/>
    <w:rsid w:val="00490510"/>
    <w:rsid w:val="004908FE"/>
    <w:rsid w:val="00490AEC"/>
    <w:rsid w:val="00490D09"/>
    <w:rsid w:val="00490D35"/>
    <w:rsid w:val="00490EBB"/>
    <w:rsid w:val="00491BD0"/>
    <w:rsid w:val="00491F57"/>
    <w:rsid w:val="0049219A"/>
    <w:rsid w:val="004926ED"/>
    <w:rsid w:val="0049294B"/>
    <w:rsid w:val="00493297"/>
    <w:rsid w:val="00493401"/>
    <w:rsid w:val="004934EA"/>
    <w:rsid w:val="0049389F"/>
    <w:rsid w:val="00494330"/>
    <w:rsid w:val="00494580"/>
    <w:rsid w:val="0049484B"/>
    <w:rsid w:val="00494B16"/>
    <w:rsid w:val="00494D37"/>
    <w:rsid w:val="004954FE"/>
    <w:rsid w:val="0049570C"/>
    <w:rsid w:val="00495EE8"/>
    <w:rsid w:val="00496481"/>
    <w:rsid w:val="0049723A"/>
    <w:rsid w:val="0049733A"/>
    <w:rsid w:val="00497C6C"/>
    <w:rsid w:val="004A0789"/>
    <w:rsid w:val="004A0BEE"/>
    <w:rsid w:val="004A0E3E"/>
    <w:rsid w:val="004A12A0"/>
    <w:rsid w:val="004A18C6"/>
    <w:rsid w:val="004A19BF"/>
    <w:rsid w:val="004A1ECB"/>
    <w:rsid w:val="004A2220"/>
    <w:rsid w:val="004A25B5"/>
    <w:rsid w:val="004A29FC"/>
    <w:rsid w:val="004A2ED8"/>
    <w:rsid w:val="004A3610"/>
    <w:rsid w:val="004A386C"/>
    <w:rsid w:val="004A395E"/>
    <w:rsid w:val="004A3AF6"/>
    <w:rsid w:val="004A3CBE"/>
    <w:rsid w:val="004A3ECC"/>
    <w:rsid w:val="004A42A8"/>
    <w:rsid w:val="004A4666"/>
    <w:rsid w:val="004A4B11"/>
    <w:rsid w:val="004A5E24"/>
    <w:rsid w:val="004A61D9"/>
    <w:rsid w:val="004A6593"/>
    <w:rsid w:val="004A6AB5"/>
    <w:rsid w:val="004A6F49"/>
    <w:rsid w:val="004A7033"/>
    <w:rsid w:val="004A752F"/>
    <w:rsid w:val="004A7D3E"/>
    <w:rsid w:val="004A7DBF"/>
    <w:rsid w:val="004A7F3E"/>
    <w:rsid w:val="004B0132"/>
    <w:rsid w:val="004B0246"/>
    <w:rsid w:val="004B0722"/>
    <w:rsid w:val="004B0BD0"/>
    <w:rsid w:val="004B0E20"/>
    <w:rsid w:val="004B0FC5"/>
    <w:rsid w:val="004B1217"/>
    <w:rsid w:val="004B1845"/>
    <w:rsid w:val="004B1F0E"/>
    <w:rsid w:val="004B229C"/>
    <w:rsid w:val="004B26E7"/>
    <w:rsid w:val="004B2721"/>
    <w:rsid w:val="004B2D99"/>
    <w:rsid w:val="004B308D"/>
    <w:rsid w:val="004B335F"/>
    <w:rsid w:val="004B3A17"/>
    <w:rsid w:val="004B3D51"/>
    <w:rsid w:val="004B3D6E"/>
    <w:rsid w:val="004B3F0E"/>
    <w:rsid w:val="004B40AB"/>
    <w:rsid w:val="004B43A4"/>
    <w:rsid w:val="004B44BF"/>
    <w:rsid w:val="004B4640"/>
    <w:rsid w:val="004B46F1"/>
    <w:rsid w:val="004B4F74"/>
    <w:rsid w:val="004B52B4"/>
    <w:rsid w:val="004B5875"/>
    <w:rsid w:val="004B5C8D"/>
    <w:rsid w:val="004B60A3"/>
    <w:rsid w:val="004B6232"/>
    <w:rsid w:val="004B668D"/>
    <w:rsid w:val="004B6883"/>
    <w:rsid w:val="004B6C67"/>
    <w:rsid w:val="004B6F02"/>
    <w:rsid w:val="004B6F19"/>
    <w:rsid w:val="004B6F45"/>
    <w:rsid w:val="004B733A"/>
    <w:rsid w:val="004B7485"/>
    <w:rsid w:val="004B772D"/>
    <w:rsid w:val="004B7C73"/>
    <w:rsid w:val="004C00BE"/>
    <w:rsid w:val="004C08A2"/>
    <w:rsid w:val="004C14A6"/>
    <w:rsid w:val="004C1AB9"/>
    <w:rsid w:val="004C1EF9"/>
    <w:rsid w:val="004C20EB"/>
    <w:rsid w:val="004C2263"/>
    <w:rsid w:val="004C23C4"/>
    <w:rsid w:val="004C2A2C"/>
    <w:rsid w:val="004C2EDF"/>
    <w:rsid w:val="004C3117"/>
    <w:rsid w:val="004C313A"/>
    <w:rsid w:val="004C33C0"/>
    <w:rsid w:val="004C3A25"/>
    <w:rsid w:val="004C3BB4"/>
    <w:rsid w:val="004C3FE0"/>
    <w:rsid w:val="004C4381"/>
    <w:rsid w:val="004C4A5D"/>
    <w:rsid w:val="004C4A76"/>
    <w:rsid w:val="004C5A70"/>
    <w:rsid w:val="004C5E2B"/>
    <w:rsid w:val="004C5F06"/>
    <w:rsid w:val="004C6049"/>
    <w:rsid w:val="004C62AE"/>
    <w:rsid w:val="004C675D"/>
    <w:rsid w:val="004C6941"/>
    <w:rsid w:val="004C69F6"/>
    <w:rsid w:val="004C6B7E"/>
    <w:rsid w:val="004C6CAA"/>
    <w:rsid w:val="004C6DD3"/>
    <w:rsid w:val="004C6E0D"/>
    <w:rsid w:val="004C7499"/>
    <w:rsid w:val="004C7630"/>
    <w:rsid w:val="004D013E"/>
    <w:rsid w:val="004D085E"/>
    <w:rsid w:val="004D1A8C"/>
    <w:rsid w:val="004D1BD5"/>
    <w:rsid w:val="004D1CDF"/>
    <w:rsid w:val="004D2328"/>
    <w:rsid w:val="004D24CD"/>
    <w:rsid w:val="004D273F"/>
    <w:rsid w:val="004D2856"/>
    <w:rsid w:val="004D2DAF"/>
    <w:rsid w:val="004D2F50"/>
    <w:rsid w:val="004D3519"/>
    <w:rsid w:val="004D4427"/>
    <w:rsid w:val="004D4FAB"/>
    <w:rsid w:val="004D52B4"/>
    <w:rsid w:val="004D52BF"/>
    <w:rsid w:val="004D555A"/>
    <w:rsid w:val="004D5708"/>
    <w:rsid w:val="004D5882"/>
    <w:rsid w:val="004D591C"/>
    <w:rsid w:val="004D5A8C"/>
    <w:rsid w:val="004D5AA8"/>
    <w:rsid w:val="004D6D26"/>
    <w:rsid w:val="004D6D3F"/>
    <w:rsid w:val="004D73D8"/>
    <w:rsid w:val="004D7494"/>
    <w:rsid w:val="004D7652"/>
    <w:rsid w:val="004D7B5A"/>
    <w:rsid w:val="004D7B62"/>
    <w:rsid w:val="004E063D"/>
    <w:rsid w:val="004E0BB4"/>
    <w:rsid w:val="004E0BD3"/>
    <w:rsid w:val="004E0CBC"/>
    <w:rsid w:val="004E1432"/>
    <w:rsid w:val="004E1FBF"/>
    <w:rsid w:val="004E25AF"/>
    <w:rsid w:val="004E27FC"/>
    <w:rsid w:val="004E2ACA"/>
    <w:rsid w:val="004E2D09"/>
    <w:rsid w:val="004E36D4"/>
    <w:rsid w:val="004E4494"/>
    <w:rsid w:val="004E4A9A"/>
    <w:rsid w:val="004E4E6D"/>
    <w:rsid w:val="004E50FA"/>
    <w:rsid w:val="004E522A"/>
    <w:rsid w:val="004E53F9"/>
    <w:rsid w:val="004E598D"/>
    <w:rsid w:val="004E5AC7"/>
    <w:rsid w:val="004E5C06"/>
    <w:rsid w:val="004E5F4C"/>
    <w:rsid w:val="004E60D2"/>
    <w:rsid w:val="004E60F4"/>
    <w:rsid w:val="004E61FB"/>
    <w:rsid w:val="004E663A"/>
    <w:rsid w:val="004E68E7"/>
    <w:rsid w:val="004E6C19"/>
    <w:rsid w:val="004E6DF8"/>
    <w:rsid w:val="004E7714"/>
    <w:rsid w:val="004E7751"/>
    <w:rsid w:val="004E78B5"/>
    <w:rsid w:val="004E7B8F"/>
    <w:rsid w:val="004E7BC5"/>
    <w:rsid w:val="004F00AC"/>
    <w:rsid w:val="004F0137"/>
    <w:rsid w:val="004F03C8"/>
    <w:rsid w:val="004F03F3"/>
    <w:rsid w:val="004F06F2"/>
    <w:rsid w:val="004F22F2"/>
    <w:rsid w:val="004F2815"/>
    <w:rsid w:val="004F28D7"/>
    <w:rsid w:val="004F2942"/>
    <w:rsid w:val="004F2B64"/>
    <w:rsid w:val="004F2C14"/>
    <w:rsid w:val="004F310F"/>
    <w:rsid w:val="004F3189"/>
    <w:rsid w:val="004F356F"/>
    <w:rsid w:val="004F364E"/>
    <w:rsid w:val="004F36FB"/>
    <w:rsid w:val="004F374B"/>
    <w:rsid w:val="004F37D8"/>
    <w:rsid w:val="004F3C0F"/>
    <w:rsid w:val="004F3EAF"/>
    <w:rsid w:val="004F4B7F"/>
    <w:rsid w:val="004F4D18"/>
    <w:rsid w:val="004F4DA4"/>
    <w:rsid w:val="004F4ED4"/>
    <w:rsid w:val="004F52B5"/>
    <w:rsid w:val="004F5412"/>
    <w:rsid w:val="004F575B"/>
    <w:rsid w:val="004F5B4B"/>
    <w:rsid w:val="004F6DC1"/>
    <w:rsid w:val="004F7A92"/>
    <w:rsid w:val="004F7DE8"/>
    <w:rsid w:val="004F7F03"/>
    <w:rsid w:val="00500192"/>
    <w:rsid w:val="00500318"/>
    <w:rsid w:val="00500458"/>
    <w:rsid w:val="00500589"/>
    <w:rsid w:val="00500689"/>
    <w:rsid w:val="005008CD"/>
    <w:rsid w:val="00500A43"/>
    <w:rsid w:val="00500C6B"/>
    <w:rsid w:val="005010BD"/>
    <w:rsid w:val="005017A2"/>
    <w:rsid w:val="005019B4"/>
    <w:rsid w:val="00501E14"/>
    <w:rsid w:val="00502196"/>
    <w:rsid w:val="005021BD"/>
    <w:rsid w:val="005026DD"/>
    <w:rsid w:val="00502721"/>
    <w:rsid w:val="0050313D"/>
    <w:rsid w:val="0050349D"/>
    <w:rsid w:val="00503592"/>
    <w:rsid w:val="00503A1B"/>
    <w:rsid w:val="00503AA3"/>
    <w:rsid w:val="00503F6A"/>
    <w:rsid w:val="00503F8E"/>
    <w:rsid w:val="00503FB6"/>
    <w:rsid w:val="00504037"/>
    <w:rsid w:val="005040D3"/>
    <w:rsid w:val="00504364"/>
    <w:rsid w:val="00504664"/>
    <w:rsid w:val="0050475F"/>
    <w:rsid w:val="005047D7"/>
    <w:rsid w:val="00504AF5"/>
    <w:rsid w:val="00504EEE"/>
    <w:rsid w:val="00505A9A"/>
    <w:rsid w:val="00505FFB"/>
    <w:rsid w:val="00506569"/>
    <w:rsid w:val="005067E5"/>
    <w:rsid w:val="005069E5"/>
    <w:rsid w:val="0050711A"/>
    <w:rsid w:val="00507206"/>
    <w:rsid w:val="005074FD"/>
    <w:rsid w:val="00507966"/>
    <w:rsid w:val="00507A21"/>
    <w:rsid w:val="0051037F"/>
    <w:rsid w:val="00510729"/>
    <w:rsid w:val="00511009"/>
    <w:rsid w:val="0051132A"/>
    <w:rsid w:val="00511349"/>
    <w:rsid w:val="005117D3"/>
    <w:rsid w:val="005122AE"/>
    <w:rsid w:val="0051273F"/>
    <w:rsid w:val="00512A5A"/>
    <w:rsid w:val="00512AAF"/>
    <w:rsid w:val="00512D92"/>
    <w:rsid w:val="00513013"/>
    <w:rsid w:val="0051306A"/>
    <w:rsid w:val="005130B5"/>
    <w:rsid w:val="00513153"/>
    <w:rsid w:val="00513214"/>
    <w:rsid w:val="00513886"/>
    <w:rsid w:val="00513898"/>
    <w:rsid w:val="00513B6A"/>
    <w:rsid w:val="00513D22"/>
    <w:rsid w:val="00513D2A"/>
    <w:rsid w:val="00513F07"/>
    <w:rsid w:val="00513FCF"/>
    <w:rsid w:val="005143D4"/>
    <w:rsid w:val="00514861"/>
    <w:rsid w:val="00514900"/>
    <w:rsid w:val="00514A77"/>
    <w:rsid w:val="00514F0B"/>
    <w:rsid w:val="005153BB"/>
    <w:rsid w:val="0051584C"/>
    <w:rsid w:val="0051651B"/>
    <w:rsid w:val="00516AC3"/>
    <w:rsid w:val="00516B48"/>
    <w:rsid w:val="00516BAA"/>
    <w:rsid w:val="00516BE0"/>
    <w:rsid w:val="00516E5B"/>
    <w:rsid w:val="00517431"/>
    <w:rsid w:val="005175A0"/>
    <w:rsid w:val="0052020C"/>
    <w:rsid w:val="00520485"/>
    <w:rsid w:val="00520511"/>
    <w:rsid w:val="0052087B"/>
    <w:rsid w:val="00520EF9"/>
    <w:rsid w:val="005212A2"/>
    <w:rsid w:val="005215A0"/>
    <w:rsid w:val="00521AEA"/>
    <w:rsid w:val="0052256A"/>
    <w:rsid w:val="00522628"/>
    <w:rsid w:val="00522D92"/>
    <w:rsid w:val="005234B7"/>
    <w:rsid w:val="00523FE8"/>
    <w:rsid w:val="0052436B"/>
    <w:rsid w:val="005243E4"/>
    <w:rsid w:val="00524743"/>
    <w:rsid w:val="00524AB7"/>
    <w:rsid w:val="0052522B"/>
    <w:rsid w:val="005253E2"/>
    <w:rsid w:val="005257FF"/>
    <w:rsid w:val="00526CA4"/>
    <w:rsid w:val="00527417"/>
    <w:rsid w:val="00530153"/>
    <w:rsid w:val="005305D4"/>
    <w:rsid w:val="005307A3"/>
    <w:rsid w:val="005308BB"/>
    <w:rsid w:val="00531510"/>
    <w:rsid w:val="00531539"/>
    <w:rsid w:val="00531BE4"/>
    <w:rsid w:val="00532004"/>
    <w:rsid w:val="00532364"/>
    <w:rsid w:val="005327B9"/>
    <w:rsid w:val="00532D87"/>
    <w:rsid w:val="00533113"/>
    <w:rsid w:val="00533C69"/>
    <w:rsid w:val="00533E61"/>
    <w:rsid w:val="0053440D"/>
    <w:rsid w:val="00534453"/>
    <w:rsid w:val="005353F0"/>
    <w:rsid w:val="00535A55"/>
    <w:rsid w:val="00535B40"/>
    <w:rsid w:val="0053671B"/>
    <w:rsid w:val="00536878"/>
    <w:rsid w:val="00536AD2"/>
    <w:rsid w:val="00536AF7"/>
    <w:rsid w:val="00536B92"/>
    <w:rsid w:val="00536D6E"/>
    <w:rsid w:val="0053703D"/>
    <w:rsid w:val="005371E5"/>
    <w:rsid w:val="0053773E"/>
    <w:rsid w:val="00537910"/>
    <w:rsid w:val="00540929"/>
    <w:rsid w:val="00540A8B"/>
    <w:rsid w:val="00540F28"/>
    <w:rsid w:val="00541385"/>
    <w:rsid w:val="005416D0"/>
    <w:rsid w:val="00541973"/>
    <w:rsid w:val="00542301"/>
    <w:rsid w:val="005423F5"/>
    <w:rsid w:val="0054259E"/>
    <w:rsid w:val="00542A09"/>
    <w:rsid w:val="005439D6"/>
    <w:rsid w:val="00544143"/>
    <w:rsid w:val="00544662"/>
    <w:rsid w:val="00544D97"/>
    <w:rsid w:val="00544E62"/>
    <w:rsid w:val="00545012"/>
    <w:rsid w:val="00545A90"/>
    <w:rsid w:val="005465C0"/>
    <w:rsid w:val="00546933"/>
    <w:rsid w:val="00546986"/>
    <w:rsid w:val="00547433"/>
    <w:rsid w:val="005476BD"/>
    <w:rsid w:val="005477B5"/>
    <w:rsid w:val="005478DC"/>
    <w:rsid w:val="00547998"/>
    <w:rsid w:val="00547BB6"/>
    <w:rsid w:val="00547C61"/>
    <w:rsid w:val="00550005"/>
    <w:rsid w:val="00550076"/>
    <w:rsid w:val="0055012B"/>
    <w:rsid w:val="00550196"/>
    <w:rsid w:val="0055034B"/>
    <w:rsid w:val="00550705"/>
    <w:rsid w:val="00550FE9"/>
    <w:rsid w:val="00551203"/>
    <w:rsid w:val="0055144A"/>
    <w:rsid w:val="005515AC"/>
    <w:rsid w:val="005516A4"/>
    <w:rsid w:val="00551761"/>
    <w:rsid w:val="00552F3A"/>
    <w:rsid w:val="005535AA"/>
    <w:rsid w:val="005535CA"/>
    <w:rsid w:val="00553A48"/>
    <w:rsid w:val="00553CC2"/>
    <w:rsid w:val="00553E52"/>
    <w:rsid w:val="00553F2B"/>
    <w:rsid w:val="005542F9"/>
    <w:rsid w:val="00554A12"/>
    <w:rsid w:val="00554D69"/>
    <w:rsid w:val="00555699"/>
    <w:rsid w:val="0055571A"/>
    <w:rsid w:val="0055584D"/>
    <w:rsid w:val="00555E6A"/>
    <w:rsid w:val="00556573"/>
    <w:rsid w:val="005568FF"/>
    <w:rsid w:val="00556CDC"/>
    <w:rsid w:val="00556D96"/>
    <w:rsid w:val="00560199"/>
    <w:rsid w:val="00560B95"/>
    <w:rsid w:val="0056126E"/>
    <w:rsid w:val="00561337"/>
    <w:rsid w:val="005615E7"/>
    <w:rsid w:val="00561B2B"/>
    <w:rsid w:val="00561C3A"/>
    <w:rsid w:val="00562285"/>
    <w:rsid w:val="005627D8"/>
    <w:rsid w:val="00562E1C"/>
    <w:rsid w:val="00563040"/>
    <w:rsid w:val="0056310A"/>
    <w:rsid w:val="00563577"/>
    <w:rsid w:val="00563779"/>
    <w:rsid w:val="00563AA1"/>
    <w:rsid w:val="00563C7C"/>
    <w:rsid w:val="005640B7"/>
    <w:rsid w:val="005641FC"/>
    <w:rsid w:val="00564A3A"/>
    <w:rsid w:val="00564AA6"/>
    <w:rsid w:val="00565168"/>
    <w:rsid w:val="00565462"/>
    <w:rsid w:val="00565AF5"/>
    <w:rsid w:val="00565CA0"/>
    <w:rsid w:val="00565D8F"/>
    <w:rsid w:val="00565DD8"/>
    <w:rsid w:val="005663EA"/>
    <w:rsid w:val="005664B7"/>
    <w:rsid w:val="0056671D"/>
    <w:rsid w:val="00566BA3"/>
    <w:rsid w:val="00566C6B"/>
    <w:rsid w:val="00566E04"/>
    <w:rsid w:val="00566E07"/>
    <w:rsid w:val="00566EED"/>
    <w:rsid w:val="00567180"/>
    <w:rsid w:val="00567453"/>
    <w:rsid w:val="00567529"/>
    <w:rsid w:val="00567FA5"/>
    <w:rsid w:val="005701E6"/>
    <w:rsid w:val="0057020B"/>
    <w:rsid w:val="005702C7"/>
    <w:rsid w:val="00570893"/>
    <w:rsid w:val="00570A9D"/>
    <w:rsid w:val="00570C9A"/>
    <w:rsid w:val="0057113C"/>
    <w:rsid w:val="0057191E"/>
    <w:rsid w:val="0057197F"/>
    <w:rsid w:val="00572133"/>
    <w:rsid w:val="005724BE"/>
    <w:rsid w:val="00572F4C"/>
    <w:rsid w:val="0057326F"/>
    <w:rsid w:val="00573AA7"/>
    <w:rsid w:val="00573BD1"/>
    <w:rsid w:val="00573E71"/>
    <w:rsid w:val="00573F9B"/>
    <w:rsid w:val="0057458D"/>
    <w:rsid w:val="0057474C"/>
    <w:rsid w:val="0057481F"/>
    <w:rsid w:val="0057498E"/>
    <w:rsid w:val="00574F1B"/>
    <w:rsid w:val="00575020"/>
    <w:rsid w:val="005752C5"/>
    <w:rsid w:val="00575350"/>
    <w:rsid w:val="00575663"/>
    <w:rsid w:val="00575C54"/>
    <w:rsid w:val="00575EEC"/>
    <w:rsid w:val="0057640D"/>
    <w:rsid w:val="0057787B"/>
    <w:rsid w:val="00577A6A"/>
    <w:rsid w:val="005806D3"/>
    <w:rsid w:val="005808C1"/>
    <w:rsid w:val="00580A62"/>
    <w:rsid w:val="00580F4E"/>
    <w:rsid w:val="00580F89"/>
    <w:rsid w:val="00581033"/>
    <w:rsid w:val="00581037"/>
    <w:rsid w:val="005810FF"/>
    <w:rsid w:val="00581557"/>
    <w:rsid w:val="00581807"/>
    <w:rsid w:val="00581901"/>
    <w:rsid w:val="005820AB"/>
    <w:rsid w:val="00582406"/>
    <w:rsid w:val="005828C5"/>
    <w:rsid w:val="00582B69"/>
    <w:rsid w:val="00582EAD"/>
    <w:rsid w:val="0058379D"/>
    <w:rsid w:val="00583B4D"/>
    <w:rsid w:val="00583B4E"/>
    <w:rsid w:val="00583D9B"/>
    <w:rsid w:val="00583F4C"/>
    <w:rsid w:val="00584219"/>
    <w:rsid w:val="005845E6"/>
    <w:rsid w:val="0058460E"/>
    <w:rsid w:val="00584ED3"/>
    <w:rsid w:val="005854E5"/>
    <w:rsid w:val="00585734"/>
    <w:rsid w:val="00585CFB"/>
    <w:rsid w:val="00585D6E"/>
    <w:rsid w:val="00585E31"/>
    <w:rsid w:val="00585ED8"/>
    <w:rsid w:val="0058654B"/>
    <w:rsid w:val="00586559"/>
    <w:rsid w:val="0058657E"/>
    <w:rsid w:val="00586EC0"/>
    <w:rsid w:val="0058705F"/>
    <w:rsid w:val="00587167"/>
    <w:rsid w:val="0058786F"/>
    <w:rsid w:val="00587F14"/>
    <w:rsid w:val="00590193"/>
    <w:rsid w:val="00590A64"/>
    <w:rsid w:val="00590CE5"/>
    <w:rsid w:val="00590E44"/>
    <w:rsid w:val="005918EC"/>
    <w:rsid w:val="00591DF7"/>
    <w:rsid w:val="0059205E"/>
    <w:rsid w:val="005929B3"/>
    <w:rsid w:val="00592CD2"/>
    <w:rsid w:val="00592D23"/>
    <w:rsid w:val="005931D2"/>
    <w:rsid w:val="00593334"/>
    <w:rsid w:val="0059378B"/>
    <w:rsid w:val="00593814"/>
    <w:rsid w:val="00593952"/>
    <w:rsid w:val="00593DC6"/>
    <w:rsid w:val="00593EF8"/>
    <w:rsid w:val="00594844"/>
    <w:rsid w:val="0059489A"/>
    <w:rsid w:val="00594B25"/>
    <w:rsid w:val="005952D3"/>
    <w:rsid w:val="005958FF"/>
    <w:rsid w:val="005962CA"/>
    <w:rsid w:val="0059663C"/>
    <w:rsid w:val="00596FEE"/>
    <w:rsid w:val="00596FF9"/>
    <w:rsid w:val="005978C0"/>
    <w:rsid w:val="00597BD7"/>
    <w:rsid w:val="005A0196"/>
    <w:rsid w:val="005A047A"/>
    <w:rsid w:val="005A09FD"/>
    <w:rsid w:val="005A0A0D"/>
    <w:rsid w:val="005A0F86"/>
    <w:rsid w:val="005A1021"/>
    <w:rsid w:val="005A1C45"/>
    <w:rsid w:val="005A21F4"/>
    <w:rsid w:val="005A2289"/>
    <w:rsid w:val="005A2716"/>
    <w:rsid w:val="005A277E"/>
    <w:rsid w:val="005A27CB"/>
    <w:rsid w:val="005A2B15"/>
    <w:rsid w:val="005A2CFF"/>
    <w:rsid w:val="005A3A4E"/>
    <w:rsid w:val="005A3B3E"/>
    <w:rsid w:val="005A3DCB"/>
    <w:rsid w:val="005A43C4"/>
    <w:rsid w:val="005A46E2"/>
    <w:rsid w:val="005A4966"/>
    <w:rsid w:val="005A4FB8"/>
    <w:rsid w:val="005A580B"/>
    <w:rsid w:val="005A5964"/>
    <w:rsid w:val="005A62F9"/>
    <w:rsid w:val="005A63A8"/>
    <w:rsid w:val="005A6AB7"/>
    <w:rsid w:val="005A7231"/>
    <w:rsid w:val="005A74AC"/>
    <w:rsid w:val="005A799E"/>
    <w:rsid w:val="005A7BE7"/>
    <w:rsid w:val="005B040B"/>
    <w:rsid w:val="005B073E"/>
    <w:rsid w:val="005B07F8"/>
    <w:rsid w:val="005B09EB"/>
    <w:rsid w:val="005B159F"/>
    <w:rsid w:val="005B1749"/>
    <w:rsid w:val="005B1992"/>
    <w:rsid w:val="005B1D5F"/>
    <w:rsid w:val="005B1E85"/>
    <w:rsid w:val="005B1FB7"/>
    <w:rsid w:val="005B212A"/>
    <w:rsid w:val="005B2D40"/>
    <w:rsid w:val="005B364C"/>
    <w:rsid w:val="005B47B1"/>
    <w:rsid w:val="005B538F"/>
    <w:rsid w:val="005B542A"/>
    <w:rsid w:val="005B56A8"/>
    <w:rsid w:val="005B56E9"/>
    <w:rsid w:val="005B57B9"/>
    <w:rsid w:val="005B5B33"/>
    <w:rsid w:val="005B5EA5"/>
    <w:rsid w:val="005B658E"/>
    <w:rsid w:val="005B6854"/>
    <w:rsid w:val="005B6B04"/>
    <w:rsid w:val="005B6B22"/>
    <w:rsid w:val="005B6E4E"/>
    <w:rsid w:val="005B71E3"/>
    <w:rsid w:val="005B7B1A"/>
    <w:rsid w:val="005C0DAF"/>
    <w:rsid w:val="005C1E38"/>
    <w:rsid w:val="005C1E85"/>
    <w:rsid w:val="005C26E2"/>
    <w:rsid w:val="005C2CD3"/>
    <w:rsid w:val="005C2E04"/>
    <w:rsid w:val="005C2E61"/>
    <w:rsid w:val="005C3386"/>
    <w:rsid w:val="005C3A16"/>
    <w:rsid w:val="005C3BB7"/>
    <w:rsid w:val="005C3EF5"/>
    <w:rsid w:val="005C3F9D"/>
    <w:rsid w:val="005C424B"/>
    <w:rsid w:val="005C437A"/>
    <w:rsid w:val="005C43D5"/>
    <w:rsid w:val="005C46A4"/>
    <w:rsid w:val="005C4789"/>
    <w:rsid w:val="005C4988"/>
    <w:rsid w:val="005C49EA"/>
    <w:rsid w:val="005C542F"/>
    <w:rsid w:val="005C56EB"/>
    <w:rsid w:val="005C639B"/>
    <w:rsid w:val="005C63EA"/>
    <w:rsid w:val="005C660B"/>
    <w:rsid w:val="005C66D0"/>
    <w:rsid w:val="005C6CB1"/>
    <w:rsid w:val="005D02DD"/>
    <w:rsid w:val="005D0C2E"/>
    <w:rsid w:val="005D0D40"/>
    <w:rsid w:val="005D1297"/>
    <w:rsid w:val="005D12CC"/>
    <w:rsid w:val="005D15AB"/>
    <w:rsid w:val="005D1C18"/>
    <w:rsid w:val="005D21B8"/>
    <w:rsid w:val="005D2700"/>
    <w:rsid w:val="005D2E74"/>
    <w:rsid w:val="005D313B"/>
    <w:rsid w:val="005D3322"/>
    <w:rsid w:val="005D35DA"/>
    <w:rsid w:val="005D3751"/>
    <w:rsid w:val="005D3BC1"/>
    <w:rsid w:val="005D3BC3"/>
    <w:rsid w:val="005D3C93"/>
    <w:rsid w:val="005D3D8C"/>
    <w:rsid w:val="005D3E04"/>
    <w:rsid w:val="005D44D5"/>
    <w:rsid w:val="005D4AE4"/>
    <w:rsid w:val="005D4B96"/>
    <w:rsid w:val="005D4C02"/>
    <w:rsid w:val="005D5588"/>
    <w:rsid w:val="005D59E8"/>
    <w:rsid w:val="005D6218"/>
    <w:rsid w:val="005D71A2"/>
    <w:rsid w:val="005D71D0"/>
    <w:rsid w:val="005E08EA"/>
    <w:rsid w:val="005E0A7E"/>
    <w:rsid w:val="005E0CD4"/>
    <w:rsid w:val="005E0FF0"/>
    <w:rsid w:val="005E172E"/>
    <w:rsid w:val="005E188C"/>
    <w:rsid w:val="005E1903"/>
    <w:rsid w:val="005E1A2A"/>
    <w:rsid w:val="005E2173"/>
    <w:rsid w:val="005E2460"/>
    <w:rsid w:val="005E2AA8"/>
    <w:rsid w:val="005E304F"/>
    <w:rsid w:val="005E3188"/>
    <w:rsid w:val="005E3347"/>
    <w:rsid w:val="005E3D4E"/>
    <w:rsid w:val="005E3E2D"/>
    <w:rsid w:val="005E412A"/>
    <w:rsid w:val="005E43CB"/>
    <w:rsid w:val="005E46F8"/>
    <w:rsid w:val="005E48D8"/>
    <w:rsid w:val="005E544F"/>
    <w:rsid w:val="005E58FF"/>
    <w:rsid w:val="005E61F5"/>
    <w:rsid w:val="005E625E"/>
    <w:rsid w:val="005E69D4"/>
    <w:rsid w:val="005E72F4"/>
    <w:rsid w:val="005E77ED"/>
    <w:rsid w:val="005E78A3"/>
    <w:rsid w:val="005E7B94"/>
    <w:rsid w:val="005F0030"/>
    <w:rsid w:val="005F04BD"/>
    <w:rsid w:val="005F04E4"/>
    <w:rsid w:val="005F0649"/>
    <w:rsid w:val="005F1263"/>
    <w:rsid w:val="005F1675"/>
    <w:rsid w:val="005F1C89"/>
    <w:rsid w:val="005F242A"/>
    <w:rsid w:val="005F28F9"/>
    <w:rsid w:val="005F2B09"/>
    <w:rsid w:val="005F2FD2"/>
    <w:rsid w:val="005F30C1"/>
    <w:rsid w:val="005F3471"/>
    <w:rsid w:val="005F37EF"/>
    <w:rsid w:val="005F38C8"/>
    <w:rsid w:val="005F3BFD"/>
    <w:rsid w:val="005F4284"/>
    <w:rsid w:val="005F455E"/>
    <w:rsid w:val="005F4660"/>
    <w:rsid w:val="005F4A5C"/>
    <w:rsid w:val="005F4F76"/>
    <w:rsid w:val="005F4FE9"/>
    <w:rsid w:val="005F545F"/>
    <w:rsid w:val="005F5D78"/>
    <w:rsid w:val="005F61C7"/>
    <w:rsid w:val="005F62F2"/>
    <w:rsid w:val="005F64AA"/>
    <w:rsid w:val="005F672A"/>
    <w:rsid w:val="005F6924"/>
    <w:rsid w:val="005F6BA2"/>
    <w:rsid w:val="005F7365"/>
    <w:rsid w:val="005F73A3"/>
    <w:rsid w:val="005F73D5"/>
    <w:rsid w:val="005F7634"/>
    <w:rsid w:val="005F7760"/>
    <w:rsid w:val="005F7FBB"/>
    <w:rsid w:val="0060001D"/>
    <w:rsid w:val="0060068E"/>
    <w:rsid w:val="006007EC"/>
    <w:rsid w:val="0060081E"/>
    <w:rsid w:val="006008A5"/>
    <w:rsid w:val="006008BD"/>
    <w:rsid w:val="00600A13"/>
    <w:rsid w:val="00600E41"/>
    <w:rsid w:val="00600F0D"/>
    <w:rsid w:val="0060152F"/>
    <w:rsid w:val="006017F8"/>
    <w:rsid w:val="00601890"/>
    <w:rsid w:val="006019F4"/>
    <w:rsid w:val="00601A3F"/>
    <w:rsid w:val="00601E71"/>
    <w:rsid w:val="006026E0"/>
    <w:rsid w:val="006027C0"/>
    <w:rsid w:val="006039AA"/>
    <w:rsid w:val="006039BA"/>
    <w:rsid w:val="006039DD"/>
    <w:rsid w:val="00603CE8"/>
    <w:rsid w:val="00603EC6"/>
    <w:rsid w:val="00603F52"/>
    <w:rsid w:val="0060450C"/>
    <w:rsid w:val="00604B4C"/>
    <w:rsid w:val="00604D12"/>
    <w:rsid w:val="006051BF"/>
    <w:rsid w:val="00605A86"/>
    <w:rsid w:val="00605ECF"/>
    <w:rsid w:val="0060670F"/>
    <w:rsid w:val="006067BE"/>
    <w:rsid w:val="00606864"/>
    <w:rsid w:val="00606C29"/>
    <w:rsid w:val="00606E4C"/>
    <w:rsid w:val="00606F9A"/>
    <w:rsid w:val="00607178"/>
    <w:rsid w:val="006077C5"/>
    <w:rsid w:val="0060797D"/>
    <w:rsid w:val="00607B66"/>
    <w:rsid w:val="00607C05"/>
    <w:rsid w:val="00607CF2"/>
    <w:rsid w:val="00607CFE"/>
    <w:rsid w:val="00607DAC"/>
    <w:rsid w:val="006104B2"/>
    <w:rsid w:val="006104EC"/>
    <w:rsid w:val="00610636"/>
    <w:rsid w:val="00610646"/>
    <w:rsid w:val="006107F0"/>
    <w:rsid w:val="00611193"/>
    <w:rsid w:val="006111E1"/>
    <w:rsid w:val="006114F7"/>
    <w:rsid w:val="00611523"/>
    <w:rsid w:val="00611544"/>
    <w:rsid w:val="0061169F"/>
    <w:rsid w:val="0061177E"/>
    <w:rsid w:val="00611CD7"/>
    <w:rsid w:val="00611D35"/>
    <w:rsid w:val="00611FB4"/>
    <w:rsid w:val="00612169"/>
    <w:rsid w:val="00612A69"/>
    <w:rsid w:val="006130F3"/>
    <w:rsid w:val="0061347C"/>
    <w:rsid w:val="006135E3"/>
    <w:rsid w:val="0061394B"/>
    <w:rsid w:val="00613E2F"/>
    <w:rsid w:val="00613F4D"/>
    <w:rsid w:val="006142DD"/>
    <w:rsid w:val="006155C3"/>
    <w:rsid w:val="00615D11"/>
    <w:rsid w:val="00615D6F"/>
    <w:rsid w:val="00615DA6"/>
    <w:rsid w:val="006163BB"/>
    <w:rsid w:val="00616561"/>
    <w:rsid w:val="00616B0F"/>
    <w:rsid w:val="00616D97"/>
    <w:rsid w:val="006177D0"/>
    <w:rsid w:val="00617869"/>
    <w:rsid w:val="006178F2"/>
    <w:rsid w:val="00617A35"/>
    <w:rsid w:val="00617CFB"/>
    <w:rsid w:val="006203F0"/>
    <w:rsid w:val="00620B5C"/>
    <w:rsid w:val="00620E1B"/>
    <w:rsid w:val="00620F20"/>
    <w:rsid w:val="00621D3C"/>
    <w:rsid w:val="00621E6D"/>
    <w:rsid w:val="00622263"/>
    <w:rsid w:val="006222E3"/>
    <w:rsid w:val="00622747"/>
    <w:rsid w:val="0062295E"/>
    <w:rsid w:val="00622A6A"/>
    <w:rsid w:val="00622C2B"/>
    <w:rsid w:val="00622C6D"/>
    <w:rsid w:val="00622CE8"/>
    <w:rsid w:val="00622F6F"/>
    <w:rsid w:val="00623492"/>
    <w:rsid w:val="00623A50"/>
    <w:rsid w:val="00623BA8"/>
    <w:rsid w:val="00624217"/>
    <w:rsid w:val="006258D4"/>
    <w:rsid w:val="00625A31"/>
    <w:rsid w:val="00625F5E"/>
    <w:rsid w:val="00626681"/>
    <w:rsid w:val="0062674A"/>
    <w:rsid w:val="00626A54"/>
    <w:rsid w:val="00626FFB"/>
    <w:rsid w:val="00627729"/>
    <w:rsid w:val="00630287"/>
    <w:rsid w:val="00630554"/>
    <w:rsid w:val="00630A96"/>
    <w:rsid w:val="0063145A"/>
    <w:rsid w:val="006318FD"/>
    <w:rsid w:val="00631CE7"/>
    <w:rsid w:val="00631DAD"/>
    <w:rsid w:val="006320C1"/>
    <w:rsid w:val="00632211"/>
    <w:rsid w:val="00632257"/>
    <w:rsid w:val="006324DB"/>
    <w:rsid w:val="00632F20"/>
    <w:rsid w:val="00632F36"/>
    <w:rsid w:val="00633144"/>
    <w:rsid w:val="006334D3"/>
    <w:rsid w:val="006336BF"/>
    <w:rsid w:val="00633828"/>
    <w:rsid w:val="00633B7A"/>
    <w:rsid w:val="0063441A"/>
    <w:rsid w:val="006344FA"/>
    <w:rsid w:val="00635272"/>
    <w:rsid w:val="006356DF"/>
    <w:rsid w:val="006356E3"/>
    <w:rsid w:val="00635742"/>
    <w:rsid w:val="00635A49"/>
    <w:rsid w:val="00635B95"/>
    <w:rsid w:val="00636043"/>
    <w:rsid w:val="006364F7"/>
    <w:rsid w:val="006369E9"/>
    <w:rsid w:val="00636AC6"/>
    <w:rsid w:val="00636BED"/>
    <w:rsid w:val="00636F11"/>
    <w:rsid w:val="00637609"/>
    <w:rsid w:val="00637BBF"/>
    <w:rsid w:val="00637E93"/>
    <w:rsid w:val="0064109B"/>
    <w:rsid w:val="00641114"/>
    <w:rsid w:val="00641511"/>
    <w:rsid w:val="00641748"/>
    <w:rsid w:val="0064191E"/>
    <w:rsid w:val="006419C0"/>
    <w:rsid w:val="00641C88"/>
    <w:rsid w:val="00641D52"/>
    <w:rsid w:val="00641ED0"/>
    <w:rsid w:val="00642421"/>
    <w:rsid w:val="00642811"/>
    <w:rsid w:val="00642E8E"/>
    <w:rsid w:val="00643282"/>
    <w:rsid w:val="006443E1"/>
    <w:rsid w:val="006445AD"/>
    <w:rsid w:val="006448F4"/>
    <w:rsid w:val="0064507E"/>
    <w:rsid w:val="006451D0"/>
    <w:rsid w:val="00646061"/>
    <w:rsid w:val="006463C3"/>
    <w:rsid w:val="00646736"/>
    <w:rsid w:val="00646F2E"/>
    <w:rsid w:val="00647410"/>
    <w:rsid w:val="0064766D"/>
    <w:rsid w:val="00650308"/>
    <w:rsid w:val="006505A6"/>
    <w:rsid w:val="006506B9"/>
    <w:rsid w:val="00650C5A"/>
    <w:rsid w:val="00650CDB"/>
    <w:rsid w:val="00650F8A"/>
    <w:rsid w:val="00651009"/>
    <w:rsid w:val="00651239"/>
    <w:rsid w:val="0065151A"/>
    <w:rsid w:val="00651D5F"/>
    <w:rsid w:val="00651FE4"/>
    <w:rsid w:val="00652F67"/>
    <w:rsid w:val="006531AA"/>
    <w:rsid w:val="00653B1B"/>
    <w:rsid w:val="00653B99"/>
    <w:rsid w:val="006542F6"/>
    <w:rsid w:val="00654620"/>
    <w:rsid w:val="006559E5"/>
    <w:rsid w:val="00655E96"/>
    <w:rsid w:val="00656089"/>
    <w:rsid w:val="006566F5"/>
    <w:rsid w:val="006568DC"/>
    <w:rsid w:val="006575A7"/>
    <w:rsid w:val="00657E03"/>
    <w:rsid w:val="00657E9B"/>
    <w:rsid w:val="00657F69"/>
    <w:rsid w:val="0066034F"/>
    <w:rsid w:val="0066072A"/>
    <w:rsid w:val="006608BC"/>
    <w:rsid w:val="00660A56"/>
    <w:rsid w:val="00660F61"/>
    <w:rsid w:val="006610EF"/>
    <w:rsid w:val="00661269"/>
    <w:rsid w:val="006615FB"/>
    <w:rsid w:val="0066174B"/>
    <w:rsid w:val="0066194A"/>
    <w:rsid w:val="006620F9"/>
    <w:rsid w:val="0066236C"/>
    <w:rsid w:val="00662B04"/>
    <w:rsid w:val="00662B32"/>
    <w:rsid w:val="00662CF9"/>
    <w:rsid w:val="0066320B"/>
    <w:rsid w:val="00663AF1"/>
    <w:rsid w:val="00663D4E"/>
    <w:rsid w:val="00664075"/>
    <w:rsid w:val="0066570D"/>
    <w:rsid w:val="006657CA"/>
    <w:rsid w:val="006658F8"/>
    <w:rsid w:val="00665B44"/>
    <w:rsid w:val="00665C8E"/>
    <w:rsid w:val="00665EFC"/>
    <w:rsid w:val="00666162"/>
    <w:rsid w:val="006662CC"/>
    <w:rsid w:val="006664E8"/>
    <w:rsid w:val="00666B52"/>
    <w:rsid w:val="00667016"/>
    <w:rsid w:val="00667343"/>
    <w:rsid w:val="00667458"/>
    <w:rsid w:val="006676B1"/>
    <w:rsid w:val="00667E68"/>
    <w:rsid w:val="00670115"/>
    <w:rsid w:val="006702E4"/>
    <w:rsid w:val="00670D17"/>
    <w:rsid w:val="00670EBB"/>
    <w:rsid w:val="0067129B"/>
    <w:rsid w:val="00671371"/>
    <w:rsid w:val="006720CC"/>
    <w:rsid w:val="006720D8"/>
    <w:rsid w:val="006720EA"/>
    <w:rsid w:val="00672CEF"/>
    <w:rsid w:val="00672F1B"/>
    <w:rsid w:val="006730D3"/>
    <w:rsid w:val="00673285"/>
    <w:rsid w:val="006736FE"/>
    <w:rsid w:val="006738E0"/>
    <w:rsid w:val="00673C98"/>
    <w:rsid w:val="00673F58"/>
    <w:rsid w:val="006740CC"/>
    <w:rsid w:val="00674584"/>
    <w:rsid w:val="0067478C"/>
    <w:rsid w:val="00674898"/>
    <w:rsid w:val="006749B7"/>
    <w:rsid w:val="00674B94"/>
    <w:rsid w:val="00674C00"/>
    <w:rsid w:val="00674E07"/>
    <w:rsid w:val="00674F2D"/>
    <w:rsid w:val="006757AD"/>
    <w:rsid w:val="00675968"/>
    <w:rsid w:val="00675EC2"/>
    <w:rsid w:val="00675F7A"/>
    <w:rsid w:val="006763CF"/>
    <w:rsid w:val="006768B6"/>
    <w:rsid w:val="00677476"/>
    <w:rsid w:val="0067785A"/>
    <w:rsid w:val="00677AAE"/>
    <w:rsid w:val="00677CF9"/>
    <w:rsid w:val="006803BB"/>
    <w:rsid w:val="00680DF3"/>
    <w:rsid w:val="00680E60"/>
    <w:rsid w:val="00680F4D"/>
    <w:rsid w:val="006813DB"/>
    <w:rsid w:val="006819FF"/>
    <w:rsid w:val="00681EC1"/>
    <w:rsid w:val="00681F26"/>
    <w:rsid w:val="00682AF3"/>
    <w:rsid w:val="00682CDC"/>
    <w:rsid w:val="00682DED"/>
    <w:rsid w:val="006838F2"/>
    <w:rsid w:val="00684344"/>
    <w:rsid w:val="00684640"/>
    <w:rsid w:val="00684AB8"/>
    <w:rsid w:val="00684B88"/>
    <w:rsid w:val="00685376"/>
    <w:rsid w:val="006854A5"/>
    <w:rsid w:val="00685797"/>
    <w:rsid w:val="00685855"/>
    <w:rsid w:val="00685CEE"/>
    <w:rsid w:val="00686058"/>
    <w:rsid w:val="0068612D"/>
    <w:rsid w:val="006861CF"/>
    <w:rsid w:val="00686324"/>
    <w:rsid w:val="00686476"/>
    <w:rsid w:val="0068693A"/>
    <w:rsid w:val="00686A0D"/>
    <w:rsid w:val="00686BD6"/>
    <w:rsid w:val="00686CD1"/>
    <w:rsid w:val="0068770A"/>
    <w:rsid w:val="00687B5E"/>
    <w:rsid w:val="0069039B"/>
    <w:rsid w:val="00690683"/>
    <w:rsid w:val="00690990"/>
    <w:rsid w:val="00690A58"/>
    <w:rsid w:val="00690A83"/>
    <w:rsid w:val="00690F74"/>
    <w:rsid w:val="0069115D"/>
    <w:rsid w:val="00691348"/>
    <w:rsid w:val="00691F19"/>
    <w:rsid w:val="00691FAF"/>
    <w:rsid w:val="00692141"/>
    <w:rsid w:val="006922FA"/>
    <w:rsid w:val="00692433"/>
    <w:rsid w:val="00692A2E"/>
    <w:rsid w:val="00693D35"/>
    <w:rsid w:val="00693F5A"/>
    <w:rsid w:val="00693FAD"/>
    <w:rsid w:val="0069409B"/>
    <w:rsid w:val="006944CE"/>
    <w:rsid w:val="0069452D"/>
    <w:rsid w:val="006947E6"/>
    <w:rsid w:val="006948F7"/>
    <w:rsid w:val="00694B6F"/>
    <w:rsid w:val="00694BB5"/>
    <w:rsid w:val="00695629"/>
    <w:rsid w:val="0069567B"/>
    <w:rsid w:val="006957DC"/>
    <w:rsid w:val="00695B88"/>
    <w:rsid w:val="00695E47"/>
    <w:rsid w:val="006962C8"/>
    <w:rsid w:val="006966AF"/>
    <w:rsid w:val="00696951"/>
    <w:rsid w:val="00697042"/>
    <w:rsid w:val="006973ED"/>
    <w:rsid w:val="0069763A"/>
    <w:rsid w:val="00697923"/>
    <w:rsid w:val="00697ADE"/>
    <w:rsid w:val="006A01E3"/>
    <w:rsid w:val="006A0A53"/>
    <w:rsid w:val="006A0A8A"/>
    <w:rsid w:val="006A0EE1"/>
    <w:rsid w:val="006A14B0"/>
    <w:rsid w:val="006A1504"/>
    <w:rsid w:val="006A19A1"/>
    <w:rsid w:val="006A1B96"/>
    <w:rsid w:val="006A1BCD"/>
    <w:rsid w:val="006A1F2D"/>
    <w:rsid w:val="006A2592"/>
    <w:rsid w:val="006A2907"/>
    <w:rsid w:val="006A30E7"/>
    <w:rsid w:val="006A3781"/>
    <w:rsid w:val="006A384C"/>
    <w:rsid w:val="006A3CD2"/>
    <w:rsid w:val="006A4526"/>
    <w:rsid w:val="006A457C"/>
    <w:rsid w:val="006A48D7"/>
    <w:rsid w:val="006A5094"/>
    <w:rsid w:val="006A5095"/>
    <w:rsid w:val="006A516A"/>
    <w:rsid w:val="006A5405"/>
    <w:rsid w:val="006A5769"/>
    <w:rsid w:val="006A5CCD"/>
    <w:rsid w:val="006A5FBF"/>
    <w:rsid w:val="006A608A"/>
    <w:rsid w:val="006A68F8"/>
    <w:rsid w:val="006A6D18"/>
    <w:rsid w:val="006A70C2"/>
    <w:rsid w:val="006A7CAE"/>
    <w:rsid w:val="006B037A"/>
    <w:rsid w:val="006B0408"/>
    <w:rsid w:val="006B0AFA"/>
    <w:rsid w:val="006B0CFE"/>
    <w:rsid w:val="006B0DE2"/>
    <w:rsid w:val="006B1537"/>
    <w:rsid w:val="006B1A89"/>
    <w:rsid w:val="006B1D5E"/>
    <w:rsid w:val="006B286A"/>
    <w:rsid w:val="006B3437"/>
    <w:rsid w:val="006B3513"/>
    <w:rsid w:val="006B3656"/>
    <w:rsid w:val="006B36B1"/>
    <w:rsid w:val="006B36BE"/>
    <w:rsid w:val="006B37D9"/>
    <w:rsid w:val="006B38E0"/>
    <w:rsid w:val="006B3A87"/>
    <w:rsid w:val="006B3BF1"/>
    <w:rsid w:val="006B4337"/>
    <w:rsid w:val="006B443C"/>
    <w:rsid w:val="006B45FE"/>
    <w:rsid w:val="006B46E3"/>
    <w:rsid w:val="006B488E"/>
    <w:rsid w:val="006B4CED"/>
    <w:rsid w:val="006B5022"/>
    <w:rsid w:val="006B511E"/>
    <w:rsid w:val="006B5193"/>
    <w:rsid w:val="006B56B7"/>
    <w:rsid w:val="006B57A7"/>
    <w:rsid w:val="006B5F5F"/>
    <w:rsid w:val="006B60A3"/>
    <w:rsid w:val="006B6285"/>
    <w:rsid w:val="006B652B"/>
    <w:rsid w:val="006B691F"/>
    <w:rsid w:val="006B6A6F"/>
    <w:rsid w:val="006B6CBE"/>
    <w:rsid w:val="006B70E7"/>
    <w:rsid w:val="006B7380"/>
    <w:rsid w:val="006B75DC"/>
    <w:rsid w:val="006B772C"/>
    <w:rsid w:val="006B7FB7"/>
    <w:rsid w:val="006B7FE3"/>
    <w:rsid w:val="006C0989"/>
    <w:rsid w:val="006C0B33"/>
    <w:rsid w:val="006C0DCB"/>
    <w:rsid w:val="006C13EC"/>
    <w:rsid w:val="006C155B"/>
    <w:rsid w:val="006C1650"/>
    <w:rsid w:val="006C197E"/>
    <w:rsid w:val="006C20B6"/>
    <w:rsid w:val="006C245E"/>
    <w:rsid w:val="006C287F"/>
    <w:rsid w:val="006C3467"/>
    <w:rsid w:val="006C3638"/>
    <w:rsid w:val="006C38A8"/>
    <w:rsid w:val="006C3D68"/>
    <w:rsid w:val="006C3F38"/>
    <w:rsid w:val="006C3F39"/>
    <w:rsid w:val="006C415F"/>
    <w:rsid w:val="006C4547"/>
    <w:rsid w:val="006C47AB"/>
    <w:rsid w:val="006C49D7"/>
    <w:rsid w:val="006C5030"/>
    <w:rsid w:val="006C5214"/>
    <w:rsid w:val="006C56E6"/>
    <w:rsid w:val="006C5874"/>
    <w:rsid w:val="006C5DD2"/>
    <w:rsid w:val="006C5FC0"/>
    <w:rsid w:val="006C6243"/>
    <w:rsid w:val="006C6250"/>
    <w:rsid w:val="006C651F"/>
    <w:rsid w:val="006C656B"/>
    <w:rsid w:val="006C671A"/>
    <w:rsid w:val="006C6F24"/>
    <w:rsid w:val="006D0193"/>
    <w:rsid w:val="006D01F5"/>
    <w:rsid w:val="006D03E1"/>
    <w:rsid w:val="006D0618"/>
    <w:rsid w:val="006D0973"/>
    <w:rsid w:val="006D0F04"/>
    <w:rsid w:val="006D0FDD"/>
    <w:rsid w:val="006D1319"/>
    <w:rsid w:val="006D147C"/>
    <w:rsid w:val="006D170D"/>
    <w:rsid w:val="006D1AE2"/>
    <w:rsid w:val="006D1BCB"/>
    <w:rsid w:val="006D1E34"/>
    <w:rsid w:val="006D25A3"/>
    <w:rsid w:val="006D2896"/>
    <w:rsid w:val="006D28B1"/>
    <w:rsid w:val="006D2FCD"/>
    <w:rsid w:val="006D306C"/>
    <w:rsid w:val="006D35BD"/>
    <w:rsid w:val="006D35DB"/>
    <w:rsid w:val="006D372D"/>
    <w:rsid w:val="006D37D2"/>
    <w:rsid w:val="006D3C31"/>
    <w:rsid w:val="006D3E91"/>
    <w:rsid w:val="006D41D6"/>
    <w:rsid w:val="006D44AB"/>
    <w:rsid w:val="006D48B9"/>
    <w:rsid w:val="006D4A88"/>
    <w:rsid w:val="006D4CFD"/>
    <w:rsid w:val="006D4E59"/>
    <w:rsid w:val="006D4ED8"/>
    <w:rsid w:val="006D4F8F"/>
    <w:rsid w:val="006D51BE"/>
    <w:rsid w:val="006D52EA"/>
    <w:rsid w:val="006D54DB"/>
    <w:rsid w:val="006D5DAD"/>
    <w:rsid w:val="006D73DB"/>
    <w:rsid w:val="006E02E3"/>
    <w:rsid w:val="006E0CF3"/>
    <w:rsid w:val="006E0FAB"/>
    <w:rsid w:val="006E11DF"/>
    <w:rsid w:val="006E1708"/>
    <w:rsid w:val="006E1972"/>
    <w:rsid w:val="006E1AEC"/>
    <w:rsid w:val="006E1B78"/>
    <w:rsid w:val="006E1CCE"/>
    <w:rsid w:val="006E1EA3"/>
    <w:rsid w:val="006E1F89"/>
    <w:rsid w:val="006E2604"/>
    <w:rsid w:val="006E2988"/>
    <w:rsid w:val="006E2B0D"/>
    <w:rsid w:val="006E2F4F"/>
    <w:rsid w:val="006E363A"/>
    <w:rsid w:val="006E37AA"/>
    <w:rsid w:val="006E3BB1"/>
    <w:rsid w:val="006E4115"/>
    <w:rsid w:val="006E43BB"/>
    <w:rsid w:val="006E4AD4"/>
    <w:rsid w:val="006E4D04"/>
    <w:rsid w:val="006E53AF"/>
    <w:rsid w:val="006E5608"/>
    <w:rsid w:val="006E584A"/>
    <w:rsid w:val="006E5BD3"/>
    <w:rsid w:val="006E6002"/>
    <w:rsid w:val="006E619F"/>
    <w:rsid w:val="006E624D"/>
    <w:rsid w:val="006E6765"/>
    <w:rsid w:val="006E691A"/>
    <w:rsid w:val="006E6A0C"/>
    <w:rsid w:val="006E6A33"/>
    <w:rsid w:val="006E6B48"/>
    <w:rsid w:val="006E6C03"/>
    <w:rsid w:val="006E6D63"/>
    <w:rsid w:val="006E6F2C"/>
    <w:rsid w:val="006E6FF1"/>
    <w:rsid w:val="006E7180"/>
    <w:rsid w:val="006E721F"/>
    <w:rsid w:val="006E72AB"/>
    <w:rsid w:val="006E75F9"/>
    <w:rsid w:val="006E774A"/>
    <w:rsid w:val="006E7B58"/>
    <w:rsid w:val="006E7C93"/>
    <w:rsid w:val="006E7C95"/>
    <w:rsid w:val="006F04BD"/>
    <w:rsid w:val="006F1656"/>
    <w:rsid w:val="006F18B4"/>
    <w:rsid w:val="006F1DED"/>
    <w:rsid w:val="006F250E"/>
    <w:rsid w:val="006F27D9"/>
    <w:rsid w:val="006F27DA"/>
    <w:rsid w:val="006F2A01"/>
    <w:rsid w:val="006F2B3C"/>
    <w:rsid w:val="006F2B50"/>
    <w:rsid w:val="006F2D87"/>
    <w:rsid w:val="006F2ECF"/>
    <w:rsid w:val="006F3444"/>
    <w:rsid w:val="006F351E"/>
    <w:rsid w:val="006F354E"/>
    <w:rsid w:val="006F3779"/>
    <w:rsid w:val="006F3E5A"/>
    <w:rsid w:val="006F4220"/>
    <w:rsid w:val="006F433B"/>
    <w:rsid w:val="006F46E0"/>
    <w:rsid w:val="006F5054"/>
    <w:rsid w:val="006F5194"/>
    <w:rsid w:val="006F5319"/>
    <w:rsid w:val="006F556F"/>
    <w:rsid w:val="006F55F6"/>
    <w:rsid w:val="006F5B92"/>
    <w:rsid w:val="006F65AD"/>
    <w:rsid w:val="006F66D8"/>
    <w:rsid w:val="006F6BD5"/>
    <w:rsid w:val="006F7012"/>
    <w:rsid w:val="006F7104"/>
    <w:rsid w:val="006F7A5B"/>
    <w:rsid w:val="006F7B71"/>
    <w:rsid w:val="00700020"/>
    <w:rsid w:val="00700040"/>
    <w:rsid w:val="0070090A"/>
    <w:rsid w:val="00700F09"/>
    <w:rsid w:val="00701020"/>
    <w:rsid w:val="007011BA"/>
    <w:rsid w:val="007011CA"/>
    <w:rsid w:val="00701467"/>
    <w:rsid w:val="007019EA"/>
    <w:rsid w:val="00701F3E"/>
    <w:rsid w:val="007027D3"/>
    <w:rsid w:val="00702F99"/>
    <w:rsid w:val="00702FDF"/>
    <w:rsid w:val="00703455"/>
    <w:rsid w:val="00703CB5"/>
    <w:rsid w:val="007045F2"/>
    <w:rsid w:val="00704849"/>
    <w:rsid w:val="00704BD1"/>
    <w:rsid w:val="00704C1B"/>
    <w:rsid w:val="00704F7F"/>
    <w:rsid w:val="00704F98"/>
    <w:rsid w:val="00704FD2"/>
    <w:rsid w:val="0070517F"/>
    <w:rsid w:val="007052FB"/>
    <w:rsid w:val="007058A5"/>
    <w:rsid w:val="00705B0A"/>
    <w:rsid w:val="00706286"/>
    <w:rsid w:val="00706656"/>
    <w:rsid w:val="00706D14"/>
    <w:rsid w:val="00706D16"/>
    <w:rsid w:val="00706DFF"/>
    <w:rsid w:val="00707575"/>
    <w:rsid w:val="00707868"/>
    <w:rsid w:val="007079B9"/>
    <w:rsid w:val="00707AAB"/>
    <w:rsid w:val="00707D68"/>
    <w:rsid w:val="007103D3"/>
    <w:rsid w:val="00710719"/>
    <w:rsid w:val="00710CCA"/>
    <w:rsid w:val="0071114F"/>
    <w:rsid w:val="007113CC"/>
    <w:rsid w:val="007113ED"/>
    <w:rsid w:val="00711CA7"/>
    <w:rsid w:val="00711DA3"/>
    <w:rsid w:val="00712277"/>
    <w:rsid w:val="0071228A"/>
    <w:rsid w:val="00712433"/>
    <w:rsid w:val="00712852"/>
    <w:rsid w:val="007128BF"/>
    <w:rsid w:val="00712FEC"/>
    <w:rsid w:val="007133FD"/>
    <w:rsid w:val="00714372"/>
    <w:rsid w:val="007145C1"/>
    <w:rsid w:val="00714635"/>
    <w:rsid w:val="00714715"/>
    <w:rsid w:val="00715639"/>
    <w:rsid w:val="0071579D"/>
    <w:rsid w:val="00715904"/>
    <w:rsid w:val="00715D21"/>
    <w:rsid w:val="00715DF2"/>
    <w:rsid w:val="00715F46"/>
    <w:rsid w:val="007168D3"/>
    <w:rsid w:val="00716B9E"/>
    <w:rsid w:val="007170FF"/>
    <w:rsid w:val="0071713A"/>
    <w:rsid w:val="007173B3"/>
    <w:rsid w:val="00717478"/>
    <w:rsid w:val="0071751B"/>
    <w:rsid w:val="007177BF"/>
    <w:rsid w:val="00717A36"/>
    <w:rsid w:val="00717A64"/>
    <w:rsid w:val="00720E9A"/>
    <w:rsid w:val="00720F52"/>
    <w:rsid w:val="007213D0"/>
    <w:rsid w:val="007215B5"/>
    <w:rsid w:val="00721BF0"/>
    <w:rsid w:val="00721CA1"/>
    <w:rsid w:val="007220F7"/>
    <w:rsid w:val="0072228E"/>
    <w:rsid w:val="00722328"/>
    <w:rsid w:val="007226E6"/>
    <w:rsid w:val="00722DAE"/>
    <w:rsid w:val="007234AB"/>
    <w:rsid w:val="00723C4D"/>
    <w:rsid w:val="00724339"/>
    <w:rsid w:val="00724623"/>
    <w:rsid w:val="0072483E"/>
    <w:rsid w:val="00724B21"/>
    <w:rsid w:val="00724D9D"/>
    <w:rsid w:val="00724E16"/>
    <w:rsid w:val="007256E5"/>
    <w:rsid w:val="007257E3"/>
    <w:rsid w:val="00725A9A"/>
    <w:rsid w:val="00725E20"/>
    <w:rsid w:val="00726441"/>
    <w:rsid w:val="00726D20"/>
    <w:rsid w:val="00727446"/>
    <w:rsid w:val="00727522"/>
    <w:rsid w:val="00727F09"/>
    <w:rsid w:val="00730093"/>
    <w:rsid w:val="007308CC"/>
    <w:rsid w:val="007309ED"/>
    <w:rsid w:val="00731437"/>
    <w:rsid w:val="0073144F"/>
    <w:rsid w:val="00731776"/>
    <w:rsid w:val="00731DF4"/>
    <w:rsid w:val="00731F7D"/>
    <w:rsid w:val="00732389"/>
    <w:rsid w:val="00732488"/>
    <w:rsid w:val="00732912"/>
    <w:rsid w:val="00732D9E"/>
    <w:rsid w:val="007332E1"/>
    <w:rsid w:val="00733331"/>
    <w:rsid w:val="00733365"/>
    <w:rsid w:val="007336AA"/>
    <w:rsid w:val="007336F8"/>
    <w:rsid w:val="007339D7"/>
    <w:rsid w:val="00734391"/>
    <w:rsid w:val="00734F1F"/>
    <w:rsid w:val="00735607"/>
    <w:rsid w:val="007358B2"/>
    <w:rsid w:val="007359B3"/>
    <w:rsid w:val="00735D19"/>
    <w:rsid w:val="00736006"/>
    <w:rsid w:val="0073629D"/>
    <w:rsid w:val="0073663C"/>
    <w:rsid w:val="00736BE5"/>
    <w:rsid w:val="00736BF9"/>
    <w:rsid w:val="007372B2"/>
    <w:rsid w:val="00737BC7"/>
    <w:rsid w:val="00737F14"/>
    <w:rsid w:val="0074001F"/>
    <w:rsid w:val="00740AE3"/>
    <w:rsid w:val="00740DBD"/>
    <w:rsid w:val="00740F8A"/>
    <w:rsid w:val="0074142B"/>
    <w:rsid w:val="00741E10"/>
    <w:rsid w:val="007421C1"/>
    <w:rsid w:val="0074243B"/>
    <w:rsid w:val="0074268D"/>
    <w:rsid w:val="00742868"/>
    <w:rsid w:val="00743042"/>
    <w:rsid w:val="0074307C"/>
    <w:rsid w:val="0074325B"/>
    <w:rsid w:val="00743E8C"/>
    <w:rsid w:val="00744138"/>
    <w:rsid w:val="007447D4"/>
    <w:rsid w:val="00744A3C"/>
    <w:rsid w:val="00744C72"/>
    <w:rsid w:val="00744C85"/>
    <w:rsid w:val="007453B2"/>
    <w:rsid w:val="00745781"/>
    <w:rsid w:val="00745894"/>
    <w:rsid w:val="007458A1"/>
    <w:rsid w:val="00746385"/>
    <w:rsid w:val="007465CD"/>
    <w:rsid w:val="00746A02"/>
    <w:rsid w:val="00746A65"/>
    <w:rsid w:val="00747095"/>
    <w:rsid w:val="00747173"/>
    <w:rsid w:val="00747286"/>
    <w:rsid w:val="00747296"/>
    <w:rsid w:val="007472D2"/>
    <w:rsid w:val="007474FC"/>
    <w:rsid w:val="007475B7"/>
    <w:rsid w:val="00747643"/>
    <w:rsid w:val="00747CB9"/>
    <w:rsid w:val="00747D8C"/>
    <w:rsid w:val="00747E21"/>
    <w:rsid w:val="00747E43"/>
    <w:rsid w:val="00750067"/>
    <w:rsid w:val="00750192"/>
    <w:rsid w:val="00750254"/>
    <w:rsid w:val="007508B8"/>
    <w:rsid w:val="00750FE3"/>
    <w:rsid w:val="00751660"/>
    <w:rsid w:val="00751956"/>
    <w:rsid w:val="00751A24"/>
    <w:rsid w:val="00751AB8"/>
    <w:rsid w:val="00751EE2"/>
    <w:rsid w:val="00751F02"/>
    <w:rsid w:val="00752700"/>
    <w:rsid w:val="00752799"/>
    <w:rsid w:val="00752804"/>
    <w:rsid w:val="00752B55"/>
    <w:rsid w:val="00752B70"/>
    <w:rsid w:val="00753851"/>
    <w:rsid w:val="00753B20"/>
    <w:rsid w:val="00753CBF"/>
    <w:rsid w:val="007543DC"/>
    <w:rsid w:val="007545E0"/>
    <w:rsid w:val="00754BDF"/>
    <w:rsid w:val="00754C11"/>
    <w:rsid w:val="00754D80"/>
    <w:rsid w:val="00755053"/>
    <w:rsid w:val="0075649A"/>
    <w:rsid w:val="00756558"/>
    <w:rsid w:val="00756864"/>
    <w:rsid w:val="00756E05"/>
    <w:rsid w:val="007573D4"/>
    <w:rsid w:val="007576D0"/>
    <w:rsid w:val="00757BDE"/>
    <w:rsid w:val="007601A9"/>
    <w:rsid w:val="00760A4E"/>
    <w:rsid w:val="00760D0A"/>
    <w:rsid w:val="00760F2B"/>
    <w:rsid w:val="00761438"/>
    <w:rsid w:val="0076167D"/>
    <w:rsid w:val="00761767"/>
    <w:rsid w:val="007617DF"/>
    <w:rsid w:val="00761BD3"/>
    <w:rsid w:val="00761C1E"/>
    <w:rsid w:val="00762020"/>
    <w:rsid w:val="00762184"/>
    <w:rsid w:val="007624C2"/>
    <w:rsid w:val="00762550"/>
    <w:rsid w:val="0076295B"/>
    <w:rsid w:val="00762CFC"/>
    <w:rsid w:val="00763229"/>
    <w:rsid w:val="0076327E"/>
    <w:rsid w:val="0076330B"/>
    <w:rsid w:val="00763314"/>
    <w:rsid w:val="0076364B"/>
    <w:rsid w:val="007636F5"/>
    <w:rsid w:val="0076370D"/>
    <w:rsid w:val="00763900"/>
    <w:rsid w:val="00763BBB"/>
    <w:rsid w:val="0076405D"/>
    <w:rsid w:val="0076418B"/>
    <w:rsid w:val="00764D97"/>
    <w:rsid w:val="007652D6"/>
    <w:rsid w:val="00765B04"/>
    <w:rsid w:val="007661B9"/>
    <w:rsid w:val="007663EC"/>
    <w:rsid w:val="00766446"/>
    <w:rsid w:val="00766D74"/>
    <w:rsid w:val="00766E5F"/>
    <w:rsid w:val="00767949"/>
    <w:rsid w:val="007702B4"/>
    <w:rsid w:val="007706BC"/>
    <w:rsid w:val="00770716"/>
    <w:rsid w:val="0077077A"/>
    <w:rsid w:val="007709A3"/>
    <w:rsid w:val="007709F0"/>
    <w:rsid w:val="00770A3B"/>
    <w:rsid w:val="00770AC6"/>
    <w:rsid w:val="00770CE0"/>
    <w:rsid w:val="00770EBB"/>
    <w:rsid w:val="00770F17"/>
    <w:rsid w:val="007710F6"/>
    <w:rsid w:val="00771301"/>
    <w:rsid w:val="00771584"/>
    <w:rsid w:val="00771B76"/>
    <w:rsid w:val="00771D19"/>
    <w:rsid w:val="00771E33"/>
    <w:rsid w:val="00772840"/>
    <w:rsid w:val="00772E3D"/>
    <w:rsid w:val="00773397"/>
    <w:rsid w:val="007735F1"/>
    <w:rsid w:val="00773CD6"/>
    <w:rsid w:val="00773CFB"/>
    <w:rsid w:val="00773F09"/>
    <w:rsid w:val="00774723"/>
    <w:rsid w:val="00774992"/>
    <w:rsid w:val="00774F01"/>
    <w:rsid w:val="007752EE"/>
    <w:rsid w:val="00775688"/>
    <w:rsid w:val="00775B3A"/>
    <w:rsid w:val="007767AC"/>
    <w:rsid w:val="00776A53"/>
    <w:rsid w:val="00776C15"/>
    <w:rsid w:val="00776D33"/>
    <w:rsid w:val="00776D4B"/>
    <w:rsid w:val="00777AF9"/>
    <w:rsid w:val="00777F22"/>
    <w:rsid w:val="0078053C"/>
    <w:rsid w:val="007805F8"/>
    <w:rsid w:val="00780C31"/>
    <w:rsid w:val="00781783"/>
    <w:rsid w:val="00781974"/>
    <w:rsid w:val="00781B08"/>
    <w:rsid w:val="00781C55"/>
    <w:rsid w:val="00782365"/>
    <w:rsid w:val="00782783"/>
    <w:rsid w:val="00782A2E"/>
    <w:rsid w:val="00782C42"/>
    <w:rsid w:val="007834DB"/>
    <w:rsid w:val="007837DE"/>
    <w:rsid w:val="00783A4B"/>
    <w:rsid w:val="00783A6A"/>
    <w:rsid w:val="00783CA7"/>
    <w:rsid w:val="00784132"/>
    <w:rsid w:val="0078478A"/>
    <w:rsid w:val="00784A0F"/>
    <w:rsid w:val="00784A4E"/>
    <w:rsid w:val="00784B6A"/>
    <w:rsid w:val="00784E6F"/>
    <w:rsid w:val="0078506A"/>
    <w:rsid w:val="0078567C"/>
    <w:rsid w:val="007858A1"/>
    <w:rsid w:val="0078590E"/>
    <w:rsid w:val="00785AAE"/>
    <w:rsid w:val="00785F2D"/>
    <w:rsid w:val="00785F63"/>
    <w:rsid w:val="0078659A"/>
    <w:rsid w:val="00786810"/>
    <w:rsid w:val="00786D70"/>
    <w:rsid w:val="00787141"/>
    <w:rsid w:val="00787561"/>
    <w:rsid w:val="00787B8A"/>
    <w:rsid w:val="00787BEB"/>
    <w:rsid w:val="00787E09"/>
    <w:rsid w:val="00790518"/>
    <w:rsid w:val="00790573"/>
    <w:rsid w:val="007906A8"/>
    <w:rsid w:val="007907CC"/>
    <w:rsid w:val="007908AC"/>
    <w:rsid w:val="007909A5"/>
    <w:rsid w:val="00790A24"/>
    <w:rsid w:val="00790A8A"/>
    <w:rsid w:val="00791AA5"/>
    <w:rsid w:val="00791B5F"/>
    <w:rsid w:val="007921AF"/>
    <w:rsid w:val="007921BA"/>
    <w:rsid w:val="00792358"/>
    <w:rsid w:val="007925C8"/>
    <w:rsid w:val="00792D28"/>
    <w:rsid w:val="00793657"/>
    <w:rsid w:val="00793A36"/>
    <w:rsid w:val="00793DAC"/>
    <w:rsid w:val="007945B4"/>
    <w:rsid w:val="0079481F"/>
    <w:rsid w:val="007948EE"/>
    <w:rsid w:val="00794B0B"/>
    <w:rsid w:val="00794D12"/>
    <w:rsid w:val="00794ECD"/>
    <w:rsid w:val="007950E2"/>
    <w:rsid w:val="00795D26"/>
    <w:rsid w:val="007960BA"/>
    <w:rsid w:val="00796867"/>
    <w:rsid w:val="00796BDA"/>
    <w:rsid w:val="00796FB4"/>
    <w:rsid w:val="007971AF"/>
    <w:rsid w:val="007972BD"/>
    <w:rsid w:val="00797CE1"/>
    <w:rsid w:val="00797DBF"/>
    <w:rsid w:val="00797E66"/>
    <w:rsid w:val="007A018D"/>
    <w:rsid w:val="007A030E"/>
    <w:rsid w:val="007A0391"/>
    <w:rsid w:val="007A0464"/>
    <w:rsid w:val="007A0767"/>
    <w:rsid w:val="007A0E07"/>
    <w:rsid w:val="007A147F"/>
    <w:rsid w:val="007A17DE"/>
    <w:rsid w:val="007A1BAA"/>
    <w:rsid w:val="007A1C19"/>
    <w:rsid w:val="007A2527"/>
    <w:rsid w:val="007A2757"/>
    <w:rsid w:val="007A2D8F"/>
    <w:rsid w:val="007A3740"/>
    <w:rsid w:val="007A3BA7"/>
    <w:rsid w:val="007A3DFE"/>
    <w:rsid w:val="007A41FA"/>
    <w:rsid w:val="007A44CE"/>
    <w:rsid w:val="007A5009"/>
    <w:rsid w:val="007A53EC"/>
    <w:rsid w:val="007A5E90"/>
    <w:rsid w:val="007A5EB0"/>
    <w:rsid w:val="007A60D4"/>
    <w:rsid w:val="007A65AA"/>
    <w:rsid w:val="007A6E62"/>
    <w:rsid w:val="007A76EF"/>
    <w:rsid w:val="007A78DE"/>
    <w:rsid w:val="007A790E"/>
    <w:rsid w:val="007A7944"/>
    <w:rsid w:val="007A7AE8"/>
    <w:rsid w:val="007A7E39"/>
    <w:rsid w:val="007A7E72"/>
    <w:rsid w:val="007B026E"/>
    <w:rsid w:val="007B0A4E"/>
    <w:rsid w:val="007B0DC0"/>
    <w:rsid w:val="007B0DE6"/>
    <w:rsid w:val="007B1032"/>
    <w:rsid w:val="007B1285"/>
    <w:rsid w:val="007B19CD"/>
    <w:rsid w:val="007B1EFA"/>
    <w:rsid w:val="007B2172"/>
    <w:rsid w:val="007B3554"/>
    <w:rsid w:val="007B3766"/>
    <w:rsid w:val="007B4229"/>
    <w:rsid w:val="007B424D"/>
    <w:rsid w:val="007B4E32"/>
    <w:rsid w:val="007B5104"/>
    <w:rsid w:val="007B51D7"/>
    <w:rsid w:val="007B5A6E"/>
    <w:rsid w:val="007B5DA9"/>
    <w:rsid w:val="007B6391"/>
    <w:rsid w:val="007B63AA"/>
    <w:rsid w:val="007B63DB"/>
    <w:rsid w:val="007B6906"/>
    <w:rsid w:val="007B6990"/>
    <w:rsid w:val="007B6CCE"/>
    <w:rsid w:val="007B6F0F"/>
    <w:rsid w:val="007B708B"/>
    <w:rsid w:val="007B71B3"/>
    <w:rsid w:val="007B720C"/>
    <w:rsid w:val="007B724E"/>
    <w:rsid w:val="007B7933"/>
    <w:rsid w:val="007B7F4B"/>
    <w:rsid w:val="007C05A7"/>
    <w:rsid w:val="007C05E1"/>
    <w:rsid w:val="007C06C8"/>
    <w:rsid w:val="007C0A42"/>
    <w:rsid w:val="007C136F"/>
    <w:rsid w:val="007C13ED"/>
    <w:rsid w:val="007C15B0"/>
    <w:rsid w:val="007C164B"/>
    <w:rsid w:val="007C1951"/>
    <w:rsid w:val="007C1A89"/>
    <w:rsid w:val="007C1C66"/>
    <w:rsid w:val="007C22E7"/>
    <w:rsid w:val="007C276D"/>
    <w:rsid w:val="007C27E1"/>
    <w:rsid w:val="007C29AF"/>
    <w:rsid w:val="007C2B48"/>
    <w:rsid w:val="007C2F9D"/>
    <w:rsid w:val="007C36D3"/>
    <w:rsid w:val="007C36EB"/>
    <w:rsid w:val="007C3E48"/>
    <w:rsid w:val="007C42C1"/>
    <w:rsid w:val="007C431A"/>
    <w:rsid w:val="007C4334"/>
    <w:rsid w:val="007C552E"/>
    <w:rsid w:val="007C5646"/>
    <w:rsid w:val="007C5D20"/>
    <w:rsid w:val="007C618B"/>
    <w:rsid w:val="007C6355"/>
    <w:rsid w:val="007C6AB9"/>
    <w:rsid w:val="007C6BBA"/>
    <w:rsid w:val="007C6D10"/>
    <w:rsid w:val="007C7079"/>
    <w:rsid w:val="007C7752"/>
    <w:rsid w:val="007C7F12"/>
    <w:rsid w:val="007D03EF"/>
    <w:rsid w:val="007D056F"/>
    <w:rsid w:val="007D06E3"/>
    <w:rsid w:val="007D0738"/>
    <w:rsid w:val="007D0924"/>
    <w:rsid w:val="007D11C2"/>
    <w:rsid w:val="007D12BE"/>
    <w:rsid w:val="007D17F2"/>
    <w:rsid w:val="007D23DD"/>
    <w:rsid w:val="007D24B4"/>
    <w:rsid w:val="007D251E"/>
    <w:rsid w:val="007D296C"/>
    <w:rsid w:val="007D30E1"/>
    <w:rsid w:val="007D3123"/>
    <w:rsid w:val="007D3215"/>
    <w:rsid w:val="007D3270"/>
    <w:rsid w:val="007D34B4"/>
    <w:rsid w:val="007D3BD0"/>
    <w:rsid w:val="007D4115"/>
    <w:rsid w:val="007D497F"/>
    <w:rsid w:val="007D4C49"/>
    <w:rsid w:val="007D51EF"/>
    <w:rsid w:val="007D5653"/>
    <w:rsid w:val="007D571B"/>
    <w:rsid w:val="007D59C9"/>
    <w:rsid w:val="007D59F2"/>
    <w:rsid w:val="007D5FA6"/>
    <w:rsid w:val="007D60A0"/>
    <w:rsid w:val="007D68B7"/>
    <w:rsid w:val="007D6B92"/>
    <w:rsid w:val="007D70EA"/>
    <w:rsid w:val="007D768E"/>
    <w:rsid w:val="007D76DB"/>
    <w:rsid w:val="007D7BC2"/>
    <w:rsid w:val="007D7FFC"/>
    <w:rsid w:val="007E030D"/>
    <w:rsid w:val="007E0870"/>
    <w:rsid w:val="007E16E5"/>
    <w:rsid w:val="007E1D14"/>
    <w:rsid w:val="007E2878"/>
    <w:rsid w:val="007E33A0"/>
    <w:rsid w:val="007E377A"/>
    <w:rsid w:val="007E399B"/>
    <w:rsid w:val="007E3D89"/>
    <w:rsid w:val="007E3EB7"/>
    <w:rsid w:val="007E47BE"/>
    <w:rsid w:val="007E4B1B"/>
    <w:rsid w:val="007E4BE8"/>
    <w:rsid w:val="007E5062"/>
    <w:rsid w:val="007E5C38"/>
    <w:rsid w:val="007E5C89"/>
    <w:rsid w:val="007E5DD3"/>
    <w:rsid w:val="007E7673"/>
    <w:rsid w:val="007E7A05"/>
    <w:rsid w:val="007E7C3C"/>
    <w:rsid w:val="007E7E9E"/>
    <w:rsid w:val="007F0809"/>
    <w:rsid w:val="007F0B9E"/>
    <w:rsid w:val="007F0D21"/>
    <w:rsid w:val="007F0F54"/>
    <w:rsid w:val="007F1526"/>
    <w:rsid w:val="007F17D1"/>
    <w:rsid w:val="007F1A74"/>
    <w:rsid w:val="007F1C50"/>
    <w:rsid w:val="007F1DE6"/>
    <w:rsid w:val="007F2042"/>
    <w:rsid w:val="007F20DB"/>
    <w:rsid w:val="007F22D0"/>
    <w:rsid w:val="007F25F1"/>
    <w:rsid w:val="007F2736"/>
    <w:rsid w:val="007F2AD9"/>
    <w:rsid w:val="007F2BAE"/>
    <w:rsid w:val="007F333B"/>
    <w:rsid w:val="007F360E"/>
    <w:rsid w:val="007F3CDA"/>
    <w:rsid w:val="007F3DA0"/>
    <w:rsid w:val="007F4B53"/>
    <w:rsid w:val="007F4BB3"/>
    <w:rsid w:val="007F5886"/>
    <w:rsid w:val="007F5A22"/>
    <w:rsid w:val="007F5C0F"/>
    <w:rsid w:val="007F5CC0"/>
    <w:rsid w:val="007F62CF"/>
    <w:rsid w:val="007F6354"/>
    <w:rsid w:val="007F642D"/>
    <w:rsid w:val="007F657B"/>
    <w:rsid w:val="007F65C0"/>
    <w:rsid w:val="007F6614"/>
    <w:rsid w:val="007F663B"/>
    <w:rsid w:val="007F6B14"/>
    <w:rsid w:val="007F6E9A"/>
    <w:rsid w:val="007F71C6"/>
    <w:rsid w:val="007F72B5"/>
    <w:rsid w:val="007F7709"/>
    <w:rsid w:val="008008C3"/>
    <w:rsid w:val="00801064"/>
    <w:rsid w:val="0080185D"/>
    <w:rsid w:val="00801AEB"/>
    <w:rsid w:val="00801D6C"/>
    <w:rsid w:val="00801D97"/>
    <w:rsid w:val="00801DBE"/>
    <w:rsid w:val="00803466"/>
    <w:rsid w:val="008035D8"/>
    <w:rsid w:val="00803778"/>
    <w:rsid w:val="00803C87"/>
    <w:rsid w:val="00803DFA"/>
    <w:rsid w:val="00804209"/>
    <w:rsid w:val="00804525"/>
    <w:rsid w:val="00804767"/>
    <w:rsid w:val="00804B41"/>
    <w:rsid w:val="008059E0"/>
    <w:rsid w:val="00805BCE"/>
    <w:rsid w:val="00806098"/>
    <w:rsid w:val="008066E9"/>
    <w:rsid w:val="00806807"/>
    <w:rsid w:val="0080702E"/>
    <w:rsid w:val="008071D4"/>
    <w:rsid w:val="00807445"/>
    <w:rsid w:val="008075DA"/>
    <w:rsid w:val="008078A9"/>
    <w:rsid w:val="0081044C"/>
    <w:rsid w:val="0081113C"/>
    <w:rsid w:val="00811165"/>
    <w:rsid w:val="008118BE"/>
    <w:rsid w:val="00811DF0"/>
    <w:rsid w:val="00811EF1"/>
    <w:rsid w:val="00812376"/>
    <w:rsid w:val="00812883"/>
    <w:rsid w:val="00812C53"/>
    <w:rsid w:val="0081324A"/>
    <w:rsid w:val="00813507"/>
    <w:rsid w:val="00813AB6"/>
    <w:rsid w:val="008145A3"/>
    <w:rsid w:val="008145DD"/>
    <w:rsid w:val="008147A4"/>
    <w:rsid w:val="00814DCD"/>
    <w:rsid w:val="00814DED"/>
    <w:rsid w:val="008157CE"/>
    <w:rsid w:val="00816A14"/>
    <w:rsid w:val="0081723A"/>
    <w:rsid w:val="0081738F"/>
    <w:rsid w:val="00817641"/>
    <w:rsid w:val="008177C6"/>
    <w:rsid w:val="00817B01"/>
    <w:rsid w:val="00817F19"/>
    <w:rsid w:val="0082007F"/>
    <w:rsid w:val="008200C8"/>
    <w:rsid w:val="008203BA"/>
    <w:rsid w:val="008205DF"/>
    <w:rsid w:val="008208DA"/>
    <w:rsid w:val="008208F9"/>
    <w:rsid w:val="00820B05"/>
    <w:rsid w:val="00820C6A"/>
    <w:rsid w:val="00821223"/>
    <w:rsid w:val="00821498"/>
    <w:rsid w:val="00821612"/>
    <w:rsid w:val="008218FB"/>
    <w:rsid w:val="00821D86"/>
    <w:rsid w:val="0082203A"/>
    <w:rsid w:val="00822A20"/>
    <w:rsid w:val="00822EDF"/>
    <w:rsid w:val="00823223"/>
    <w:rsid w:val="00823D50"/>
    <w:rsid w:val="00823FB3"/>
    <w:rsid w:val="00823FDF"/>
    <w:rsid w:val="00824915"/>
    <w:rsid w:val="00824A9D"/>
    <w:rsid w:val="00824C66"/>
    <w:rsid w:val="00824E8E"/>
    <w:rsid w:val="008250A6"/>
    <w:rsid w:val="0082512D"/>
    <w:rsid w:val="008251A7"/>
    <w:rsid w:val="00825266"/>
    <w:rsid w:val="00825501"/>
    <w:rsid w:val="008258B5"/>
    <w:rsid w:val="00825B34"/>
    <w:rsid w:val="00825C03"/>
    <w:rsid w:val="008261C9"/>
    <w:rsid w:val="00826491"/>
    <w:rsid w:val="00826583"/>
    <w:rsid w:val="00826798"/>
    <w:rsid w:val="00826F76"/>
    <w:rsid w:val="008273BC"/>
    <w:rsid w:val="00827E49"/>
    <w:rsid w:val="008307FE"/>
    <w:rsid w:val="00830808"/>
    <w:rsid w:val="00830F0B"/>
    <w:rsid w:val="00831220"/>
    <w:rsid w:val="0083163B"/>
    <w:rsid w:val="0083197C"/>
    <w:rsid w:val="00831C65"/>
    <w:rsid w:val="0083211A"/>
    <w:rsid w:val="00832850"/>
    <w:rsid w:val="0083359F"/>
    <w:rsid w:val="0083392D"/>
    <w:rsid w:val="00834167"/>
    <w:rsid w:val="008346EA"/>
    <w:rsid w:val="008352A6"/>
    <w:rsid w:val="008353F8"/>
    <w:rsid w:val="00835B79"/>
    <w:rsid w:val="00835C6A"/>
    <w:rsid w:val="0083640E"/>
    <w:rsid w:val="00836AD5"/>
    <w:rsid w:val="00836BF0"/>
    <w:rsid w:val="00836FC7"/>
    <w:rsid w:val="0083723C"/>
    <w:rsid w:val="00837490"/>
    <w:rsid w:val="008374E1"/>
    <w:rsid w:val="0083791B"/>
    <w:rsid w:val="00837B88"/>
    <w:rsid w:val="00837F6A"/>
    <w:rsid w:val="00840180"/>
    <w:rsid w:val="00840261"/>
    <w:rsid w:val="008402B2"/>
    <w:rsid w:val="008408FB"/>
    <w:rsid w:val="00840BAF"/>
    <w:rsid w:val="00840D63"/>
    <w:rsid w:val="00840ED1"/>
    <w:rsid w:val="00840F2D"/>
    <w:rsid w:val="00840F7F"/>
    <w:rsid w:val="008420CB"/>
    <w:rsid w:val="0084366D"/>
    <w:rsid w:val="00843B2D"/>
    <w:rsid w:val="00843DAC"/>
    <w:rsid w:val="0084413A"/>
    <w:rsid w:val="008442C3"/>
    <w:rsid w:val="008444F8"/>
    <w:rsid w:val="00844AB7"/>
    <w:rsid w:val="00844BB9"/>
    <w:rsid w:val="00844DE2"/>
    <w:rsid w:val="008457A7"/>
    <w:rsid w:val="00845B97"/>
    <w:rsid w:val="00845E41"/>
    <w:rsid w:val="00846400"/>
    <w:rsid w:val="00846BA2"/>
    <w:rsid w:val="008473E4"/>
    <w:rsid w:val="00847471"/>
    <w:rsid w:val="008475F3"/>
    <w:rsid w:val="008504D7"/>
    <w:rsid w:val="008505D7"/>
    <w:rsid w:val="00850CA8"/>
    <w:rsid w:val="00850DC1"/>
    <w:rsid w:val="00851292"/>
    <w:rsid w:val="00851301"/>
    <w:rsid w:val="0085145C"/>
    <w:rsid w:val="00851A46"/>
    <w:rsid w:val="00851E5D"/>
    <w:rsid w:val="0085240C"/>
    <w:rsid w:val="0085280F"/>
    <w:rsid w:val="00852B29"/>
    <w:rsid w:val="00852D2C"/>
    <w:rsid w:val="00852D52"/>
    <w:rsid w:val="00852F2D"/>
    <w:rsid w:val="00853064"/>
    <w:rsid w:val="008539CA"/>
    <w:rsid w:val="00853AD6"/>
    <w:rsid w:val="0085416D"/>
    <w:rsid w:val="00854182"/>
    <w:rsid w:val="008544B8"/>
    <w:rsid w:val="00855196"/>
    <w:rsid w:val="00855477"/>
    <w:rsid w:val="008554DA"/>
    <w:rsid w:val="0085572D"/>
    <w:rsid w:val="00855D22"/>
    <w:rsid w:val="00855F77"/>
    <w:rsid w:val="0085671A"/>
    <w:rsid w:val="00856C4E"/>
    <w:rsid w:val="00856F2D"/>
    <w:rsid w:val="008573E8"/>
    <w:rsid w:val="00857698"/>
    <w:rsid w:val="008576DB"/>
    <w:rsid w:val="008577D3"/>
    <w:rsid w:val="00857CCD"/>
    <w:rsid w:val="00857DFB"/>
    <w:rsid w:val="00857EE4"/>
    <w:rsid w:val="0086013B"/>
    <w:rsid w:val="008601EE"/>
    <w:rsid w:val="008605A4"/>
    <w:rsid w:val="0086086E"/>
    <w:rsid w:val="00860AEC"/>
    <w:rsid w:val="00860FAE"/>
    <w:rsid w:val="0086102C"/>
    <w:rsid w:val="00861650"/>
    <w:rsid w:val="0086179F"/>
    <w:rsid w:val="00861ABD"/>
    <w:rsid w:val="00861AD4"/>
    <w:rsid w:val="00861D43"/>
    <w:rsid w:val="00861FF4"/>
    <w:rsid w:val="00862443"/>
    <w:rsid w:val="008625C9"/>
    <w:rsid w:val="00862D31"/>
    <w:rsid w:val="00862EEB"/>
    <w:rsid w:val="00863560"/>
    <w:rsid w:val="00863A3A"/>
    <w:rsid w:val="00863FDD"/>
    <w:rsid w:val="0086454C"/>
    <w:rsid w:val="00864874"/>
    <w:rsid w:val="00864900"/>
    <w:rsid w:val="0086499C"/>
    <w:rsid w:val="00864D16"/>
    <w:rsid w:val="00864FBB"/>
    <w:rsid w:val="00865653"/>
    <w:rsid w:val="00865A39"/>
    <w:rsid w:val="00865BF6"/>
    <w:rsid w:val="00865C94"/>
    <w:rsid w:val="00865E5C"/>
    <w:rsid w:val="00865F2A"/>
    <w:rsid w:val="00865F43"/>
    <w:rsid w:val="008660DA"/>
    <w:rsid w:val="0086623A"/>
    <w:rsid w:val="008666F9"/>
    <w:rsid w:val="0086677D"/>
    <w:rsid w:val="0086689C"/>
    <w:rsid w:val="00866B66"/>
    <w:rsid w:val="008676EE"/>
    <w:rsid w:val="00867C88"/>
    <w:rsid w:val="00867D73"/>
    <w:rsid w:val="008700F9"/>
    <w:rsid w:val="008709AD"/>
    <w:rsid w:val="00870A00"/>
    <w:rsid w:val="00870DFA"/>
    <w:rsid w:val="00870E47"/>
    <w:rsid w:val="00871059"/>
    <w:rsid w:val="008712DB"/>
    <w:rsid w:val="008713F5"/>
    <w:rsid w:val="0087158D"/>
    <w:rsid w:val="008717E0"/>
    <w:rsid w:val="008719A5"/>
    <w:rsid w:val="00872555"/>
    <w:rsid w:val="00872AF6"/>
    <w:rsid w:val="00872C37"/>
    <w:rsid w:val="00872E98"/>
    <w:rsid w:val="00873389"/>
    <w:rsid w:val="00873796"/>
    <w:rsid w:val="00873815"/>
    <w:rsid w:val="0087382A"/>
    <w:rsid w:val="0087411A"/>
    <w:rsid w:val="00874AA3"/>
    <w:rsid w:val="00874ACC"/>
    <w:rsid w:val="00874B79"/>
    <w:rsid w:val="008751C6"/>
    <w:rsid w:val="008754F3"/>
    <w:rsid w:val="00875986"/>
    <w:rsid w:val="00875E56"/>
    <w:rsid w:val="00875FDF"/>
    <w:rsid w:val="0087616C"/>
    <w:rsid w:val="0087632D"/>
    <w:rsid w:val="0087751E"/>
    <w:rsid w:val="008802BE"/>
    <w:rsid w:val="00880549"/>
    <w:rsid w:val="0088098A"/>
    <w:rsid w:val="00880E76"/>
    <w:rsid w:val="00881687"/>
    <w:rsid w:val="008816C9"/>
    <w:rsid w:val="0088170E"/>
    <w:rsid w:val="00881922"/>
    <w:rsid w:val="00881C95"/>
    <w:rsid w:val="008820EE"/>
    <w:rsid w:val="00882153"/>
    <w:rsid w:val="0088219D"/>
    <w:rsid w:val="00882585"/>
    <w:rsid w:val="0088300B"/>
    <w:rsid w:val="00883217"/>
    <w:rsid w:val="0088374E"/>
    <w:rsid w:val="008839DA"/>
    <w:rsid w:val="0088440E"/>
    <w:rsid w:val="00884ADE"/>
    <w:rsid w:val="00884C97"/>
    <w:rsid w:val="00885038"/>
    <w:rsid w:val="0088510C"/>
    <w:rsid w:val="00885586"/>
    <w:rsid w:val="008857B7"/>
    <w:rsid w:val="008859D8"/>
    <w:rsid w:val="00885B3E"/>
    <w:rsid w:val="00885E50"/>
    <w:rsid w:val="0088626B"/>
    <w:rsid w:val="00886434"/>
    <w:rsid w:val="00886E48"/>
    <w:rsid w:val="00887329"/>
    <w:rsid w:val="00887CBF"/>
    <w:rsid w:val="008901A6"/>
    <w:rsid w:val="00890263"/>
    <w:rsid w:val="00890439"/>
    <w:rsid w:val="00890612"/>
    <w:rsid w:val="00890655"/>
    <w:rsid w:val="00890D69"/>
    <w:rsid w:val="00890DC4"/>
    <w:rsid w:val="00890FA3"/>
    <w:rsid w:val="00890FD5"/>
    <w:rsid w:val="00891758"/>
    <w:rsid w:val="008918BF"/>
    <w:rsid w:val="008920B4"/>
    <w:rsid w:val="00892128"/>
    <w:rsid w:val="00892812"/>
    <w:rsid w:val="00893470"/>
    <w:rsid w:val="00893B50"/>
    <w:rsid w:val="00893C93"/>
    <w:rsid w:val="00893EC2"/>
    <w:rsid w:val="008943D2"/>
    <w:rsid w:val="00894670"/>
    <w:rsid w:val="00894B58"/>
    <w:rsid w:val="00894DB9"/>
    <w:rsid w:val="00894E61"/>
    <w:rsid w:val="0089568B"/>
    <w:rsid w:val="008956E9"/>
    <w:rsid w:val="00895D15"/>
    <w:rsid w:val="0089608D"/>
    <w:rsid w:val="008960D1"/>
    <w:rsid w:val="008961EF"/>
    <w:rsid w:val="0089691D"/>
    <w:rsid w:val="00896A82"/>
    <w:rsid w:val="00896B0E"/>
    <w:rsid w:val="0089703D"/>
    <w:rsid w:val="00897519"/>
    <w:rsid w:val="0089760C"/>
    <w:rsid w:val="00897621"/>
    <w:rsid w:val="00897AA4"/>
    <w:rsid w:val="00897F34"/>
    <w:rsid w:val="008A0166"/>
    <w:rsid w:val="008A0187"/>
    <w:rsid w:val="008A03D7"/>
    <w:rsid w:val="008A04EC"/>
    <w:rsid w:val="008A0940"/>
    <w:rsid w:val="008A0F6E"/>
    <w:rsid w:val="008A10FC"/>
    <w:rsid w:val="008A1232"/>
    <w:rsid w:val="008A24BA"/>
    <w:rsid w:val="008A25BD"/>
    <w:rsid w:val="008A25C0"/>
    <w:rsid w:val="008A2D24"/>
    <w:rsid w:val="008A4212"/>
    <w:rsid w:val="008A4AC1"/>
    <w:rsid w:val="008A4B37"/>
    <w:rsid w:val="008A4B49"/>
    <w:rsid w:val="008A5124"/>
    <w:rsid w:val="008A5943"/>
    <w:rsid w:val="008A6399"/>
    <w:rsid w:val="008A67A7"/>
    <w:rsid w:val="008A68AA"/>
    <w:rsid w:val="008A6DD8"/>
    <w:rsid w:val="008A7210"/>
    <w:rsid w:val="008A7252"/>
    <w:rsid w:val="008A736C"/>
    <w:rsid w:val="008A76EF"/>
    <w:rsid w:val="008A7CEC"/>
    <w:rsid w:val="008A7EC1"/>
    <w:rsid w:val="008B04CC"/>
    <w:rsid w:val="008B0627"/>
    <w:rsid w:val="008B06F6"/>
    <w:rsid w:val="008B0B84"/>
    <w:rsid w:val="008B0CF1"/>
    <w:rsid w:val="008B10A3"/>
    <w:rsid w:val="008B1247"/>
    <w:rsid w:val="008B12C4"/>
    <w:rsid w:val="008B1846"/>
    <w:rsid w:val="008B19FC"/>
    <w:rsid w:val="008B1A36"/>
    <w:rsid w:val="008B1F1B"/>
    <w:rsid w:val="008B1F7B"/>
    <w:rsid w:val="008B2145"/>
    <w:rsid w:val="008B237F"/>
    <w:rsid w:val="008B2939"/>
    <w:rsid w:val="008B2D57"/>
    <w:rsid w:val="008B3180"/>
    <w:rsid w:val="008B34BA"/>
    <w:rsid w:val="008B34DD"/>
    <w:rsid w:val="008B37B4"/>
    <w:rsid w:val="008B3812"/>
    <w:rsid w:val="008B3A09"/>
    <w:rsid w:val="008B4508"/>
    <w:rsid w:val="008B4D5D"/>
    <w:rsid w:val="008B5897"/>
    <w:rsid w:val="008B5A88"/>
    <w:rsid w:val="008B5F9D"/>
    <w:rsid w:val="008B6155"/>
    <w:rsid w:val="008B6374"/>
    <w:rsid w:val="008B6C3B"/>
    <w:rsid w:val="008B6D4F"/>
    <w:rsid w:val="008B6EC2"/>
    <w:rsid w:val="008B7ECC"/>
    <w:rsid w:val="008C015F"/>
    <w:rsid w:val="008C04BE"/>
    <w:rsid w:val="008C0606"/>
    <w:rsid w:val="008C0BA5"/>
    <w:rsid w:val="008C0CCB"/>
    <w:rsid w:val="008C0DE3"/>
    <w:rsid w:val="008C0ED3"/>
    <w:rsid w:val="008C1007"/>
    <w:rsid w:val="008C11EB"/>
    <w:rsid w:val="008C152B"/>
    <w:rsid w:val="008C1AAA"/>
    <w:rsid w:val="008C2216"/>
    <w:rsid w:val="008C2659"/>
    <w:rsid w:val="008C27E8"/>
    <w:rsid w:val="008C28EE"/>
    <w:rsid w:val="008C291C"/>
    <w:rsid w:val="008C2A3B"/>
    <w:rsid w:val="008C3BF7"/>
    <w:rsid w:val="008C3CF9"/>
    <w:rsid w:val="008C3EDA"/>
    <w:rsid w:val="008C47AC"/>
    <w:rsid w:val="008C47C4"/>
    <w:rsid w:val="008C4AEE"/>
    <w:rsid w:val="008C4D94"/>
    <w:rsid w:val="008C4EDA"/>
    <w:rsid w:val="008C52F2"/>
    <w:rsid w:val="008C568B"/>
    <w:rsid w:val="008C5AF5"/>
    <w:rsid w:val="008C64DC"/>
    <w:rsid w:val="008C696C"/>
    <w:rsid w:val="008C6A5C"/>
    <w:rsid w:val="008C6C61"/>
    <w:rsid w:val="008C7627"/>
    <w:rsid w:val="008C7B18"/>
    <w:rsid w:val="008C7D8D"/>
    <w:rsid w:val="008D0650"/>
    <w:rsid w:val="008D06E2"/>
    <w:rsid w:val="008D0EA9"/>
    <w:rsid w:val="008D0F84"/>
    <w:rsid w:val="008D110D"/>
    <w:rsid w:val="008D1136"/>
    <w:rsid w:val="008D118E"/>
    <w:rsid w:val="008D16A4"/>
    <w:rsid w:val="008D1E56"/>
    <w:rsid w:val="008D21FB"/>
    <w:rsid w:val="008D278A"/>
    <w:rsid w:val="008D2838"/>
    <w:rsid w:val="008D2A7D"/>
    <w:rsid w:val="008D2B75"/>
    <w:rsid w:val="008D31A7"/>
    <w:rsid w:val="008D3A09"/>
    <w:rsid w:val="008D53CB"/>
    <w:rsid w:val="008D5604"/>
    <w:rsid w:val="008D5739"/>
    <w:rsid w:val="008D5A38"/>
    <w:rsid w:val="008D5CEA"/>
    <w:rsid w:val="008D6485"/>
    <w:rsid w:val="008D6CEE"/>
    <w:rsid w:val="008D6E89"/>
    <w:rsid w:val="008D7108"/>
    <w:rsid w:val="008D7714"/>
    <w:rsid w:val="008D781C"/>
    <w:rsid w:val="008D7AFA"/>
    <w:rsid w:val="008E0065"/>
    <w:rsid w:val="008E0515"/>
    <w:rsid w:val="008E056E"/>
    <w:rsid w:val="008E05C4"/>
    <w:rsid w:val="008E06B6"/>
    <w:rsid w:val="008E0AAD"/>
    <w:rsid w:val="008E0BFB"/>
    <w:rsid w:val="008E0C94"/>
    <w:rsid w:val="008E0E58"/>
    <w:rsid w:val="008E0FA5"/>
    <w:rsid w:val="008E136C"/>
    <w:rsid w:val="008E141E"/>
    <w:rsid w:val="008E1714"/>
    <w:rsid w:val="008E183F"/>
    <w:rsid w:val="008E189C"/>
    <w:rsid w:val="008E1A05"/>
    <w:rsid w:val="008E1CD7"/>
    <w:rsid w:val="008E1D27"/>
    <w:rsid w:val="008E2712"/>
    <w:rsid w:val="008E276A"/>
    <w:rsid w:val="008E2AE8"/>
    <w:rsid w:val="008E2D1C"/>
    <w:rsid w:val="008E3701"/>
    <w:rsid w:val="008E3B34"/>
    <w:rsid w:val="008E3B77"/>
    <w:rsid w:val="008E3D3F"/>
    <w:rsid w:val="008E3F88"/>
    <w:rsid w:val="008E3FDF"/>
    <w:rsid w:val="008E43C6"/>
    <w:rsid w:val="008E47CE"/>
    <w:rsid w:val="008E4978"/>
    <w:rsid w:val="008E4B5F"/>
    <w:rsid w:val="008E4C45"/>
    <w:rsid w:val="008E4F0D"/>
    <w:rsid w:val="008E4F32"/>
    <w:rsid w:val="008E4F7C"/>
    <w:rsid w:val="008E513B"/>
    <w:rsid w:val="008E53A6"/>
    <w:rsid w:val="008E5B72"/>
    <w:rsid w:val="008E5D49"/>
    <w:rsid w:val="008E624D"/>
    <w:rsid w:val="008E6505"/>
    <w:rsid w:val="008E65B0"/>
    <w:rsid w:val="008E6956"/>
    <w:rsid w:val="008E6B3D"/>
    <w:rsid w:val="008E6DB5"/>
    <w:rsid w:val="008E726C"/>
    <w:rsid w:val="008E74A4"/>
    <w:rsid w:val="008E75A8"/>
    <w:rsid w:val="008E78BE"/>
    <w:rsid w:val="008E7B51"/>
    <w:rsid w:val="008E7E66"/>
    <w:rsid w:val="008F0250"/>
    <w:rsid w:val="008F02F2"/>
    <w:rsid w:val="008F0A4A"/>
    <w:rsid w:val="008F1421"/>
    <w:rsid w:val="008F1B21"/>
    <w:rsid w:val="008F1BD6"/>
    <w:rsid w:val="008F1C76"/>
    <w:rsid w:val="008F2377"/>
    <w:rsid w:val="008F24BD"/>
    <w:rsid w:val="008F26AE"/>
    <w:rsid w:val="008F292D"/>
    <w:rsid w:val="008F2B26"/>
    <w:rsid w:val="008F2EA9"/>
    <w:rsid w:val="008F2FB5"/>
    <w:rsid w:val="008F2FF0"/>
    <w:rsid w:val="008F3A37"/>
    <w:rsid w:val="008F3B0E"/>
    <w:rsid w:val="008F3D86"/>
    <w:rsid w:val="008F421D"/>
    <w:rsid w:val="008F43C7"/>
    <w:rsid w:val="008F47EB"/>
    <w:rsid w:val="008F5724"/>
    <w:rsid w:val="008F5D39"/>
    <w:rsid w:val="008F5E63"/>
    <w:rsid w:val="008F6168"/>
    <w:rsid w:val="008F6317"/>
    <w:rsid w:val="008F66DA"/>
    <w:rsid w:val="008F72B2"/>
    <w:rsid w:val="008F7BF2"/>
    <w:rsid w:val="00900233"/>
    <w:rsid w:val="009004C0"/>
    <w:rsid w:val="00900B52"/>
    <w:rsid w:val="00900C0C"/>
    <w:rsid w:val="00901489"/>
    <w:rsid w:val="009024F2"/>
    <w:rsid w:val="00902C41"/>
    <w:rsid w:val="00902D2A"/>
    <w:rsid w:val="0090315A"/>
    <w:rsid w:val="00903421"/>
    <w:rsid w:val="0090364D"/>
    <w:rsid w:val="0090464D"/>
    <w:rsid w:val="00904AF0"/>
    <w:rsid w:val="00904FBE"/>
    <w:rsid w:val="009058D7"/>
    <w:rsid w:val="00905BF6"/>
    <w:rsid w:val="00905EC4"/>
    <w:rsid w:val="009065AC"/>
    <w:rsid w:val="009065F8"/>
    <w:rsid w:val="009069F0"/>
    <w:rsid w:val="00906A08"/>
    <w:rsid w:val="00906B58"/>
    <w:rsid w:val="00906BDF"/>
    <w:rsid w:val="009075A0"/>
    <w:rsid w:val="009078EE"/>
    <w:rsid w:val="00907F21"/>
    <w:rsid w:val="009105BF"/>
    <w:rsid w:val="0091073A"/>
    <w:rsid w:val="00910879"/>
    <w:rsid w:val="00910B1C"/>
    <w:rsid w:val="0091135B"/>
    <w:rsid w:val="0091181D"/>
    <w:rsid w:val="00911E3E"/>
    <w:rsid w:val="00911EAF"/>
    <w:rsid w:val="00912521"/>
    <w:rsid w:val="00912579"/>
    <w:rsid w:val="00912E7B"/>
    <w:rsid w:val="00912EA2"/>
    <w:rsid w:val="009134D7"/>
    <w:rsid w:val="00913FD3"/>
    <w:rsid w:val="009145C1"/>
    <w:rsid w:val="0091473D"/>
    <w:rsid w:val="00914AA0"/>
    <w:rsid w:val="00914C1F"/>
    <w:rsid w:val="00914F1D"/>
    <w:rsid w:val="0091536A"/>
    <w:rsid w:val="00915822"/>
    <w:rsid w:val="00915A98"/>
    <w:rsid w:val="009166C2"/>
    <w:rsid w:val="009167DD"/>
    <w:rsid w:val="00916864"/>
    <w:rsid w:val="00916B98"/>
    <w:rsid w:val="009172E0"/>
    <w:rsid w:val="00917890"/>
    <w:rsid w:val="00917BC7"/>
    <w:rsid w:val="00917FC4"/>
    <w:rsid w:val="00920029"/>
    <w:rsid w:val="00920045"/>
    <w:rsid w:val="00920056"/>
    <w:rsid w:val="0092092F"/>
    <w:rsid w:val="00920ECD"/>
    <w:rsid w:val="00921708"/>
    <w:rsid w:val="00921846"/>
    <w:rsid w:val="0092266C"/>
    <w:rsid w:val="00922A0F"/>
    <w:rsid w:val="00922BC8"/>
    <w:rsid w:val="009232A6"/>
    <w:rsid w:val="00923608"/>
    <w:rsid w:val="00923EA6"/>
    <w:rsid w:val="00923F4E"/>
    <w:rsid w:val="0092410A"/>
    <w:rsid w:val="00924E75"/>
    <w:rsid w:val="00924FE3"/>
    <w:rsid w:val="0092562A"/>
    <w:rsid w:val="0092582A"/>
    <w:rsid w:val="009259A6"/>
    <w:rsid w:val="00925C53"/>
    <w:rsid w:val="00925F68"/>
    <w:rsid w:val="0092610B"/>
    <w:rsid w:val="009268FC"/>
    <w:rsid w:val="0092696A"/>
    <w:rsid w:val="00926D7E"/>
    <w:rsid w:val="00927397"/>
    <w:rsid w:val="009279B5"/>
    <w:rsid w:val="00927ACA"/>
    <w:rsid w:val="009300C5"/>
    <w:rsid w:val="00930368"/>
    <w:rsid w:val="0093040E"/>
    <w:rsid w:val="0093099A"/>
    <w:rsid w:val="00930E09"/>
    <w:rsid w:val="009310BE"/>
    <w:rsid w:val="00931227"/>
    <w:rsid w:val="009314CD"/>
    <w:rsid w:val="00931DEF"/>
    <w:rsid w:val="00932645"/>
    <w:rsid w:val="009326E7"/>
    <w:rsid w:val="0093292E"/>
    <w:rsid w:val="00932CC7"/>
    <w:rsid w:val="00932CD7"/>
    <w:rsid w:val="009330FA"/>
    <w:rsid w:val="0093313E"/>
    <w:rsid w:val="0093315B"/>
    <w:rsid w:val="0093326F"/>
    <w:rsid w:val="00933737"/>
    <w:rsid w:val="00933745"/>
    <w:rsid w:val="009337AC"/>
    <w:rsid w:val="00933967"/>
    <w:rsid w:val="00933B9E"/>
    <w:rsid w:val="009341F4"/>
    <w:rsid w:val="00934885"/>
    <w:rsid w:val="00934A63"/>
    <w:rsid w:val="00934C71"/>
    <w:rsid w:val="00934DAA"/>
    <w:rsid w:val="0093576A"/>
    <w:rsid w:val="00935B50"/>
    <w:rsid w:val="009365D4"/>
    <w:rsid w:val="009366A7"/>
    <w:rsid w:val="00936C9E"/>
    <w:rsid w:val="0093701F"/>
    <w:rsid w:val="009372EC"/>
    <w:rsid w:val="009377A2"/>
    <w:rsid w:val="00937B72"/>
    <w:rsid w:val="00937CFC"/>
    <w:rsid w:val="00937DD6"/>
    <w:rsid w:val="00937F03"/>
    <w:rsid w:val="009400CE"/>
    <w:rsid w:val="00940261"/>
    <w:rsid w:val="00940A90"/>
    <w:rsid w:val="00940B1D"/>
    <w:rsid w:val="00940DA2"/>
    <w:rsid w:val="00941413"/>
    <w:rsid w:val="009417A7"/>
    <w:rsid w:val="0094195B"/>
    <w:rsid w:val="00941E66"/>
    <w:rsid w:val="00941F1A"/>
    <w:rsid w:val="009427F0"/>
    <w:rsid w:val="009435EC"/>
    <w:rsid w:val="00943D1A"/>
    <w:rsid w:val="00944746"/>
    <w:rsid w:val="00944DEA"/>
    <w:rsid w:val="009452F9"/>
    <w:rsid w:val="0094550E"/>
    <w:rsid w:val="00945C4A"/>
    <w:rsid w:val="00945F61"/>
    <w:rsid w:val="00946277"/>
    <w:rsid w:val="0094658C"/>
    <w:rsid w:val="00946694"/>
    <w:rsid w:val="009466E7"/>
    <w:rsid w:val="009467E3"/>
    <w:rsid w:val="00947034"/>
    <w:rsid w:val="00947154"/>
    <w:rsid w:val="009474D1"/>
    <w:rsid w:val="009475B2"/>
    <w:rsid w:val="00947707"/>
    <w:rsid w:val="00947D37"/>
    <w:rsid w:val="00947DC2"/>
    <w:rsid w:val="00950034"/>
    <w:rsid w:val="009504E2"/>
    <w:rsid w:val="009504EA"/>
    <w:rsid w:val="00950729"/>
    <w:rsid w:val="00951124"/>
    <w:rsid w:val="009516CE"/>
    <w:rsid w:val="009517D7"/>
    <w:rsid w:val="00951B22"/>
    <w:rsid w:val="00951C04"/>
    <w:rsid w:val="00951C06"/>
    <w:rsid w:val="00952061"/>
    <w:rsid w:val="0095222E"/>
    <w:rsid w:val="00952665"/>
    <w:rsid w:val="009528AC"/>
    <w:rsid w:val="00952E11"/>
    <w:rsid w:val="00952E24"/>
    <w:rsid w:val="00952EF3"/>
    <w:rsid w:val="00952F3F"/>
    <w:rsid w:val="00952FC1"/>
    <w:rsid w:val="00952FF2"/>
    <w:rsid w:val="009531BE"/>
    <w:rsid w:val="00953333"/>
    <w:rsid w:val="00954163"/>
    <w:rsid w:val="00954994"/>
    <w:rsid w:val="009551A8"/>
    <w:rsid w:val="0095565F"/>
    <w:rsid w:val="00955676"/>
    <w:rsid w:val="009557BA"/>
    <w:rsid w:val="009560F9"/>
    <w:rsid w:val="00956430"/>
    <w:rsid w:val="00956D18"/>
    <w:rsid w:val="00956FF7"/>
    <w:rsid w:val="00957679"/>
    <w:rsid w:val="00957746"/>
    <w:rsid w:val="0095777D"/>
    <w:rsid w:val="009578AF"/>
    <w:rsid w:val="00957D95"/>
    <w:rsid w:val="00960021"/>
    <w:rsid w:val="00960266"/>
    <w:rsid w:val="00960473"/>
    <w:rsid w:val="00960486"/>
    <w:rsid w:val="00960687"/>
    <w:rsid w:val="00960773"/>
    <w:rsid w:val="00960A54"/>
    <w:rsid w:val="00960B08"/>
    <w:rsid w:val="009612B6"/>
    <w:rsid w:val="009617FB"/>
    <w:rsid w:val="00961A70"/>
    <w:rsid w:val="009621E6"/>
    <w:rsid w:val="00962394"/>
    <w:rsid w:val="00962439"/>
    <w:rsid w:val="00962E85"/>
    <w:rsid w:val="00963309"/>
    <w:rsid w:val="009633BB"/>
    <w:rsid w:val="009634F0"/>
    <w:rsid w:val="00963A83"/>
    <w:rsid w:val="009647AF"/>
    <w:rsid w:val="00964840"/>
    <w:rsid w:val="0096488D"/>
    <w:rsid w:val="009649A5"/>
    <w:rsid w:val="00964BBF"/>
    <w:rsid w:val="00964E76"/>
    <w:rsid w:val="00964F57"/>
    <w:rsid w:val="00965A5D"/>
    <w:rsid w:val="00965A70"/>
    <w:rsid w:val="00966008"/>
    <w:rsid w:val="009665F7"/>
    <w:rsid w:val="009667D3"/>
    <w:rsid w:val="0096687D"/>
    <w:rsid w:val="00966DE4"/>
    <w:rsid w:val="00966E86"/>
    <w:rsid w:val="00967069"/>
    <w:rsid w:val="00970331"/>
    <w:rsid w:val="00970390"/>
    <w:rsid w:val="00970F41"/>
    <w:rsid w:val="00971624"/>
    <w:rsid w:val="0097213C"/>
    <w:rsid w:val="0097248E"/>
    <w:rsid w:val="009734B7"/>
    <w:rsid w:val="00973659"/>
    <w:rsid w:val="0097369A"/>
    <w:rsid w:val="00973701"/>
    <w:rsid w:val="00973EB7"/>
    <w:rsid w:val="009749F0"/>
    <w:rsid w:val="00974B09"/>
    <w:rsid w:val="009763EE"/>
    <w:rsid w:val="0097651A"/>
    <w:rsid w:val="00976EBE"/>
    <w:rsid w:val="00977293"/>
    <w:rsid w:val="009773C9"/>
    <w:rsid w:val="00977591"/>
    <w:rsid w:val="00977AB7"/>
    <w:rsid w:val="00977B76"/>
    <w:rsid w:val="00977D3C"/>
    <w:rsid w:val="0098022E"/>
    <w:rsid w:val="00980284"/>
    <w:rsid w:val="00980559"/>
    <w:rsid w:val="009813EB"/>
    <w:rsid w:val="0098175A"/>
    <w:rsid w:val="00981C0F"/>
    <w:rsid w:val="009826B1"/>
    <w:rsid w:val="00982785"/>
    <w:rsid w:val="00982F4F"/>
    <w:rsid w:val="009831AA"/>
    <w:rsid w:val="009832DC"/>
    <w:rsid w:val="009838A7"/>
    <w:rsid w:val="00983BA9"/>
    <w:rsid w:val="009840C0"/>
    <w:rsid w:val="00984118"/>
    <w:rsid w:val="00984322"/>
    <w:rsid w:val="009848DE"/>
    <w:rsid w:val="009849E3"/>
    <w:rsid w:val="00984B1B"/>
    <w:rsid w:val="00984CF1"/>
    <w:rsid w:val="00984F99"/>
    <w:rsid w:val="009851B1"/>
    <w:rsid w:val="0098537C"/>
    <w:rsid w:val="00985889"/>
    <w:rsid w:val="00985A75"/>
    <w:rsid w:val="00985B69"/>
    <w:rsid w:val="00985D85"/>
    <w:rsid w:val="00986BD9"/>
    <w:rsid w:val="00987412"/>
    <w:rsid w:val="00987583"/>
    <w:rsid w:val="00987DB9"/>
    <w:rsid w:val="00990105"/>
    <w:rsid w:val="0099056D"/>
    <w:rsid w:val="00990AAF"/>
    <w:rsid w:val="00990B69"/>
    <w:rsid w:val="00990C3D"/>
    <w:rsid w:val="00990EE2"/>
    <w:rsid w:val="00990F13"/>
    <w:rsid w:val="009919C9"/>
    <w:rsid w:val="00991C36"/>
    <w:rsid w:val="00991D70"/>
    <w:rsid w:val="0099207F"/>
    <w:rsid w:val="009927BA"/>
    <w:rsid w:val="00992E8C"/>
    <w:rsid w:val="00992F1F"/>
    <w:rsid w:val="009932F0"/>
    <w:rsid w:val="009938E8"/>
    <w:rsid w:val="0099390B"/>
    <w:rsid w:val="00993BCF"/>
    <w:rsid w:val="00993EF6"/>
    <w:rsid w:val="0099409A"/>
    <w:rsid w:val="00994201"/>
    <w:rsid w:val="009942E8"/>
    <w:rsid w:val="0099437F"/>
    <w:rsid w:val="0099445D"/>
    <w:rsid w:val="00994623"/>
    <w:rsid w:val="00994806"/>
    <w:rsid w:val="00994BE2"/>
    <w:rsid w:val="00995274"/>
    <w:rsid w:val="00995E64"/>
    <w:rsid w:val="00995F5B"/>
    <w:rsid w:val="00995F5D"/>
    <w:rsid w:val="00996004"/>
    <w:rsid w:val="009966C3"/>
    <w:rsid w:val="009969B0"/>
    <w:rsid w:val="00996A46"/>
    <w:rsid w:val="00997315"/>
    <w:rsid w:val="00997430"/>
    <w:rsid w:val="0099747D"/>
    <w:rsid w:val="009975A1"/>
    <w:rsid w:val="009975BE"/>
    <w:rsid w:val="009A00F2"/>
    <w:rsid w:val="009A0172"/>
    <w:rsid w:val="009A02E8"/>
    <w:rsid w:val="009A0469"/>
    <w:rsid w:val="009A047A"/>
    <w:rsid w:val="009A065A"/>
    <w:rsid w:val="009A0E59"/>
    <w:rsid w:val="009A1444"/>
    <w:rsid w:val="009A1553"/>
    <w:rsid w:val="009A1B69"/>
    <w:rsid w:val="009A1D3E"/>
    <w:rsid w:val="009A23C6"/>
    <w:rsid w:val="009A271D"/>
    <w:rsid w:val="009A2C7E"/>
    <w:rsid w:val="009A32C0"/>
    <w:rsid w:val="009A3C42"/>
    <w:rsid w:val="009A4141"/>
    <w:rsid w:val="009A4175"/>
    <w:rsid w:val="009A44E9"/>
    <w:rsid w:val="009A4954"/>
    <w:rsid w:val="009A4BC8"/>
    <w:rsid w:val="009A5630"/>
    <w:rsid w:val="009A5A0E"/>
    <w:rsid w:val="009A5EA1"/>
    <w:rsid w:val="009A6192"/>
    <w:rsid w:val="009A62B8"/>
    <w:rsid w:val="009A6502"/>
    <w:rsid w:val="009A661A"/>
    <w:rsid w:val="009A7007"/>
    <w:rsid w:val="009A718E"/>
    <w:rsid w:val="009A7701"/>
    <w:rsid w:val="009A78D4"/>
    <w:rsid w:val="009A7C1B"/>
    <w:rsid w:val="009B079C"/>
    <w:rsid w:val="009B0D31"/>
    <w:rsid w:val="009B0FBD"/>
    <w:rsid w:val="009B18E7"/>
    <w:rsid w:val="009B1AEC"/>
    <w:rsid w:val="009B1BA7"/>
    <w:rsid w:val="009B244F"/>
    <w:rsid w:val="009B2608"/>
    <w:rsid w:val="009B2A04"/>
    <w:rsid w:val="009B3A3A"/>
    <w:rsid w:val="009B3A56"/>
    <w:rsid w:val="009B3B6E"/>
    <w:rsid w:val="009B3C9F"/>
    <w:rsid w:val="009B3D56"/>
    <w:rsid w:val="009B3DD2"/>
    <w:rsid w:val="009B44EF"/>
    <w:rsid w:val="009B47E6"/>
    <w:rsid w:val="009B48AA"/>
    <w:rsid w:val="009B4FC2"/>
    <w:rsid w:val="009B51C4"/>
    <w:rsid w:val="009B5226"/>
    <w:rsid w:val="009B5474"/>
    <w:rsid w:val="009B577D"/>
    <w:rsid w:val="009B5FA3"/>
    <w:rsid w:val="009B62F0"/>
    <w:rsid w:val="009B6723"/>
    <w:rsid w:val="009B681E"/>
    <w:rsid w:val="009B6B53"/>
    <w:rsid w:val="009B6E3D"/>
    <w:rsid w:val="009B7069"/>
    <w:rsid w:val="009B7DBB"/>
    <w:rsid w:val="009C058E"/>
    <w:rsid w:val="009C08C6"/>
    <w:rsid w:val="009C0BA1"/>
    <w:rsid w:val="009C0C21"/>
    <w:rsid w:val="009C0D74"/>
    <w:rsid w:val="009C0E19"/>
    <w:rsid w:val="009C118A"/>
    <w:rsid w:val="009C1305"/>
    <w:rsid w:val="009C1501"/>
    <w:rsid w:val="009C207D"/>
    <w:rsid w:val="009C22F8"/>
    <w:rsid w:val="009C2352"/>
    <w:rsid w:val="009C27D3"/>
    <w:rsid w:val="009C32AE"/>
    <w:rsid w:val="009C3484"/>
    <w:rsid w:val="009C362D"/>
    <w:rsid w:val="009C3A08"/>
    <w:rsid w:val="009C3AE6"/>
    <w:rsid w:val="009C450E"/>
    <w:rsid w:val="009C45E4"/>
    <w:rsid w:val="009C4681"/>
    <w:rsid w:val="009C4DB7"/>
    <w:rsid w:val="009C580C"/>
    <w:rsid w:val="009C58D1"/>
    <w:rsid w:val="009C5E4D"/>
    <w:rsid w:val="009C6635"/>
    <w:rsid w:val="009C76BC"/>
    <w:rsid w:val="009D01DD"/>
    <w:rsid w:val="009D02E6"/>
    <w:rsid w:val="009D087C"/>
    <w:rsid w:val="009D0CDC"/>
    <w:rsid w:val="009D0FDC"/>
    <w:rsid w:val="009D1627"/>
    <w:rsid w:val="009D17D4"/>
    <w:rsid w:val="009D1C1B"/>
    <w:rsid w:val="009D1CE0"/>
    <w:rsid w:val="009D246B"/>
    <w:rsid w:val="009D260B"/>
    <w:rsid w:val="009D27EE"/>
    <w:rsid w:val="009D2E80"/>
    <w:rsid w:val="009D316D"/>
    <w:rsid w:val="009D355F"/>
    <w:rsid w:val="009D37FF"/>
    <w:rsid w:val="009D3C23"/>
    <w:rsid w:val="009D4052"/>
    <w:rsid w:val="009D467D"/>
    <w:rsid w:val="009D46A2"/>
    <w:rsid w:val="009D46A6"/>
    <w:rsid w:val="009D4706"/>
    <w:rsid w:val="009D48D6"/>
    <w:rsid w:val="009D4C05"/>
    <w:rsid w:val="009D4F77"/>
    <w:rsid w:val="009D51D5"/>
    <w:rsid w:val="009D5366"/>
    <w:rsid w:val="009D5429"/>
    <w:rsid w:val="009D56E8"/>
    <w:rsid w:val="009D6931"/>
    <w:rsid w:val="009D69D0"/>
    <w:rsid w:val="009D71B0"/>
    <w:rsid w:val="009D7324"/>
    <w:rsid w:val="009D75DC"/>
    <w:rsid w:val="009D7972"/>
    <w:rsid w:val="009D79D6"/>
    <w:rsid w:val="009D7B81"/>
    <w:rsid w:val="009D7F85"/>
    <w:rsid w:val="009E033E"/>
    <w:rsid w:val="009E0460"/>
    <w:rsid w:val="009E0531"/>
    <w:rsid w:val="009E0991"/>
    <w:rsid w:val="009E0ABE"/>
    <w:rsid w:val="009E0BC2"/>
    <w:rsid w:val="009E0CA4"/>
    <w:rsid w:val="009E0E65"/>
    <w:rsid w:val="009E1601"/>
    <w:rsid w:val="009E1675"/>
    <w:rsid w:val="009E1889"/>
    <w:rsid w:val="009E1AD0"/>
    <w:rsid w:val="009E1F75"/>
    <w:rsid w:val="009E2010"/>
    <w:rsid w:val="009E25D8"/>
    <w:rsid w:val="009E2677"/>
    <w:rsid w:val="009E2EA2"/>
    <w:rsid w:val="009E2F92"/>
    <w:rsid w:val="009E3249"/>
    <w:rsid w:val="009E340D"/>
    <w:rsid w:val="009E3650"/>
    <w:rsid w:val="009E3675"/>
    <w:rsid w:val="009E373B"/>
    <w:rsid w:val="009E379C"/>
    <w:rsid w:val="009E3CEF"/>
    <w:rsid w:val="009E3FEC"/>
    <w:rsid w:val="009E401F"/>
    <w:rsid w:val="009E4419"/>
    <w:rsid w:val="009E46D8"/>
    <w:rsid w:val="009E4838"/>
    <w:rsid w:val="009E4C3B"/>
    <w:rsid w:val="009E51E9"/>
    <w:rsid w:val="009E53D2"/>
    <w:rsid w:val="009E6310"/>
    <w:rsid w:val="009E64FB"/>
    <w:rsid w:val="009E6A8A"/>
    <w:rsid w:val="009E6B22"/>
    <w:rsid w:val="009E6E7B"/>
    <w:rsid w:val="009E6F06"/>
    <w:rsid w:val="009E7348"/>
    <w:rsid w:val="009E7480"/>
    <w:rsid w:val="009E7BFB"/>
    <w:rsid w:val="009F0025"/>
    <w:rsid w:val="009F06A9"/>
    <w:rsid w:val="009F0C86"/>
    <w:rsid w:val="009F1145"/>
    <w:rsid w:val="009F1641"/>
    <w:rsid w:val="009F1D8A"/>
    <w:rsid w:val="009F1EBB"/>
    <w:rsid w:val="009F200E"/>
    <w:rsid w:val="009F2356"/>
    <w:rsid w:val="009F24E4"/>
    <w:rsid w:val="009F28C7"/>
    <w:rsid w:val="009F2909"/>
    <w:rsid w:val="009F2C5C"/>
    <w:rsid w:val="009F2EFC"/>
    <w:rsid w:val="009F3366"/>
    <w:rsid w:val="009F357E"/>
    <w:rsid w:val="009F3899"/>
    <w:rsid w:val="009F4EFA"/>
    <w:rsid w:val="009F56B2"/>
    <w:rsid w:val="009F57E0"/>
    <w:rsid w:val="009F5893"/>
    <w:rsid w:val="009F5C79"/>
    <w:rsid w:val="009F6118"/>
    <w:rsid w:val="009F624B"/>
    <w:rsid w:val="009F671A"/>
    <w:rsid w:val="009F6AD5"/>
    <w:rsid w:val="009F6B0E"/>
    <w:rsid w:val="009F705E"/>
    <w:rsid w:val="009F70A9"/>
    <w:rsid w:val="009F7249"/>
    <w:rsid w:val="009F77E6"/>
    <w:rsid w:val="009F7843"/>
    <w:rsid w:val="009F7C14"/>
    <w:rsid w:val="009F7F58"/>
    <w:rsid w:val="00A004B6"/>
    <w:rsid w:val="00A00AA6"/>
    <w:rsid w:val="00A00D8D"/>
    <w:rsid w:val="00A00F74"/>
    <w:rsid w:val="00A01009"/>
    <w:rsid w:val="00A010AB"/>
    <w:rsid w:val="00A0111F"/>
    <w:rsid w:val="00A014E2"/>
    <w:rsid w:val="00A01546"/>
    <w:rsid w:val="00A015FE"/>
    <w:rsid w:val="00A01730"/>
    <w:rsid w:val="00A02180"/>
    <w:rsid w:val="00A022D5"/>
    <w:rsid w:val="00A025C3"/>
    <w:rsid w:val="00A0262C"/>
    <w:rsid w:val="00A033DB"/>
    <w:rsid w:val="00A0352B"/>
    <w:rsid w:val="00A037E2"/>
    <w:rsid w:val="00A040D9"/>
    <w:rsid w:val="00A042B0"/>
    <w:rsid w:val="00A048BA"/>
    <w:rsid w:val="00A049A7"/>
    <w:rsid w:val="00A049AB"/>
    <w:rsid w:val="00A04B35"/>
    <w:rsid w:val="00A04CEF"/>
    <w:rsid w:val="00A04E2B"/>
    <w:rsid w:val="00A04F4A"/>
    <w:rsid w:val="00A04F7B"/>
    <w:rsid w:val="00A05270"/>
    <w:rsid w:val="00A053C9"/>
    <w:rsid w:val="00A057CA"/>
    <w:rsid w:val="00A05B0B"/>
    <w:rsid w:val="00A05DA9"/>
    <w:rsid w:val="00A05DD5"/>
    <w:rsid w:val="00A05FDC"/>
    <w:rsid w:val="00A0600D"/>
    <w:rsid w:val="00A06DBE"/>
    <w:rsid w:val="00A0751D"/>
    <w:rsid w:val="00A076ED"/>
    <w:rsid w:val="00A079FD"/>
    <w:rsid w:val="00A07B98"/>
    <w:rsid w:val="00A1067E"/>
    <w:rsid w:val="00A10E1A"/>
    <w:rsid w:val="00A110ED"/>
    <w:rsid w:val="00A1138E"/>
    <w:rsid w:val="00A11B64"/>
    <w:rsid w:val="00A12B6E"/>
    <w:rsid w:val="00A12FB8"/>
    <w:rsid w:val="00A1391C"/>
    <w:rsid w:val="00A1398C"/>
    <w:rsid w:val="00A13A74"/>
    <w:rsid w:val="00A13BA1"/>
    <w:rsid w:val="00A146C2"/>
    <w:rsid w:val="00A14733"/>
    <w:rsid w:val="00A147CA"/>
    <w:rsid w:val="00A147FE"/>
    <w:rsid w:val="00A14C0D"/>
    <w:rsid w:val="00A156CD"/>
    <w:rsid w:val="00A158EC"/>
    <w:rsid w:val="00A15A88"/>
    <w:rsid w:val="00A15B9F"/>
    <w:rsid w:val="00A16054"/>
    <w:rsid w:val="00A16361"/>
    <w:rsid w:val="00A16F51"/>
    <w:rsid w:val="00A1720F"/>
    <w:rsid w:val="00A176B6"/>
    <w:rsid w:val="00A20266"/>
    <w:rsid w:val="00A202CA"/>
    <w:rsid w:val="00A20879"/>
    <w:rsid w:val="00A20C41"/>
    <w:rsid w:val="00A20D7A"/>
    <w:rsid w:val="00A2129C"/>
    <w:rsid w:val="00A21C3C"/>
    <w:rsid w:val="00A21E58"/>
    <w:rsid w:val="00A224B6"/>
    <w:rsid w:val="00A22AE2"/>
    <w:rsid w:val="00A22B67"/>
    <w:rsid w:val="00A22C2E"/>
    <w:rsid w:val="00A22D3C"/>
    <w:rsid w:val="00A23A5B"/>
    <w:rsid w:val="00A2464A"/>
    <w:rsid w:val="00A2489A"/>
    <w:rsid w:val="00A24BC1"/>
    <w:rsid w:val="00A24C5F"/>
    <w:rsid w:val="00A24F51"/>
    <w:rsid w:val="00A2533B"/>
    <w:rsid w:val="00A2568B"/>
    <w:rsid w:val="00A257F9"/>
    <w:rsid w:val="00A2587F"/>
    <w:rsid w:val="00A25E4B"/>
    <w:rsid w:val="00A2691D"/>
    <w:rsid w:val="00A272A7"/>
    <w:rsid w:val="00A273E8"/>
    <w:rsid w:val="00A27466"/>
    <w:rsid w:val="00A274E7"/>
    <w:rsid w:val="00A303B9"/>
    <w:rsid w:val="00A30C5B"/>
    <w:rsid w:val="00A312D2"/>
    <w:rsid w:val="00A314D8"/>
    <w:rsid w:val="00A31807"/>
    <w:rsid w:val="00A31879"/>
    <w:rsid w:val="00A323DF"/>
    <w:rsid w:val="00A32C09"/>
    <w:rsid w:val="00A3350E"/>
    <w:rsid w:val="00A33520"/>
    <w:rsid w:val="00A338AD"/>
    <w:rsid w:val="00A33B79"/>
    <w:rsid w:val="00A33C5B"/>
    <w:rsid w:val="00A33CE1"/>
    <w:rsid w:val="00A33D3E"/>
    <w:rsid w:val="00A33ECF"/>
    <w:rsid w:val="00A34081"/>
    <w:rsid w:val="00A34A87"/>
    <w:rsid w:val="00A35392"/>
    <w:rsid w:val="00A35817"/>
    <w:rsid w:val="00A35CCA"/>
    <w:rsid w:val="00A35D0A"/>
    <w:rsid w:val="00A3606E"/>
    <w:rsid w:val="00A36C05"/>
    <w:rsid w:val="00A36FE9"/>
    <w:rsid w:val="00A37472"/>
    <w:rsid w:val="00A375FB"/>
    <w:rsid w:val="00A37925"/>
    <w:rsid w:val="00A37B98"/>
    <w:rsid w:val="00A37E39"/>
    <w:rsid w:val="00A37F22"/>
    <w:rsid w:val="00A41752"/>
    <w:rsid w:val="00A41ECC"/>
    <w:rsid w:val="00A422BD"/>
    <w:rsid w:val="00A423DA"/>
    <w:rsid w:val="00A42481"/>
    <w:rsid w:val="00A42504"/>
    <w:rsid w:val="00A42651"/>
    <w:rsid w:val="00A426C7"/>
    <w:rsid w:val="00A429E7"/>
    <w:rsid w:val="00A42A78"/>
    <w:rsid w:val="00A42AAF"/>
    <w:rsid w:val="00A42B29"/>
    <w:rsid w:val="00A43259"/>
    <w:rsid w:val="00A43A4F"/>
    <w:rsid w:val="00A44132"/>
    <w:rsid w:val="00A450E9"/>
    <w:rsid w:val="00A451A2"/>
    <w:rsid w:val="00A45310"/>
    <w:rsid w:val="00A45571"/>
    <w:rsid w:val="00A45719"/>
    <w:rsid w:val="00A45803"/>
    <w:rsid w:val="00A46307"/>
    <w:rsid w:val="00A46A71"/>
    <w:rsid w:val="00A46ADD"/>
    <w:rsid w:val="00A46F6D"/>
    <w:rsid w:val="00A46F81"/>
    <w:rsid w:val="00A476E4"/>
    <w:rsid w:val="00A479BC"/>
    <w:rsid w:val="00A47CED"/>
    <w:rsid w:val="00A50282"/>
    <w:rsid w:val="00A509F5"/>
    <w:rsid w:val="00A50B8E"/>
    <w:rsid w:val="00A50E40"/>
    <w:rsid w:val="00A510F0"/>
    <w:rsid w:val="00A5177C"/>
    <w:rsid w:val="00A51A13"/>
    <w:rsid w:val="00A51E0F"/>
    <w:rsid w:val="00A51E51"/>
    <w:rsid w:val="00A51F19"/>
    <w:rsid w:val="00A52CDA"/>
    <w:rsid w:val="00A52DBD"/>
    <w:rsid w:val="00A5376B"/>
    <w:rsid w:val="00A5378B"/>
    <w:rsid w:val="00A53818"/>
    <w:rsid w:val="00A5458F"/>
    <w:rsid w:val="00A547B3"/>
    <w:rsid w:val="00A54D64"/>
    <w:rsid w:val="00A54E31"/>
    <w:rsid w:val="00A55205"/>
    <w:rsid w:val="00A55543"/>
    <w:rsid w:val="00A5575A"/>
    <w:rsid w:val="00A55765"/>
    <w:rsid w:val="00A56174"/>
    <w:rsid w:val="00A5684F"/>
    <w:rsid w:val="00A57955"/>
    <w:rsid w:val="00A579CA"/>
    <w:rsid w:val="00A57CF2"/>
    <w:rsid w:val="00A60BE2"/>
    <w:rsid w:val="00A614B0"/>
    <w:rsid w:val="00A61A2B"/>
    <w:rsid w:val="00A61DED"/>
    <w:rsid w:val="00A6200F"/>
    <w:rsid w:val="00A62983"/>
    <w:rsid w:val="00A62989"/>
    <w:rsid w:val="00A62B9A"/>
    <w:rsid w:val="00A62D71"/>
    <w:rsid w:val="00A6307F"/>
    <w:rsid w:val="00A63094"/>
    <w:rsid w:val="00A63225"/>
    <w:rsid w:val="00A6324E"/>
    <w:rsid w:val="00A6371A"/>
    <w:rsid w:val="00A63BFD"/>
    <w:rsid w:val="00A63D6D"/>
    <w:rsid w:val="00A64556"/>
    <w:rsid w:val="00A645E8"/>
    <w:rsid w:val="00A648A0"/>
    <w:rsid w:val="00A648C7"/>
    <w:rsid w:val="00A64A28"/>
    <w:rsid w:val="00A6517D"/>
    <w:rsid w:val="00A65B8F"/>
    <w:rsid w:val="00A65DC5"/>
    <w:rsid w:val="00A65EF9"/>
    <w:rsid w:val="00A65F18"/>
    <w:rsid w:val="00A663F1"/>
    <w:rsid w:val="00A66404"/>
    <w:rsid w:val="00A6646E"/>
    <w:rsid w:val="00A6695F"/>
    <w:rsid w:val="00A66DEF"/>
    <w:rsid w:val="00A66F4D"/>
    <w:rsid w:val="00A6707E"/>
    <w:rsid w:val="00A67724"/>
    <w:rsid w:val="00A677D1"/>
    <w:rsid w:val="00A67A2C"/>
    <w:rsid w:val="00A67BDE"/>
    <w:rsid w:val="00A70076"/>
    <w:rsid w:val="00A71249"/>
    <w:rsid w:val="00A71D1D"/>
    <w:rsid w:val="00A72C9B"/>
    <w:rsid w:val="00A72CF2"/>
    <w:rsid w:val="00A72D4C"/>
    <w:rsid w:val="00A72E8E"/>
    <w:rsid w:val="00A72F04"/>
    <w:rsid w:val="00A73435"/>
    <w:rsid w:val="00A735E6"/>
    <w:rsid w:val="00A73715"/>
    <w:rsid w:val="00A73A30"/>
    <w:rsid w:val="00A73AA4"/>
    <w:rsid w:val="00A73B37"/>
    <w:rsid w:val="00A73CD8"/>
    <w:rsid w:val="00A73DB5"/>
    <w:rsid w:val="00A7414A"/>
    <w:rsid w:val="00A741EC"/>
    <w:rsid w:val="00A74ACD"/>
    <w:rsid w:val="00A74BFD"/>
    <w:rsid w:val="00A74F85"/>
    <w:rsid w:val="00A74F97"/>
    <w:rsid w:val="00A75AF6"/>
    <w:rsid w:val="00A7650D"/>
    <w:rsid w:val="00A76776"/>
    <w:rsid w:val="00A769E9"/>
    <w:rsid w:val="00A76AB5"/>
    <w:rsid w:val="00A76CEC"/>
    <w:rsid w:val="00A76F5F"/>
    <w:rsid w:val="00A77788"/>
    <w:rsid w:val="00A802F6"/>
    <w:rsid w:val="00A8054C"/>
    <w:rsid w:val="00A809F7"/>
    <w:rsid w:val="00A813D0"/>
    <w:rsid w:val="00A814E9"/>
    <w:rsid w:val="00A817E4"/>
    <w:rsid w:val="00A81A99"/>
    <w:rsid w:val="00A81BB7"/>
    <w:rsid w:val="00A81EC5"/>
    <w:rsid w:val="00A81F09"/>
    <w:rsid w:val="00A82316"/>
    <w:rsid w:val="00A82787"/>
    <w:rsid w:val="00A82DC0"/>
    <w:rsid w:val="00A83069"/>
    <w:rsid w:val="00A83148"/>
    <w:rsid w:val="00A8318E"/>
    <w:rsid w:val="00A8325E"/>
    <w:rsid w:val="00A8326B"/>
    <w:rsid w:val="00A838C3"/>
    <w:rsid w:val="00A839BE"/>
    <w:rsid w:val="00A83BF8"/>
    <w:rsid w:val="00A83DDB"/>
    <w:rsid w:val="00A83DF9"/>
    <w:rsid w:val="00A83FAB"/>
    <w:rsid w:val="00A841D6"/>
    <w:rsid w:val="00A845A2"/>
    <w:rsid w:val="00A84859"/>
    <w:rsid w:val="00A849AE"/>
    <w:rsid w:val="00A84B1B"/>
    <w:rsid w:val="00A84B22"/>
    <w:rsid w:val="00A84B61"/>
    <w:rsid w:val="00A85619"/>
    <w:rsid w:val="00A85F7C"/>
    <w:rsid w:val="00A8615F"/>
    <w:rsid w:val="00A861EE"/>
    <w:rsid w:val="00A86211"/>
    <w:rsid w:val="00A8626F"/>
    <w:rsid w:val="00A86288"/>
    <w:rsid w:val="00A8699D"/>
    <w:rsid w:val="00A869A6"/>
    <w:rsid w:val="00A86D5D"/>
    <w:rsid w:val="00A8719E"/>
    <w:rsid w:val="00A874AB"/>
    <w:rsid w:val="00A87C9D"/>
    <w:rsid w:val="00A9031D"/>
    <w:rsid w:val="00A906FE"/>
    <w:rsid w:val="00A90982"/>
    <w:rsid w:val="00A90CF7"/>
    <w:rsid w:val="00A910F1"/>
    <w:rsid w:val="00A91763"/>
    <w:rsid w:val="00A91CEB"/>
    <w:rsid w:val="00A91EF9"/>
    <w:rsid w:val="00A91F0B"/>
    <w:rsid w:val="00A92586"/>
    <w:rsid w:val="00A9376C"/>
    <w:rsid w:val="00A93ED8"/>
    <w:rsid w:val="00A9425D"/>
    <w:rsid w:val="00A94631"/>
    <w:rsid w:val="00A94A6D"/>
    <w:rsid w:val="00A951DF"/>
    <w:rsid w:val="00A95398"/>
    <w:rsid w:val="00A958A0"/>
    <w:rsid w:val="00A95E39"/>
    <w:rsid w:val="00A95EF5"/>
    <w:rsid w:val="00A967D4"/>
    <w:rsid w:val="00A97340"/>
    <w:rsid w:val="00A97491"/>
    <w:rsid w:val="00A9775A"/>
    <w:rsid w:val="00AA02F9"/>
    <w:rsid w:val="00AA0D87"/>
    <w:rsid w:val="00AA0E63"/>
    <w:rsid w:val="00AA1002"/>
    <w:rsid w:val="00AA1795"/>
    <w:rsid w:val="00AA17FC"/>
    <w:rsid w:val="00AA18D4"/>
    <w:rsid w:val="00AA2000"/>
    <w:rsid w:val="00AA2906"/>
    <w:rsid w:val="00AA3026"/>
    <w:rsid w:val="00AA318A"/>
    <w:rsid w:val="00AA3B47"/>
    <w:rsid w:val="00AA3F07"/>
    <w:rsid w:val="00AA4014"/>
    <w:rsid w:val="00AA411B"/>
    <w:rsid w:val="00AA4210"/>
    <w:rsid w:val="00AA44E6"/>
    <w:rsid w:val="00AA48D4"/>
    <w:rsid w:val="00AA4D61"/>
    <w:rsid w:val="00AA54E2"/>
    <w:rsid w:val="00AA559A"/>
    <w:rsid w:val="00AA582B"/>
    <w:rsid w:val="00AA5BA7"/>
    <w:rsid w:val="00AA6640"/>
    <w:rsid w:val="00AA7054"/>
    <w:rsid w:val="00AA7846"/>
    <w:rsid w:val="00AA7976"/>
    <w:rsid w:val="00AA7A69"/>
    <w:rsid w:val="00AA7BA2"/>
    <w:rsid w:val="00AA7CDC"/>
    <w:rsid w:val="00AA7F28"/>
    <w:rsid w:val="00AB01E0"/>
    <w:rsid w:val="00AB0254"/>
    <w:rsid w:val="00AB0F99"/>
    <w:rsid w:val="00AB1302"/>
    <w:rsid w:val="00AB239C"/>
    <w:rsid w:val="00AB275F"/>
    <w:rsid w:val="00AB32B0"/>
    <w:rsid w:val="00AB36A1"/>
    <w:rsid w:val="00AB386B"/>
    <w:rsid w:val="00AB38CF"/>
    <w:rsid w:val="00AB3D21"/>
    <w:rsid w:val="00AB3D46"/>
    <w:rsid w:val="00AB41AB"/>
    <w:rsid w:val="00AB438B"/>
    <w:rsid w:val="00AB4411"/>
    <w:rsid w:val="00AB4830"/>
    <w:rsid w:val="00AB496F"/>
    <w:rsid w:val="00AB4E30"/>
    <w:rsid w:val="00AB4EC0"/>
    <w:rsid w:val="00AB587B"/>
    <w:rsid w:val="00AB6514"/>
    <w:rsid w:val="00AB6CFA"/>
    <w:rsid w:val="00AB6FF9"/>
    <w:rsid w:val="00AB716D"/>
    <w:rsid w:val="00AB764D"/>
    <w:rsid w:val="00AB7C11"/>
    <w:rsid w:val="00AB7F3D"/>
    <w:rsid w:val="00AB7FD1"/>
    <w:rsid w:val="00AC001C"/>
    <w:rsid w:val="00AC058D"/>
    <w:rsid w:val="00AC07D9"/>
    <w:rsid w:val="00AC0B44"/>
    <w:rsid w:val="00AC1FFC"/>
    <w:rsid w:val="00AC2633"/>
    <w:rsid w:val="00AC277F"/>
    <w:rsid w:val="00AC2917"/>
    <w:rsid w:val="00AC298B"/>
    <w:rsid w:val="00AC2C62"/>
    <w:rsid w:val="00AC2E12"/>
    <w:rsid w:val="00AC3350"/>
    <w:rsid w:val="00AC385F"/>
    <w:rsid w:val="00AC394F"/>
    <w:rsid w:val="00AC3B9D"/>
    <w:rsid w:val="00AC3BBB"/>
    <w:rsid w:val="00AC40A1"/>
    <w:rsid w:val="00AC4245"/>
    <w:rsid w:val="00AC449E"/>
    <w:rsid w:val="00AC459D"/>
    <w:rsid w:val="00AC4740"/>
    <w:rsid w:val="00AC48D8"/>
    <w:rsid w:val="00AC5F3F"/>
    <w:rsid w:val="00AC5F92"/>
    <w:rsid w:val="00AC6489"/>
    <w:rsid w:val="00AC6A9B"/>
    <w:rsid w:val="00AC6CB0"/>
    <w:rsid w:val="00AC70E2"/>
    <w:rsid w:val="00AC71CA"/>
    <w:rsid w:val="00AC7467"/>
    <w:rsid w:val="00AD099A"/>
    <w:rsid w:val="00AD09AB"/>
    <w:rsid w:val="00AD0AE5"/>
    <w:rsid w:val="00AD0BF2"/>
    <w:rsid w:val="00AD0D11"/>
    <w:rsid w:val="00AD1A27"/>
    <w:rsid w:val="00AD1AC6"/>
    <w:rsid w:val="00AD1B5F"/>
    <w:rsid w:val="00AD1CA9"/>
    <w:rsid w:val="00AD1CF5"/>
    <w:rsid w:val="00AD1E7E"/>
    <w:rsid w:val="00AD2483"/>
    <w:rsid w:val="00AD275F"/>
    <w:rsid w:val="00AD28F7"/>
    <w:rsid w:val="00AD2E53"/>
    <w:rsid w:val="00AD3168"/>
    <w:rsid w:val="00AD3E50"/>
    <w:rsid w:val="00AD4021"/>
    <w:rsid w:val="00AD4503"/>
    <w:rsid w:val="00AD4843"/>
    <w:rsid w:val="00AD520B"/>
    <w:rsid w:val="00AD52DE"/>
    <w:rsid w:val="00AD5316"/>
    <w:rsid w:val="00AD57A8"/>
    <w:rsid w:val="00AD59D1"/>
    <w:rsid w:val="00AD5DA4"/>
    <w:rsid w:val="00AD617B"/>
    <w:rsid w:val="00AD643C"/>
    <w:rsid w:val="00AD65CB"/>
    <w:rsid w:val="00AD6695"/>
    <w:rsid w:val="00AD68F9"/>
    <w:rsid w:val="00AD69E1"/>
    <w:rsid w:val="00AD7BFF"/>
    <w:rsid w:val="00AE0052"/>
    <w:rsid w:val="00AE04DC"/>
    <w:rsid w:val="00AE09BF"/>
    <w:rsid w:val="00AE0EA3"/>
    <w:rsid w:val="00AE1158"/>
    <w:rsid w:val="00AE11FA"/>
    <w:rsid w:val="00AE1642"/>
    <w:rsid w:val="00AE1838"/>
    <w:rsid w:val="00AE1B03"/>
    <w:rsid w:val="00AE21E5"/>
    <w:rsid w:val="00AE22C7"/>
    <w:rsid w:val="00AE25F9"/>
    <w:rsid w:val="00AE2857"/>
    <w:rsid w:val="00AE4305"/>
    <w:rsid w:val="00AE43A4"/>
    <w:rsid w:val="00AE4638"/>
    <w:rsid w:val="00AE46D2"/>
    <w:rsid w:val="00AE47D2"/>
    <w:rsid w:val="00AE4A68"/>
    <w:rsid w:val="00AE4ABE"/>
    <w:rsid w:val="00AE4D23"/>
    <w:rsid w:val="00AE4E1D"/>
    <w:rsid w:val="00AE53CB"/>
    <w:rsid w:val="00AE551C"/>
    <w:rsid w:val="00AE5749"/>
    <w:rsid w:val="00AE58A2"/>
    <w:rsid w:val="00AE5B8B"/>
    <w:rsid w:val="00AE5D71"/>
    <w:rsid w:val="00AE5F8F"/>
    <w:rsid w:val="00AE60A1"/>
    <w:rsid w:val="00AE63BE"/>
    <w:rsid w:val="00AE6682"/>
    <w:rsid w:val="00AE6834"/>
    <w:rsid w:val="00AE6A22"/>
    <w:rsid w:val="00AE6A5B"/>
    <w:rsid w:val="00AE6AA3"/>
    <w:rsid w:val="00AE6CFD"/>
    <w:rsid w:val="00AE6FD4"/>
    <w:rsid w:val="00AE708C"/>
    <w:rsid w:val="00AE752E"/>
    <w:rsid w:val="00AE754A"/>
    <w:rsid w:val="00AE7A92"/>
    <w:rsid w:val="00AE7AC6"/>
    <w:rsid w:val="00AE7FCE"/>
    <w:rsid w:val="00AF01FE"/>
    <w:rsid w:val="00AF0236"/>
    <w:rsid w:val="00AF0888"/>
    <w:rsid w:val="00AF0EEF"/>
    <w:rsid w:val="00AF0F45"/>
    <w:rsid w:val="00AF1064"/>
    <w:rsid w:val="00AF1084"/>
    <w:rsid w:val="00AF154C"/>
    <w:rsid w:val="00AF1887"/>
    <w:rsid w:val="00AF1AD1"/>
    <w:rsid w:val="00AF1E3A"/>
    <w:rsid w:val="00AF1F43"/>
    <w:rsid w:val="00AF28CA"/>
    <w:rsid w:val="00AF2BDD"/>
    <w:rsid w:val="00AF2D47"/>
    <w:rsid w:val="00AF344A"/>
    <w:rsid w:val="00AF35E2"/>
    <w:rsid w:val="00AF3A52"/>
    <w:rsid w:val="00AF3ED6"/>
    <w:rsid w:val="00AF4C61"/>
    <w:rsid w:val="00AF5110"/>
    <w:rsid w:val="00AF5442"/>
    <w:rsid w:val="00AF5F5E"/>
    <w:rsid w:val="00AF621E"/>
    <w:rsid w:val="00AF63E2"/>
    <w:rsid w:val="00AF665D"/>
    <w:rsid w:val="00AF69A7"/>
    <w:rsid w:val="00AF730D"/>
    <w:rsid w:val="00AF7687"/>
    <w:rsid w:val="00AF7778"/>
    <w:rsid w:val="00AF7D27"/>
    <w:rsid w:val="00B0008C"/>
    <w:rsid w:val="00B0032A"/>
    <w:rsid w:val="00B00330"/>
    <w:rsid w:val="00B00884"/>
    <w:rsid w:val="00B00AFE"/>
    <w:rsid w:val="00B00BAC"/>
    <w:rsid w:val="00B00F1E"/>
    <w:rsid w:val="00B01060"/>
    <w:rsid w:val="00B0138D"/>
    <w:rsid w:val="00B01604"/>
    <w:rsid w:val="00B01BA9"/>
    <w:rsid w:val="00B01C00"/>
    <w:rsid w:val="00B01D36"/>
    <w:rsid w:val="00B01D66"/>
    <w:rsid w:val="00B0201E"/>
    <w:rsid w:val="00B027CE"/>
    <w:rsid w:val="00B02BD7"/>
    <w:rsid w:val="00B02EA9"/>
    <w:rsid w:val="00B02FF1"/>
    <w:rsid w:val="00B0317A"/>
    <w:rsid w:val="00B03AF7"/>
    <w:rsid w:val="00B03E7C"/>
    <w:rsid w:val="00B04342"/>
    <w:rsid w:val="00B043A6"/>
    <w:rsid w:val="00B04502"/>
    <w:rsid w:val="00B04647"/>
    <w:rsid w:val="00B0483A"/>
    <w:rsid w:val="00B049AF"/>
    <w:rsid w:val="00B056CF"/>
    <w:rsid w:val="00B05879"/>
    <w:rsid w:val="00B0663D"/>
    <w:rsid w:val="00B068E0"/>
    <w:rsid w:val="00B06B2C"/>
    <w:rsid w:val="00B07034"/>
    <w:rsid w:val="00B07218"/>
    <w:rsid w:val="00B07309"/>
    <w:rsid w:val="00B07EC8"/>
    <w:rsid w:val="00B101F7"/>
    <w:rsid w:val="00B1074C"/>
    <w:rsid w:val="00B10BFA"/>
    <w:rsid w:val="00B1130B"/>
    <w:rsid w:val="00B11874"/>
    <w:rsid w:val="00B118DB"/>
    <w:rsid w:val="00B119D0"/>
    <w:rsid w:val="00B119D7"/>
    <w:rsid w:val="00B11FDD"/>
    <w:rsid w:val="00B12B89"/>
    <w:rsid w:val="00B13C64"/>
    <w:rsid w:val="00B13F44"/>
    <w:rsid w:val="00B145C7"/>
    <w:rsid w:val="00B147FD"/>
    <w:rsid w:val="00B149D2"/>
    <w:rsid w:val="00B15630"/>
    <w:rsid w:val="00B1567B"/>
    <w:rsid w:val="00B15919"/>
    <w:rsid w:val="00B15B69"/>
    <w:rsid w:val="00B15C15"/>
    <w:rsid w:val="00B1691C"/>
    <w:rsid w:val="00B16AEE"/>
    <w:rsid w:val="00B16D88"/>
    <w:rsid w:val="00B16E6E"/>
    <w:rsid w:val="00B170D7"/>
    <w:rsid w:val="00B1712D"/>
    <w:rsid w:val="00B1738A"/>
    <w:rsid w:val="00B1744A"/>
    <w:rsid w:val="00B17977"/>
    <w:rsid w:val="00B17A6E"/>
    <w:rsid w:val="00B17B30"/>
    <w:rsid w:val="00B17B88"/>
    <w:rsid w:val="00B17E68"/>
    <w:rsid w:val="00B17ED4"/>
    <w:rsid w:val="00B202A1"/>
    <w:rsid w:val="00B202C6"/>
    <w:rsid w:val="00B205A8"/>
    <w:rsid w:val="00B20837"/>
    <w:rsid w:val="00B213F2"/>
    <w:rsid w:val="00B2153F"/>
    <w:rsid w:val="00B21576"/>
    <w:rsid w:val="00B21801"/>
    <w:rsid w:val="00B2198E"/>
    <w:rsid w:val="00B219B9"/>
    <w:rsid w:val="00B21AEE"/>
    <w:rsid w:val="00B21E5E"/>
    <w:rsid w:val="00B21E66"/>
    <w:rsid w:val="00B21F39"/>
    <w:rsid w:val="00B22C56"/>
    <w:rsid w:val="00B22CF5"/>
    <w:rsid w:val="00B2307F"/>
    <w:rsid w:val="00B23907"/>
    <w:rsid w:val="00B2409C"/>
    <w:rsid w:val="00B246A8"/>
    <w:rsid w:val="00B24AD0"/>
    <w:rsid w:val="00B24EEF"/>
    <w:rsid w:val="00B25684"/>
    <w:rsid w:val="00B25883"/>
    <w:rsid w:val="00B25A6A"/>
    <w:rsid w:val="00B25E56"/>
    <w:rsid w:val="00B26540"/>
    <w:rsid w:val="00B2660E"/>
    <w:rsid w:val="00B26AFE"/>
    <w:rsid w:val="00B26D3A"/>
    <w:rsid w:val="00B2704D"/>
    <w:rsid w:val="00B273A2"/>
    <w:rsid w:val="00B27546"/>
    <w:rsid w:val="00B27B16"/>
    <w:rsid w:val="00B30014"/>
    <w:rsid w:val="00B303CD"/>
    <w:rsid w:val="00B30B56"/>
    <w:rsid w:val="00B3169C"/>
    <w:rsid w:val="00B316A1"/>
    <w:rsid w:val="00B318B7"/>
    <w:rsid w:val="00B31F6D"/>
    <w:rsid w:val="00B322D2"/>
    <w:rsid w:val="00B32458"/>
    <w:rsid w:val="00B32624"/>
    <w:rsid w:val="00B32886"/>
    <w:rsid w:val="00B33233"/>
    <w:rsid w:val="00B337D3"/>
    <w:rsid w:val="00B33A86"/>
    <w:rsid w:val="00B33AD5"/>
    <w:rsid w:val="00B33B65"/>
    <w:rsid w:val="00B341BD"/>
    <w:rsid w:val="00B34327"/>
    <w:rsid w:val="00B34BBF"/>
    <w:rsid w:val="00B34DD2"/>
    <w:rsid w:val="00B34F72"/>
    <w:rsid w:val="00B34FE0"/>
    <w:rsid w:val="00B35B06"/>
    <w:rsid w:val="00B36220"/>
    <w:rsid w:val="00B36586"/>
    <w:rsid w:val="00B365E9"/>
    <w:rsid w:val="00B36772"/>
    <w:rsid w:val="00B36899"/>
    <w:rsid w:val="00B36966"/>
    <w:rsid w:val="00B37056"/>
    <w:rsid w:val="00B37969"/>
    <w:rsid w:val="00B40111"/>
    <w:rsid w:val="00B40860"/>
    <w:rsid w:val="00B40AFE"/>
    <w:rsid w:val="00B4106B"/>
    <w:rsid w:val="00B41323"/>
    <w:rsid w:val="00B417B9"/>
    <w:rsid w:val="00B419DB"/>
    <w:rsid w:val="00B421BB"/>
    <w:rsid w:val="00B424A8"/>
    <w:rsid w:val="00B42561"/>
    <w:rsid w:val="00B4269D"/>
    <w:rsid w:val="00B4280D"/>
    <w:rsid w:val="00B429E6"/>
    <w:rsid w:val="00B4327C"/>
    <w:rsid w:val="00B432E1"/>
    <w:rsid w:val="00B43659"/>
    <w:rsid w:val="00B43ABD"/>
    <w:rsid w:val="00B43DCB"/>
    <w:rsid w:val="00B440A5"/>
    <w:rsid w:val="00B44AF1"/>
    <w:rsid w:val="00B44D97"/>
    <w:rsid w:val="00B45B76"/>
    <w:rsid w:val="00B46020"/>
    <w:rsid w:val="00B46483"/>
    <w:rsid w:val="00B464E5"/>
    <w:rsid w:val="00B46BFD"/>
    <w:rsid w:val="00B4714D"/>
    <w:rsid w:val="00B4745A"/>
    <w:rsid w:val="00B47508"/>
    <w:rsid w:val="00B47A83"/>
    <w:rsid w:val="00B47BA2"/>
    <w:rsid w:val="00B47D6F"/>
    <w:rsid w:val="00B500F6"/>
    <w:rsid w:val="00B502C3"/>
    <w:rsid w:val="00B5040D"/>
    <w:rsid w:val="00B50654"/>
    <w:rsid w:val="00B508CD"/>
    <w:rsid w:val="00B50A8F"/>
    <w:rsid w:val="00B50B42"/>
    <w:rsid w:val="00B50BCD"/>
    <w:rsid w:val="00B51236"/>
    <w:rsid w:val="00B51789"/>
    <w:rsid w:val="00B518D4"/>
    <w:rsid w:val="00B51DB1"/>
    <w:rsid w:val="00B51E7B"/>
    <w:rsid w:val="00B52A44"/>
    <w:rsid w:val="00B52C50"/>
    <w:rsid w:val="00B531EB"/>
    <w:rsid w:val="00B5335F"/>
    <w:rsid w:val="00B53C8E"/>
    <w:rsid w:val="00B53D29"/>
    <w:rsid w:val="00B54320"/>
    <w:rsid w:val="00B543A9"/>
    <w:rsid w:val="00B54BA4"/>
    <w:rsid w:val="00B54DEE"/>
    <w:rsid w:val="00B553D9"/>
    <w:rsid w:val="00B5578E"/>
    <w:rsid w:val="00B5597E"/>
    <w:rsid w:val="00B55F79"/>
    <w:rsid w:val="00B56037"/>
    <w:rsid w:val="00B56A58"/>
    <w:rsid w:val="00B56D89"/>
    <w:rsid w:val="00B56EFD"/>
    <w:rsid w:val="00B57104"/>
    <w:rsid w:val="00B5725D"/>
    <w:rsid w:val="00B576E8"/>
    <w:rsid w:val="00B57763"/>
    <w:rsid w:val="00B57880"/>
    <w:rsid w:val="00B57985"/>
    <w:rsid w:val="00B57A0C"/>
    <w:rsid w:val="00B57ACE"/>
    <w:rsid w:val="00B57B6E"/>
    <w:rsid w:val="00B60235"/>
    <w:rsid w:val="00B602A9"/>
    <w:rsid w:val="00B606A0"/>
    <w:rsid w:val="00B6094E"/>
    <w:rsid w:val="00B60C9E"/>
    <w:rsid w:val="00B60D6C"/>
    <w:rsid w:val="00B60E79"/>
    <w:rsid w:val="00B612D2"/>
    <w:rsid w:val="00B6147C"/>
    <w:rsid w:val="00B616CD"/>
    <w:rsid w:val="00B617FF"/>
    <w:rsid w:val="00B61DD5"/>
    <w:rsid w:val="00B620F0"/>
    <w:rsid w:val="00B623A8"/>
    <w:rsid w:val="00B628AA"/>
    <w:rsid w:val="00B629DC"/>
    <w:rsid w:val="00B62B01"/>
    <w:rsid w:val="00B630C0"/>
    <w:rsid w:val="00B63533"/>
    <w:rsid w:val="00B636AE"/>
    <w:rsid w:val="00B638E5"/>
    <w:rsid w:val="00B63C05"/>
    <w:rsid w:val="00B63EF2"/>
    <w:rsid w:val="00B63F5E"/>
    <w:rsid w:val="00B64477"/>
    <w:rsid w:val="00B6466E"/>
    <w:rsid w:val="00B647AF"/>
    <w:rsid w:val="00B64F42"/>
    <w:rsid w:val="00B65026"/>
    <w:rsid w:val="00B651D5"/>
    <w:rsid w:val="00B655D6"/>
    <w:rsid w:val="00B65B86"/>
    <w:rsid w:val="00B65B8A"/>
    <w:rsid w:val="00B65F2D"/>
    <w:rsid w:val="00B66144"/>
    <w:rsid w:val="00B664A7"/>
    <w:rsid w:val="00B66B79"/>
    <w:rsid w:val="00B66B9E"/>
    <w:rsid w:val="00B66FF4"/>
    <w:rsid w:val="00B6768B"/>
    <w:rsid w:val="00B6778A"/>
    <w:rsid w:val="00B679A2"/>
    <w:rsid w:val="00B7034D"/>
    <w:rsid w:val="00B70854"/>
    <w:rsid w:val="00B70B77"/>
    <w:rsid w:val="00B70C13"/>
    <w:rsid w:val="00B70CBF"/>
    <w:rsid w:val="00B70F81"/>
    <w:rsid w:val="00B713CB"/>
    <w:rsid w:val="00B7179C"/>
    <w:rsid w:val="00B717D8"/>
    <w:rsid w:val="00B71861"/>
    <w:rsid w:val="00B71976"/>
    <w:rsid w:val="00B7215D"/>
    <w:rsid w:val="00B72882"/>
    <w:rsid w:val="00B73295"/>
    <w:rsid w:val="00B7347A"/>
    <w:rsid w:val="00B73860"/>
    <w:rsid w:val="00B73EB7"/>
    <w:rsid w:val="00B747CF"/>
    <w:rsid w:val="00B74941"/>
    <w:rsid w:val="00B74959"/>
    <w:rsid w:val="00B74FD9"/>
    <w:rsid w:val="00B75152"/>
    <w:rsid w:val="00B7527A"/>
    <w:rsid w:val="00B7543E"/>
    <w:rsid w:val="00B75890"/>
    <w:rsid w:val="00B7599B"/>
    <w:rsid w:val="00B75E00"/>
    <w:rsid w:val="00B75E3B"/>
    <w:rsid w:val="00B769D8"/>
    <w:rsid w:val="00B76BE2"/>
    <w:rsid w:val="00B77182"/>
    <w:rsid w:val="00B7721F"/>
    <w:rsid w:val="00B77E7C"/>
    <w:rsid w:val="00B803CA"/>
    <w:rsid w:val="00B80DAD"/>
    <w:rsid w:val="00B80DEC"/>
    <w:rsid w:val="00B81367"/>
    <w:rsid w:val="00B819DB"/>
    <w:rsid w:val="00B81BF2"/>
    <w:rsid w:val="00B81F26"/>
    <w:rsid w:val="00B824E4"/>
    <w:rsid w:val="00B82616"/>
    <w:rsid w:val="00B82629"/>
    <w:rsid w:val="00B82A97"/>
    <w:rsid w:val="00B82DC2"/>
    <w:rsid w:val="00B836C8"/>
    <w:rsid w:val="00B83744"/>
    <w:rsid w:val="00B83F00"/>
    <w:rsid w:val="00B84272"/>
    <w:rsid w:val="00B84282"/>
    <w:rsid w:val="00B84D29"/>
    <w:rsid w:val="00B84FDB"/>
    <w:rsid w:val="00B8512B"/>
    <w:rsid w:val="00B85707"/>
    <w:rsid w:val="00B85A44"/>
    <w:rsid w:val="00B85B75"/>
    <w:rsid w:val="00B85F57"/>
    <w:rsid w:val="00B860C8"/>
    <w:rsid w:val="00B86389"/>
    <w:rsid w:val="00B87A21"/>
    <w:rsid w:val="00B87AC6"/>
    <w:rsid w:val="00B87E1B"/>
    <w:rsid w:val="00B906D3"/>
    <w:rsid w:val="00B90C7D"/>
    <w:rsid w:val="00B90E71"/>
    <w:rsid w:val="00B91623"/>
    <w:rsid w:val="00B9173B"/>
    <w:rsid w:val="00B91FFF"/>
    <w:rsid w:val="00B92157"/>
    <w:rsid w:val="00B923C2"/>
    <w:rsid w:val="00B92A32"/>
    <w:rsid w:val="00B92E5F"/>
    <w:rsid w:val="00B93130"/>
    <w:rsid w:val="00B93653"/>
    <w:rsid w:val="00B936B4"/>
    <w:rsid w:val="00B938F8"/>
    <w:rsid w:val="00B93ADF"/>
    <w:rsid w:val="00B93BCD"/>
    <w:rsid w:val="00B93DAB"/>
    <w:rsid w:val="00B93DE3"/>
    <w:rsid w:val="00B94298"/>
    <w:rsid w:val="00B949E8"/>
    <w:rsid w:val="00B94C9D"/>
    <w:rsid w:val="00B94EF3"/>
    <w:rsid w:val="00B95349"/>
    <w:rsid w:val="00B9577E"/>
    <w:rsid w:val="00B9613F"/>
    <w:rsid w:val="00B96362"/>
    <w:rsid w:val="00B96851"/>
    <w:rsid w:val="00B96973"/>
    <w:rsid w:val="00B969CD"/>
    <w:rsid w:val="00B96A61"/>
    <w:rsid w:val="00B9727A"/>
    <w:rsid w:val="00B9740E"/>
    <w:rsid w:val="00BA070E"/>
    <w:rsid w:val="00BA10EC"/>
    <w:rsid w:val="00BA1296"/>
    <w:rsid w:val="00BA1355"/>
    <w:rsid w:val="00BA14CB"/>
    <w:rsid w:val="00BA2073"/>
    <w:rsid w:val="00BA2314"/>
    <w:rsid w:val="00BA23F8"/>
    <w:rsid w:val="00BA2766"/>
    <w:rsid w:val="00BA2FFA"/>
    <w:rsid w:val="00BA327E"/>
    <w:rsid w:val="00BA396F"/>
    <w:rsid w:val="00BA40D4"/>
    <w:rsid w:val="00BA412C"/>
    <w:rsid w:val="00BA46C9"/>
    <w:rsid w:val="00BA4E57"/>
    <w:rsid w:val="00BA4ED5"/>
    <w:rsid w:val="00BA5785"/>
    <w:rsid w:val="00BA5833"/>
    <w:rsid w:val="00BA6525"/>
    <w:rsid w:val="00BA66EA"/>
    <w:rsid w:val="00BA6CF1"/>
    <w:rsid w:val="00BA70B3"/>
    <w:rsid w:val="00BA7C90"/>
    <w:rsid w:val="00BA7F5F"/>
    <w:rsid w:val="00BA7FF7"/>
    <w:rsid w:val="00BB0225"/>
    <w:rsid w:val="00BB1294"/>
    <w:rsid w:val="00BB1B3A"/>
    <w:rsid w:val="00BB241E"/>
    <w:rsid w:val="00BB2658"/>
    <w:rsid w:val="00BB2B03"/>
    <w:rsid w:val="00BB2B28"/>
    <w:rsid w:val="00BB3296"/>
    <w:rsid w:val="00BB36A4"/>
    <w:rsid w:val="00BB38CA"/>
    <w:rsid w:val="00BB3C99"/>
    <w:rsid w:val="00BB3C9C"/>
    <w:rsid w:val="00BB3ECB"/>
    <w:rsid w:val="00BB42E0"/>
    <w:rsid w:val="00BB47AD"/>
    <w:rsid w:val="00BB4EC9"/>
    <w:rsid w:val="00BB5129"/>
    <w:rsid w:val="00BB5182"/>
    <w:rsid w:val="00BB51B9"/>
    <w:rsid w:val="00BB556C"/>
    <w:rsid w:val="00BB5C82"/>
    <w:rsid w:val="00BB5D49"/>
    <w:rsid w:val="00BB720B"/>
    <w:rsid w:val="00BB7282"/>
    <w:rsid w:val="00BB7306"/>
    <w:rsid w:val="00BB75D1"/>
    <w:rsid w:val="00BB78B1"/>
    <w:rsid w:val="00BC04CE"/>
    <w:rsid w:val="00BC06D9"/>
    <w:rsid w:val="00BC078F"/>
    <w:rsid w:val="00BC08F4"/>
    <w:rsid w:val="00BC090A"/>
    <w:rsid w:val="00BC0977"/>
    <w:rsid w:val="00BC0B78"/>
    <w:rsid w:val="00BC10DC"/>
    <w:rsid w:val="00BC148D"/>
    <w:rsid w:val="00BC1595"/>
    <w:rsid w:val="00BC1B43"/>
    <w:rsid w:val="00BC1F16"/>
    <w:rsid w:val="00BC2442"/>
    <w:rsid w:val="00BC2751"/>
    <w:rsid w:val="00BC276F"/>
    <w:rsid w:val="00BC3459"/>
    <w:rsid w:val="00BC3466"/>
    <w:rsid w:val="00BC3A68"/>
    <w:rsid w:val="00BC3D81"/>
    <w:rsid w:val="00BC3D85"/>
    <w:rsid w:val="00BC3FBD"/>
    <w:rsid w:val="00BC4409"/>
    <w:rsid w:val="00BC4470"/>
    <w:rsid w:val="00BC488F"/>
    <w:rsid w:val="00BC4B04"/>
    <w:rsid w:val="00BC5275"/>
    <w:rsid w:val="00BC5397"/>
    <w:rsid w:val="00BC542F"/>
    <w:rsid w:val="00BC56DD"/>
    <w:rsid w:val="00BC5A63"/>
    <w:rsid w:val="00BC5CA6"/>
    <w:rsid w:val="00BC63BF"/>
    <w:rsid w:val="00BC674F"/>
    <w:rsid w:val="00BC69FC"/>
    <w:rsid w:val="00BC6A50"/>
    <w:rsid w:val="00BC6BB6"/>
    <w:rsid w:val="00BC6D91"/>
    <w:rsid w:val="00BC7188"/>
    <w:rsid w:val="00BC7286"/>
    <w:rsid w:val="00BC7417"/>
    <w:rsid w:val="00BC7A22"/>
    <w:rsid w:val="00BD0988"/>
    <w:rsid w:val="00BD17E8"/>
    <w:rsid w:val="00BD18E4"/>
    <w:rsid w:val="00BD1AE2"/>
    <w:rsid w:val="00BD1CDF"/>
    <w:rsid w:val="00BD2B37"/>
    <w:rsid w:val="00BD3225"/>
    <w:rsid w:val="00BD37FD"/>
    <w:rsid w:val="00BD4162"/>
    <w:rsid w:val="00BD416F"/>
    <w:rsid w:val="00BD4303"/>
    <w:rsid w:val="00BD4379"/>
    <w:rsid w:val="00BD4721"/>
    <w:rsid w:val="00BD48EC"/>
    <w:rsid w:val="00BD4B25"/>
    <w:rsid w:val="00BD51B5"/>
    <w:rsid w:val="00BD56E4"/>
    <w:rsid w:val="00BD5AE9"/>
    <w:rsid w:val="00BD5D50"/>
    <w:rsid w:val="00BD609B"/>
    <w:rsid w:val="00BD62BB"/>
    <w:rsid w:val="00BD62E6"/>
    <w:rsid w:val="00BD6394"/>
    <w:rsid w:val="00BD64BE"/>
    <w:rsid w:val="00BD64C0"/>
    <w:rsid w:val="00BD65B5"/>
    <w:rsid w:val="00BD67F3"/>
    <w:rsid w:val="00BD6E47"/>
    <w:rsid w:val="00BD7311"/>
    <w:rsid w:val="00BD749B"/>
    <w:rsid w:val="00BD74FE"/>
    <w:rsid w:val="00BD76DA"/>
    <w:rsid w:val="00BD7D39"/>
    <w:rsid w:val="00BD7DBD"/>
    <w:rsid w:val="00BD7FC2"/>
    <w:rsid w:val="00BE0875"/>
    <w:rsid w:val="00BE0AB0"/>
    <w:rsid w:val="00BE0E04"/>
    <w:rsid w:val="00BE0FDE"/>
    <w:rsid w:val="00BE1088"/>
    <w:rsid w:val="00BE174A"/>
    <w:rsid w:val="00BE1BCD"/>
    <w:rsid w:val="00BE2300"/>
    <w:rsid w:val="00BE2334"/>
    <w:rsid w:val="00BE2600"/>
    <w:rsid w:val="00BE265A"/>
    <w:rsid w:val="00BE2BB9"/>
    <w:rsid w:val="00BE2EB7"/>
    <w:rsid w:val="00BE301F"/>
    <w:rsid w:val="00BE34DC"/>
    <w:rsid w:val="00BE38A3"/>
    <w:rsid w:val="00BE406A"/>
    <w:rsid w:val="00BE461A"/>
    <w:rsid w:val="00BE489A"/>
    <w:rsid w:val="00BE58EE"/>
    <w:rsid w:val="00BE5933"/>
    <w:rsid w:val="00BE5951"/>
    <w:rsid w:val="00BE5A63"/>
    <w:rsid w:val="00BE61DF"/>
    <w:rsid w:val="00BE6680"/>
    <w:rsid w:val="00BE6942"/>
    <w:rsid w:val="00BE69FC"/>
    <w:rsid w:val="00BE6EFF"/>
    <w:rsid w:val="00BE73FF"/>
    <w:rsid w:val="00BE7753"/>
    <w:rsid w:val="00BE7822"/>
    <w:rsid w:val="00BE7907"/>
    <w:rsid w:val="00BE7AAC"/>
    <w:rsid w:val="00BE7AE0"/>
    <w:rsid w:val="00BF0301"/>
    <w:rsid w:val="00BF0BFA"/>
    <w:rsid w:val="00BF0C84"/>
    <w:rsid w:val="00BF0D06"/>
    <w:rsid w:val="00BF0D7B"/>
    <w:rsid w:val="00BF1635"/>
    <w:rsid w:val="00BF1DF3"/>
    <w:rsid w:val="00BF1F6B"/>
    <w:rsid w:val="00BF243C"/>
    <w:rsid w:val="00BF288E"/>
    <w:rsid w:val="00BF290F"/>
    <w:rsid w:val="00BF2A30"/>
    <w:rsid w:val="00BF307E"/>
    <w:rsid w:val="00BF315D"/>
    <w:rsid w:val="00BF3908"/>
    <w:rsid w:val="00BF3984"/>
    <w:rsid w:val="00BF3AE0"/>
    <w:rsid w:val="00BF4427"/>
    <w:rsid w:val="00BF478A"/>
    <w:rsid w:val="00BF4EC1"/>
    <w:rsid w:val="00BF52F2"/>
    <w:rsid w:val="00BF56F0"/>
    <w:rsid w:val="00BF5E5D"/>
    <w:rsid w:val="00BF65B6"/>
    <w:rsid w:val="00BF687B"/>
    <w:rsid w:val="00BF6B7F"/>
    <w:rsid w:val="00BF6D19"/>
    <w:rsid w:val="00BF6F84"/>
    <w:rsid w:val="00BF706A"/>
    <w:rsid w:val="00BF7541"/>
    <w:rsid w:val="00BF7673"/>
    <w:rsid w:val="00BF7A91"/>
    <w:rsid w:val="00BF7E14"/>
    <w:rsid w:val="00C00D62"/>
    <w:rsid w:val="00C00F8F"/>
    <w:rsid w:val="00C017CC"/>
    <w:rsid w:val="00C0182F"/>
    <w:rsid w:val="00C018EA"/>
    <w:rsid w:val="00C027E8"/>
    <w:rsid w:val="00C02BE5"/>
    <w:rsid w:val="00C02F28"/>
    <w:rsid w:val="00C03452"/>
    <w:rsid w:val="00C03F3D"/>
    <w:rsid w:val="00C04536"/>
    <w:rsid w:val="00C04BBA"/>
    <w:rsid w:val="00C05478"/>
    <w:rsid w:val="00C055B5"/>
    <w:rsid w:val="00C05659"/>
    <w:rsid w:val="00C05811"/>
    <w:rsid w:val="00C058EB"/>
    <w:rsid w:val="00C05A16"/>
    <w:rsid w:val="00C063E1"/>
    <w:rsid w:val="00C06464"/>
    <w:rsid w:val="00C06791"/>
    <w:rsid w:val="00C06892"/>
    <w:rsid w:val="00C06AAF"/>
    <w:rsid w:val="00C06C28"/>
    <w:rsid w:val="00C07040"/>
    <w:rsid w:val="00C0770C"/>
    <w:rsid w:val="00C07805"/>
    <w:rsid w:val="00C07C59"/>
    <w:rsid w:val="00C07E5A"/>
    <w:rsid w:val="00C07FB7"/>
    <w:rsid w:val="00C1014A"/>
    <w:rsid w:val="00C102EA"/>
    <w:rsid w:val="00C1038D"/>
    <w:rsid w:val="00C103BC"/>
    <w:rsid w:val="00C110EE"/>
    <w:rsid w:val="00C111A9"/>
    <w:rsid w:val="00C111C0"/>
    <w:rsid w:val="00C116EB"/>
    <w:rsid w:val="00C11726"/>
    <w:rsid w:val="00C119D3"/>
    <w:rsid w:val="00C11F23"/>
    <w:rsid w:val="00C12DDA"/>
    <w:rsid w:val="00C12E7E"/>
    <w:rsid w:val="00C13514"/>
    <w:rsid w:val="00C1382C"/>
    <w:rsid w:val="00C13AC7"/>
    <w:rsid w:val="00C14BBC"/>
    <w:rsid w:val="00C15147"/>
    <w:rsid w:val="00C15549"/>
    <w:rsid w:val="00C1575C"/>
    <w:rsid w:val="00C15C6A"/>
    <w:rsid w:val="00C162DB"/>
    <w:rsid w:val="00C1654B"/>
    <w:rsid w:val="00C166D5"/>
    <w:rsid w:val="00C16896"/>
    <w:rsid w:val="00C17052"/>
    <w:rsid w:val="00C1706C"/>
    <w:rsid w:val="00C17419"/>
    <w:rsid w:val="00C1762F"/>
    <w:rsid w:val="00C179BA"/>
    <w:rsid w:val="00C20335"/>
    <w:rsid w:val="00C203FF"/>
    <w:rsid w:val="00C2098C"/>
    <w:rsid w:val="00C20DFF"/>
    <w:rsid w:val="00C20EA2"/>
    <w:rsid w:val="00C20EC3"/>
    <w:rsid w:val="00C21474"/>
    <w:rsid w:val="00C223CB"/>
    <w:rsid w:val="00C22B0C"/>
    <w:rsid w:val="00C22B98"/>
    <w:rsid w:val="00C22C10"/>
    <w:rsid w:val="00C23299"/>
    <w:rsid w:val="00C23881"/>
    <w:rsid w:val="00C23920"/>
    <w:rsid w:val="00C23AD0"/>
    <w:rsid w:val="00C23E50"/>
    <w:rsid w:val="00C24550"/>
    <w:rsid w:val="00C24BE8"/>
    <w:rsid w:val="00C24EC4"/>
    <w:rsid w:val="00C2525A"/>
    <w:rsid w:val="00C256E6"/>
    <w:rsid w:val="00C256F2"/>
    <w:rsid w:val="00C2594F"/>
    <w:rsid w:val="00C25AA7"/>
    <w:rsid w:val="00C25E9D"/>
    <w:rsid w:val="00C25EC4"/>
    <w:rsid w:val="00C26412"/>
    <w:rsid w:val="00C265D7"/>
    <w:rsid w:val="00C266C1"/>
    <w:rsid w:val="00C267C1"/>
    <w:rsid w:val="00C26A04"/>
    <w:rsid w:val="00C26BA5"/>
    <w:rsid w:val="00C26D60"/>
    <w:rsid w:val="00C26EE5"/>
    <w:rsid w:val="00C2764A"/>
    <w:rsid w:val="00C27679"/>
    <w:rsid w:val="00C27926"/>
    <w:rsid w:val="00C27AF7"/>
    <w:rsid w:val="00C27E35"/>
    <w:rsid w:val="00C30827"/>
    <w:rsid w:val="00C308F7"/>
    <w:rsid w:val="00C30B6D"/>
    <w:rsid w:val="00C317C6"/>
    <w:rsid w:val="00C31D1B"/>
    <w:rsid w:val="00C31FA5"/>
    <w:rsid w:val="00C32839"/>
    <w:rsid w:val="00C32CE2"/>
    <w:rsid w:val="00C32E76"/>
    <w:rsid w:val="00C32F65"/>
    <w:rsid w:val="00C32FA7"/>
    <w:rsid w:val="00C33139"/>
    <w:rsid w:val="00C333C5"/>
    <w:rsid w:val="00C33620"/>
    <w:rsid w:val="00C339C7"/>
    <w:rsid w:val="00C33BBA"/>
    <w:rsid w:val="00C34E9D"/>
    <w:rsid w:val="00C35029"/>
    <w:rsid w:val="00C3516C"/>
    <w:rsid w:val="00C3546F"/>
    <w:rsid w:val="00C354B1"/>
    <w:rsid w:val="00C3570B"/>
    <w:rsid w:val="00C35AC3"/>
    <w:rsid w:val="00C367D9"/>
    <w:rsid w:val="00C36D65"/>
    <w:rsid w:val="00C37A09"/>
    <w:rsid w:val="00C37A69"/>
    <w:rsid w:val="00C37DCF"/>
    <w:rsid w:val="00C40445"/>
    <w:rsid w:val="00C4188E"/>
    <w:rsid w:val="00C41B45"/>
    <w:rsid w:val="00C42019"/>
    <w:rsid w:val="00C42965"/>
    <w:rsid w:val="00C434A8"/>
    <w:rsid w:val="00C43706"/>
    <w:rsid w:val="00C43B1B"/>
    <w:rsid w:val="00C43C02"/>
    <w:rsid w:val="00C446FD"/>
    <w:rsid w:val="00C44908"/>
    <w:rsid w:val="00C44F84"/>
    <w:rsid w:val="00C45BA3"/>
    <w:rsid w:val="00C46426"/>
    <w:rsid w:val="00C464A3"/>
    <w:rsid w:val="00C464F4"/>
    <w:rsid w:val="00C46AC8"/>
    <w:rsid w:val="00C46BBC"/>
    <w:rsid w:val="00C470B0"/>
    <w:rsid w:val="00C47974"/>
    <w:rsid w:val="00C50229"/>
    <w:rsid w:val="00C50355"/>
    <w:rsid w:val="00C50F2F"/>
    <w:rsid w:val="00C51111"/>
    <w:rsid w:val="00C5138C"/>
    <w:rsid w:val="00C519AB"/>
    <w:rsid w:val="00C52135"/>
    <w:rsid w:val="00C5262E"/>
    <w:rsid w:val="00C526C5"/>
    <w:rsid w:val="00C52B4F"/>
    <w:rsid w:val="00C52D1C"/>
    <w:rsid w:val="00C52E77"/>
    <w:rsid w:val="00C5374D"/>
    <w:rsid w:val="00C53766"/>
    <w:rsid w:val="00C54C09"/>
    <w:rsid w:val="00C54E66"/>
    <w:rsid w:val="00C5505C"/>
    <w:rsid w:val="00C550B7"/>
    <w:rsid w:val="00C55251"/>
    <w:rsid w:val="00C55340"/>
    <w:rsid w:val="00C5547B"/>
    <w:rsid w:val="00C554B5"/>
    <w:rsid w:val="00C554E7"/>
    <w:rsid w:val="00C55946"/>
    <w:rsid w:val="00C563E6"/>
    <w:rsid w:val="00C56432"/>
    <w:rsid w:val="00C56AF0"/>
    <w:rsid w:val="00C56E61"/>
    <w:rsid w:val="00C5715F"/>
    <w:rsid w:val="00C5718F"/>
    <w:rsid w:val="00C57964"/>
    <w:rsid w:val="00C57A6E"/>
    <w:rsid w:val="00C57A78"/>
    <w:rsid w:val="00C57ED0"/>
    <w:rsid w:val="00C57FAE"/>
    <w:rsid w:val="00C602AA"/>
    <w:rsid w:val="00C605D2"/>
    <w:rsid w:val="00C60783"/>
    <w:rsid w:val="00C6084A"/>
    <w:rsid w:val="00C6118F"/>
    <w:rsid w:val="00C611D4"/>
    <w:rsid w:val="00C611F1"/>
    <w:rsid w:val="00C612C0"/>
    <w:rsid w:val="00C616AE"/>
    <w:rsid w:val="00C61A13"/>
    <w:rsid w:val="00C61E1F"/>
    <w:rsid w:val="00C62227"/>
    <w:rsid w:val="00C629A1"/>
    <w:rsid w:val="00C62EE7"/>
    <w:rsid w:val="00C633C1"/>
    <w:rsid w:val="00C63C41"/>
    <w:rsid w:val="00C63E7A"/>
    <w:rsid w:val="00C646D3"/>
    <w:rsid w:val="00C646F0"/>
    <w:rsid w:val="00C64740"/>
    <w:rsid w:val="00C64890"/>
    <w:rsid w:val="00C6535E"/>
    <w:rsid w:val="00C6552F"/>
    <w:rsid w:val="00C65654"/>
    <w:rsid w:val="00C6582C"/>
    <w:rsid w:val="00C659B4"/>
    <w:rsid w:val="00C659ED"/>
    <w:rsid w:val="00C65A09"/>
    <w:rsid w:val="00C65C60"/>
    <w:rsid w:val="00C665B4"/>
    <w:rsid w:val="00C66942"/>
    <w:rsid w:val="00C66D85"/>
    <w:rsid w:val="00C67227"/>
    <w:rsid w:val="00C6744F"/>
    <w:rsid w:val="00C67ED5"/>
    <w:rsid w:val="00C705EB"/>
    <w:rsid w:val="00C7065A"/>
    <w:rsid w:val="00C70886"/>
    <w:rsid w:val="00C70F76"/>
    <w:rsid w:val="00C71C9E"/>
    <w:rsid w:val="00C725CF"/>
    <w:rsid w:val="00C72881"/>
    <w:rsid w:val="00C73155"/>
    <w:rsid w:val="00C7357E"/>
    <w:rsid w:val="00C73BE6"/>
    <w:rsid w:val="00C74214"/>
    <w:rsid w:val="00C74225"/>
    <w:rsid w:val="00C743EE"/>
    <w:rsid w:val="00C74888"/>
    <w:rsid w:val="00C74954"/>
    <w:rsid w:val="00C751A7"/>
    <w:rsid w:val="00C75317"/>
    <w:rsid w:val="00C755BA"/>
    <w:rsid w:val="00C75A98"/>
    <w:rsid w:val="00C76364"/>
    <w:rsid w:val="00C764BE"/>
    <w:rsid w:val="00C76541"/>
    <w:rsid w:val="00C76609"/>
    <w:rsid w:val="00C766E5"/>
    <w:rsid w:val="00C76D90"/>
    <w:rsid w:val="00C77E45"/>
    <w:rsid w:val="00C801CC"/>
    <w:rsid w:val="00C8043D"/>
    <w:rsid w:val="00C80570"/>
    <w:rsid w:val="00C80953"/>
    <w:rsid w:val="00C80D85"/>
    <w:rsid w:val="00C81BD4"/>
    <w:rsid w:val="00C8295F"/>
    <w:rsid w:val="00C82B99"/>
    <w:rsid w:val="00C82D8F"/>
    <w:rsid w:val="00C835D3"/>
    <w:rsid w:val="00C8384F"/>
    <w:rsid w:val="00C83A42"/>
    <w:rsid w:val="00C83DF9"/>
    <w:rsid w:val="00C83EBB"/>
    <w:rsid w:val="00C84479"/>
    <w:rsid w:val="00C84519"/>
    <w:rsid w:val="00C847FA"/>
    <w:rsid w:val="00C8573E"/>
    <w:rsid w:val="00C85847"/>
    <w:rsid w:val="00C8647A"/>
    <w:rsid w:val="00C864B3"/>
    <w:rsid w:val="00C86516"/>
    <w:rsid w:val="00C86754"/>
    <w:rsid w:val="00C87820"/>
    <w:rsid w:val="00C87913"/>
    <w:rsid w:val="00C900A9"/>
    <w:rsid w:val="00C90341"/>
    <w:rsid w:val="00C90431"/>
    <w:rsid w:val="00C90768"/>
    <w:rsid w:val="00C9198F"/>
    <w:rsid w:val="00C92683"/>
    <w:rsid w:val="00C9314E"/>
    <w:rsid w:val="00C93708"/>
    <w:rsid w:val="00C93D30"/>
    <w:rsid w:val="00C94492"/>
    <w:rsid w:val="00C94844"/>
    <w:rsid w:val="00C94E4A"/>
    <w:rsid w:val="00C95035"/>
    <w:rsid w:val="00C95503"/>
    <w:rsid w:val="00C956DA"/>
    <w:rsid w:val="00C95B18"/>
    <w:rsid w:val="00C95D31"/>
    <w:rsid w:val="00C95E8D"/>
    <w:rsid w:val="00C95F8B"/>
    <w:rsid w:val="00C960F0"/>
    <w:rsid w:val="00C96443"/>
    <w:rsid w:val="00C96809"/>
    <w:rsid w:val="00C96B45"/>
    <w:rsid w:val="00C96D91"/>
    <w:rsid w:val="00C96FF1"/>
    <w:rsid w:val="00C97076"/>
    <w:rsid w:val="00C973BE"/>
    <w:rsid w:val="00C978DE"/>
    <w:rsid w:val="00C979AD"/>
    <w:rsid w:val="00C97DB0"/>
    <w:rsid w:val="00CA0885"/>
    <w:rsid w:val="00CA09BA"/>
    <w:rsid w:val="00CA0D69"/>
    <w:rsid w:val="00CA121D"/>
    <w:rsid w:val="00CA1244"/>
    <w:rsid w:val="00CA128A"/>
    <w:rsid w:val="00CA16E9"/>
    <w:rsid w:val="00CA17A2"/>
    <w:rsid w:val="00CA1B13"/>
    <w:rsid w:val="00CA1B8E"/>
    <w:rsid w:val="00CA1EBA"/>
    <w:rsid w:val="00CA2379"/>
    <w:rsid w:val="00CA246F"/>
    <w:rsid w:val="00CA249A"/>
    <w:rsid w:val="00CA2515"/>
    <w:rsid w:val="00CA2545"/>
    <w:rsid w:val="00CA280C"/>
    <w:rsid w:val="00CA2FB1"/>
    <w:rsid w:val="00CA2FD4"/>
    <w:rsid w:val="00CA34C0"/>
    <w:rsid w:val="00CA359A"/>
    <w:rsid w:val="00CA3AD9"/>
    <w:rsid w:val="00CA3EEE"/>
    <w:rsid w:val="00CA44E4"/>
    <w:rsid w:val="00CA453C"/>
    <w:rsid w:val="00CA470F"/>
    <w:rsid w:val="00CA474B"/>
    <w:rsid w:val="00CA4994"/>
    <w:rsid w:val="00CA4B34"/>
    <w:rsid w:val="00CA4F7C"/>
    <w:rsid w:val="00CA5990"/>
    <w:rsid w:val="00CA5A1D"/>
    <w:rsid w:val="00CA5CA3"/>
    <w:rsid w:val="00CA6044"/>
    <w:rsid w:val="00CA6130"/>
    <w:rsid w:val="00CA621C"/>
    <w:rsid w:val="00CA684B"/>
    <w:rsid w:val="00CA6E32"/>
    <w:rsid w:val="00CA72D0"/>
    <w:rsid w:val="00CA74E0"/>
    <w:rsid w:val="00CA7B39"/>
    <w:rsid w:val="00CB0CA5"/>
    <w:rsid w:val="00CB0D59"/>
    <w:rsid w:val="00CB0DE0"/>
    <w:rsid w:val="00CB10E1"/>
    <w:rsid w:val="00CB1211"/>
    <w:rsid w:val="00CB16DA"/>
    <w:rsid w:val="00CB17DB"/>
    <w:rsid w:val="00CB1F28"/>
    <w:rsid w:val="00CB24DB"/>
    <w:rsid w:val="00CB26F3"/>
    <w:rsid w:val="00CB2937"/>
    <w:rsid w:val="00CB2F0A"/>
    <w:rsid w:val="00CB3B8F"/>
    <w:rsid w:val="00CB3E76"/>
    <w:rsid w:val="00CB3F43"/>
    <w:rsid w:val="00CB40D7"/>
    <w:rsid w:val="00CB459D"/>
    <w:rsid w:val="00CB4A9D"/>
    <w:rsid w:val="00CB4D41"/>
    <w:rsid w:val="00CB4F72"/>
    <w:rsid w:val="00CB54A0"/>
    <w:rsid w:val="00CB585D"/>
    <w:rsid w:val="00CB63E8"/>
    <w:rsid w:val="00CB6885"/>
    <w:rsid w:val="00CB75B8"/>
    <w:rsid w:val="00CB7C25"/>
    <w:rsid w:val="00CB7E26"/>
    <w:rsid w:val="00CB7E96"/>
    <w:rsid w:val="00CC0050"/>
    <w:rsid w:val="00CC006A"/>
    <w:rsid w:val="00CC0235"/>
    <w:rsid w:val="00CC045A"/>
    <w:rsid w:val="00CC09FD"/>
    <w:rsid w:val="00CC0B68"/>
    <w:rsid w:val="00CC0B85"/>
    <w:rsid w:val="00CC16A4"/>
    <w:rsid w:val="00CC1D8B"/>
    <w:rsid w:val="00CC2039"/>
    <w:rsid w:val="00CC2438"/>
    <w:rsid w:val="00CC26BB"/>
    <w:rsid w:val="00CC30F1"/>
    <w:rsid w:val="00CC3550"/>
    <w:rsid w:val="00CC374B"/>
    <w:rsid w:val="00CC3792"/>
    <w:rsid w:val="00CC3C68"/>
    <w:rsid w:val="00CC4626"/>
    <w:rsid w:val="00CC47F7"/>
    <w:rsid w:val="00CC4D70"/>
    <w:rsid w:val="00CC4DA9"/>
    <w:rsid w:val="00CC51BA"/>
    <w:rsid w:val="00CC5546"/>
    <w:rsid w:val="00CC5633"/>
    <w:rsid w:val="00CC5C5E"/>
    <w:rsid w:val="00CC6662"/>
    <w:rsid w:val="00CC6734"/>
    <w:rsid w:val="00CC773E"/>
    <w:rsid w:val="00CC7A28"/>
    <w:rsid w:val="00CD0161"/>
    <w:rsid w:val="00CD097E"/>
    <w:rsid w:val="00CD1567"/>
    <w:rsid w:val="00CD1D1A"/>
    <w:rsid w:val="00CD2BF8"/>
    <w:rsid w:val="00CD2E5A"/>
    <w:rsid w:val="00CD32B4"/>
    <w:rsid w:val="00CD3486"/>
    <w:rsid w:val="00CD3547"/>
    <w:rsid w:val="00CD37BB"/>
    <w:rsid w:val="00CD3F5C"/>
    <w:rsid w:val="00CD3F9A"/>
    <w:rsid w:val="00CD4039"/>
    <w:rsid w:val="00CD4402"/>
    <w:rsid w:val="00CD4807"/>
    <w:rsid w:val="00CD4B81"/>
    <w:rsid w:val="00CD4D98"/>
    <w:rsid w:val="00CD61EC"/>
    <w:rsid w:val="00CD6538"/>
    <w:rsid w:val="00CD65B4"/>
    <w:rsid w:val="00CD6682"/>
    <w:rsid w:val="00CD6988"/>
    <w:rsid w:val="00CD742C"/>
    <w:rsid w:val="00CD74AB"/>
    <w:rsid w:val="00CD7B07"/>
    <w:rsid w:val="00CD7CEA"/>
    <w:rsid w:val="00CD7E51"/>
    <w:rsid w:val="00CE0268"/>
    <w:rsid w:val="00CE0671"/>
    <w:rsid w:val="00CE06DF"/>
    <w:rsid w:val="00CE07DB"/>
    <w:rsid w:val="00CE0C16"/>
    <w:rsid w:val="00CE0F95"/>
    <w:rsid w:val="00CE12E4"/>
    <w:rsid w:val="00CE156E"/>
    <w:rsid w:val="00CE1750"/>
    <w:rsid w:val="00CE17F8"/>
    <w:rsid w:val="00CE18CC"/>
    <w:rsid w:val="00CE1BC2"/>
    <w:rsid w:val="00CE1EFA"/>
    <w:rsid w:val="00CE1F2A"/>
    <w:rsid w:val="00CE2035"/>
    <w:rsid w:val="00CE20FF"/>
    <w:rsid w:val="00CE2370"/>
    <w:rsid w:val="00CE2375"/>
    <w:rsid w:val="00CE2908"/>
    <w:rsid w:val="00CE2B8F"/>
    <w:rsid w:val="00CE2BB8"/>
    <w:rsid w:val="00CE389A"/>
    <w:rsid w:val="00CE3C65"/>
    <w:rsid w:val="00CE44D9"/>
    <w:rsid w:val="00CE4C6C"/>
    <w:rsid w:val="00CE4DD7"/>
    <w:rsid w:val="00CE5C84"/>
    <w:rsid w:val="00CE5EC7"/>
    <w:rsid w:val="00CE5FEF"/>
    <w:rsid w:val="00CE64AC"/>
    <w:rsid w:val="00CE69EC"/>
    <w:rsid w:val="00CE6D81"/>
    <w:rsid w:val="00CE7A4F"/>
    <w:rsid w:val="00CE7C6B"/>
    <w:rsid w:val="00CE7EF7"/>
    <w:rsid w:val="00CF00EB"/>
    <w:rsid w:val="00CF1252"/>
    <w:rsid w:val="00CF15C2"/>
    <w:rsid w:val="00CF252E"/>
    <w:rsid w:val="00CF28EE"/>
    <w:rsid w:val="00CF2EB3"/>
    <w:rsid w:val="00CF2EDC"/>
    <w:rsid w:val="00CF32E7"/>
    <w:rsid w:val="00CF393E"/>
    <w:rsid w:val="00CF466F"/>
    <w:rsid w:val="00CF46AF"/>
    <w:rsid w:val="00CF53D4"/>
    <w:rsid w:val="00CF5495"/>
    <w:rsid w:val="00CF56FA"/>
    <w:rsid w:val="00CF58FE"/>
    <w:rsid w:val="00CF5AE0"/>
    <w:rsid w:val="00CF5E17"/>
    <w:rsid w:val="00CF6281"/>
    <w:rsid w:val="00CF6373"/>
    <w:rsid w:val="00CF67C6"/>
    <w:rsid w:val="00CF6A86"/>
    <w:rsid w:val="00CF6C98"/>
    <w:rsid w:val="00CF6CC7"/>
    <w:rsid w:val="00CF6D69"/>
    <w:rsid w:val="00CF776C"/>
    <w:rsid w:val="00CF785C"/>
    <w:rsid w:val="00CF7960"/>
    <w:rsid w:val="00CF7B78"/>
    <w:rsid w:val="00D0038F"/>
    <w:rsid w:val="00D00560"/>
    <w:rsid w:val="00D009A9"/>
    <w:rsid w:val="00D00B76"/>
    <w:rsid w:val="00D00DED"/>
    <w:rsid w:val="00D00E4C"/>
    <w:rsid w:val="00D010E7"/>
    <w:rsid w:val="00D01350"/>
    <w:rsid w:val="00D01646"/>
    <w:rsid w:val="00D01BE0"/>
    <w:rsid w:val="00D01C38"/>
    <w:rsid w:val="00D0206E"/>
    <w:rsid w:val="00D02203"/>
    <w:rsid w:val="00D03926"/>
    <w:rsid w:val="00D03E79"/>
    <w:rsid w:val="00D04112"/>
    <w:rsid w:val="00D046CC"/>
    <w:rsid w:val="00D04AA7"/>
    <w:rsid w:val="00D04B7D"/>
    <w:rsid w:val="00D04BA7"/>
    <w:rsid w:val="00D05169"/>
    <w:rsid w:val="00D05BBE"/>
    <w:rsid w:val="00D062F7"/>
    <w:rsid w:val="00D0642D"/>
    <w:rsid w:val="00D06726"/>
    <w:rsid w:val="00D06D1A"/>
    <w:rsid w:val="00D06DAF"/>
    <w:rsid w:val="00D06E98"/>
    <w:rsid w:val="00D06EA8"/>
    <w:rsid w:val="00D06F6C"/>
    <w:rsid w:val="00D06F91"/>
    <w:rsid w:val="00D07010"/>
    <w:rsid w:val="00D0772C"/>
    <w:rsid w:val="00D07B90"/>
    <w:rsid w:val="00D1006B"/>
    <w:rsid w:val="00D10214"/>
    <w:rsid w:val="00D10631"/>
    <w:rsid w:val="00D1099C"/>
    <w:rsid w:val="00D10BF3"/>
    <w:rsid w:val="00D10CCF"/>
    <w:rsid w:val="00D11297"/>
    <w:rsid w:val="00D1145F"/>
    <w:rsid w:val="00D11B7A"/>
    <w:rsid w:val="00D1260D"/>
    <w:rsid w:val="00D128A9"/>
    <w:rsid w:val="00D12A80"/>
    <w:rsid w:val="00D12D36"/>
    <w:rsid w:val="00D13148"/>
    <w:rsid w:val="00D132AC"/>
    <w:rsid w:val="00D13573"/>
    <w:rsid w:val="00D13948"/>
    <w:rsid w:val="00D13B54"/>
    <w:rsid w:val="00D14568"/>
    <w:rsid w:val="00D146BC"/>
    <w:rsid w:val="00D14CF9"/>
    <w:rsid w:val="00D14DFC"/>
    <w:rsid w:val="00D156E1"/>
    <w:rsid w:val="00D15798"/>
    <w:rsid w:val="00D15927"/>
    <w:rsid w:val="00D15E8D"/>
    <w:rsid w:val="00D15FE3"/>
    <w:rsid w:val="00D16526"/>
    <w:rsid w:val="00D1674E"/>
    <w:rsid w:val="00D16994"/>
    <w:rsid w:val="00D16F53"/>
    <w:rsid w:val="00D1703E"/>
    <w:rsid w:val="00D17349"/>
    <w:rsid w:val="00D1782E"/>
    <w:rsid w:val="00D17F59"/>
    <w:rsid w:val="00D201D8"/>
    <w:rsid w:val="00D20506"/>
    <w:rsid w:val="00D205BD"/>
    <w:rsid w:val="00D20F1B"/>
    <w:rsid w:val="00D213A5"/>
    <w:rsid w:val="00D21666"/>
    <w:rsid w:val="00D2185F"/>
    <w:rsid w:val="00D21993"/>
    <w:rsid w:val="00D21C48"/>
    <w:rsid w:val="00D21F35"/>
    <w:rsid w:val="00D22028"/>
    <w:rsid w:val="00D22507"/>
    <w:rsid w:val="00D22581"/>
    <w:rsid w:val="00D225B6"/>
    <w:rsid w:val="00D22BDD"/>
    <w:rsid w:val="00D22BFB"/>
    <w:rsid w:val="00D22C17"/>
    <w:rsid w:val="00D22D37"/>
    <w:rsid w:val="00D22E4F"/>
    <w:rsid w:val="00D2321D"/>
    <w:rsid w:val="00D232E5"/>
    <w:rsid w:val="00D233F7"/>
    <w:rsid w:val="00D2427A"/>
    <w:rsid w:val="00D2461A"/>
    <w:rsid w:val="00D25448"/>
    <w:rsid w:val="00D2585B"/>
    <w:rsid w:val="00D26590"/>
    <w:rsid w:val="00D2685B"/>
    <w:rsid w:val="00D2687A"/>
    <w:rsid w:val="00D27650"/>
    <w:rsid w:val="00D27718"/>
    <w:rsid w:val="00D305F4"/>
    <w:rsid w:val="00D30A8A"/>
    <w:rsid w:val="00D30C9E"/>
    <w:rsid w:val="00D30E18"/>
    <w:rsid w:val="00D30EB7"/>
    <w:rsid w:val="00D310D4"/>
    <w:rsid w:val="00D31120"/>
    <w:rsid w:val="00D31293"/>
    <w:rsid w:val="00D31696"/>
    <w:rsid w:val="00D31742"/>
    <w:rsid w:val="00D3234D"/>
    <w:rsid w:val="00D3269E"/>
    <w:rsid w:val="00D327FA"/>
    <w:rsid w:val="00D32833"/>
    <w:rsid w:val="00D328FC"/>
    <w:rsid w:val="00D3295B"/>
    <w:rsid w:val="00D329B4"/>
    <w:rsid w:val="00D32E7F"/>
    <w:rsid w:val="00D32EA5"/>
    <w:rsid w:val="00D333B0"/>
    <w:rsid w:val="00D33449"/>
    <w:rsid w:val="00D3360D"/>
    <w:rsid w:val="00D33937"/>
    <w:rsid w:val="00D33D2C"/>
    <w:rsid w:val="00D345BA"/>
    <w:rsid w:val="00D3485E"/>
    <w:rsid w:val="00D34ADF"/>
    <w:rsid w:val="00D34BD6"/>
    <w:rsid w:val="00D359F7"/>
    <w:rsid w:val="00D361DB"/>
    <w:rsid w:val="00D36644"/>
    <w:rsid w:val="00D3669C"/>
    <w:rsid w:val="00D36F45"/>
    <w:rsid w:val="00D37A36"/>
    <w:rsid w:val="00D37B48"/>
    <w:rsid w:val="00D37DD6"/>
    <w:rsid w:val="00D40935"/>
    <w:rsid w:val="00D40E72"/>
    <w:rsid w:val="00D40EE7"/>
    <w:rsid w:val="00D40FE7"/>
    <w:rsid w:val="00D4161C"/>
    <w:rsid w:val="00D43639"/>
    <w:rsid w:val="00D437EF"/>
    <w:rsid w:val="00D43AEC"/>
    <w:rsid w:val="00D43D10"/>
    <w:rsid w:val="00D43E3B"/>
    <w:rsid w:val="00D43F58"/>
    <w:rsid w:val="00D43F6F"/>
    <w:rsid w:val="00D44164"/>
    <w:rsid w:val="00D44622"/>
    <w:rsid w:val="00D4503D"/>
    <w:rsid w:val="00D4505C"/>
    <w:rsid w:val="00D451FB"/>
    <w:rsid w:val="00D452CE"/>
    <w:rsid w:val="00D454BF"/>
    <w:rsid w:val="00D4559E"/>
    <w:rsid w:val="00D458F5"/>
    <w:rsid w:val="00D46A29"/>
    <w:rsid w:val="00D46AAA"/>
    <w:rsid w:val="00D46ABF"/>
    <w:rsid w:val="00D4707E"/>
    <w:rsid w:val="00D4710B"/>
    <w:rsid w:val="00D4786D"/>
    <w:rsid w:val="00D50145"/>
    <w:rsid w:val="00D507A8"/>
    <w:rsid w:val="00D50DBB"/>
    <w:rsid w:val="00D511E3"/>
    <w:rsid w:val="00D5151F"/>
    <w:rsid w:val="00D5184A"/>
    <w:rsid w:val="00D5189A"/>
    <w:rsid w:val="00D5189E"/>
    <w:rsid w:val="00D51E2C"/>
    <w:rsid w:val="00D51E5B"/>
    <w:rsid w:val="00D523F4"/>
    <w:rsid w:val="00D5242A"/>
    <w:rsid w:val="00D52494"/>
    <w:rsid w:val="00D5351E"/>
    <w:rsid w:val="00D5384A"/>
    <w:rsid w:val="00D53A61"/>
    <w:rsid w:val="00D53D82"/>
    <w:rsid w:val="00D5425B"/>
    <w:rsid w:val="00D54A9E"/>
    <w:rsid w:val="00D55055"/>
    <w:rsid w:val="00D5538E"/>
    <w:rsid w:val="00D5552D"/>
    <w:rsid w:val="00D55721"/>
    <w:rsid w:val="00D55B95"/>
    <w:rsid w:val="00D56491"/>
    <w:rsid w:val="00D564FD"/>
    <w:rsid w:val="00D56562"/>
    <w:rsid w:val="00D56621"/>
    <w:rsid w:val="00D5680A"/>
    <w:rsid w:val="00D56A17"/>
    <w:rsid w:val="00D56BA0"/>
    <w:rsid w:val="00D56EBA"/>
    <w:rsid w:val="00D570AD"/>
    <w:rsid w:val="00D572CC"/>
    <w:rsid w:val="00D5772F"/>
    <w:rsid w:val="00D577AB"/>
    <w:rsid w:val="00D57924"/>
    <w:rsid w:val="00D579D2"/>
    <w:rsid w:val="00D57C07"/>
    <w:rsid w:val="00D57C84"/>
    <w:rsid w:val="00D57DDF"/>
    <w:rsid w:val="00D603A3"/>
    <w:rsid w:val="00D6042D"/>
    <w:rsid w:val="00D60C4E"/>
    <w:rsid w:val="00D60DDC"/>
    <w:rsid w:val="00D60FE3"/>
    <w:rsid w:val="00D611BE"/>
    <w:rsid w:val="00D61B03"/>
    <w:rsid w:val="00D61B45"/>
    <w:rsid w:val="00D62144"/>
    <w:rsid w:val="00D6248A"/>
    <w:rsid w:val="00D626B8"/>
    <w:rsid w:val="00D626CC"/>
    <w:rsid w:val="00D62EC2"/>
    <w:rsid w:val="00D62F7A"/>
    <w:rsid w:val="00D63DB2"/>
    <w:rsid w:val="00D6459E"/>
    <w:rsid w:val="00D64B6E"/>
    <w:rsid w:val="00D64EA1"/>
    <w:rsid w:val="00D64FD6"/>
    <w:rsid w:val="00D65BA7"/>
    <w:rsid w:val="00D65BBF"/>
    <w:rsid w:val="00D65BD7"/>
    <w:rsid w:val="00D66028"/>
    <w:rsid w:val="00D661EA"/>
    <w:rsid w:val="00D666B2"/>
    <w:rsid w:val="00D66850"/>
    <w:rsid w:val="00D672F5"/>
    <w:rsid w:val="00D6757B"/>
    <w:rsid w:val="00D6794C"/>
    <w:rsid w:val="00D701C3"/>
    <w:rsid w:val="00D70503"/>
    <w:rsid w:val="00D70728"/>
    <w:rsid w:val="00D70EDD"/>
    <w:rsid w:val="00D712CE"/>
    <w:rsid w:val="00D7212C"/>
    <w:rsid w:val="00D72B01"/>
    <w:rsid w:val="00D72DAB"/>
    <w:rsid w:val="00D72EE4"/>
    <w:rsid w:val="00D72F4B"/>
    <w:rsid w:val="00D73503"/>
    <w:rsid w:val="00D73505"/>
    <w:rsid w:val="00D73A9D"/>
    <w:rsid w:val="00D73BBB"/>
    <w:rsid w:val="00D73CE9"/>
    <w:rsid w:val="00D73D6E"/>
    <w:rsid w:val="00D741AC"/>
    <w:rsid w:val="00D741BC"/>
    <w:rsid w:val="00D748A8"/>
    <w:rsid w:val="00D74A5C"/>
    <w:rsid w:val="00D74B60"/>
    <w:rsid w:val="00D74E82"/>
    <w:rsid w:val="00D74FC3"/>
    <w:rsid w:val="00D7527F"/>
    <w:rsid w:val="00D758B1"/>
    <w:rsid w:val="00D7607A"/>
    <w:rsid w:val="00D764DE"/>
    <w:rsid w:val="00D76D62"/>
    <w:rsid w:val="00D77D65"/>
    <w:rsid w:val="00D8005D"/>
    <w:rsid w:val="00D808FD"/>
    <w:rsid w:val="00D809F8"/>
    <w:rsid w:val="00D80CB1"/>
    <w:rsid w:val="00D81274"/>
    <w:rsid w:val="00D8195F"/>
    <w:rsid w:val="00D81BFB"/>
    <w:rsid w:val="00D81DEC"/>
    <w:rsid w:val="00D81F8D"/>
    <w:rsid w:val="00D82299"/>
    <w:rsid w:val="00D82472"/>
    <w:rsid w:val="00D8256C"/>
    <w:rsid w:val="00D82B5A"/>
    <w:rsid w:val="00D8387E"/>
    <w:rsid w:val="00D83ABC"/>
    <w:rsid w:val="00D83FA3"/>
    <w:rsid w:val="00D84290"/>
    <w:rsid w:val="00D8498A"/>
    <w:rsid w:val="00D852FF"/>
    <w:rsid w:val="00D8584F"/>
    <w:rsid w:val="00D85863"/>
    <w:rsid w:val="00D85895"/>
    <w:rsid w:val="00D8598F"/>
    <w:rsid w:val="00D85B09"/>
    <w:rsid w:val="00D85CFD"/>
    <w:rsid w:val="00D866FA"/>
    <w:rsid w:val="00D86815"/>
    <w:rsid w:val="00D870B7"/>
    <w:rsid w:val="00D870E4"/>
    <w:rsid w:val="00D874C1"/>
    <w:rsid w:val="00D877A6"/>
    <w:rsid w:val="00D90988"/>
    <w:rsid w:val="00D9145B"/>
    <w:rsid w:val="00D9169D"/>
    <w:rsid w:val="00D9170C"/>
    <w:rsid w:val="00D917B5"/>
    <w:rsid w:val="00D91A9D"/>
    <w:rsid w:val="00D91B74"/>
    <w:rsid w:val="00D92207"/>
    <w:rsid w:val="00D924E4"/>
    <w:rsid w:val="00D92783"/>
    <w:rsid w:val="00D92963"/>
    <w:rsid w:val="00D93977"/>
    <w:rsid w:val="00D93B3E"/>
    <w:rsid w:val="00D93B53"/>
    <w:rsid w:val="00D93F54"/>
    <w:rsid w:val="00D94560"/>
    <w:rsid w:val="00D94692"/>
    <w:rsid w:val="00D94B0D"/>
    <w:rsid w:val="00D94CF4"/>
    <w:rsid w:val="00D950A3"/>
    <w:rsid w:val="00D95585"/>
    <w:rsid w:val="00D9594C"/>
    <w:rsid w:val="00D95B18"/>
    <w:rsid w:val="00D95BB9"/>
    <w:rsid w:val="00D95BF2"/>
    <w:rsid w:val="00D95D01"/>
    <w:rsid w:val="00D95EA5"/>
    <w:rsid w:val="00D95F5B"/>
    <w:rsid w:val="00D966A8"/>
    <w:rsid w:val="00D96B71"/>
    <w:rsid w:val="00D96CA1"/>
    <w:rsid w:val="00D96D40"/>
    <w:rsid w:val="00D970F2"/>
    <w:rsid w:val="00D97417"/>
    <w:rsid w:val="00D97BBC"/>
    <w:rsid w:val="00D97F67"/>
    <w:rsid w:val="00DA02D5"/>
    <w:rsid w:val="00DA034F"/>
    <w:rsid w:val="00DA0443"/>
    <w:rsid w:val="00DA0B8F"/>
    <w:rsid w:val="00DA0C39"/>
    <w:rsid w:val="00DA1F6E"/>
    <w:rsid w:val="00DA2302"/>
    <w:rsid w:val="00DA2379"/>
    <w:rsid w:val="00DA25AE"/>
    <w:rsid w:val="00DA2736"/>
    <w:rsid w:val="00DA3422"/>
    <w:rsid w:val="00DA36FB"/>
    <w:rsid w:val="00DA37E0"/>
    <w:rsid w:val="00DA3F35"/>
    <w:rsid w:val="00DA4061"/>
    <w:rsid w:val="00DA50A3"/>
    <w:rsid w:val="00DA51B8"/>
    <w:rsid w:val="00DA5223"/>
    <w:rsid w:val="00DA527A"/>
    <w:rsid w:val="00DA57FF"/>
    <w:rsid w:val="00DA5886"/>
    <w:rsid w:val="00DA5918"/>
    <w:rsid w:val="00DA5957"/>
    <w:rsid w:val="00DA6B67"/>
    <w:rsid w:val="00DA6F39"/>
    <w:rsid w:val="00DA737F"/>
    <w:rsid w:val="00DA74CB"/>
    <w:rsid w:val="00DA779A"/>
    <w:rsid w:val="00DA77FB"/>
    <w:rsid w:val="00DA7A8C"/>
    <w:rsid w:val="00DA7C31"/>
    <w:rsid w:val="00DA7C43"/>
    <w:rsid w:val="00DA7FB6"/>
    <w:rsid w:val="00DB01CA"/>
    <w:rsid w:val="00DB02F7"/>
    <w:rsid w:val="00DB0EEF"/>
    <w:rsid w:val="00DB0F63"/>
    <w:rsid w:val="00DB1377"/>
    <w:rsid w:val="00DB1B79"/>
    <w:rsid w:val="00DB1FD1"/>
    <w:rsid w:val="00DB2048"/>
    <w:rsid w:val="00DB2065"/>
    <w:rsid w:val="00DB228D"/>
    <w:rsid w:val="00DB2490"/>
    <w:rsid w:val="00DB2519"/>
    <w:rsid w:val="00DB2754"/>
    <w:rsid w:val="00DB2E3E"/>
    <w:rsid w:val="00DB3D1A"/>
    <w:rsid w:val="00DB414B"/>
    <w:rsid w:val="00DB4376"/>
    <w:rsid w:val="00DB506A"/>
    <w:rsid w:val="00DB5388"/>
    <w:rsid w:val="00DB591B"/>
    <w:rsid w:val="00DB5E38"/>
    <w:rsid w:val="00DB61AA"/>
    <w:rsid w:val="00DB65BF"/>
    <w:rsid w:val="00DB6672"/>
    <w:rsid w:val="00DB66D2"/>
    <w:rsid w:val="00DB7106"/>
    <w:rsid w:val="00DB7516"/>
    <w:rsid w:val="00DB7637"/>
    <w:rsid w:val="00DB7655"/>
    <w:rsid w:val="00DB77D9"/>
    <w:rsid w:val="00DB7894"/>
    <w:rsid w:val="00DB7954"/>
    <w:rsid w:val="00DB7E3A"/>
    <w:rsid w:val="00DC006B"/>
    <w:rsid w:val="00DC02E2"/>
    <w:rsid w:val="00DC054C"/>
    <w:rsid w:val="00DC08CA"/>
    <w:rsid w:val="00DC0A5A"/>
    <w:rsid w:val="00DC0AB7"/>
    <w:rsid w:val="00DC0ACB"/>
    <w:rsid w:val="00DC0F43"/>
    <w:rsid w:val="00DC11B2"/>
    <w:rsid w:val="00DC1223"/>
    <w:rsid w:val="00DC1E52"/>
    <w:rsid w:val="00DC1E5D"/>
    <w:rsid w:val="00DC1E5F"/>
    <w:rsid w:val="00DC20AD"/>
    <w:rsid w:val="00DC22CB"/>
    <w:rsid w:val="00DC268D"/>
    <w:rsid w:val="00DC2DAE"/>
    <w:rsid w:val="00DC2E22"/>
    <w:rsid w:val="00DC3071"/>
    <w:rsid w:val="00DC33C6"/>
    <w:rsid w:val="00DC391C"/>
    <w:rsid w:val="00DC3A8C"/>
    <w:rsid w:val="00DC44BF"/>
    <w:rsid w:val="00DC44FB"/>
    <w:rsid w:val="00DC4592"/>
    <w:rsid w:val="00DC48D1"/>
    <w:rsid w:val="00DC4DCB"/>
    <w:rsid w:val="00DC4FAC"/>
    <w:rsid w:val="00DC540E"/>
    <w:rsid w:val="00DC55ED"/>
    <w:rsid w:val="00DC56EB"/>
    <w:rsid w:val="00DC62E4"/>
    <w:rsid w:val="00DC63E2"/>
    <w:rsid w:val="00DC67E8"/>
    <w:rsid w:val="00DC6DA2"/>
    <w:rsid w:val="00DC7035"/>
    <w:rsid w:val="00DC72AE"/>
    <w:rsid w:val="00DC7879"/>
    <w:rsid w:val="00DC78DC"/>
    <w:rsid w:val="00DC7A72"/>
    <w:rsid w:val="00DC7B26"/>
    <w:rsid w:val="00DD00A1"/>
    <w:rsid w:val="00DD00DE"/>
    <w:rsid w:val="00DD08D8"/>
    <w:rsid w:val="00DD1159"/>
    <w:rsid w:val="00DD1227"/>
    <w:rsid w:val="00DD1354"/>
    <w:rsid w:val="00DD152C"/>
    <w:rsid w:val="00DD1603"/>
    <w:rsid w:val="00DD187E"/>
    <w:rsid w:val="00DD19F5"/>
    <w:rsid w:val="00DD22F7"/>
    <w:rsid w:val="00DD24C5"/>
    <w:rsid w:val="00DD26C2"/>
    <w:rsid w:val="00DD2C05"/>
    <w:rsid w:val="00DD2C71"/>
    <w:rsid w:val="00DD3340"/>
    <w:rsid w:val="00DD33FF"/>
    <w:rsid w:val="00DD444B"/>
    <w:rsid w:val="00DD493E"/>
    <w:rsid w:val="00DD540C"/>
    <w:rsid w:val="00DD55F4"/>
    <w:rsid w:val="00DD5779"/>
    <w:rsid w:val="00DD68B6"/>
    <w:rsid w:val="00DD69DA"/>
    <w:rsid w:val="00DD6C13"/>
    <w:rsid w:val="00DD6E6A"/>
    <w:rsid w:val="00DD7045"/>
    <w:rsid w:val="00DD7311"/>
    <w:rsid w:val="00DD74BB"/>
    <w:rsid w:val="00DD764D"/>
    <w:rsid w:val="00DD791E"/>
    <w:rsid w:val="00DE015B"/>
    <w:rsid w:val="00DE0A87"/>
    <w:rsid w:val="00DE0C92"/>
    <w:rsid w:val="00DE1431"/>
    <w:rsid w:val="00DE15F9"/>
    <w:rsid w:val="00DE1622"/>
    <w:rsid w:val="00DE170D"/>
    <w:rsid w:val="00DE189B"/>
    <w:rsid w:val="00DE1B9B"/>
    <w:rsid w:val="00DE2084"/>
    <w:rsid w:val="00DE20E8"/>
    <w:rsid w:val="00DE23D8"/>
    <w:rsid w:val="00DE29F9"/>
    <w:rsid w:val="00DE2E5A"/>
    <w:rsid w:val="00DE3403"/>
    <w:rsid w:val="00DE39B5"/>
    <w:rsid w:val="00DE3C95"/>
    <w:rsid w:val="00DE3CA7"/>
    <w:rsid w:val="00DE3E27"/>
    <w:rsid w:val="00DE4070"/>
    <w:rsid w:val="00DE4285"/>
    <w:rsid w:val="00DE46E5"/>
    <w:rsid w:val="00DE4943"/>
    <w:rsid w:val="00DE52D2"/>
    <w:rsid w:val="00DE55D9"/>
    <w:rsid w:val="00DE6948"/>
    <w:rsid w:val="00DE69C0"/>
    <w:rsid w:val="00DE76CB"/>
    <w:rsid w:val="00DE7B20"/>
    <w:rsid w:val="00DF01DA"/>
    <w:rsid w:val="00DF0770"/>
    <w:rsid w:val="00DF091A"/>
    <w:rsid w:val="00DF09C5"/>
    <w:rsid w:val="00DF1080"/>
    <w:rsid w:val="00DF12E0"/>
    <w:rsid w:val="00DF1424"/>
    <w:rsid w:val="00DF18C9"/>
    <w:rsid w:val="00DF197D"/>
    <w:rsid w:val="00DF1AF1"/>
    <w:rsid w:val="00DF1B61"/>
    <w:rsid w:val="00DF2510"/>
    <w:rsid w:val="00DF2654"/>
    <w:rsid w:val="00DF279E"/>
    <w:rsid w:val="00DF27DB"/>
    <w:rsid w:val="00DF2A19"/>
    <w:rsid w:val="00DF313A"/>
    <w:rsid w:val="00DF39C3"/>
    <w:rsid w:val="00DF3A4A"/>
    <w:rsid w:val="00DF4491"/>
    <w:rsid w:val="00DF4F52"/>
    <w:rsid w:val="00DF5422"/>
    <w:rsid w:val="00DF56D0"/>
    <w:rsid w:val="00DF57E8"/>
    <w:rsid w:val="00DF5876"/>
    <w:rsid w:val="00DF5913"/>
    <w:rsid w:val="00DF5D61"/>
    <w:rsid w:val="00DF5E62"/>
    <w:rsid w:val="00DF5EAA"/>
    <w:rsid w:val="00DF6A62"/>
    <w:rsid w:val="00DF6F93"/>
    <w:rsid w:val="00DF7620"/>
    <w:rsid w:val="00DF7888"/>
    <w:rsid w:val="00E00248"/>
    <w:rsid w:val="00E0067C"/>
    <w:rsid w:val="00E009CB"/>
    <w:rsid w:val="00E00A78"/>
    <w:rsid w:val="00E00B7D"/>
    <w:rsid w:val="00E00CFC"/>
    <w:rsid w:val="00E00D3E"/>
    <w:rsid w:val="00E011C5"/>
    <w:rsid w:val="00E01506"/>
    <w:rsid w:val="00E01564"/>
    <w:rsid w:val="00E015AC"/>
    <w:rsid w:val="00E0189F"/>
    <w:rsid w:val="00E018C5"/>
    <w:rsid w:val="00E0193F"/>
    <w:rsid w:val="00E01B8C"/>
    <w:rsid w:val="00E021B8"/>
    <w:rsid w:val="00E02326"/>
    <w:rsid w:val="00E02553"/>
    <w:rsid w:val="00E029DB"/>
    <w:rsid w:val="00E02DCA"/>
    <w:rsid w:val="00E03180"/>
    <w:rsid w:val="00E0334E"/>
    <w:rsid w:val="00E036D7"/>
    <w:rsid w:val="00E0434F"/>
    <w:rsid w:val="00E04B94"/>
    <w:rsid w:val="00E05331"/>
    <w:rsid w:val="00E05B8B"/>
    <w:rsid w:val="00E05CB2"/>
    <w:rsid w:val="00E06A34"/>
    <w:rsid w:val="00E06BFB"/>
    <w:rsid w:val="00E06D6F"/>
    <w:rsid w:val="00E06E78"/>
    <w:rsid w:val="00E06F56"/>
    <w:rsid w:val="00E07481"/>
    <w:rsid w:val="00E0749A"/>
    <w:rsid w:val="00E1033C"/>
    <w:rsid w:val="00E10DDE"/>
    <w:rsid w:val="00E10E51"/>
    <w:rsid w:val="00E1124E"/>
    <w:rsid w:val="00E113D5"/>
    <w:rsid w:val="00E11693"/>
    <w:rsid w:val="00E11928"/>
    <w:rsid w:val="00E121A9"/>
    <w:rsid w:val="00E12649"/>
    <w:rsid w:val="00E1268A"/>
    <w:rsid w:val="00E126F7"/>
    <w:rsid w:val="00E12F2F"/>
    <w:rsid w:val="00E1326C"/>
    <w:rsid w:val="00E13664"/>
    <w:rsid w:val="00E13A68"/>
    <w:rsid w:val="00E13E0A"/>
    <w:rsid w:val="00E13E43"/>
    <w:rsid w:val="00E140EA"/>
    <w:rsid w:val="00E14297"/>
    <w:rsid w:val="00E143A8"/>
    <w:rsid w:val="00E14F2A"/>
    <w:rsid w:val="00E14F8D"/>
    <w:rsid w:val="00E1545B"/>
    <w:rsid w:val="00E154D1"/>
    <w:rsid w:val="00E15611"/>
    <w:rsid w:val="00E15BED"/>
    <w:rsid w:val="00E15C33"/>
    <w:rsid w:val="00E15F2E"/>
    <w:rsid w:val="00E163DE"/>
    <w:rsid w:val="00E164A7"/>
    <w:rsid w:val="00E165CF"/>
    <w:rsid w:val="00E16C5B"/>
    <w:rsid w:val="00E16FB5"/>
    <w:rsid w:val="00E17BA5"/>
    <w:rsid w:val="00E17C11"/>
    <w:rsid w:val="00E17DD0"/>
    <w:rsid w:val="00E20745"/>
    <w:rsid w:val="00E211DD"/>
    <w:rsid w:val="00E2148A"/>
    <w:rsid w:val="00E2150B"/>
    <w:rsid w:val="00E21889"/>
    <w:rsid w:val="00E21C3D"/>
    <w:rsid w:val="00E21EA5"/>
    <w:rsid w:val="00E22696"/>
    <w:rsid w:val="00E22A31"/>
    <w:rsid w:val="00E231AC"/>
    <w:rsid w:val="00E232A5"/>
    <w:rsid w:val="00E23715"/>
    <w:rsid w:val="00E237DC"/>
    <w:rsid w:val="00E24265"/>
    <w:rsid w:val="00E24465"/>
    <w:rsid w:val="00E244C3"/>
    <w:rsid w:val="00E247E1"/>
    <w:rsid w:val="00E25319"/>
    <w:rsid w:val="00E25828"/>
    <w:rsid w:val="00E25C62"/>
    <w:rsid w:val="00E25D6E"/>
    <w:rsid w:val="00E26215"/>
    <w:rsid w:val="00E2634B"/>
    <w:rsid w:val="00E2663A"/>
    <w:rsid w:val="00E26735"/>
    <w:rsid w:val="00E26C20"/>
    <w:rsid w:val="00E26D52"/>
    <w:rsid w:val="00E26DDF"/>
    <w:rsid w:val="00E26F75"/>
    <w:rsid w:val="00E270D2"/>
    <w:rsid w:val="00E27672"/>
    <w:rsid w:val="00E27A2A"/>
    <w:rsid w:val="00E27AC7"/>
    <w:rsid w:val="00E27C53"/>
    <w:rsid w:val="00E307CA"/>
    <w:rsid w:val="00E30AEE"/>
    <w:rsid w:val="00E30CEB"/>
    <w:rsid w:val="00E30F93"/>
    <w:rsid w:val="00E30FFE"/>
    <w:rsid w:val="00E3101D"/>
    <w:rsid w:val="00E31051"/>
    <w:rsid w:val="00E3153C"/>
    <w:rsid w:val="00E316D8"/>
    <w:rsid w:val="00E3198A"/>
    <w:rsid w:val="00E31DDF"/>
    <w:rsid w:val="00E32190"/>
    <w:rsid w:val="00E32366"/>
    <w:rsid w:val="00E32738"/>
    <w:rsid w:val="00E32E84"/>
    <w:rsid w:val="00E32F07"/>
    <w:rsid w:val="00E337D3"/>
    <w:rsid w:val="00E33ACA"/>
    <w:rsid w:val="00E33ADB"/>
    <w:rsid w:val="00E33E6A"/>
    <w:rsid w:val="00E3439E"/>
    <w:rsid w:val="00E3461E"/>
    <w:rsid w:val="00E34D78"/>
    <w:rsid w:val="00E34E62"/>
    <w:rsid w:val="00E35099"/>
    <w:rsid w:val="00E353EB"/>
    <w:rsid w:val="00E358CF"/>
    <w:rsid w:val="00E35A55"/>
    <w:rsid w:val="00E35BAD"/>
    <w:rsid w:val="00E35BC5"/>
    <w:rsid w:val="00E3654A"/>
    <w:rsid w:val="00E36C27"/>
    <w:rsid w:val="00E36FD2"/>
    <w:rsid w:val="00E37172"/>
    <w:rsid w:val="00E37F87"/>
    <w:rsid w:val="00E40341"/>
    <w:rsid w:val="00E406FA"/>
    <w:rsid w:val="00E425BB"/>
    <w:rsid w:val="00E43406"/>
    <w:rsid w:val="00E434B2"/>
    <w:rsid w:val="00E439A9"/>
    <w:rsid w:val="00E43E0A"/>
    <w:rsid w:val="00E43ED8"/>
    <w:rsid w:val="00E444FB"/>
    <w:rsid w:val="00E449A9"/>
    <w:rsid w:val="00E44D87"/>
    <w:rsid w:val="00E4509C"/>
    <w:rsid w:val="00E45488"/>
    <w:rsid w:val="00E45866"/>
    <w:rsid w:val="00E45DDA"/>
    <w:rsid w:val="00E45DDD"/>
    <w:rsid w:val="00E45F41"/>
    <w:rsid w:val="00E461F6"/>
    <w:rsid w:val="00E4625B"/>
    <w:rsid w:val="00E4640B"/>
    <w:rsid w:val="00E4675C"/>
    <w:rsid w:val="00E46FB2"/>
    <w:rsid w:val="00E47683"/>
    <w:rsid w:val="00E476D7"/>
    <w:rsid w:val="00E47714"/>
    <w:rsid w:val="00E47E7E"/>
    <w:rsid w:val="00E50195"/>
    <w:rsid w:val="00E50643"/>
    <w:rsid w:val="00E50D61"/>
    <w:rsid w:val="00E50E25"/>
    <w:rsid w:val="00E50FC4"/>
    <w:rsid w:val="00E51CC6"/>
    <w:rsid w:val="00E52016"/>
    <w:rsid w:val="00E5268E"/>
    <w:rsid w:val="00E52A6C"/>
    <w:rsid w:val="00E52EDC"/>
    <w:rsid w:val="00E52FEB"/>
    <w:rsid w:val="00E5311C"/>
    <w:rsid w:val="00E53FFB"/>
    <w:rsid w:val="00E54038"/>
    <w:rsid w:val="00E5409A"/>
    <w:rsid w:val="00E544AF"/>
    <w:rsid w:val="00E547A4"/>
    <w:rsid w:val="00E54A16"/>
    <w:rsid w:val="00E55060"/>
    <w:rsid w:val="00E552DB"/>
    <w:rsid w:val="00E555AF"/>
    <w:rsid w:val="00E55E8A"/>
    <w:rsid w:val="00E56455"/>
    <w:rsid w:val="00E564B4"/>
    <w:rsid w:val="00E5691D"/>
    <w:rsid w:val="00E56D1B"/>
    <w:rsid w:val="00E56D2E"/>
    <w:rsid w:val="00E56EC3"/>
    <w:rsid w:val="00E573DB"/>
    <w:rsid w:val="00E60017"/>
    <w:rsid w:val="00E60332"/>
    <w:rsid w:val="00E609F8"/>
    <w:rsid w:val="00E60DD6"/>
    <w:rsid w:val="00E61173"/>
    <w:rsid w:val="00E61A45"/>
    <w:rsid w:val="00E61AEC"/>
    <w:rsid w:val="00E61E8C"/>
    <w:rsid w:val="00E62174"/>
    <w:rsid w:val="00E62358"/>
    <w:rsid w:val="00E63C96"/>
    <w:rsid w:val="00E63D14"/>
    <w:rsid w:val="00E64A11"/>
    <w:rsid w:val="00E651AB"/>
    <w:rsid w:val="00E65291"/>
    <w:rsid w:val="00E6565C"/>
    <w:rsid w:val="00E656CC"/>
    <w:rsid w:val="00E65977"/>
    <w:rsid w:val="00E65D1E"/>
    <w:rsid w:val="00E65F71"/>
    <w:rsid w:val="00E660DB"/>
    <w:rsid w:val="00E6619D"/>
    <w:rsid w:val="00E66264"/>
    <w:rsid w:val="00E66A4B"/>
    <w:rsid w:val="00E66C34"/>
    <w:rsid w:val="00E66DDE"/>
    <w:rsid w:val="00E6700D"/>
    <w:rsid w:val="00E67390"/>
    <w:rsid w:val="00E673F7"/>
    <w:rsid w:val="00E67805"/>
    <w:rsid w:val="00E678ED"/>
    <w:rsid w:val="00E679B9"/>
    <w:rsid w:val="00E67BF3"/>
    <w:rsid w:val="00E7013C"/>
    <w:rsid w:val="00E705CC"/>
    <w:rsid w:val="00E7088F"/>
    <w:rsid w:val="00E70A51"/>
    <w:rsid w:val="00E70B58"/>
    <w:rsid w:val="00E70C08"/>
    <w:rsid w:val="00E710BE"/>
    <w:rsid w:val="00E711C6"/>
    <w:rsid w:val="00E7152B"/>
    <w:rsid w:val="00E717C4"/>
    <w:rsid w:val="00E71A4A"/>
    <w:rsid w:val="00E71D26"/>
    <w:rsid w:val="00E71F57"/>
    <w:rsid w:val="00E71FC9"/>
    <w:rsid w:val="00E72516"/>
    <w:rsid w:val="00E727F1"/>
    <w:rsid w:val="00E7309F"/>
    <w:rsid w:val="00E732BA"/>
    <w:rsid w:val="00E73E19"/>
    <w:rsid w:val="00E73F96"/>
    <w:rsid w:val="00E74A99"/>
    <w:rsid w:val="00E74FB7"/>
    <w:rsid w:val="00E7523F"/>
    <w:rsid w:val="00E75319"/>
    <w:rsid w:val="00E75724"/>
    <w:rsid w:val="00E759CA"/>
    <w:rsid w:val="00E76492"/>
    <w:rsid w:val="00E769AD"/>
    <w:rsid w:val="00E76A80"/>
    <w:rsid w:val="00E76E63"/>
    <w:rsid w:val="00E76EC6"/>
    <w:rsid w:val="00E77C2E"/>
    <w:rsid w:val="00E800AA"/>
    <w:rsid w:val="00E802D6"/>
    <w:rsid w:val="00E80982"/>
    <w:rsid w:val="00E80AB0"/>
    <w:rsid w:val="00E80D04"/>
    <w:rsid w:val="00E81455"/>
    <w:rsid w:val="00E8158B"/>
    <w:rsid w:val="00E8183F"/>
    <w:rsid w:val="00E81E5F"/>
    <w:rsid w:val="00E82662"/>
    <w:rsid w:val="00E82F1C"/>
    <w:rsid w:val="00E83221"/>
    <w:rsid w:val="00E8337C"/>
    <w:rsid w:val="00E833A2"/>
    <w:rsid w:val="00E836FA"/>
    <w:rsid w:val="00E837A1"/>
    <w:rsid w:val="00E838B3"/>
    <w:rsid w:val="00E83DD1"/>
    <w:rsid w:val="00E84157"/>
    <w:rsid w:val="00E841AD"/>
    <w:rsid w:val="00E843E2"/>
    <w:rsid w:val="00E84988"/>
    <w:rsid w:val="00E84AAD"/>
    <w:rsid w:val="00E84EC7"/>
    <w:rsid w:val="00E851CD"/>
    <w:rsid w:val="00E85292"/>
    <w:rsid w:val="00E85D8A"/>
    <w:rsid w:val="00E86A01"/>
    <w:rsid w:val="00E86BB7"/>
    <w:rsid w:val="00E86DB2"/>
    <w:rsid w:val="00E86FF5"/>
    <w:rsid w:val="00E87773"/>
    <w:rsid w:val="00E90437"/>
    <w:rsid w:val="00E90D30"/>
    <w:rsid w:val="00E91240"/>
    <w:rsid w:val="00E91867"/>
    <w:rsid w:val="00E91883"/>
    <w:rsid w:val="00E91CE7"/>
    <w:rsid w:val="00E91E01"/>
    <w:rsid w:val="00E92118"/>
    <w:rsid w:val="00E926FF"/>
    <w:rsid w:val="00E92B79"/>
    <w:rsid w:val="00E92F0D"/>
    <w:rsid w:val="00E9311B"/>
    <w:rsid w:val="00E93125"/>
    <w:rsid w:val="00E93A25"/>
    <w:rsid w:val="00E93BCF"/>
    <w:rsid w:val="00E93BE1"/>
    <w:rsid w:val="00E944EF"/>
    <w:rsid w:val="00E949A5"/>
    <w:rsid w:val="00E94E48"/>
    <w:rsid w:val="00E9500D"/>
    <w:rsid w:val="00E9509C"/>
    <w:rsid w:val="00E951BF"/>
    <w:rsid w:val="00E9584D"/>
    <w:rsid w:val="00E95A7E"/>
    <w:rsid w:val="00E95F44"/>
    <w:rsid w:val="00E96066"/>
    <w:rsid w:val="00E9640B"/>
    <w:rsid w:val="00E96AF8"/>
    <w:rsid w:val="00E96E54"/>
    <w:rsid w:val="00E96F2F"/>
    <w:rsid w:val="00E97C78"/>
    <w:rsid w:val="00E97D93"/>
    <w:rsid w:val="00E97F0B"/>
    <w:rsid w:val="00EA0725"/>
    <w:rsid w:val="00EA0737"/>
    <w:rsid w:val="00EA0812"/>
    <w:rsid w:val="00EA0D2C"/>
    <w:rsid w:val="00EA116F"/>
    <w:rsid w:val="00EA14CC"/>
    <w:rsid w:val="00EA17CD"/>
    <w:rsid w:val="00EA1C22"/>
    <w:rsid w:val="00EA1E83"/>
    <w:rsid w:val="00EA2529"/>
    <w:rsid w:val="00EA2F7F"/>
    <w:rsid w:val="00EA3234"/>
    <w:rsid w:val="00EA3422"/>
    <w:rsid w:val="00EA3508"/>
    <w:rsid w:val="00EA373C"/>
    <w:rsid w:val="00EA4549"/>
    <w:rsid w:val="00EA4931"/>
    <w:rsid w:val="00EA4E8F"/>
    <w:rsid w:val="00EA506F"/>
    <w:rsid w:val="00EA5410"/>
    <w:rsid w:val="00EA5933"/>
    <w:rsid w:val="00EA5995"/>
    <w:rsid w:val="00EA6045"/>
    <w:rsid w:val="00EA607A"/>
    <w:rsid w:val="00EA6498"/>
    <w:rsid w:val="00EA7046"/>
    <w:rsid w:val="00EA713B"/>
    <w:rsid w:val="00EA7404"/>
    <w:rsid w:val="00EA7979"/>
    <w:rsid w:val="00EA7B05"/>
    <w:rsid w:val="00EA7EC5"/>
    <w:rsid w:val="00EA7F16"/>
    <w:rsid w:val="00EB049D"/>
    <w:rsid w:val="00EB0B94"/>
    <w:rsid w:val="00EB11C8"/>
    <w:rsid w:val="00EB11FE"/>
    <w:rsid w:val="00EB1292"/>
    <w:rsid w:val="00EB141A"/>
    <w:rsid w:val="00EB149F"/>
    <w:rsid w:val="00EB1DEF"/>
    <w:rsid w:val="00EB2037"/>
    <w:rsid w:val="00EB2716"/>
    <w:rsid w:val="00EB2A7F"/>
    <w:rsid w:val="00EB3477"/>
    <w:rsid w:val="00EB35AE"/>
    <w:rsid w:val="00EB361D"/>
    <w:rsid w:val="00EB397E"/>
    <w:rsid w:val="00EB39FF"/>
    <w:rsid w:val="00EB3CBD"/>
    <w:rsid w:val="00EB3F14"/>
    <w:rsid w:val="00EB431B"/>
    <w:rsid w:val="00EB4739"/>
    <w:rsid w:val="00EB4BCE"/>
    <w:rsid w:val="00EB5597"/>
    <w:rsid w:val="00EB55A7"/>
    <w:rsid w:val="00EB5753"/>
    <w:rsid w:val="00EB5C43"/>
    <w:rsid w:val="00EB5ECF"/>
    <w:rsid w:val="00EB5F79"/>
    <w:rsid w:val="00EB60BD"/>
    <w:rsid w:val="00EB6716"/>
    <w:rsid w:val="00EB6B9B"/>
    <w:rsid w:val="00EB7098"/>
    <w:rsid w:val="00EC0475"/>
    <w:rsid w:val="00EC0A9D"/>
    <w:rsid w:val="00EC0CA7"/>
    <w:rsid w:val="00EC123D"/>
    <w:rsid w:val="00EC1488"/>
    <w:rsid w:val="00EC1759"/>
    <w:rsid w:val="00EC1BAD"/>
    <w:rsid w:val="00EC1FA5"/>
    <w:rsid w:val="00EC288E"/>
    <w:rsid w:val="00EC2E68"/>
    <w:rsid w:val="00EC2F5D"/>
    <w:rsid w:val="00EC3334"/>
    <w:rsid w:val="00EC3630"/>
    <w:rsid w:val="00EC3D45"/>
    <w:rsid w:val="00EC3D9D"/>
    <w:rsid w:val="00EC439D"/>
    <w:rsid w:val="00EC43FD"/>
    <w:rsid w:val="00EC4753"/>
    <w:rsid w:val="00EC49A0"/>
    <w:rsid w:val="00EC57F9"/>
    <w:rsid w:val="00EC591E"/>
    <w:rsid w:val="00EC5D80"/>
    <w:rsid w:val="00EC669A"/>
    <w:rsid w:val="00EC6929"/>
    <w:rsid w:val="00EC69D4"/>
    <w:rsid w:val="00EC75C1"/>
    <w:rsid w:val="00EC773B"/>
    <w:rsid w:val="00EC7DFE"/>
    <w:rsid w:val="00EC7E71"/>
    <w:rsid w:val="00ED071F"/>
    <w:rsid w:val="00ED077C"/>
    <w:rsid w:val="00ED0905"/>
    <w:rsid w:val="00ED0A84"/>
    <w:rsid w:val="00ED16F5"/>
    <w:rsid w:val="00ED1737"/>
    <w:rsid w:val="00ED1D17"/>
    <w:rsid w:val="00ED1F3D"/>
    <w:rsid w:val="00ED22B6"/>
    <w:rsid w:val="00ED28E6"/>
    <w:rsid w:val="00ED315B"/>
    <w:rsid w:val="00ED326C"/>
    <w:rsid w:val="00ED33C0"/>
    <w:rsid w:val="00ED399F"/>
    <w:rsid w:val="00ED3B93"/>
    <w:rsid w:val="00ED3D39"/>
    <w:rsid w:val="00ED3D71"/>
    <w:rsid w:val="00ED3F6C"/>
    <w:rsid w:val="00ED480A"/>
    <w:rsid w:val="00ED52F9"/>
    <w:rsid w:val="00ED55AD"/>
    <w:rsid w:val="00ED563E"/>
    <w:rsid w:val="00ED5E22"/>
    <w:rsid w:val="00ED5F63"/>
    <w:rsid w:val="00ED6179"/>
    <w:rsid w:val="00ED6275"/>
    <w:rsid w:val="00ED631D"/>
    <w:rsid w:val="00ED64B6"/>
    <w:rsid w:val="00ED65E0"/>
    <w:rsid w:val="00ED6610"/>
    <w:rsid w:val="00ED6A9D"/>
    <w:rsid w:val="00ED713F"/>
    <w:rsid w:val="00ED72F0"/>
    <w:rsid w:val="00ED75B2"/>
    <w:rsid w:val="00ED7B8A"/>
    <w:rsid w:val="00ED7BB2"/>
    <w:rsid w:val="00ED7D5F"/>
    <w:rsid w:val="00EE01DD"/>
    <w:rsid w:val="00EE1138"/>
    <w:rsid w:val="00EE1142"/>
    <w:rsid w:val="00EE1594"/>
    <w:rsid w:val="00EE17E1"/>
    <w:rsid w:val="00EE1F81"/>
    <w:rsid w:val="00EE1FAA"/>
    <w:rsid w:val="00EE21A2"/>
    <w:rsid w:val="00EE21E8"/>
    <w:rsid w:val="00EE24D3"/>
    <w:rsid w:val="00EE2672"/>
    <w:rsid w:val="00EE2C15"/>
    <w:rsid w:val="00EE2CC0"/>
    <w:rsid w:val="00EE3327"/>
    <w:rsid w:val="00EE348F"/>
    <w:rsid w:val="00EE36AF"/>
    <w:rsid w:val="00EE36C6"/>
    <w:rsid w:val="00EE3925"/>
    <w:rsid w:val="00EE3A00"/>
    <w:rsid w:val="00EE402B"/>
    <w:rsid w:val="00EE406D"/>
    <w:rsid w:val="00EE47B3"/>
    <w:rsid w:val="00EE4CF0"/>
    <w:rsid w:val="00EE50A4"/>
    <w:rsid w:val="00EE521D"/>
    <w:rsid w:val="00EE61CA"/>
    <w:rsid w:val="00EE6276"/>
    <w:rsid w:val="00EE6632"/>
    <w:rsid w:val="00EE6AA1"/>
    <w:rsid w:val="00EE7836"/>
    <w:rsid w:val="00EE7F2E"/>
    <w:rsid w:val="00EF017E"/>
    <w:rsid w:val="00EF01CE"/>
    <w:rsid w:val="00EF028F"/>
    <w:rsid w:val="00EF04C4"/>
    <w:rsid w:val="00EF061D"/>
    <w:rsid w:val="00EF081E"/>
    <w:rsid w:val="00EF119F"/>
    <w:rsid w:val="00EF1282"/>
    <w:rsid w:val="00EF146E"/>
    <w:rsid w:val="00EF1621"/>
    <w:rsid w:val="00EF199D"/>
    <w:rsid w:val="00EF1B03"/>
    <w:rsid w:val="00EF1EB5"/>
    <w:rsid w:val="00EF203E"/>
    <w:rsid w:val="00EF2125"/>
    <w:rsid w:val="00EF29BD"/>
    <w:rsid w:val="00EF2DB4"/>
    <w:rsid w:val="00EF2E4C"/>
    <w:rsid w:val="00EF3118"/>
    <w:rsid w:val="00EF32DC"/>
    <w:rsid w:val="00EF330C"/>
    <w:rsid w:val="00EF36DA"/>
    <w:rsid w:val="00EF39D4"/>
    <w:rsid w:val="00EF3AA0"/>
    <w:rsid w:val="00EF3F0B"/>
    <w:rsid w:val="00EF46D8"/>
    <w:rsid w:val="00EF4E6A"/>
    <w:rsid w:val="00EF5142"/>
    <w:rsid w:val="00EF51E7"/>
    <w:rsid w:val="00EF5221"/>
    <w:rsid w:val="00EF54D1"/>
    <w:rsid w:val="00EF57D3"/>
    <w:rsid w:val="00EF5F56"/>
    <w:rsid w:val="00EF603D"/>
    <w:rsid w:val="00EF6221"/>
    <w:rsid w:val="00EF62F7"/>
    <w:rsid w:val="00EF635B"/>
    <w:rsid w:val="00EF6437"/>
    <w:rsid w:val="00EF66D7"/>
    <w:rsid w:val="00EF6CEE"/>
    <w:rsid w:val="00EF6FCB"/>
    <w:rsid w:val="00EF77FB"/>
    <w:rsid w:val="00EF7932"/>
    <w:rsid w:val="00EF7B63"/>
    <w:rsid w:val="00EF7C1C"/>
    <w:rsid w:val="00F00409"/>
    <w:rsid w:val="00F00C2C"/>
    <w:rsid w:val="00F0142A"/>
    <w:rsid w:val="00F01E48"/>
    <w:rsid w:val="00F01E5B"/>
    <w:rsid w:val="00F0216B"/>
    <w:rsid w:val="00F022D8"/>
    <w:rsid w:val="00F02349"/>
    <w:rsid w:val="00F02476"/>
    <w:rsid w:val="00F028AB"/>
    <w:rsid w:val="00F02CD0"/>
    <w:rsid w:val="00F02E1F"/>
    <w:rsid w:val="00F03016"/>
    <w:rsid w:val="00F030AF"/>
    <w:rsid w:val="00F03BEE"/>
    <w:rsid w:val="00F03C8C"/>
    <w:rsid w:val="00F03E13"/>
    <w:rsid w:val="00F03F17"/>
    <w:rsid w:val="00F0427F"/>
    <w:rsid w:val="00F0450A"/>
    <w:rsid w:val="00F04CC5"/>
    <w:rsid w:val="00F05068"/>
    <w:rsid w:val="00F053AC"/>
    <w:rsid w:val="00F05D0E"/>
    <w:rsid w:val="00F06659"/>
    <w:rsid w:val="00F0671C"/>
    <w:rsid w:val="00F0680F"/>
    <w:rsid w:val="00F06B41"/>
    <w:rsid w:val="00F06C8F"/>
    <w:rsid w:val="00F06E64"/>
    <w:rsid w:val="00F06F26"/>
    <w:rsid w:val="00F074C1"/>
    <w:rsid w:val="00F07991"/>
    <w:rsid w:val="00F10146"/>
    <w:rsid w:val="00F1044D"/>
    <w:rsid w:val="00F107E9"/>
    <w:rsid w:val="00F10A7B"/>
    <w:rsid w:val="00F10BE4"/>
    <w:rsid w:val="00F10C1A"/>
    <w:rsid w:val="00F10D2E"/>
    <w:rsid w:val="00F10D6E"/>
    <w:rsid w:val="00F11881"/>
    <w:rsid w:val="00F119E8"/>
    <w:rsid w:val="00F1208E"/>
    <w:rsid w:val="00F12536"/>
    <w:rsid w:val="00F12D1A"/>
    <w:rsid w:val="00F12FB4"/>
    <w:rsid w:val="00F13244"/>
    <w:rsid w:val="00F1331D"/>
    <w:rsid w:val="00F136E0"/>
    <w:rsid w:val="00F13B4A"/>
    <w:rsid w:val="00F14A8E"/>
    <w:rsid w:val="00F14B21"/>
    <w:rsid w:val="00F14F09"/>
    <w:rsid w:val="00F150B3"/>
    <w:rsid w:val="00F15207"/>
    <w:rsid w:val="00F15648"/>
    <w:rsid w:val="00F15745"/>
    <w:rsid w:val="00F15751"/>
    <w:rsid w:val="00F15A3A"/>
    <w:rsid w:val="00F15D3F"/>
    <w:rsid w:val="00F16377"/>
    <w:rsid w:val="00F164C9"/>
    <w:rsid w:val="00F16871"/>
    <w:rsid w:val="00F16D54"/>
    <w:rsid w:val="00F16F23"/>
    <w:rsid w:val="00F1705D"/>
    <w:rsid w:val="00F172EB"/>
    <w:rsid w:val="00F1765F"/>
    <w:rsid w:val="00F17ABD"/>
    <w:rsid w:val="00F17B19"/>
    <w:rsid w:val="00F17F8E"/>
    <w:rsid w:val="00F21272"/>
    <w:rsid w:val="00F22104"/>
    <w:rsid w:val="00F2223E"/>
    <w:rsid w:val="00F22279"/>
    <w:rsid w:val="00F22909"/>
    <w:rsid w:val="00F22BEB"/>
    <w:rsid w:val="00F232EA"/>
    <w:rsid w:val="00F23690"/>
    <w:rsid w:val="00F2378E"/>
    <w:rsid w:val="00F23E45"/>
    <w:rsid w:val="00F243A1"/>
    <w:rsid w:val="00F243E5"/>
    <w:rsid w:val="00F244BA"/>
    <w:rsid w:val="00F2482F"/>
    <w:rsid w:val="00F24A44"/>
    <w:rsid w:val="00F2503E"/>
    <w:rsid w:val="00F25543"/>
    <w:rsid w:val="00F25682"/>
    <w:rsid w:val="00F25A5A"/>
    <w:rsid w:val="00F25EA4"/>
    <w:rsid w:val="00F263F0"/>
    <w:rsid w:val="00F26890"/>
    <w:rsid w:val="00F26ACA"/>
    <w:rsid w:val="00F270C5"/>
    <w:rsid w:val="00F2783B"/>
    <w:rsid w:val="00F30C47"/>
    <w:rsid w:val="00F31417"/>
    <w:rsid w:val="00F31664"/>
    <w:rsid w:val="00F31BCB"/>
    <w:rsid w:val="00F32319"/>
    <w:rsid w:val="00F32DDA"/>
    <w:rsid w:val="00F3330B"/>
    <w:rsid w:val="00F33891"/>
    <w:rsid w:val="00F338AC"/>
    <w:rsid w:val="00F33F12"/>
    <w:rsid w:val="00F34728"/>
    <w:rsid w:val="00F348D8"/>
    <w:rsid w:val="00F34B19"/>
    <w:rsid w:val="00F34EF8"/>
    <w:rsid w:val="00F3573D"/>
    <w:rsid w:val="00F3580C"/>
    <w:rsid w:val="00F35FC6"/>
    <w:rsid w:val="00F362BE"/>
    <w:rsid w:val="00F363C3"/>
    <w:rsid w:val="00F367C2"/>
    <w:rsid w:val="00F36881"/>
    <w:rsid w:val="00F3735A"/>
    <w:rsid w:val="00F376C6"/>
    <w:rsid w:val="00F37AD5"/>
    <w:rsid w:val="00F37CE1"/>
    <w:rsid w:val="00F37E50"/>
    <w:rsid w:val="00F4057A"/>
    <w:rsid w:val="00F40A9C"/>
    <w:rsid w:val="00F40B51"/>
    <w:rsid w:val="00F410CB"/>
    <w:rsid w:val="00F41130"/>
    <w:rsid w:val="00F4156D"/>
    <w:rsid w:val="00F417AC"/>
    <w:rsid w:val="00F41AE7"/>
    <w:rsid w:val="00F41F2C"/>
    <w:rsid w:val="00F424A6"/>
    <w:rsid w:val="00F42509"/>
    <w:rsid w:val="00F425AB"/>
    <w:rsid w:val="00F4269D"/>
    <w:rsid w:val="00F42B92"/>
    <w:rsid w:val="00F42C15"/>
    <w:rsid w:val="00F42F9A"/>
    <w:rsid w:val="00F4357C"/>
    <w:rsid w:val="00F43995"/>
    <w:rsid w:val="00F43B42"/>
    <w:rsid w:val="00F43EC5"/>
    <w:rsid w:val="00F44965"/>
    <w:rsid w:val="00F45C2B"/>
    <w:rsid w:val="00F460C9"/>
    <w:rsid w:val="00F46181"/>
    <w:rsid w:val="00F461C9"/>
    <w:rsid w:val="00F46494"/>
    <w:rsid w:val="00F46779"/>
    <w:rsid w:val="00F46855"/>
    <w:rsid w:val="00F47116"/>
    <w:rsid w:val="00F47359"/>
    <w:rsid w:val="00F474FB"/>
    <w:rsid w:val="00F475B1"/>
    <w:rsid w:val="00F477F0"/>
    <w:rsid w:val="00F47870"/>
    <w:rsid w:val="00F47F85"/>
    <w:rsid w:val="00F50197"/>
    <w:rsid w:val="00F5135D"/>
    <w:rsid w:val="00F51C1E"/>
    <w:rsid w:val="00F51C40"/>
    <w:rsid w:val="00F522DF"/>
    <w:rsid w:val="00F52A3F"/>
    <w:rsid w:val="00F52A93"/>
    <w:rsid w:val="00F5338D"/>
    <w:rsid w:val="00F533FF"/>
    <w:rsid w:val="00F53561"/>
    <w:rsid w:val="00F5362D"/>
    <w:rsid w:val="00F538A3"/>
    <w:rsid w:val="00F53EAC"/>
    <w:rsid w:val="00F53FF2"/>
    <w:rsid w:val="00F54178"/>
    <w:rsid w:val="00F54286"/>
    <w:rsid w:val="00F543AE"/>
    <w:rsid w:val="00F5466A"/>
    <w:rsid w:val="00F549BC"/>
    <w:rsid w:val="00F54E9D"/>
    <w:rsid w:val="00F5526A"/>
    <w:rsid w:val="00F55354"/>
    <w:rsid w:val="00F5536A"/>
    <w:rsid w:val="00F558EC"/>
    <w:rsid w:val="00F55BA1"/>
    <w:rsid w:val="00F55D76"/>
    <w:rsid w:val="00F56923"/>
    <w:rsid w:val="00F56A7E"/>
    <w:rsid w:val="00F56AB2"/>
    <w:rsid w:val="00F5773E"/>
    <w:rsid w:val="00F6060C"/>
    <w:rsid w:val="00F60952"/>
    <w:rsid w:val="00F6132C"/>
    <w:rsid w:val="00F613AF"/>
    <w:rsid w:val="00F618EF"/>
    <w:rsid w:val="00F619B1"/>
    <w:rsid w:val="00F61A6F"/>
    <w:rsid w:val="00F61E4D"/>
    <w:rsid w:val="00F6238C"/>
    <w:rsid w:val="00F626E0"/>
    <w:rsid w:val="00F627F4"/>
    <w:rsid w:val="00F63149"/>
    <w:rsid w:val="00F638F1"/>
    <w:rsid w:val="00F64279"/>
    <w:rsid w:val="00F64339"/>
    <w:rsid w:val="00F64719"/>
    <w:rsid w:val="00F649C1"/>
    <w:rsid w:val="00F650CB"/>
    <w:rsid w:val="00F65451"/>
    <w:rsid w:val="00F65713"/>
    <w:rsid w:val="00F65823"/>
    <w:rsid w:val="00F65926"/>
    <w:rsid w:val="00F659E7"/>
    <w:rsid w:val="00F65A13"/>
    <w:rsid w:val="00F65E30"/>
    <w:rsid w:val="00F66402"/>
    <w:rsid w:val="00F671D6"/>
    <w:rsid w:val="00F673B1"/>
    <w:rsid w:val="00F67797"/>
    <w:rsid w:val="00F677FD"/>
    <w:rsid w:val="00F678B2"/>
    <w:rsid w:val="00F67FA3"/>
    <w:rsid w:val="00F7059A"/>
    <w:rsid w:val="00F70AAD"/>
    <w:rsid w:val="00F70B9F"/>
    <w:rsid w:val="00F70CA9"/>
    <w:rsid w:val="00F70D55"/>
    <w:rsid w:val="00F7102D"/>
    <w:rsid w:val="00F7148A"/>
    <w:rsid w:val="00F716A3"/>
    <w:rsid w:val="00F718F3"/>
    <w:rsid w:val="00F719FE"/>
    <w:rsid w:val="00F720DA"/>
    <w:rsid w:val="00F72412"/>
    <w:rsid w:val="00F72F17"/>
    <w:rsid w:val="00F73184"/>
    <w:rsid w:val="00F73485"/>
    <w:rsid w:val="00F73768"/>
    <w:rsid w:val="00F738C9"/>
    <w:rsid w:val="00F73D57"/>
    <w:rsid w:val="00F7415E"/>
    <w:rsid w:val="00F7499C"/>
    <w:rsid w:val="00F74B10"/>
    <w:rsid w:val="00F74D89"/>
    <w:rsid w:val="00F74E25"/>
    <w:rsid w:val="00F7540F"/>
    <w:rsid w:val="00F7572C"/>
    <w:rsid w:val="00F75A64"/>
    <w:rsid w:val="00F75E99"/>
    <w:rsid w:val="00F75F29"/>
    <w:rsid w:val="00F76193"/>
    <w:rsid w:val="00F76A30"/>
    <w:rsid w:val="00F7735F"/>
    <w:rsid w:val="00F77449"/>
    <w:rsid w:val="00F77A77"/>
    <w:rsid w:val="00F77B27"/>
    <w:rsid w:val="00F8061F"/>
    <w:rsid w:val="00F8070D"/>
    <w:rsid w:val="00F80A43"/>
    <w:rsid w:val="00F80E39"/>
    <w:rsid w:val="00F81266"/>
    <w:rsid w:val="00F8137D"/>
    <w:rsid w:val="00F814AF"/>
    <w:rsid w:val="00F814EA"/>
    <w:rsid w:val="00F816A5"/>
    <w:rsid w:val="00F81B4E"/>
    <w:rsid w:val="00F822C5"/>
    <w:rsid w:val="00F82B38"/>
    <w:rsid w:val="00F831E0"/>
    <w:rsid w:val="00F83458"/>
    <w:rsid w:val="00F83668"/>
    <w:rsid w:val="00F83A08"/>
    <w:rsid w:val="00F83CF7"/>
    <w:rsid w:val="00F83E3E"/>
    <w:rsid w:val="00F84030"/>
    <w:rsid w:val="00F84039"/>
    <w:rsid w:val="00F84068"/>
    <w:rsid w:val="00F84124"/>
    <w:rsid w:val="00F851EF"/>
    <w:rsid w:val="00F85769"/>
    <w:rsid w:val="00F85AC6"/>
    <w:rsid w:val="00F85DA2"/>
    <w:rsid w:val="00F85F7D"/>
    <w:rsid w:val="00F85FCE"/>
    <w:rsid w:val="00F86123"/>
    <w:rsid w:val="00F8674E"/>
    <w:rsid w:val="00F86A83"/>
    <w:rsid w:val="00F86A88"/>
    <w:rsid w:val="00F87169"/>
    <w:rsid w:val="00F8721F"/>
    <w:rsid w:val="00F90378"/>
    <w:rsid w:val="00F90BAA"/>
    <w:rsid w:val="00F910DD"/>
    <w:rsid w:val="00F914ED"/>
    <w:rsid w:val="00F915AE"/>
    <w:rsid w:val="00F92490"/>
    <w:rsid w:val="00F927D4"/>
    <w:rsid w:val="00F92829"/>
    <w:rsid w:val="00F92BC1"/>
    <w:rsid w:val="00F93289"/>
    <w:rsid w:val="00F939F8"/>
    <w:rsid w:val="00F93BDC"/>
    <w:rsid w:val="00F94643"/>
    <w:rsid w:val="00F94CA6"/>
    <w:rsid w:val="00F94D63"/>
    <w:rsid w:val="00F95080"/>
    <w:rsid w:val="00F9532E"/>
    <w:rsid w:val="00F959D7"/>
    <w:rsid w:val="00F95CF8"/>
    <w:rsid w:val="00F9615E"/>
    <w:rsid w:val="00F964A6"/>
    <w:rsid w:val="00F96775"/>
    <w:rsid w:val="00F96917"/>
    <w:rsid w:val="00F96CCF"/>
    <w:rsid w:val="00F970A7"/>
    <w:rsid w:val="00F97FBB"/>
    <w:rsid w:val="00FA08D7"/>
    <w:rsid w:val="00FA0B4F"/>
    <w:rsid w:val="00FA0D59"/>
    <w:rsid w:val="00FA10C8"/>
    <w:rsid w:val="00FA1276"/>
    <w:rsid w:val="00FA1277"/>
    <w:rsid w:val="00FA197F"/>
    <w:rsid w:val="00FA1C78"/>
    <w:rsid w:val="00FA2159"/>
    <w:rsid w:val="00FA27A8"/>
    <w:rsid w:val="00FA2DB5"/>
    <w:rsid w:val="00FA32C0"/>
    <w:rsid w:val="00FA354A"/>
    <w:rsid w:val="00FA3667"/>
    <w:rsid w:val="00FA3F23"/>
    <w:rsid w:val="00FA3F60"/>
    <w:rsid w:val="00FA4029"/>
    <w:rsid w:val="00FA416B"/>
    <w:rsid w:val="00FA4C55"/>
    <w:rsid w:val="00FA4E7E"/>
    <w:rsid w:val="00FA54AB"/>
    <w:rsid w:val="00FA55DD"/>
    <w:rsid w:val="00FA5965"/>
    <w:rsid w:val="00FA5ADB"/>
    <w:rsid w:val="00FA5F77"/>
    <w:rsid w:val="00FA6216"/>
    <w:rsid w:val="00FA708B"/>
    <w:rsid w:val="00FA7759"/>
    <w:rsid w:val="00FA7801"/>
    <w:rsid w:val="00FA79E5"/>
    <w:rsid w:val="00FA7EAB"/>
    <w:rsid w:val="00FA7F0A"/>
    <w:rsid w:val="00FB04F3"/>
    <w:rsid w:val="00FB0586"/>
    <w:rsid w:val="00FB0682"/>
    <w:rsid w:val="00FB0886"/>
    <w:rsid w:val="00FB08A2"/>
    <w:rsid w:val="00FB0D9F"/>
    <w:rsid w:val="00FB0DB5"/>
    <w:rsid w:val="00FB10A0"/>
    <w:rsid w:val="00FB17D7"/>
    <w:rsid w:val="00FB1AE1"/>
    <w:rsid w:val="00FB1B64"/>
    <w:rsid w:val="00FB1E04"/>
    <w:rsid w:val="00FB2113"/>
    <w:rsid w:val="00FB2155"/>
    <w:rsid w:val="00FB2379"/>
    <w:rsid w:val="00FB2F80"/>
    <w:rsid w:val="00FB30EC"/>
    <w:rsid w:val="00FB3783"/>
    <w:rsid w:val="00FB41C7"/>
    <w:rsid w:val="00FB47E3"/>
    <w:rsid w:val="00FB495D"/>
    <w:rsid w:val="00FB4A5A"/>
    <w:rsid w:val="00FB4ACC"/>
    <w:rsid w:val="00FB4B75"/>
    <w:rsid w:val="00FB4BA3"/>
    <w:rsid w:val="00FB4DC6"/>
    <w:rsid w:val="00FB5735"/>
    <w:rsid w:val="00FB5F56"/>
    <w:rsid w:val="00FB5FB6"/>
    <w:rsid w:val="00FB61E3"/>
    <w:rsid w:val="00FB62B9"/>
    <w:rsid w:val="00FB6321"/>
    <w:rsid w:val="00FB637A"/>
    <w:rsid w:val="00FB6BDD"/>
    <w:rsid w:val="00FB6C63"/>
    <w:rsid w:val="00FB6CC5"/>
    <w:rsid w:val="00FB6D0C"/>
    <w:rsid w:val="00FB7131"/>
    <w:rsid w:val="00FB71FB"/>
    <w:rsid w:val="00FB7307"/>
    <w:rsid w:val="00FB7D08"/>
    <w:rsid w:val="00FB7ECE"/>
    <w:rsid w:val="00FC04C5"/>
    <w:rsid w:val="00FC1391"/>
    <w:rsid w:val="00FC1B03"/>
    <w:rsid w:val="00FC1C79"/>
    <w:rsid w:val="00FC1EC1"/>
    <w:rsid w:val="00FC2047"/>
    <w:rsid w:val="00FC2970"/>
    <w:rsid w:val="00FC2A3A"/>
    <w:rsid w:val="00FC3530"/>
    <w:rsid w:val="00FC3DFA"/>
    <w:rsid w:val="00FC44C0"/>
    <w:rsid w:val="00FC46A3"/>
    <w:rsid w:val="00FC476E"/>
    <w:rsid w:val="00FC4A9D"/>
    <w:rsid w:val="00FC4E2E"/>
    <w:rsid w:val="00FC4FD9"/>
    <w:rsid w:val="00FC5D46"/>
    <w:rsid w:val="00FC6028"/>
    <w:rsid w:val="00FC65E9"/>
    <w:rsid w:val="00FC6A57"/>
    <w:rsid w:val="00FC7856"/>
    <w:rsid w:val="00FD01BE"/>
    <w:rsid w:val="00FD0C62"/>
    <w:rsid w:val="00FD0FF7"/>
    <w:rsid w:val="00FD127D"/>
    <w:rsid w:val="00FD154E"/>
    <w:rsid w:val="00FD1757"/>
    <w:rsid w:val="00FD19BE"/>
    <w:rsid w:val="00FD1BD4"/>
    <w:rsid w:val="00FD1BEE"/>
    <w:rsid w:val="00FD2044"/>
    <w:rsid w:val="00FD215F"/>
    <w:rsid w:val="00FD21D1"/>
    <w:rsid w:val="00FD21E5"/>
    <w:rsid w:val="00FD223E"/>
    <w:rsid w:val="00FD2D66"/>
    <w:rsid w:val="00FD30A3"/>
    <w:rsid w:val="00FD32C6"/>
    <w:rsid w:val="00FD33FF"/>
    <w:rsid w:val="00FD362C"/>
    <w:rsid w:val="00FD3721"/>
    <w:rsid w:val="00FD3A31"/>
    <w:rsid w:val="00FD4425"/>
    <w:rsid w:val="00FD4869"/>
    <w:rsid w:val="00FD4CF8"/>
    <w:rsid w:val="00FD5146"/>
    <w:rsid w:val="00FD521B"/>
    <w:rsid w:val="00FD52A0"/>
    <w:rsid w:val="00FD583D"/>
    <w:rsid w:val="00FD5997"/>
    <w:rsid w:val="00FD6703"/>
    <w:rsid w:val="00FD68DF"/>
    <w:rsid w:val="00FD6AD9"/>
    <w:rsid w:val="00FD6F38"/>
    <w:rsid w:val="00FD7A42"/>
    <w:rsid w:val="00FD7C9B"/>
    <w:rsid w:val="00FE00E0"/>
    <w:rsid w:val="00FE0315"/>
    <w:rsid w:val="00FE05AD"/>
    <w:rsid w:val="00FE07FC"/>
    <w:rsid w:val="00FE088E"/>
    <w:rsid w:val="00FE0C9C"/>
    <w:rsid w:val="00FE1500"/>
    <w:rsid w:val="00FE1590"/>
    <w:rsid w:val="00FE15ED"/>
    <w:rsid w:val="00FE19EE"/>
    <w:rsid w:val="00FE1CAE"/>
    <w:rsid w:val="00FE1CEE"/>
    <w:rsid w:val="00FE202E"/>
    <w:rsid w:val="00FE21C1"/>
    <w:rsid w:val="00FE22B3"/>
    <w:rsid w:val="00FE257E"/>
    <w:rsid w:val="00FE2900"/>
    <w:rsid w:val="00FE2C08"/>
    <w:rsid w:val="00FE2E67"/>
    <w:rsid w:val="00FE2F05"/>
    <w:rsid w:val="00FE31C6"/>
    <w:rsid w:val="00FE31CB"/>
    <w:rsid w:val="00FE3550"/>
    <w:rsid w:val="00FE37A9"/>
    <w:rsid w:val="00FE437C"/>
    <w:rsid w:val="00FE44B8"/>
    <w:rsid w:val="00FE47C2"/>
    <w:rsid w:val="00FE482B"/>
    <w:rsid w:val="00FE4986"/>
    <w:rsid w:val="00FE49EF"/>
    <w:rsid w:val="00FE4F60"/>
    <w:rsid w:val="00FE5121"/>
    <w:rsid w:val="00FE52E8"/>
    <w:rsid w:val="00FE5C5B"/>
    <w:rsid w:val="00FE6127"/>
    <w:rsid w:val="00FE6349"/>
    <w:rsid w:val="00FE67B6"/>
    <w:rsid w:val="00FE67E3"/>
    <w:rsid w:val="00FE6A61"/>
    <w:rsid w:val="00FE6D52"/>
    <w:rsid w:val="00FE6EA7"/>
    <w:rsid w:val="00FE74E7"/>
    <w:rsid w:val="00FE7768"/>
    <w:rsid w:val="00FE7CE1"/>
    <w:rsid w:val="00FF03D0"/>
    <w:rsid w:val="00FF0487"/>
    <w:rsid w:val="00FF07B0"/>
    <w:rsid w:val="00FF0989"/>
    <w:rsid w:val="00FF09C3"/>
    <w:rsid w:val="00FF1409"/>
    <w:rsid w:val="00FF176A"/>
    <w:rsid w:val="00FF1804"/>
    <w:rsid w:val="00FF1A2D"/>
    <w:rsid w:val="00FF24BF"/>
    <w:rsid w:val="00FF26F0"/>
    <w:rsid w:val="00FF275A"/>
    <w:rsid w:val="00FF2C14"/>
    <w:rsid w:val="00FF2DE7"/>
    <w:rsid w:val="00FF2DF8"/>
    <w:rsid w:val="00FF367C"/>
    <w:rsid w:val="00FF3693"/>
    <w:rsid w:val="00FF3814"/>
    <w:rsid w:val="00FF394B"/>
    <w:rsid w:val="00FF3963"/>
    <w:rsid w:val="00FF3A7D"/>
    <w:rsid w:val="00FF3AFF"/>
    <w:rsid w:val="00FF3BF1"/>
    <w:rsid w:val="00FF3C13"/>
    <w:rsid w:val="00FF3C32"/>
    <w:rsid w:val="00FF3F26"/>
    <w:rsid w:val="00FF43AD"/>
    <w:rsid w:val="00FF4667"/>
    <w:rsid w:val="00FF4703"/>
    <w:rsid w:val="00FF4FC6"/>
    <w:rsid w:val="00FF5365"/>
    <w:rsid w:val="00FF53B6"/>
    <w:rsid w:val="00FF5445"/>
    <w:rsid w:val="00FF55C1"/>
    <w:rsid w:val="00FF59D9"/>
    <w:rsid w:val="00FF5D5F"/>
    <w:rsid w:val="00FF60B0"/>
    <w:rsid w:val="00FF6179"/>
    <w:rsid w:val="00FF623A"/>
    <w:rsid w:val="00FF7534"/>
    <w:rsid w:val="00FF7966"/>
    <w:rsid w:val="00FF7D1F"/>
    <w:rsid w:val="00FF7D5A"/>
    <w:rsid w:val="00FF7D9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2"/>
    <o:shapelayout v:ext="edit">
      <o:idmap v:ext="edit" data="1"/>
    </o:shapelayout>
  </w:shapeDefaults>
  <w:decimalSymbol w:val="."/>
  <w:listSeparator w:val=","/>
  <w14:docId w14:val="52F173F2"/>
  <w15:docId w15:val="{A9FD7358-09A0-4D7E-8355-23AD3F34C4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heme="minorHAnsi" w:cs="Times New Roman"/>
        <w:sz w:val="22"/>
        <w:szCs w:val="22"/>
        <w:lang w:val="en-AU" w:eastAsia="en-AU" w:bidi="ar-SA"/>
      </w:rPr>
    </w:rPrDefault>
    <w:pPrDefault>
      <w:pPr>
        <w:spacing w:line="264"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39" w:unhideWhenUsed="1"/>
    <w:lsdException w:name="Plain Text" w:semiHidden="1" w:uiPriority="3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3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6695"/>
    <w:rPr>
      <w:rFonts w:ascii="Arial" w:hAnsi="Arial"/>
    </w:rPr>
  </w:style>
  <w:style w:type="paragraph" w:styleId="Heading1">
    <w:name w:val="heading 1"/>
    <w:basedOn w:val="Normal"/>
    <w:next w:val="BodyText"/>
    <w:link w:val="Heading1Char"/>
    <w:qFormat/>
    <w:rsid w:val="00DE2084"/>
    <w:pPr>
      <w:keepNext/>
      <w:keepLines/>
      <w:numPr>
        <w:numId w:val="9"/>
      </w:numPr>
      <w:spacing w:before="480" w:after="240"/>
      <w:ind w:left="624"/>
      <w:outlineLvl w:val="0"/>
    </w:pPr>
    <w:rPr>
      <w:rFonts w:asciiTheme="majorHAnsi" w:eastAsiaTheme="minorEastAsia" w:hAnsiTheme="majorHAnsi" w:cstheme="majorBidi"/>
      <w:b/>
      <w:bCs/>
      <w:color w:val="007BC1"/>
      <w:sz w:val="32"/>
      <w:szCs w:val="32"/>
    </w:rPr>
  </w:style>
  <w:style w:type="paragraph" w:styleId="Heading2">
    <w:name w:val="heading 2"/>
    <w:basedOn w:val="Normal"/>
    <w:next w:val="BodyText"/>
    <w:link w:val="Heading2Char"/>
    <w:qFormat/>
    <w:rsid w:val="00912579"/>
    <w:pPr>
      <w:keepNext/>
      <w:keepLines/>
      <w:numPr>
        <w:ilvl w:val="1"/>
        <w:numId w:val="9"/>
      </w:numPr>
      <w:spacing w:before="360" w:after="240"/>
      <w:ind w:left="624"/>
      <w:outlineLvl w:val="1"/>
    </w:pPr>
    <w:rPr>
      <w:rFonts w:asciiTheme="majorHAnsi" w:eastAsiaTheme="majorEastAsia" w:hAnsiTheme="majorHAnsi" w:cstheme="majorBidi"/>
      <w:b/>
      <w:bCs/>
      <w:color w:val="007BC1"/>
      <w:sz w:val="28"/>
      <w:szCs w:val="26"/>
    </w:rPr>
  </w:style>
  <w:style w:type="paragraph" w:styleId="Heading3">
    <w:name w:val="heading 3"/>
    <w:basedOn w:val="Normal"/>
    <w:next w:val="BodyText"/>
    <w:link w:val="Heading3Char"/>
    <w:qFormat/>
    <w:rsid w:val="00697ADE"/>
    <w:pPr>
      <w:keepNext/>
      <w:keepLines/>
      <w:numPr>
        <w:ilvl w:val="2"/>
        <w:numId w:val="9"/>
      </w:numPr>
      <w:spacing w:before="360" w:after="240"/>
      <w:contextualSpacing/>
      <w:outlineLvl w:val="2"/>
    </w:pPr>
    <w:rPr>
      <w:rFonts w:asciiTheme="majorHAnsi" w:eastAsiaTheme="majorEastAsia" w:hAnsiTheme="majorHAnsi" w:cstheme="majorBidi"/>
      <w:b/>
      <w:bCs/>
      <w:color w:val="007BC1"/>
      <w:sz w:val="24"/>
    </w:rPr>
  </w:style>
  <w:style w:type="paragraph" w:styleId="Heading4">
    <w:name w:val="heading 4"/>
    <w:basedOn w:val="Normal"/>
    <w:next w:val="BodyText"/>
    <w:link w:val="Heading4Char"/>
    <w:qFormat/>
    <w:rsid w:val="00DE2084"/>
    <w:pPr>
      <w:keepNext/>
      <w:keepLines/>
      <w:numPr>
        <w:ilvl w:val="3"/>
        <w:numId w:val="9"/>
      </w:numPr>
      <w:spacing w:before="360" w:after="240"/>
      <w:outlineLvl w:val="3"/>
    </w:pPr>
    <w:rPr>
      <w:rFonts w:asciiTheme="majorHAnsi" w:eastAsiaTheme="majorEastAsia" w:hAnsiTheme="majorHAnsi" w:cstheme="majorBidi"/>
      <w:b/>
      <w:bCs/>
      <w:i/>
      <w:iCs/>
      <w:color w:val="007BC1"/>
    </w:rPr>
  </w:style>
  <w:style w:type="paragraph" w:styleId="Heading5">
    <w:name w:val="heading 5"/>
    <w:basedOn w:val="Normal"/>
    <w:next w:val="Normal"/>
    <w:link w:val="Heading5Char"/>
    <w:qFormat/>
    <w:rsid w:val="00A014E2"/>
    <w:pPr>
      <w:keepNext/>
      <w:keepLines/>
      <w:numPr>
        <w:ilvl w:val="4"/>
        <w:numId w:val="9"/>
      </w:numPr>
      <w:spacing w:before="360" w:after="240"/>
      <w:outlineLvl w:val="4"/>
    </w:pPr>
    <w:rPr>
      <w:rFonts w:asciiTheme="majorHAnsi" w:eastAsiaTheme="majorEastAsia" w:hAnsiTheme="majorHAnsi" w:cstheme="majorBidi"/>
      <w:i/>
      <w:color w:val="214C90" w:themeColor="text2"/>
    </w:rPr>
  </w:style>
  <w:style w:type="paragraph" w:styleId="Heading6">
    <w:name w:val="heading 6"/>
    <w:basedOn w:val="Normal"/>
    <w:next w:val="BodyText"/>
    <w:link w:val="Heading6Char"/>
    <w:qFormat/>
    <w:rsid w:val="00A014E2"/>
    <w:pPr>
      <w:keepNext/>
      <w:keepLines/>
      <w:spacing w:before="240" w:after="120"/>
      <w:outlineLvl w:val="5"/>
    </w:pPr>
    <w:rPr>
      <w:rFonts w:asciiTheme="majorHAnsi" w:eastAsiaTheme="majorEastAsia" w:hAnsiTheme="majorHAnsi" w:cstheme="majorBidi"/>
      <w:b/>
      <w:iCs/>
      <w:color w:val="214C90" w:themeColor="text2"/>
      <w:lang w:eastAsia="en-US"/>
    </w:rPr>
  </w:style>
  <w:style w:type="paragraph" w:styleId="Heading7">
    <w:name w:val="heading 7"/>
    <w:basedOn w:val="Normal"/>
    <w:next w:val="BodyText"/>
    <w:link w:val="Heading7Char"/>
    <w:semiHidden/>
    <w:qFormat/>
    <w:rsid w:val="00D31696"/>
    <w:pPr>
      <w:keepNext/>
      <w:keepLines/>
      <w:pageBreakBefore/>
      <w:spacing w:before="120" w:after="120"/>
      <w:outlineLvl w:val="6"/>
    </w:pPr>
    <w:rPr>
      <w:rFonts w:asciiTheme="majorHAnsi" w:eastAsiaTheme="majorEastAsia" w:hAnsiTheme="majorHAnsi" w:cstheme="majorBidi"/>
      <w:b/>
      <w:iCs/>
      <w:color w:val="214C90" w:themeColor="text2"/>
    </w:rPr>
  </w:style>
  <w:style w:type="paragraph" w:styleId="Heading8">
    <w:name w:val="heading 8"/>
    <w:basedOn w:val="Normal"/>
    <w:next w:val="BodyText"/>
    <w:link w:val="Heading8Char"/>
    <w:semiHidden/>
    <w:qFormat/>
    <w:rsid w:val="00FB10A0"/>
    <w:pPr>
      <w:keepNext/>
      <w:keepLines/>
      <w:pageBreakBefore/>
      <w:tabs>
        <w:tab w:val="right" w:pos="9639"/>
      </w:tabs>
      <w:spacing w:after="120"/>
      <w:outlineLvl w:val="7"/>
    </w:pPr>
    <w:rPr>
      <w:rFonts w:asciiTheme="majorHAnsi" w:eastAsiaTheme="majorEastAsia" w:hAnsiTheme="majorHAnsi" w:cstheme="majorBidi"/>
      <w:caps/>
      <w:color w:val="214C90" w:themeColor="text2"/>
      <w:sz w:val="28"/>
      <w:lang w:eastAsia="en-US"/>
    </w:rPr>
  </w:style>
  <w:style w:type="paragraph" w:styleId="Heading9">
    <w:name w:val="heading 9"/>
    <w:aliases w:val="Appendix Heading 1"/>
    <w:basedOn w:val="Normal"/>
    <w:next w:val="BodyText"/>
    <w:link w:val="Heading9Char"/>
    <w:rsid w:val="007D7FFC"/>
    <w:pPr>
      <w:keepNext/>
      <w:keepLines/>
      <w:pageBreakBefore/>
      <w:numPr>
        <w:numId w:val="5"/>
      </w:numPr>
      <w:spacing w:before="240" w:after="240"/>
      <w:outlineLvl w:val="8"/>
    </w:pPr>
    <w:rPr>
      <w:rFonts w:asciiTheme="majorHAnsi" w:eastAsiaTheme="minorEastAsia" w:hAnsiTheme="majorHAnsi" w:cs="Arial"/>
      <w:b/>
      <w:color w:val="007BC1"/>
      <w:sz w:val="3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ldHeading">
    <w:name w:val="Bold Heading"/>
    <w:basedOn w:val="Normal"/>
    <w:rsid w:val="00782365"/>
    <w:pPr>
      <w:spacing w:before="240" w:after="120"/>
    </w:pPr>
    <w:rPr>
      <w:b/>
    </w:rPr>
  </w:style>
  <w:style w:type="paragraph" w:customStyle="1" w:styleId="Image">
    <w:name w:val="Image"/>
    <w:basedOn w:val="Normal"/>
    <w:next w:val="BodyText"/>
    <w:rsid w:val="00965A70"/>
    <w:pPr>
      <w:keepNext/>
    </w:pPr>
  </w:style>
  <w:style w:type="paragraph" w:styleId="BodyText">
    <w:name w:val="Body Text"/>
    <w:basedOn w:val="Normal"/>
    <w:link w:val="BodyTextChar"/>
    <w:qFormat/>
    <w:rsid w:val="00AD6695"/>
    <w:pPr>
      <w:tabs>
        <w:tab w:val="left" w:pos="2268"/>
        <w:tab w:val="left" w:pos="4536"/>
        <w:tab w:val="left" w:pos="6804"/>
        <w:tab w:val="right" w:pos="9638"/>
      </w:tabs>
      <w:spacing w:before="240" w:after="120"/>
    </w:pPr>
  </w:style>
  <w:style w:type="character" w:customStyle="1" w:styleId="BodyTextChar">
    <w:name w:val="Body Text Char"/>
    <w:basedOn w:val="DefaultParagraphFont"/>
    <w:link w:val="BodyText"/>
    <w:rsid w:val="00AD6695"/>
    <w:rPr>
      <w:rFonts w:ascii="Arial" w:hAnsi="Arial"/>
    </w:rPr>
  </w:style>
  <w:style w:type="paragraph" w:styleId="BlockText">
    <w:name w:val="Block Text"/>
    <w:basedOn w:val="BodyText"/>
    <w:semiHidden/>
    <w:unhideWhenUsed/>
    <w:rsid w:val="00EF3AA0"/>
    <w:rPr>
      <w:rFonts w:eastAsiaTheme="minorEastAsia" w:cstheme="minorBidi"/>
      <w:iCs/>
    </w:rPr>
  </w:style>
  <w:style w:type="paragraph" w:styleId="Caption">
    <w:name w:val="caption"/>
    <w:basedOn w:val="Normal"/>
    <w:next w:val="BodyText"/>
    <w:qFormat/>
    <w:rsid w:val="0013752B"/>
    <w:pPr>
      <w:keepNext/>
      <w:keepLines/>
      <w:spacing w:before="240" w:after="120"/>
    </w:pPr>
    <w:rPr>
      <w:rFonts w:eastAsiaTheme="minorHAnsi" w:cstheme="minorBidi"/>
      <w:b/>
      <w:bCs/>
      <w:lang w:eastAsia="fr-CA"/>
    </w:rPr>
  </w:style>
  <w:style w:type="paragraph" w:styleId="BalloonText">
    <w:name w:val="Balloon Text"/>
    <w:basedOn w:val="Normal"/>
    <w:link w:val="BalloonTextChar"/>
    <w:uiPriority w:val="99"/>
    <w:semiHidden/>
    <w:unhideWhenUsed/>
    <w:rsid w:val="005542F9"/>
    <w:rPr>
      <w:rFonts w:ascii="Tahoma" w:hAnsi="Tahoma" w:cs="Tahoma"/>
      <w:sz w:val="16"/>
      <w:szCs w:val="16"/>
    </w:rPr>
  </w:style>
  <w:style w:type="paragraph" w:styleId="TOCHeading">
    <w:name w:val="TOC Heading"/>
    <w:next w:val="Normal"/>
    <w:uiPriority w:val="39"/>
    <w:unhideWhenUsed/>
    <w:qFormat/>
    <w:rsid w:val="00DE2084"/>
    <w:pPr>
      <w:pageBreakBefore/>
      <w:spacing w:after="600" w:line="240" w:lineRule="auto"/>
      <w:outlineLvl w:val="3"/>
    </w:pPr>
    <w:rPr>
      <w:rFonts w:asciiTheme="majorHAnsi" w:eastAsiaTheme="minorEastAsia" w:hAnsiTheme="majorHAnsi" w:cstheme="majorBidi"/>
      <w:b/>
      <w:bCs/>
      <w:color w:val="007BC1"/>
      <w:sz w:val="32"/>
      <w:szCs w:val="28"/>
    </w:rPr>
  </w:style>
  <w:style w:type="character" w:customStyle="1" w:styleId="BalloonTextChar">
    <w:name w:val="Balloon Text Char"/>
    <w:basedOn w:val="DefaultParagraphFont"/>
    <w:link w:val="BalloonText"/>
    <w:uiPriority w:val="99"/>
    <w:semiHidden/>
    <w:rsid w:val="00475145"/>
    <w:rPr>
      <w:rFonts w:ascii="Tahoma" w:hAnsi="Tahoma" w:cs="Tahoma"/>
      <w:color w:val="000000" w:themeColor="text1"/>
      <w:sz w:val="16"/>
      <w:szCs w:val="16"/>
    </w:rPr>
  </w:style>
  <w:style w:type="paragraph" w:styleId="Footer">
    <w:name w:val="footer"/>
    <w:basedOn w:val="Normal"/>
    <w:link w:val="FooterChar"/>
    <w:uiPriority w:val="99"/>
    <w:rsid w:val="003B6692"/>
    <w:pPr>
      <w:tabs>
        <w:tab w:val="left" w:pos="1077"/>
        <w:tab w:val="center" w:pos="4320"/>
        <w:tab w:val="right" w:pos="8640"/>
      </w:tabs>
      <w:jc w:val="center"/>
    </w:pPr>
    <w:rPr>
      <w:rFonts w:eastAsia="Cambria" w:cstheme="minorBidi"/>
      <w:sz w:val="18"/>
      <w:lang w:eastAsia="en-US"/>
    </w:rPr>
  </w:style>
  <w:style w:type="character" w:customStyle="1" w:styleId="FooterChar">
    <w:name w:val="Footer Char"/>
    <w:basedOn w:val="DefaultParagraphFont"/>
    <w:link w:val="Footer"/>
    <w:uiPriority w:val="99"/>
    <w:rsid w:val="003B6692"/>
    <w:rPr>
      <w:rFonts w:eastAsia="Cambria" w:cstheme="minorBidi"/>
      <w:sz w:val="18"/>
      <w:lang w:eastAsia="en-US"/>
    </w:rPr>
  </w:style>
  <w:style w:type="numbering" w:customStyle="1" w:styleId="HangingList">
    <w:name w:val="HangingList"/>
    <w:uiPriority w:val="99"/>
    <w:rsid w:val="00DD7311"/>
    <w:pPr>
      <w:numPr>
        <w:numId w:val="1"/>
      </w:numPr>
    </w:pPr>
  </w:style>
  <w:style w:type="paragraph" w:styleId="Header">
    <w:name w:val="header"/>
    <w:basedOn w:val="Normal"/>
    <w:link w:val="HeaderChar"/>
    <w:uiPriority w:val="99"/>
    <w:rsid w:val="00294804"/>
    <w:pPr>
      <w:tabs>
        <w:tab w:val="left" w:pos="7796"/>
      </w:tabs>
    </w:pPr>
    <w:rPr>
      <w:rFonts w:eastAsiaTheme="minorHAnsi" w:cstheme="minorBidi"/>
      <w:sz w:val="18"/>
      <w:lang w:eastAsia="fr-CA"/>
    </w:rPr>
  </w:style>
  <w:style w:type="character" w:customStyle="1" w:styleId="HeaderChar">
    <w:name w:val="Header Char"/>
    <w:basedOn w:val="DefaultParagraphFont"/>
    <w:link w:val="Header"/>
    <w:uiPriority w:val="99"/>
    <w:rsid w:val="00294804"/>
    <w:rPr>
      <w:rFonts w:eastAsiaTheme="minorHAnsi" w:cstheme="minorBidi"/>
      <w:sz w:val="18"/>
      <w:lang w:eastAsia="fr-CA"/>
    </w:rPr>
  </w:style>
  <w:style w:type="paragraph" w:customStyle="1" w:styleId="AppendixHeading2">
    <w:name w:val="Appendix Heading 2"/>
    <w:basedOn w:val="Normal"/>
    <w:next w:val="BodyText"/>
    <w:uiPriority w:val="4"/>
    <w:rsid w:val="007D7FFC"/>
    <w:pPr>
      <w:keepNext/>
      <w:numPr>
        <w:ilvl w:val="1"/>
        <w:numId w:val="5"/>
      </w:numPr>
      <w:spacing w:before="360" w:after="240"/>
    </w:pPr>
    <w:rPr>
      <w:rFonts w:asciiTheme="majorHAnsi" w:eastAsiaTheme="minorEastAsia" w:hAnsiTheme="majorHAnsi"/>
      <w:b/>
      <w:color w:val="007BC1"/>
      <w:sz w:val="28"/>
      <w:lang w:eastAsia="en-US"/>
    </w:rPr>
  </w:style>
  <w:style w:type="paragraph" w:customStyle="1" w:styleId="AppendixHeading3">
    <w:name w:val="Appendix Heading 3"/>
    <w:basedOn w:val="Normal"/>
    <w:next w:val="BodyText"/>
    <w:uiPriority w:val="4"/>
    <w:rsid w:val="007D7FFC"/>
    <w:pPr>
      <w:keepNext/>
      <w:numPr>
        <w:ilvl w:val="2"/>
        <w:numId w:val="5"/>
      </w:numPr>
      <w:tabs>
        <w:tab w:val="left" w:pos="1559"/>
        <w:tab w:val="left" w:pos="1843"/>
        <w:tab w:val="left" w:pos="2126"/>
        <w:tab w:val="left" w:pos="2410"/>
        <w:tab w:val="left" w:pos="6804"/>
        <w:tab w:val="right" w:pos="9639"/>
      </w:tabs>
      <w:spacing w:before="360" w:after="240"/>
    </w:pPr>
    <w:rPr>
      <w:rFonts w:asciiTheme="majorHAnsi" w:hAnsiTheme="majorHAnsi"/>
      <w:b/>
      <w:color w:val="007BC1"/>
      <w:lang w:eastAsia="en-US"/>
    </w:rPr>
  </w:style>
  <w:style w:type="character" w:customStyle="1" w:styleId="Italics">
    <w:name w:val="Italics"/>
    <w:uiPriority w:val="1"/>
    <w:rsid w:val="00C34E9D"/>
    <w:rPr>
      <w:i/>
      <w:lang w:eastAsia="en-US"/>
    </w:rPr>
  </w:style>
  <w:style w:type="character" w:customStyle="1" w:styleId="Heading1Char">
    <w:name w:val="Heading 1 Char"/>
    <w:basedOn w:val="DefaultParagraphFont"/>
    <w:link w:val="Heading1"/>
    <w:rsid w:val="00DE2084"/>
    <w:rPr>
      <w:rFonts w:asciiTheme="majorHAnsi" w:eastAsiaTheme="minorEastAsia" w:hAnsiTheme="majorHAnsi" w:cstheme="majorBidi"/>
      <w:b/>
      <w:bCs/>
      <w:color w:val="007BC1"/>
      <w:sz w:val="32"/>
      <w:szCs w:val="32"/>
    </w:rPr>
  </w:style>
  <w:style w:type="character" w:customStyle="1" w:styleId="Heading2Char">
    <w:name w:val="Heading 2 Char"/>
    <w:basedOn w:val="DefaultParagraphFont"/>
    <w:link w:val="Heading2"/>
    <w:rsid w:val="00912579"/>
    <w:rPr>
      <w:rFonts w:asciiTheme="majorHAnsi" w:eastAsiaTheme="majorEastAsia" w:hAnsiTheme="majorHAnsi" w:cstheme="majorBidi"/>
      <w:b/>
      <w:bCs/>
      <w:color w:val="007BC1"/>
      <w:sz w:val="28"/>
      <w:szCs w:val="26"/>
    </w:rPr>
  </w:style>
  <w:style w:type="character" w:customStyle="1" w:styleId="Heading3Char">
    <w:name w:val="Heading 3 Char"/>
    <w:basedOn w:val="DefaultParagraphFont"/>
    <w:link w:val="Heading3"/>
    <w:rsid w:val="00697ADE"/>
    <w:rPr>
      <w:rFonts w:asciiTheme="majorHAnsi" w:eastAsiaTheme="majorEastAsia" w:hAnsiTheme="majorHAnsi" w:cstheme="majorBidi"/>
      <w:b/>
      <w:bCs/>
      <w:color w:val="007BC1"/>
      <w:sz w:val="24"/>
    </w:rPr>
  </w:style>
  <w:style w:type="character" w:customStyle="1" w:styleId="Heading4Char">
    <w:name w:val="Heading 4 Char"/>
    <w:basedOn w:val="DefaultParagraphFont"/>
    <w:link w:val="Heading4"/>
    <w:rsid w:val="00DE2084"/>
    <w:rPr>
      <w:rFonts w:asciiTheme="majorHAnsi" w:eastAsiaTheme="majorEastAsia" w:hAnsiTheme="majorHAnsi" w:cstheme="majorBidi"/>
      <w:b/>
      <w:bCs/>
      <w:i/>
      <w:iCs/>
      <w:color w:val="007BC1"/>
    </w:rPr>
  </w:style>
  <w:style w:type="character" w:customStyle="1" w:styleId="Heading7Char">
    <w:name w:val="Heading 7 Char"/>
    <w:basedOn w:val="DefaultParagraphFont"/>
    <w:link w:val="Heading7"/>
    <w:semiHidden/>
    <w:rsid w:val="000D5E74"/>
    <w:rPr>
      <w:rFonts w:asciiTheme="majorHAnsi" w:eastAsiaTheme="majorEastAsia" w:hAnsiTheme="majorHAnsi" w:cstheme="majorBidi"/>
      <w:b/>
      <w:iCs/>
      <w:color w:val="214C90" w:themeColor="text2"/>
    </w:rPr>
  </w:style>
  <w:style w:type="character" w:customStyle="1" w:styleId="Heading8Char">
    <w:name w:val="Heading 8 Char"/>
    <w:basedOn w:val="DefaultParagraphFont"/>
    <w:link w:val="Heading8"/>
    <w:semiHidden/>
    <w:rsid w:val="000D5E74"/>
    <w:rPr>
      <w:rFonts w:asciiTheme="majorHAnsi" w:eastAsiaTheme="majorEastAsia" w:hAnsiTheme="majorHAnsi" w:cstheme="majorBidi"/>
      <w:caps/>
      <w:color w:val="214C90" w:themeColor="text2"/>
      <w:sz w:val="28"/>
      <w:lang w:eastAsia="en-US"/>
    </w:rPr>
  </w:style>
  <w:style w:type="character" w:customStyle="1" w:styleId="Heading9Char">
    <w:name w:val="Heading 9 Char"/>
    <w:aliases w:val="Appendix Heading 1 Char"/>
    <w:basedOn w:val="DefaultParagraphFont"/>
    <w:link w:val="Heading9"/>
    <w:rsid w:val="007D7FFC"/>
    <w:rPr>
      <w:rFonts w:asciiTheme="majorHAnsi" w:eastAsiaTheme="minorEastAsia" w:hAnsiTheme="majorHAnsi" w:cs="Arial"/>
      <w:b/>
      <w:color w:val="007BC1"/>
      <w:sz w:val="32"/>
      <w:lang w:eastAsia="en-US"/>
    </w:rPr>
  </w:style>
  <w:style w:type="character" w:styleId="Hyperlink">
    <w:name w:val="Hyperlink"/>
    <w:basedOn w:val="DefaultParagraphFont"/>
    <w:uiPriority w:val="99"/>
    <w:unhideWhenUsed/>
    <w:rsid w:val="002778AD"/>
    <w:rPr>
      <w:color w:val="000000" w:themeColor="text1"/>
      <w:u w:val="single"/>
    </w:rPr>
  </w:style>
  <w:style w:type="character" w:styleId="FollowedHyperlink">
    <w:name w:val="FollowedHyperlink"/>
    <w:basedOn w:val="DefaultParagraphFont"/>
    <w:uiPriority w:val="99"/>
    <w:rsid w:val="002778AD"/>
    <w:rPr>
      <w:color w:val="000000" w:themeColor="text1"/>
      <w:u w:val="single"/>
    </w:rPr>
  </w:style>
  <w:style w:type="paragraph" w:styleId="ListBullet">
    <w:name w:val="List Bullet"/>
    <w:basedOn w:val="BodyText"/>
    <w:link w:val="ListBulletChar"/>
    <w:qFormat/>
    <w:rsid w:val="00B21AEE"/>
    <w:pPr>
      <w:numPr>
        <w:numId w:val="12"/>
      </w:numPr>
      <w:tabs>
        <w:tab w:val="clear" w:pos="2268"/>
        <w:tab w:val="clear" w:pos="4536"/>
        <w:tab w:val="clear" w:pos="6804"/>
        <w:tab w:val="clear" w:pos="9638"/>
      </w:tabs>
      <w:spacing w:before="120"/>
      <w:ind w:left="357" w:hanging="357"/>
    </w:pPr>
  </w:style>
  <w:style w:type="paragraph" w:styleId="ListBullet2">
    <w:name w:val="List Bullet 2"/>
    <w:basedOn w:val="ListBullet"/>
    <w:link w:val="ListBullet2Char"/>
    <w:rsid w:val="002276FF"/>
    <w:pPr>
      <w:numPr>
        <w:numId w:val="13"/>
      </w:numPr>
      <w:ind w:left="714" w:hanging="357"/>
    </w:pPr>
  </w:style>
  <w:style w:type="paragraph" w:styleId="ListBullet3">
    <w:name w:val="List Bullet 3"/>
    <w:basedOn w:val="ListBullet2"/>
    <w:rsid w:val="000709D4"/>
  </w:style>
  <w:style w:type="paragraph" w:styleId="ListContinue">
    <w:name w:val="List Continue"/>
    <w:basedOn w:val="Normal"/>
    <w:rsid w:val="0013752B"/>
    <w:pPr>
      <w:spacing w:before="120" w:after="120"/>
      <w:ind w:left="357"/>
    </w:pPr>
    <w:rPr>
      <w:rFonts w:eastAsiaTheme="minorEastAsia"/>
    </w:rPr>
  </w:style>
  <w:style w:type="paragraph" w:styleId="ListNumber">
    <w:name w:val="List Number"/>
    <w:basedOn w:val="BodyText"/>
    <w:unhideWhenUsed/>
    <w:qFormat/>
    <w:rsid w:val="00E50195"/>
    <w:pPr>
      <w:numPr>
        <w:numId w:val="30"/>
      </w:numPr>
      <w:tabs>
        <w:tab w:val="clear" w:pos="2268"/>
        <w:tab w:val="clear" w:pos="4536"/>
        <w:tab w:val="clear" w:pos="6804"/>
        <w:tab w:val="clear" w:pos="9638"/>
      </w:tabs>
      <w:spacing w:before="120"/>
    </w:pPr>
  </w:style>
  <w:style w:type="paragraph" w:styleId="ListNumber2">
    <w:name w:val="List Number 2"/>
    <w:basedOn w:val="ListNumber"/>
    <w:unhideWhenUsed/>
    <w:rsid w:val="002E0889"/>
    <w:pPr>
      <w:numPr>
        <w:ilvl w:val="1"/>
      </w:numPr>
    </w:pPr>
  </w:style>
  <w:style w:type="paragraph" w:styleId="ListNumber3">
    <w:name w:val="List Number 3"/>
    <w:basedOn w:val="ListNumber2"/>
    <w:unhideWhenUsed/>
    <w:rsid w:val="00D33D2C"/>
    <w:pPr>
      <w:numPr>
        <w:ilvl w:val="2"/>
      </w:numPr>
    </w:pPr>
  </w:style>
  <w:style w:type="numbering" w:customStyle="1" w:styleId="MyListNumbering">
    <w:name w:val="MyListNumbering"/>
    <w:uiPriority w:val="99"/>
    <w:rsid w:val="000C70ED"/>
    <w:pPr>
      <w:numPr>
        <w:numId w:val="2"/>
      </w:numPr>
    </w:pPr>
  </w:style>
  <w:style w:type="character" w:styleId="PlaceholderText">
    <w:name w:val="Placeholder Text"/>
    <w:basedOn w:val="DefaultParagraphFont"/>
    <w:uiPriority w:val="99"/>
    <w:semiHidden/>
    <w:rsid w:val="00DD7311"/>
    <w:rPr>
      <w:color w:val="808080"/>
    </w:rPr>
  </w:style>
  <w:style w:type="paragraph" w:customStyle="1" w:styleId="TableBodyText">
    <w:name w:val="Table Body Text"/>
    <w:basedOn w:val="Normal"/>
    <w:qFormat/>
    <w:rsid w:val="0013752B"/>
    <w:pPr>
      <w:spacing w:before="60" w:after="60"/>
      <w:ind w:left="85" w:right="85"/>
    </w:pPr>
    <w:rPr>
      <w:rFonts w:cs="Arial"/>
      <w:sz w:val="18"/>
    </w:rPr>
  </w:style>
  <w:style w:type="paragraph" w:customStyle="1" w:styleId="TableBodyTextBold">
    <w:name w:val="Table Body Text Bold"/>
    <w:basedOn w:val="TableBodyText"/>
    <w:rsid w:val="0013752B"/>
    <w:rPr>
      <w:b/>
    </w:rPr>
  </w:style>
  <w:style w:type="table" w:styleId="TableGrid">
    <w:name w:val="Table Grid"/>
    <w:basedOn w:val="TableNormal"/>
    <w:uiPriority w:val="59"/>
    <w:rsid w:val="006A5405"/>
    <w:pPr>
      <w:spacing w:before="60" w:after="60"/>
      <w:ind w:left="85" w:right="85"/>
    </w:pPr>
    <w:rPr>
      <w:sz w:val="18"/>
    </w:rPr>
    <w:tblPr>
      <w:tblStyleRowBandSize w:val="1"/>
      <w:tblBorders>
        <w:top w:val="single" w:sz="4" w:space="0" w:color="auto"/>
        <w:bottom w:val="single" w:sz="4" w:space="0" w:color="auto"/>
        <w:insideH w:val="single" w:sz="4" w:space="0" w:color="auto"/>
        <w:insideV w:val="single" w:sz="4" w:space="0" w:color="auto"/>
      </w:tblBorders>
      <w:tblCellMar>
        <w:left w:w="0" w:type="dxa"/>
        <w:right w:w="0" w:type="dxa"/>
      </w:tblCellMar>
    </w:tblPr>
    <w:tblStylePr w:type="firstRow">
      <w:rPr>
        <w:b/>
        <w:color w:val="FFFFFF"/>
      </w:rPr>
      <w:tblPr/>
      <w:tcPr>
        <w:shd w:val="clear" w:color="auto" w:fill="214C90" w:themeFill="text2"/>
      </w:tcPr>
    </w:tblStylePr>
    <w:tblStylePr w:type="band2Horz">
      <w:tblPr/>
      <w:tcPr>
        <w:shd w:val="clear" w:color="auto" w:fill="E1E2E7" w:themeFill="background2"/>
      </w:tcPr>
    </w:tblStylePr>
  </w:style>
  <w:style w:type="paragraph" w:customStyle="1" w:styleId="TableHeading">
    <w:name w:val="Table Heading"/>
    <w:basedOn w:val="TableBodyText"/>
    <w:qFormat/>
    <w:rsid w:val="0013752B"/>
    <w:rPr>
      <w:color w:val="FFFFFF"/>
    </w:rPr>
  </w:style>
  <w:style w:type="paragraph" w:customStyle="1" w:styleId="TableBullet1">
    <w:name w:val="Table Bullet 1"/>
    <w:basedOn w:val="TableBodyText"/>
    <w:qFormat/>
    <w:rsid w:val="0013752B"/>
    <w:pPr>
      <w:numPr>
        <w:numId w:val="7"/>
      </w:numPr>
    </w:pPr>
  </w:style>
  <w:style w:type="paragraph" w:customStyle="1" w:styleId="TableBullet2">
    <w:name w:val="Table Bullet 2"/>
    <w:basedOn w:val="TableBullet1"/>
    <w:qFormat/>
    <w:rsid w:val="0013752B"/>
    <w:pPr>
      <w:numPr>
        <w:ilvl w:val="1"/>
      </w:numPr>
    </w:pPr>
  </w:style>
  <w:style w:type="paragraph" w:customStyle="1" w:styleId="TableBullet3">
    <w:name w:val="Table Bullet 3"/>
    <w:basedOn w:val="TableBullet2"/>
    <w:qFormat/>
    <w:rsid w:val="0013752B"/>
    <w:pPr>
      <w:numPr>
        <w:ilvl w:val="2"/>
      </w:numPr>
    </w:pPr>
  </w:style>
  <w:style w:type="paragraph" w:customStyle="1" w:styleId="TableListNumber">
    <w:name w:val="Table List Number"/>
    <w:basedOn w:val="TableBodyText"/>
    <w:qFormat/>
    <w:rsid w:val="0013752B"/>
    <w:pPr>
      <w:ind w:left="0"/>
    </w:pPr>
    <w:rPr>
      <w:rFonts w:eastAsiaTheme="minorEastAsia"/>
    </w:rPr>
  </w:style>
  <w:style w:type="paragraph" w:customStyle="1" w:styleId="TableListNumber2">
    <w:name w:val="Table List Number 2"/>
    <w:basedOn w:val="TableListNumber"/>
    <w:qFormat/>
    <w:rsid w:val="0013752B"/>
    <w:pPr>
      <w:numPr>
        <w:ilvl w:val="1"/>
      </w:numPr>
    </w:pPr>
  </w:style>
  <w:style w:type="paragraph" w:customStyle="1" w:styleId="TableListNumber3">
    <w:name w:val="Table List Number 3"/>
    <w:basedOn w:val="TableListNumber2"/>
    <w:qFormat/>
    <w:rsid w:val="0013752B"/>
    <w:pPr>
      <w:numPr>
        <w:ilvl w:val="2"/>
      </w:numPr>
    </w:pPr>
  </w:style>
  <w:style w:type="paragraph" w:styleId="TableofFigures">
    <w:name w:val="table of figures"/>
    <w:basedOn w:val="Normal"/>
    <w:next w:val="Normal"/>
    <w:uiPriority w:val="99"/>
    <w:rsid w:val="00844AB7"/>
    <w:pPr>
      <w:tabs>
        <w:tab w:val="right" w:leader="dot" w:pos="8165"/>
      </w:tabs>
      <w:spacing w:before="120" w:after="60"/>
      <w:ind w:left="1134" w:right="737" w:hanging="1134"/>
    </w:pPr>
    <w:rPr>
      <w:rFonts w:eastAsiaTheme="minorHAnsi" w:cstheme="minorBidi"/>
      <w:noProof/>
      <w:lang w:eastAsia="fr-CA"/>
    </w:rPr>
  </w:style>
  <w:style w:type="paragraph" w:customStyle="1" w:styleId="Source">
    <w:name w:val="Source"/>
    <w:basedOn w:val="Normal"/>
    <w:next w:val="BodyText"/>
    <w:rsid w:val="0013752B"/>
    <w:pPr>
      <w:spacing w:before="60" w:after="120" w:line="180" w:lineRule="atLeast"/>
    </w:pPr>
    <w:rPr>
      <w:rFonts w:cs="Arial"/>
      <w:sz w:val="18"/>
      <w:szCs w:val="18"/>
      <w:lang w:eastAsia="fr-CA"/>
    </w:rPr>
  </w:style>
  <w:style w:type="numbering" w:customStyle="1" w:styleId="TableBullets">
    <w:name w:val="TableBullets"/>
    <w:uiPriority w:val="99"/>
    <w:rsid w:val="00DD7311"/>
    <w:pPr>
      <w:numPr>
        <w:numId w:val="3"/>
      </w:numPr>
    </w:pPr>
  </w:style>
  <w:style w:type="numbering" w:customStyle="1" w:styleId="TableFootnotes">
    <w:name w:val="TableFootnotes"/>
    <w:uiPriority w:val="99"/>
    <w:rsid w:val="00DD7311"/>
    <w:pPr>
      <w:numPr>
        <w:numId w:val="4"/>
      </w:numPr>
    </w:pPr>
  </w:style>
  <w:style w:type="paragraph" w:styleId="Title">
    <w:name w:val="Title"/>
    <w:basedOn w:val="Normal"/>
    <w:link w:val="TitleChar"/>
    <w:uiPriority w:val="1"/>
    <w:rsid w:val="00D32EA5"/>
    <w:pPr>
      <w:spacing w:before="120" w:after="500" w:line="620" w:lineRule="exact"/>
      <w:ind w:left="227" w:right="1134"/>
    </w:pPr>
    <w:rPr>
      <w:rFonts w:asciiTheme="majorHAnsi" w:eastAsiaTheme="minorEastAsia" w:hAnsiTheme="majorHAnsi"/>
      <w:b/>
      <w:color w:val="214C90" w:themeColor="text2"/>
      <w:sz w:val="56"/>
      <w:szCs w:val="48"/>
    </w:rPr>
  </w:style>
  <w:style w:type="character" w:customStyle="1" w:styleId="TitleChar">
    <w:name w:val="Title Char"/>
    <w:basedOn w:val="DefaultParagraphFont"/>
    <w:link w:val="Title"/>
    <w:uiPriority w:val="1"/>
    <w:rsid w:val="00D32EA5"/>
    <w:rPr>
      <w:rFonts w:asciiTheme="majorHAnsi" w:eastAsiaTheme="minorEastAsia" w:hAnsiTheme="majorHAnsi"/>
      <w:b/>
      <w:color w:val="214C90" w:themeColor="text2"/>
      <w:sz w:val="56"/>
      <w:szCs w:val="48"/>
    </w:rPr>
  </w:style>
  <w:style w:type="paragraph" w:styleId="Subtitle">
    <w:name w:val="Subtitle"/>
    <w:basedOn w:val="Title"/>
    <w:next w:val="Normal"/>
    <w:link w:val="SubtitleChar"/>
    <w:uiPriority w:val="1"/>
    <w:rsid w:val="00D32EA5"/>
    <w:pPr>
      <w:spacing w:before="0" w:after="720" w:line="400" w:lineRule="exact"/>
      <w:contextualSpacing/>
    </w:pPr>
    <w:rPr>
      <w:rFonts w:asciiTheme="minorHAnsi" w:hAnsiTheme="minorHAnsi"/>
      <w:b w:val="0"/>
      <w:color w:val="5D89B4" w:themeColor="accent3"/>
      <w:spacing w:val="4"/>
      <w:sz w:val="40"/>
    </w:rPr>
  </w:style>
  <w:style w:type="paragraph" w:styleId="TOC1">
    <w:name w:val="toc 1"/>
    <w:basedOn w:val="Normal"/>
    <w:next w:val="Normal"/>
    <w:autoRedefine/>
    <w:uiPriority w:val="39"/>
    <w:rsid w:val="00717A36"/>
    <w:pPr>
      <w:tabs>
        <w:tab w:val="left" w:pos="851"/>
        <w:tab w:val="right" w:pos="8505"/>
      </w:tabs>
      <w:spacing w:before="240" w:after="60"/>
      <w:ind w:left="851" w:right="737" w:hanging="851"/>
    </w:pPr>
    <w:rPr>
      <w:rFonts w:eastAsiaTheme="minorHAnsi" w:cstheme="minorBidi"/>
      <w:b/>
      <w:noProof/>
      <w:lang w:eastAsia="en-US"/>
    </w:rPr>
  </w:style>
  <w:style w:type="paragraph" w:styleId="TOC2">
    <w:name w:val="toc 2"/>
    <w:basedOn w:val="Normal"/>
    <w:next w:val="Normal"/>
    <w:autoRedefine/>
    <w:uiPriority w:val="39"/>
    <w:rsid w:val="00717A36"/>
    <w:pPr>
      <w:tabs>
        <w:tab w:val="right" w:pos="8505"/>
      </w:tabs>
      <w:spacing w:before="120" w:after="60"/>
      <w:ind w:left="851" w:right="737" w:hanging="851"/>
    </w:pPr>
    <w:rPr>
      <w:rFonts w:eastAsiaTheme="minorHAnsi" w:cstheme="minorBidi"/>
      <w:noProof/>
      <w:lang w:eastAsia="fr-CA"/>
    </w:rPr>
  </w:style>
  <w:style w:type="paragraph" w:styleId="TOC3">
    <w:name w:val="toc 3"/>
    <w:basedOn w:val="Normal"/>
    <w:next w:val="Normal"/>
    <w:autoRedefine/>
    <w:rsid w:val="00717A36"/>
    <w:pPr>
      <w:tabs>
        <w:tab w:val="left" w:pos="851"/>
        <w:tab w:val="right" w:leader="dot" w:pos="8165"/>
      </w:tabs>
      <w:spacing w:before="120" w:after="60"/>
      <w:ind w:left="851" w:right="737" w:hanging="851"/>
    </w:pPr>
    <w:rPr>
      <w:rFonts w:eastAsiaTheme="minorHAnsi" w:cstheme="minorBidi"/>
      <w:noProof/>
      <w:szCs w:val="18"/>
      <w:lang w:eastAsia="fr-CA"/>
    </w:rPr>
  </w:style>
  <w:style w:type="character" w:customStyle="1" w:styleId="SubtitleChar">
    <w:name w:val="Subtitle Char"/>
    <w:basedOn w:val="DefaultParagraphFont"/>
    <w:link w:val="Subtitle"/>
    <w:uiPriority w:val="1"/>
    <w:rsid w:val="00D32EA5"/>
    <w:rPr>
      <w:rFonts w:eastAsiaTheme="minorEastAsia"/>
      <w:color w:val="5D89B4" w:themeColor="accent3"/>
      <w:spacing w:val="4"/>
      <w:sz w:val="40"/>
      <w:szCs w:val="48"/>
    </w:rPr>
  </w:style>
  <w:style w:type="paragraph" w:styleId="NormalWeb">
    <w:name w:val="Normal (Web)"/>
    <w:basedOn w:val="Normal"/>
    <w:uiPriority w:val="99"/>
    <w:rsid w:val="003255DA"/>
    <w:rPr>
      <w:szCs w:val="24"/>
    </w:rPr>
  </w:style>
  <w:style w:type="paragraph" w:styleId="ListContinue2">
    <w:name w:val="List Continue 2"/>
    <w:basedOn w:val="Normal"/>
    <w:rsid w:val="0013752B"/>
    <w:pPr>
      <w:spacing w:before="120" w:after="120"/>
      <w:ind w:left="714"/>
    </w:pPr>
    <w:rPr>
      <w:rFonts w:eastAsiaTheme="minorEastAsia"/>
    </w:rPr>
  </w:style>
  <w:style w:type="paragraph" w:styleId="ListContinue3">
    <w:name w:val="List Continue 3"/>
    <w:basedOn w:val="Normal"/>
    <w:rsid w:val="0013752B"/>
    <w:pPr>
      <w:spacing w:before="120" w:after="120"/>
      <w:ind w:left="1072"/>
    </w:pPr>
    <w:rPr>
      <w:rFonts w:eastAsiaTheme="minorEastAsia"/>
    </w:rPr>
  </w:style>
  <w:style w:type="paragraph" w:styleId="NoSpacing">
    <w:name w:val="No Spacing"/>
    <w:next w:val="BodyText"/>
    <w:rsid w:val="00B85B75"/>
    <w:pPr>
      <w:spacing w:line="240" w:lineRule="auto"/>
    </w:pPr>
  </w:style>
  <w:style w:type="paragraph" w:customStyle="1" w:styleId="TableofFiguresHeading">
    <w:name w:val="Table of Figures Heading"/>
    <w:basedOn w:val="Normal"/>
    <w:rsid w:val="006E2604"/>
    <w:pPr>
      <w:spacing w:before="120" w:after="120"/>
    </w:pPr>
    <w:rPr>
      <w:rFonts w:asciiTheme="majorHAnsi" w:eastAsiaTheme="minorEastAsia" w:hAnsiTheme="majorHAnsi"/>
      <w:b/>
      <w:bCs/>
      <w:color w:val="214C90" w:themeColor="text2"/>
    </w:rPr>
  </w:style>
  <w:style w:type="paragraph" w:customStyle="1" w:styleId="SideNote">
    <w:name w:val="Side Note"/>
    <w:basedOn w:val="BodyText"/>
    <w:qFormat/>
    <w:rsid w:val="00B651D5"/>
    <w:pPr>
      <w:framePr w:w="1418" w:h="397" w:wrap="around" w:vAnchor="text" w:hAnchor="page" w:x="568" w:y="143"/>
      <w:spacing w:before="0" w:line="247" w:lineRule="auto"/>
    </w:pPr>
    <w:rPr>
      <w:i/>
      <w:sz w:val="20"/>
    </w:rPr>
  </w:style>
  <w:style w:type="paragraph" w:customStyle="1" w:styleId="Address">
    <w:name w:val="Address"/>
    <w:basedOn w:val="Normal"/>
    <w:rsid w:val="00C6084A"/>
    <w:pPr>
      <w:framePr w:hSpace="181" w:wrap="around" w:vAnchor="page" w:hAnchor="page" w:xAlign="right" w:yAlign="bottom"/>
      <w:tabs>
        <w:tab w:val="left" w:pos="227"/>
      </w:tabs>
      <w:spacing w:line="220" w:lineRule="atLeast"/>
      <w:suppressOverlap/>
    </w:pPr>
    <w:rPr>
      <w:noProof/>
      <w:color w:val="FFFFFF"/>
    </w:rPr>
  </w:style>
  <w:style w:type="character" w:customStyle="1" w:styleId="Heading5Char">
    <w:name w:val="Heading 5 Char"/>
    <w:basedOn w:val="DefaultParagraphFont"/>
    <w:link w:val="Heading5"/>
    <w:rsid w:val="00A014E2"/>
    <w:rPr>
      <w:rFonts w:asciiTheme="majorHAnsi" w:eastAsiaTheme="majorEastAsia" w:hAnsiTheme="majorHAnsi" w:cstheme="majorBidi"/>
      <w:i/>
      <w:color w:val="214C90" w:themeColor="text2"/>
    </w:rPr>
  </w:style>
  <w:style w:type="character" w:customStyle="1" w:styleId="Heading6Char">
    <w:name w:val="Heading 6 Char"/>
    <w:basedOn w:val="DefaultParagraphFont"/>
    <w:link w:val="Heading6"/>
    <w:semiHidden/>
    <w:rsid w:val="00A014E2"/>
    <w:rPr>
      <w:rFonts w:asciiTheme="majorHAnsi" w:eastAsiaTheme="majorEastAsia" w:hAnsiTheme="majorHAnsi" w:cstheme="majorBidi"/>
      <w:b/>
      <w:iCs/>
      <w:color w:val="214C90" w:themeColor="text2"/>
      <w:lang w:eastAsia="en-US"/>
    </w:rPr>
  </w:style>
  <w:style w:type="paragraph" w:styleId="Revision">
    <w:name w:val="Revision"/>
    <w:hidden/>
    <w:uiPriority w:val="99"/>
    <w:semiHidden/>
    <w:rsid w:val="009E7348"/>
    <w:rPr>
      <w:rFonts w:ascii="Calibri" w:eastAsia="Calibri" w:hAnsi="Calibri"/>
      <w:lang w:eastAsia="en-US"/>
    </w:rPr>
  </w:style>
  <w:style w:type="table" w:customStyle="1" w:styleId="TablePlaceholder">
    <w:name w:val="Table Placeholder"/>
    <w:basedOn w:val="TableNormal"/>
    <w:uiPriority w:val="99"/>
    <w:rsid w:val="00480149"/>
    <w:pPr>
      <w:spacing w:line="240" w:lineRule="auto"/>
    </w:pPr>
    <w:tblPr>
      <w:tblCellMar>
        <w:left w:w="45" w:type="dxa"/>
        <w:right w:w="45" w:type="dxa"/>
      </w:tblCellMar>
    </w:tblPr>
  </w:style>
  <w:style w:type="paragraph" w:styleId="Quote">
    <w:name w:val="Quote"/>
    <w:basedOn w:val="Normal"/>
    <w:next w:val="Normal"/>
    <w:link w:val="QuoteChar"/>
    <w:qFormat/>
    <w:rsid w:val="002778AD"/>
    <w:pPr>
      <w:spacing w:before="200" w:after="160"/>
      <w:ind w:left="357" w:right="357"/>
    </w:pPr>
    <w:rPr>
      <w:i/>
      <w:iCs/>
      <w:sz w:val="20"/>
    </w:rPr>
  </w:style>
  <w:style w:type="character" w:customStyle="1" w:styleId="QuoteChar">
    <w:name w:val="Quote Char"/>
    <w:basedOn w:val="DefaultParagraphFont"/>
    <w:link w:val="Quote"/>
    <w:rsid w:val="002778AD"/>
    <w:rPr>
      <w:i/>
      <w:iCs/>
      <w:sz w:val="20"/>
    </w:rPr>
  </w:style>
  <w:style w:type="paragraph" w:customStyle="1" w:styleId="PullOutBoxBodyText">
    <w:name w:val="Pull Out Box Body Text"/>
    <w:basedOn w:val="Normal"/>
    <w:rsid w:val="00782365"/>
    <w:pPr>
      <w:spacing w:before="120"/>
    </w:pPr>
    <w:rPr>
      <w:rFonts w:eastAsiaTheme="minorEastAsia" w:cstheme="minorBidi"/>
      <w:lang w:eastAsia="fr-CA"/>
    </w:rPr>
  </w:style>
  <w:style w:type="paragraph" w:customStyle="1" w:styleId="PullOutBoxHeading">
    <w:name w:val="Pull Out Box Heading"/>
    <w:basedOn w:val="Normal"/>
    <w:next w:val="PullOutBoxBodyText"/>
    <w:rsid w:val="00782365"/>
    <w:pPr>
      <w:spacing w:before="120"/>
    </w:pPr>
    <w:rPr>
      <w:rFonts w:eastAsiaTheme="minorHAnsi" w:cstheme="minorBidi"/>
      <w:b/>
      <w:color w:val="214C90" w:themeColor="text2"/>
      <w:szCs w:val="24"/>
      <w:lang w:eastAsia="fr-CA"/>
    </w:rPr>
  </w:style>
  <w:style w:type="table" w:customStyle="1" w:styleId="PullOutBoxTable">
    <w:name w:val="Pull Out Box Table"/>
    <w:basedOn w:val="TableNormal"/>
    <w:uiPriority w:val="99"/>
    <w:rsid w:val="004B3F0E"/>
    <w:pPr>
      <w:spacing w:line="240" w:lineRule="auto"/>
    </w:pPr>
    <w:tblPr>
      <w:tblCellMar>
        <w:top w:w="142" w:type="dxa"/>
        <w:left w:w="170" w:type="dxa"/>
        <w:bottom w:w="142" w:type="dxa"/>
        <w:right w:w="170" w:type="dxa"/>
      </w:tblCellMar>
    </w:tblPr>
    <w:tcPr>
      <w:shd w:val="clear" w:color="auto" w:fill="E1E2E7" w:themeFill="background2"/>
    </w:tcPr>
  </w:style>
  <w:style w:type="character" w:customStyle="1" w:styleId="Bold">
    <w:name w:val="Bold"/>
    <w:uiPriority w:val="99"/>
    <w:rsid w:val="00C34E9D"/>
    <w:rPr>
      <w:rFonts w:eastAsiaTheme="minorEastAsia"/>
      <w:b/>
      <w:i w:val="0"/>
      <w:strike w:val="0"/>
      <w:vertAlign w:val="baseline"/>
    </w:rPr>
  </w:style>
  <w:style w:type="character" w:customStyle="1" w:styleId="BoldAndItalics">
    <w:name w:val="Bold And Italics"/>
    <w:uiPriority w:val="99"/>
    <w:rsid w:val="00C34E9D"/>
    <w:rPr>
      <w:rFonts w:eastAsiaTheme="minorEastAsia"/>
      <w:b/>
      <w:i/>
      <w:strike w:val="0"/>
      <w:vertAlign w:val="baseline"/>
    </w:rPr>
  </w:style>
  <w:style w:type="paragraph" w:customStyle="1" w:styleId="TableHeadingBold">
    <w:name w:val="Table Heading Bold"/>
    <w:basedOn w:val="TableHeading"/>
    <w:rsid w:val="0013752B"/>
    <w:rPr>
      <w:b/>
    </w:rPr>
  </w:style>
  <w:style w:type="paragraph" w:customStyle="1" w:styleId="AppendixHeading4">
    <w:name w:val="Appendix Heading 4"/>
    <w:basedOn w:val="Normal"/>
    <w:next w:val="BodyText"/>
    <w:uiPriority w:val="4"/>
    <w:rsid w:val="007D7FFC"/>
    <w:pPr>
      <w:keepNext/>
      <w:numPr>
        <w:ilvl w:val="3"/>
        <w:numId w:val="5"/>
      </w:numPr>
      <w:spacing w:before="360" w:after="240"/>
    </w:pPr>
    <w:rPr>
      <w:rFonts w:asciiTheme="majorHAnsi" w:eastAsiaTheme="minorEastAsia" w:hAnsiTheme="majorHAnsi"/>
      <w:b/>
      <w:i/>
      <w:color w:val="007BC1"/>
      <w:lang w:eastAsia="en-US"/>
    </w:rPr>
  </w:style>
  <w:style w:type="paragraph" w:customStyle="1" w:styleId="xPageNumberHeading">
    <w:name w:val="xPage Number Heading"/>
    <w:basedOn w:val="Normal"/>
    <w:next w:val="BodyText"/>
    <w:rsid w:val="002778AD"/>
    <w:pPr>
      <w:keepNext/>
      <w:keepLines/>
      <w:tabs>
        <w:tab w:val="right" w:pos="9639"/>
      </w:tabs>
      <w:spacing w:after="360"/>
      <w:jc w:val="right"/>
    </w:pPr>
    <w:rPr>
      <w:lang w:eastAsia="en-US"/>
    </w:rPr>
  </w:style>
  <w:style w:type="paragraph" w:customStyle="1" w:styleId="Notes">
    <w:name w:val="Notes"/>
    <w:basedOn w:val="Normal"/>
    <w:rsid w:val="00782365"/>
    <w:pPr>
      <w:spacing w:before="120" w:after="120"/>
    </w:pPr>
    <w:rPr>
      <w:rFonts w:cs="Arial"/>
      <w:sz w:val="18"/>
    </w:rPr>
  </w:style>
  <w:style w:type="paragraph" w:styleId="Date">
    <w:name w:val="Date"/>
    <w:basedOn w:val="Normal"/>
    <w:next w:val="Normal"/>
    <w:link w:val="DateChar"/>
    <w:rsid w:val="007F2042"/>
    <w:pPr>
      <w:ind w:left="227"/>
    </w:pPr>
    <w:rPr>
      <w:rFonts w:eastAsiaTheme="minorEastAsia"/>
      <w:sz w:val="32"/>
    </w:rPr>
  </w:style>
  <w:style w:type="character" w:customStyle="1" w:styleId="DateChar">
    <w:name w:val="Date Char"/>
    <w:basedOn w:val="DefaultParagraphFont"/>
    <w:link w:val="Date"/>
    <w:rsid w:val="007F2042"/>
    <w:rPr>
      <w:rFonts w:eastAsiaTheme="minorEastAsia"/>
      <w:sz w:val="32"/>
    </w:rPr>
  </w:style>
  <w:style w:type="paragraph" w:customStyle="1" w:styleId="NotesNumbered">
    <w:name w:val="Notes Numbered"/>
    <w:basedOn w:val="Normal"/>
    <w:qFormat/>
    <w:rsid w:val="00323279"/>
    <w:pPr>
      <w:numPr>
        <w:numId w:val="6"/>
      </w:numPr>
      <w:spacing w:before="120" w:after="240" w:line="240" w:lineRule="auto"/>
      <w:contextualSpacing/>
    </w:pPr>
    <w:rPr>
      <w:sz w:val="18"/>
      <w:szCs w:val="20"/>
      <w:lang w:eastAsia="fr-CA"/>
    </w:rPr>
  </w:style>
  <w:style w:type="paragraph" w:styleId="FootnoteText">
    <w:name w:val="footnote text"/>
    <w:aliases w:val="BG Footnote Text,TBG Style"/>
    <w:basedOn w:val="Normal"/>
    <w:link w:val="FootnoteTextChar"/>
    <w:rsid w:val="003042FF"/>
    <w:pPr>
      <w:tabs>
        <w:tab w:val="left" w:pos="340"/>
      </w:tabs>
      <w:spacing w:before="60" w:after="60" w:line="240" w:lineRule="auto"/>
      <w:ind w:left="340" w:hanging="340"/>
    </w:pPr>
    <w:rPr>
      <w:sz w:val="16"/>
      <w:szCs w:val="20"/>
    </w:rPr>
  </w:style>
  <w:style w:type="character" w:customStyle="1" w:styleId="FootnoteTextChar">
    <w:name w:val="Footnote Text Char"/>
    <w:aliases w:val="BG Footnote Text Char,TBG Style Char"/>
    <w:basedOn w:val="DefaultParagraphFont"/>
    <w:link w:val="FootnoteText"/>
    <w:rsid w:val="003042FF"/>
    <w:rPr>
      <w:rFonts w:ascii="Arial" w:hAnsi="Arial"/>
      <w:sz w:val="16"/>
      <w:szCs w:val="20"/>
    </w:rPr>
  </w:style>
  <w:style w:type="character" w:styleId="FootnoteReference">
    <w:name w:val="footnote reference"/>
    <w:basedOn w:val="DefaultParagraphFont"/>
    <w:unhideWhenUsed/>
    <w:rsid w:val="00A176B6"/>
    <w:rPr>
      <w:vertAlign w:val="superscript"/>
    </w:rPr>
  </w:style>
  <w:style w:type="paragraph" w:styleId="ListNumber4">
    <w:name w:val="List Number 4"/>
    <w:basedOn w:val="Normal"/>
    <w:unhideWhenUsed/>
    <w:rsid w:val="00D33D2C"/>
    <w:pPr>
      <w:numPr>
        <w:ilvl w:val="3"/>
        <w:numId w:val="30"/>
      </w:numPr>
      <w:spacing w:before="120" w:after="120"/>
    </w:pPr>
  </w:style>
  <w:style w:type="paragraph" w:styleId="ListNumber5">
    <w:name w:val="List Number 5"/>
    <w:basedOn w:val="Normal"/>
    <w:unhideWhenUsed/>
    <w:rsid w:val="00D33D2C"/>
    <w:pPr>
      <w:numPr>
        <w:ilvl w:val="4"/>
        <w:numId w:val="30"/>
      </w:numPr>
      <w:spacing w:before="120" w:after="120"/>
    </w:pPr>
  </w:style>
  <w:style w:type="paragraph" w:styleId="ListBullet4">
    <w:name w:val="List Bullet 4"/>
    <w:basedOn w:val="Normal"/>
    <w:unhideWhenUsed/>
    <w:rsid w:val="001122BF"/>
    <w:pPr>
      <w:spacing w:before="120" w:after="120"/>
    </w:pPr>
  </w:style>
  <w:style w:type="paragraph" w:styleId="ListBullet5">
    <w:name w:val="List Bullet 5"/>
    <w:basedOn w:val="Normal"/>
    <w:unhideWhenUsed/>
    <w:rsid w:val="001122BF"/>
    <w:pPr>
      <w:contextualSpacing/>
    </w:pPr>
  </w:style>
  <w:style w:type="paragraph" w:customStyle="1" w:styleId="PageNumberinFrame">
    <w:name w:val="Page Number in Frame"/>
    <w:basedOn w:val="Normal"/>
    <w:qFormat/>
    <w:rsid w:val="00A13A74"/>
    <w:pPr>
      <w:framePr w:w="1701" w:h="1701" w:hRule="exact" w:wrap="around" w:vAnchor="text" w:hAnchor="margin" w:xAlign="right" w:y="1"/>
      <w:jc w:val="center"/>
    </w:pPr>
    <w:rPr>
      <w:sz w:val="18"/>
    </w:rPr>
  </w:style>
  <w:style w:type="paragraph" w:customStyle="1" w:styleId="BodyTextSmall">
    <w:name w:val="Body Text Small"/>
    <w:basedOn w:val="Normal"/>
    <w:qFormat/>
    <w:rsid w:val="00AD6695"/>
    <w:pPr>
      <w:spacing w:before="240" w:after="120"/>
    </w:pPr>
    <w:rPr>
      <w:sz w:val="18"/>
    </w:rPr>
  </w:style>
  <w:style w:type="paragraph" w:styleId="ListContinue4">
    <w:name w:val="List Continue 4"/>
    <w:basedOn w:val="Normal"/>
    <w:semiHidden/>
    <w:unhideWhenUsed/>
    <w:rsid w:val="0013752B"/>
    <w:pPr>
      <w:spacing w:before="120" w:after="120"/>
      <w:ind w:left="1429"/>
    </w:pPr>
  </w:style>
  <w:style w:type="paragraph" w:styleId="ListContinue5">
    <w:name w:val="List Continue 5"/>
    <w:basedOn w:val="Normal"/>
    <w:semiHidden/>
    <w:unhideWhenUsed/>
    <w:rsid w:val="0013752B"/>
    <w:pPr>
      <w:spacing w:before="120" w:after="120"/>
      <w:ind w:left="1786"/>
    </w:pPr>
  </w:style>
  <w:style w:type="paragraph" w:customStyle="1" w:styleId="ExecSummHeading1">
    <w:name w:val="Exec Summ Heading 1"/>
    <w:basedOn w:val="Normal"/>
    <w:next w:val="BodyText"/>
    <w:qFormat/>
    <w:rsid w:val="00DE2084"/>
    <w:pPr>
      <w:pageBreakBefore/>
      <w:spacing w:after="240"/>
      <w:ind w:left="851" w:hanging="851"/>
      <w:outlineLvl w:val="0"/>
    </w:pPr>
    <w:rPr>
      <w:rFonts w:asciiTheme="majorHAnsi" w:hAnsiTheme="majorHAnsi"/>
      <w:b/>
      <w:color w:val="007BC1"/>
      <w:sz w:val="32"/>
    </w:rPr>
  </w:style>
  <w:style w:type="paragraph" w:customStyle="1" w:styleId="ExecSummHeading2">
    <w:name w:val="Exec Summ Heading 2"/>
    <w:basedOn w:val="ExecSummHeading1"/>
    <w:next w:val="BodyText"/>
    <w:qFormat/>
    <w:rsid w:val="00DE2084"/>
    <w:pPr>
      <w:pageBreakBefore w:val="0"/>
      <w:spacing w:before="360"/>
      <w:outlineLvl w:val="9"/>
    </w:pPr>
    <w:rPr>
      <w:sz w:val="28"/>
    </w:rPr>
  </w:style>
  <w:style w:type="paragraph" w:customStyle="1" w:styleId="ExecSummHeading3">
    <w:name w:val="Exec Summ Heading 3"/>
    <w:basedOn w:val="ExecSummHeading2"/>
    <w:next w:val="BodyText"/>
    <w:qFormat/>
    <w:rsid w:val="00FF2DF8"/>
    <w:rPr>
      <w:sz w:val="22"/>
    </w:rPr>
  </w:style>
  <w:style w:type="paragraph" w:customStyle="1" w:styleId="ExecSummBodyText">
    <w:name w:val="Exec Summ Body Text"/>
    <w:basedOn w:val="Normal"/>
    <w:qFormat/>
    <w:rsid w:val="004B4F74"/>
    <w:pPr>
      <w:spacing w:before="240" w:after="120"/>
    </w:pPr>
  </w:style>
  <w:style w:type="paragraph" w:styleId="TOC4">
    <w:name w:val="toc 4"/>
    <w:basedOn w:val="Normal"/>
    <w:next w:val="Normal"/>
    <w:autoRedefine/>
    <w:unhideWhenUsed/>
    <w:rsid w:val="00774723"/>
    <w:pPr>
      <w:tabs>
        <w:tab w:val="right" w:leader="dot" w:pos="8165"/>
      </w:tabs>
      <w:spacing w:before="120" w:after="60"/>
      <w:ind w:right="737"/>
    </w:pPr>
  </w:style>
  <w:style w:type="character" w:customStyle="1" w:styleId="MyUnderlineStrikethrough">
    <w:name w:val="MyUnderline&amp;Strikethrough"/>
    <w:semiHidden/>
    <w:rsid w:val="00C34E9D"/>
    <w:rPr>
      <w:b w:val="0"/>
      <w:i w:val="0"/>
      <w:strike/>
      <w:dstrike w:val="0"/>
      <w:u w:val="single"/>
      <w:vertAlign w:val="baseline"/>
    </w:rPr>
  </w:style>
  <w:style w:type="character" w:customStyle="1" w:styleId="MyStrikethrough">
    <w:name w:val="MyStrikethrough"/>
    <w:semiHidden/>
    <w:rsid w:val="00C34E9D"/>
    <w:rPr>
      <w:b w:val="0"/>
      <w:i w:val="0"/>
      <w:strike/>
      <w:dstrike w:val="0"/>
      <w:vertAlign w:val="baseline"/>
    </w:rPr>
  </w:style>
  <w:style w:type="character" w:customStyle="1" w:styleId="MySuperscriptItalics">
    <w:name w:val="MySuperscript&amp;Italics"/>
    <w:semiHidden/>
    <w:rsid w:val="00C34E9D"/>
    <w:rPr>
      <w:b w:val="0"/>
      <w:i/>
      <w:strike w:val="0"/>
      <w:vertAlign w:val="superscript"/>
    </w:rPr>
  </w:style>
  <w:style w:type="character" w:customStyle="1" w:styleId="MySubscriptItalics">
    <w:name w:val="MySubscript&amp;Italics"/>
    <w:semiHidden/>
    <w:rsid w:val="00C34E9D"/>
    <w:rPr>
      <w:b w:val="0"/>
      <w:i/>
      <w:strike w:val="0"/>
      <w:vertAlign w:val="subscript"/>
    </w:rPr>
  </w:style>
  <w:style w:type="character" w:customStyle="1" w:styleId="MySuperscript">
    <w:name w:val="MySuperscript"/>
    <w:semiHidden/>
    <w:rsid w:val="00C34E9D"/>
    <w:rPr>
      <w:b w:val="0"/>
      <w:i w:val="0"/>
      <w:strike w:val="0"/>
      <w:vertAlign w:val="superscript"/>
    </w:rPr>
  </w:style>
  <w:style w:type="character" w:customStyle="1" w:styleId="MySubscript">
    <w:name w:val="MySubscript"/>
    <w:semiHidden/>
    <w:rsid w:val="00C34E9D"/>
    <w:rPr>
      <w:b w:val="0"/>
      <w:i w:val="0"/>
      <w:strike w:val="0"/>
      <w:vertAlign w:val="subscript"/>
    </w:rPr>
  </w:style>
  <w:style w:type="character" w:customStyle="1" w:styleId="MyBoldItalicsUnderline">
    <w:name w:val="MyBoldItalicsUnderline"/>
    <w:semiHidden/>
    <w:rsid w:val="00C34E9D"/>
    <w:rPr>
      <w:b/>
      <w:i/>
      <w:strike w:val="0"/>
      <w:u w:val="single"/>
      <w:vertAlign w:val="baseline"/>
    </w:rPr>
  </w:style>
  <w:style w:type="character" w:customStyle="1" w:styleId="MyBoldUnderline">
    <w:name w:val="MyBoldUnderline"/>
    <w:semiHidden/>
    <w:rsid w:val="00C34E9D"/>
    <w:rPr>
      <w:b/>
      <w:i/>
      <w:strike w:val="0"/>
      <w:u w:val="single"/>
      <w:vertAlign w:val="baseline"/>
    </w:rPr>
  </w:style>
  <w:style w:type="character" w:customStyle="1" w:styleId="MyItalicsUnderline">
    <w:name w:val="MyItalicsUnderline"/>
    <w:semiHidden/>
    <w:rsid w:val="00C34E9D"/>
    <w:rPr>
      <w:b/>
      <w:i/>
      <w:strike w:val="0"/>
      <w:u w:val="single"/>
      <w:vertAlign w:val="baseline"/>
    </w:rPr>
  </w:style>
  <w:style w:type="character" w:customStyle="1" w:styleId="MyUnderline">
    <w:name w:val="MyUnderline"/>
    <w:semiHidden/>
    <w:rsid w:val="00C34E9D"/>
    <w:rPr>
      <w:b w:val="0"/>
      <w:i w:val="0"/>
      <w:strike w:val="0"/>
      <w:u w:val="single"/>
      <w:vertAlign w:val="baseline"/>
    </w:rPr>
  </w:style>
  <w:style w:type="paragraph" w:styleId="CommentText">
    <w:name w:val="annotation text"/>
    <w:basedOn w:val="Normal"/>
    <w:link w:val="CommentTextChar"/>
    <w:uiPriority w:val="99"/>
    <w:unhideWhenUsed/>
    <w:rsid w:val="00130333"/>
    <w:pPr>
      <w:spacing w:after="160" w:line="240" w:lineRule="auto"/>
    </w:pPr>
    <w:rPr>
      <w:rFonts w:asciiTheme="minorHAnsi" w:eastAsiaTheme="minorHAnsi" w:hAnsiTheme="minorHAnsi" w:cstheme="minorBidi"/>
      <w:sz w:val="20"/>
      <w:szCs w:val="20"/>
      <w:lang w:eastAsia="en-US"/>
    </w:rPr>
  </w:style>
  <w:style w:type="character" w:customStyle="1" w:styleId="CommentTextChar">
    <w:name w:val="Comment Text Char"/>
    <w:basedOn w:val="DefaultParagraphFont"/>
    <w:link w:val="CommentText"/>
    <w:uiPriority w:val="99"/>
    <w:rsid w:val="00130333"/>
    <w:rPr>
      <w:rFonts w:eastAsiaTheme="minorHAnsi" w:cstheme="minorBidi"/>
      <w:sz w:val="20"/>
      <w:szCs w:val="20"/>
      <w:lang w:eastAsia="en-US"/>
    </w:rPr>
  </w:style>
  <w:style w:type="character" w:customStyle="1" w:styleId="ListParagraphChar">
    <w:name w:val="List Paragraph Char"/>
    <w:aliases w:val="List Paragraph11 Char,Recommendation Char,List Paragraph1 Char,Bullet point Char,1 heading Char,Dot point 1.5 line spacing Char,L Char,List Paragraph - bullets Char,NFP GP Bulleted List Char,bullet point list Char,LP-DO NOT USE Char"/>
    <w:basedOn w:val="DefaultParagraphFont"/>
    <w:link w:val="ListParagraph"/>
    <w:uiPriority w:val="34"/>
    <w:locked/>
    <w:rsid w:val="00130333"/>
  </w:style>
  <w:style w:type="paragraph" w:styleId="ListParagraph">
    <w:name w:val="List Paragraph"/>
    <w:aliases w:val="List Paragraph11,Recommendation,List Paragraph1,Bullet point,1 heading,Dot point 1.5 line spacing,L,List Paragraph - bullets,NFP GP Bulleted List,bullet point list,LP-DO NOT USE,Bulleted Para,CV text,Dot pt,F5 List Paragraph,FooterText"/>
    <w:basedOn w:val="Normal"/>
    <w:link w:val="ListParagraphChar"/>
    <w:uiPriority w:val="34"/>
    <w:qFormat/>
    <w:rsid w:val="00130333"/>
    <w:pPr>
      <w:spacing w:after="160" w:line="256" w:lineRule="auto"/>
      <w:ind w:left="720"/>
      <w:contextualSpacing/>
    </w:pPr>
    <w:rPr>
      <w:rFonts w:asciiTheme="minorHAnsi" w:hAnsiTheme="minorHAnsi"/>
    </w:rPr>
  </w:style>
  <w:style w:type="paragraph" w:customStyle="1" w:styleId="Default">
    <w:name w:val="Default"/>
    <w:rsid w:val="00130333"/>
    <w:pPr>
      <w:autoSpaceDE w:val="0"/>
      <w:autoSpaceDN w:val="0"/>
      <w:adjustRightInd w:val="0"/>
      <w:spacing w:line="240" w:lineRule="auto"/>
    </w:pPr>
    <w:rPr>
      <w:rFonts w:ascii="Arial" w:eastAsia="Calibri" w:hAnsi="Arial" w:cs="Arial"/>
      <w:color w:val="000000"/>
      <w:sz w:val="24"/>
      <w:szCs w:val="24"/>
    </w:rPr>
  </w:style>
  <w:style w:type="character" w:styleId="CommentReference">
    <w:name w:val="annotation reference"/>
    <w:basedOn w:val="DefaultParagraphFont"/>
    <w:uiPriority w:val="99"/>
    <w:semiHidden/>
    <w:unhideWhenUsed/>
    <w:rsid w:val="00130333"/>
    <w:rPr>
      <w:sz w:val="16"/>
      <w:szCs w:val="16"/>
    </w:rPr>
  </w:style>
  <w:style w:type="numbering" w:customStyle="1" w:styleId="BulletList">
    <w:name w:val="Bullet List"/>
    <w:uiPriority w:val="99"/>
    <w:rsid w:val="00130333"/>
    <w:pPr>
      <w:numPr>
        <w:numId w:val="10"/>
      </w:numPr>
    </w:pPr>
  </w:style>
  <w:style w:type="paragraph" w:customStyle="1" w:styleId="Pa9">
    <w:name w:val="Pa9"/>
    <w:basedOn w:val="Default"/>
    <w:next w:val="Default"/>
    <w:uiPriority w:val="99"/>
    <w:rsid w:val="00CE1750"/>
    <w:pPr>
      <w:spacing w:line="201" w:lineRule="atLeast"/>
    </w:pPr>
    <w:rPr>
      <w:rFonts w:ascii="Gotham Light" w:eastAsia="Times New Roman" w:hAnsi="Gotham Light" w:cs="Times New Roman"/>
      <w:color w:val="auto"/>
    </w:rPr>
  </w:style>
  <w:style w:type="character" w:customStyle="1" w:styleId="A8">
    <w:name w:val="A8"/>
    <w:uiPriority w:val="99"/>
    <w:rsid w:val="00CE1750"/>
    <w:rPr>
      <w:rFonts w:cs="Gotham Light"/>
      <w:color w:val="000000"/>
      <w:sz w:val="11"/>
      <w:szCs w:val="11"/>
    </w:rPr>
  </w:style>
  <w:style w:type="character" w:customStyle="1" w:styleId="Mention1">
    <w:name w:val="Mention1"/>
    <w:basedOn w:val="DefaultParagraphFont"/>
    <w:uiPriority w:val="99"/>
    <w:semiHidden/>
    <w:unhideWhenUsed/>
    <w:rsid w:val="00823FB3"/>
    <w:rPr>
      <w:color w:val="2B579A"/>
      <w:shd w:val="clear" w:color="auto" w:fill="E6E6E6"/>
    </w:rPr>
  </w:style>
  <w:style w:type="paragraph" w:styleId="PlainText">
    <w:name w:val="Plain Text"/>
    <w:basedOn w:val="Normal"/>
    <w:link w:val="PlainTextChar"/>
    <w:uiPriority w:val="39"/>
    <w:semiHidden/>
    <w:unhideWhenUsed/>
    <w:rsid w:val="007617DF"/>
    <w:pPr>
      <w:spacing w:line="240" w:lineRule="auto"/>
    </w:pPr>
    <w:rPr>
      <w:rFonts w:ascii="Calibri" w:hAnsi="Calibri"/>
      <w:szCs w:val="21"/>
    </w:rPr>
  </w:style>
  <w:style w:type="character" w:customStyle="1" w:styleId="PlainTextChar">
    <w:name w:val="Plain Text Char"/>
    <w:basedOn w:val="DefaultParagraphFont"/>
    <w:link w:val="PlainText"/>
    <w:uiPriority w:val="39"/>
    <w:semiHidden/>
    <w:rsid w:val="007617DF"/>
    <w:rPr>
      <w:rFonts w:ascii="Calibri" w:hAnsi="Calibri"/>
      <w:szCs w:val="21"/>
    </w:rPr>
  </w:style>
  <w:style w:type="paragraph" w:styleId="CommentSubject">
    <w:name w:val="annotation subject"/>
    <w:basedOn w:val="CommentText"/>
    <w:next w:val="CommentText"/>
    <w:link w:val="CommentSubjectChar"/>
    <w:uiPriority w:val="39"/>
    <w:semiHidden/>
    <w:unhideWhenUsed/>
    <w:rsid w:val="0023587F"/>
    <w:pPr>
      <w:spacing w:after="0"/>
    </w:pPr>
    <w:rPr>
      <w:rFonts w:ascii="Arial" w:eastAsia="Times New Roman" w:hAnsi="Arial" w:cs="Times New Roman"/>
      <w:b/>
      <w:bCs/>
      <w:lang w:eastAsia="en-AU"/>
    </w:rPr>
  </w:style>
  <w:style w:type="character" w:customStyle="1" w:styleId="CommentSubjectChar">
    <w:name w:val="Comment Subject Char"/>
    <w:basedOn w:val="CommentTextChar"/>
    <w:link w:val="CommentSubject"/>
    <w:uiPriority w:val="39"/>
    <w:semiHidden/>
    <w:rsid w:val="0023587F"/>
    <w:rPr>
      <w:rFonts w:ascii="Arial" w:eastAsiaTheme="minorHAnsi" w:hAnsi="Arial" w:cstheme="minorBidi"/>
      <w:b/>
      <w:bCs/>
      <w:sz w:val="20"/>
      <w:szCs w:val="20"/>
      <w:lang w:eastAsia="en-US"/>
    </w:rPr>
  </w:style>
  <w:style w:type="paragraph" w:customStyle="1" w:styleId="Bullet2a">
    <w:name w:val="Bullet2a"/>
    <w:basedOn w:val="ListBullet2"/>
    <w:link w:val="Bullet2aChar"/>
    <w:rsid w:val="005B1992"/>
  </w:style>
  <w:style w:type="paragraph" w:customStyle="1" w:styleId="Bullet2b">
    <w:name w:val="Bullet2b"/>
    <w:basedOn w:val="ListBullet2"/>
    <w:link w:val="Bullet2bChar"/>
    <w:rsid w:val="005B1992"/>
  </w:style>
  <w:style w:type="character" w:customStyle="1" w:styleId="ListBulletChar">
    <w:name w:val="List Bullet Char"/>
    <w:basedOn w:val="BodyTextChar"/>
    <w:link w:val="ListBullet"/>
    <w:rsid w:val="00B21AEE"/>
    <w:rPr>
      <w:rFonts w:ascii="Arial" w:hAnsi="Arial"/>
    </w:rPr>
  </w:style>
  <w:style w:type="character" w:customStyle="1" w:styleId="ListBullet2Char">
    <w:name w:val="List Bullet 2 Char"/>
    <w:basedOn w:val="ListBulletChar"/>
    <w:link w:val="ListBullet2"/>
    <w:rsid w:val="002276FF"/>
    <w:rPr>
      <w:rFonts w:ascii="Arial" w:hAnsi="Arial"/>
    </w:rPr>
  </w:style>
  <w:style w:type="character" w:customStyle="1" w:styleId="Bullet2aChar">
    <w:name w:val="Bullet2a Char"/>
    <w:basedOn w:val="ListBullet2Char"/>
    <w:link w:val="Bullet2a"/>
    <w:rsid w:val="005B1992"/>
    <w:rPr>
      <w:rFonts w:ascii="Arial" w:hAnsi="Arial"/>
    </w:rPr>
  </w:style>
  <w:style w:type="character" w:customStyle="1" w:styleId="Bullet2bChar">
    <w:name w:val="Bullet2b Char"/>
    <w:basedOn w:val="ListBullet2Char"/>
    <w:link w:val="Bullet2b"/>
    <w:rsid w:val="005B1992"/>
    <w:rPr>
      <w:rFonts w:ascii="Arial" w:hAnsi="Arial"/>
    </w:rPr>
  </w:style>
  <w:style w:type="paragraph" w:customStyle="1" w:styleId="text">
    <w:name w:val="text"/>
    <w:basedOn w:val="Normal"/>
    <w:uiPriority w:val="99"/>
    <w:rsid w:val="008E05C4"/>
    <w:pPr>
      <w:widowControl w:val="0"/>
      <w:suppressAutoHyphens/>
      <w:autoSpaceDE w:val="0"/>
      <w:autoSpaceDN w:val="0"/>
      <w:adjustRightInd w:val="0"/>
      <w:spacing w:after="170" w:line="210" w:lineRule="atLeast"/>
      <w:textAlignment w:val="center"/>
    </w:pPr>
    <w:rPr>
      <w:rFonts w:ascii="ArialMT" w:eastAsia="Cambria" w:hAnsi="ArialMT" w:cs="ArialMT"/>
      <w:color w:val="000000"/>
      <w:sz w:val="17"/>
      <w:szCs w:val="17"/>
      <w:lang w:val="en-GB" w:eastAsia="en-US"/>
    </w:rPr>
  </w:style>
  <w:style w:type="character" w:styleId="Emphasis">
    <w:name w:val="Emphasis"/>
    <w:uiPriority w:val="20"/>
    <w:qFormat/>
    <w:rsid w:val="00E164A7"/>
    <w:rPr>
      <w:i/>
    </w:rPr>
  </w:style>
  <w:style w:type="character" w:styleId="Strong">
    <w:name w:val="Strong"/>
    <w:aliases w:val="AER text bold"/>
    <w:basedOn w:val="DefaultParagraphFont"/>
    <w:uiPriority w:val="22"/>
    <w:qFormat/>
    <w:rsid w:val="00057416"/>
    <w:rPr>
      <w:b/>
      <w:bCs/>
    </w:rPr>
  </w:style>
  <w:style w:type="character" w:customStyle="1" w:styleId="caps1">
    <w:name w:val="caps1"/>
    <w:basedOn w:val="DefaultParagraphFont"/>
    <w:rsid w:val="00057416"/>
    <w:rPr>
      <w:sz w:val="22"/>
      <w:szCs w:val="22"/>
    </w:rPr>
  </w:style>
  <w:style w:type="character" w:customStyle="1" w:styleId="tgc">
    <w:name w:val="_tgc"/>
    <w:basedOn w:val="DefaultParagraphFont"/>
    <w:rsid w:val="00057416"/>
  </w:style>
  <w:style w:type="table" w:styleId="ListTable4-Accent1">
    <w:name w:val="List Table 4 Accent 1"/>
    <w:basedOn w:val="TableNormal"/>
    <w:uiPriority w:val="49"/>
    <w:rsid w:val="00742868"/>
    <w:pPr>
      <w:spacing w:line="240" w:lineRule="auto"/>
    </w:pPr>
    <w:rPr>
      <w:rFonts w:eastAsiaTheme="minorHAnsi" w:cstheme="minorBidi"/>
      <w:lang w:eastAsia="en-US"/>
    </w:rPr>
    <w:tblPr>
      <w:tblStyleRowBandSize w:val="1"/>
      <w:tblStyleColBandSize w:val="1"/>
      <w:tblInd w:w="0" w:type="nil"/>
      <w:tblBorders>
        <w:top w:val="single" w:sz="4" w:space="0" w:color="5C8CD9" w:themeColor="accent1" w:themeTint="99"/>
        <w:left w:val="single" w:sz="4" w:space="0" w:color="5C8CD9" w:themeColor="accent1" w:themeTint="99"/>
        <w:bottom w:val="single" w:sz="4" w:space="0" w:color="5C8CD9" w:themeColor="accent1" w:themeTint="99"/>
        <w:right w:val="single" w:sz="4" w:space="0" w:color="5C8CD9" w:themeColor="accent1" w:themeTint="99"/>
        <w:insideH w:val="single" w:sz="4" w:space="0" w:color="5C8CD9" w:themeColor="accent1" w:themeTint="99"/>
      </w:tblBorders>
    </w:tblPr>
    <w:tblStylePr w:type="firstRow">
      <w:rPr>
        <w:b/>
        <w:bCs/>
        <w:color w:val="FFFFFF" w:themeColor="background1"/>
      </w:rPr>
      <w:tblPr/>
      <w:tcPr>
        <w:tcBorders>
          <w:top w:val="single" w:sz="4" w:space="0" w:color="214C90" w:themeColor="accent1"/>
          <w:left w:val="single" w:sz="4" w:space="0" w:color="214C90" w:themeColor="accent1"/>
          <w:bottom w:val="single" w:sz="4" w:space="0" w:color="214C90" w:themeColor="accent1"/>
          <w:right w:val="single" w:sz="4" w:space="0" w:color="214C90" w:themeColor="accent1"/>
          <w:insideH w:val="nil"/>
        </w:tcBorders>
        <w:shd w:val="clear" w:color="auto" w:fill="214C90" w:themeFill="accent1"/>
      </w:tcPr>
    </w:tblStylePr>
    <w:tblStylePr w:type="lastRow">
      <w:rPr>
        <w:b/>
        <w:bCs/>
      </w:rPr>
      <w:tblPr/>
      <w:tcPr>
        <w:tcBorders>
          <w:top w:val="double" w:sz="4" w:space="0" w:color="5C8CD9" w:themeColor="accent1" w:themeTint="99"/>
        </w:tcBorders>
      </w:tcPr>
    </w:tblStylePr>
    <w:tblStylePr w:type="firstCol">
      <w:rPr>
        <w:b/>
        <w:bCs/>
      </w:rPr>
    </w:tblStylePr>
    <w:tblStylePr w:type="lastCol">
      <w:rPr>
        <w:b/>
        <w:bCs/>
      </w:rPr>
    </w:tblStylePr>
    <w:tblStylePr w:type="band1Vert">
      <w:tblPr/>
      <w:tcPr>
        <w:shd w:val="clear" w:color="auto" w:fill="C8D8F2" w:themeFill="accent1" w:themeFillTint="33"/>
      </w:tcPr>
    </w:tblStylePr>
    <w:tblStylePr w:type="band1Horz">
      <w:tblPr/>
      <w:tcPr>
        <w:shd w:val="clear" w:color="auto" w:fill="C8D8F2" w:themeFill="accent1" w:themeFillTint="33"/>
      </w:tcPr>
    </w:tblStylePr>
  </w:style>
  <w:style w:type="character" w:customStyle="1" w:styleId="med11">
    <w:name w:val="med11"/>
    <w:basedOn w:val="DefaultParagraphFont"/>
    <w:rsid w:val="00742868"/>
    <w:rPr>
      <w:sz w:val="18"/>
      <w:szCs w:val="18"/>
    </w:rPr>
  </w:style>
  <w:style w:type="paragraph" w:customStyle="1" w:styleId="paragraph">
    <w:name w:val="paragraph"/>
    <w:basedOn w:val="Normal"/>
    <w:rsid w:val="00797E66"/>
    <w:pPr>
      <w:spacing w:before="100" w:beforeAutospacing="1" w:after="100" w:afterAutospacing="1" w:line="240" w:lineRule="auto"/>
    </w:pPr>
    <w:rPr>
      <w:rFonts w:ascii="Times New Roman" w:hAnsi="Times New Roman"/>
      <w:sz w:val="24"/>
      <w:szCs w:val="24"/>
    </w:rPr>
  </w:style>
  <w:style w:type="paragraph" w:customStyle="1" w:styleId="paragraphsub">
    <w:name w:val="paragraphsub"/>
    <w:basedOn w:val="Normal"/>
    <w:rsid w:val="00797E66"/>
    <w:pPr>
      <w:spacing w:before="100" w:beforeAutospacing="1" w:after="100" w:afterAutospacing="1" w:line="240" w:lineRule="auto"/>
    </w:pPr>
    <w:rPr>
      <w:rFonts w:ascii="Times New Roman" w:hAnsi="Times New Roman"/>
      <w:sz w:val="24"/>
      <w:szCs w:val="24"/>
    </w:rPr>
  </w:style>
  <w:style w:type="paragraph" w:customStyle="1" w:styleId="subsection">
    <w:name w:val="subsection"/>
    <w:basedOn w:val="Normal"/>
    <w:rsid w:val="006F250E"/>
    <w:pPr>
      <w:spacing w:before="100" w:beforeAutospacing="1" w:after="100" w:afterAutospacing="1" w:line="240" w:lineRule="auto"/>
    </w:pPr>
    <w:rPr>
      <w:rFonts w:ascii="Times New Roman" w:hAnsi="Times New Roman"/>
      <w:sz w:val="24"/>
      <w:szCs w:val="24"/>
    </w:rPr>
  </w:style>
  <w:style w:type="numbering" w:customStyle="1" w:styleId="KeyPoints">
    <w:name w:val="Key Points"/>
    <w:basedOn w:val="NoList"/>
    <w:uiPriority w:val="99"/>
    <w:rsid w:val="006F250E"/>
    <w:pPr>
      <w:numPr>
        <w:numId w:val="11"/>
      </w:numPr>
    </w:pPr>
  </w:style>
  <w:style w:type="paragraph" w:customStyle="1" w:styleId="subsectionhead">
    <w:name w:val="subsectionhead"/>
    <w:basedOn w:val="Normal"/>
    <w:rsid w:val="00153551"/>
    <w:pPr>
      <w:spacing w:before="100" w:beforeAutospacing="1" w:after="100" w:afterAutospacing="1" w:line="240" w:lineRule="auto"/>
    </w:pPr>
    <w:rPr>
      <w:rFonts w:ascii="Times New Roman" w:hAnsi="Times New Roman"/>
      <w:sz w:val="24"/>
      <w:szCs w:val="24"/>
    </w:rPr>
  </w:style>
  <w:style w:type="paragraph" w:customStyle="1" w:styleId="indenta-p">
    <w:name w:val="indenta-p"/>
    <w:basedOn w:val="Normal"/>
    <w:rsid w:val="00153551"/>
    <w:pPr>
      <w:spacing w:before="100" w:beforeAutospacing="1" w:after="100" w:afterAutospacing="1" w:line="240" w:lineRule="auto"/>
    </w:pPr>
    <w:rPr>
      <w:rFonts w:ascii="Times New Roman" w:eastAsiaTheme="minorHAnsi" w:hAnsi="Times New Roman"/>
      <w:sz w:val="24"/>
      <w:szCs w:val="24"/>
    </w:rPr>
  </w:style>
  <w:style w:type="character" w:customStyle="1" w:styleId="indenta-h">
    <w:name w:val="indenta-h"/>
    <w:basedOn w:val="DefaultParagraphFont"/>
    <w:rsid w:val="00153551"/>
  </w:style>
  <w:style w:type="character" w:customStyle="1" w:styleId="charsectno">
    <w:name w:val="charsectno"/>
    <w:basedOn w:val="DefaultParagraphFont"/>
    <w:rsid w:val="00DC48D1"/>
  </w:style>
  <w:style w:type="paragraph" w:customStyle="1" w:styleId="acthead5">
    <w:name w:val="acthead5"/>
    <w:basedOn w:val="Normal"/>
    <w:rsid w:val="00DC48D1"/>
    <w:pPr>
      <w:spacing w:before="100" w:beforeAutospacing="1" w:after="100" w:afterAutospacing="1" w:line="240" w:lineRule="auto"/>
    </w:pPr>
    <w:rPr>
      <w:rFonts w:ascii="Times New Roman" w:hAnsi="Times New Roman"/>
      <w:sz w:val="24"/>
      <w:szCs w:val="24"/>
    </w:rPr>
  </w:style>
  <w:style w:type="character" w:customStyle="1" w:styleId="sectionlabel">
    <w:name w:val="sectionlabel"/>
    <w:basedOn w:val="DefaultParagraphFont"/>
    <w:rsid w:val="007E1D14"/>
    <w:rPr>
      <w:b/>
      <w:bCs/>
      <w:color w:val="000000"/>
    </w:rPr>
  </w:style>
  <w:style w:type="character" w:customStyle="1" w:styleId="lawlabel2">
    <w:name w:val="lawlabel2"/>
    <w:basedOn w:val="DefaultParagraphFont"/>
    <w:rsid w:val="007E1D14"/>
    <w:rPr>
      <w:b/>
      <w:bCs/>
      <w:color w:val="000000"/>
    </w:rPr>
  </w:style>
  <w:style w:type="paragraph" w:customStyle="1" w:styleId="CM3">
    <w:name w:val="CM3"/>
    <w:basedOn w:val="Default"/>
    <w:next w:val="Default"/>
    <w:uiPriority w:val="99"/>
    <w:rsid w:val="003258F0"/>
    <w:pPr>
      <w:spacing w:line="280" w:lineRule="atLeast"/>
    </w:pPr>
    <w:rPr>
      <w:rFonts w:ascii="Myriad Pro" w:eastAsia="Times New Roman" w:hAnsi="Myriad Pro" w:cs="Times New Roman"/>
      <w:color w:val="auto"/>
    </w:rPr>
  </w:style>
  <w:style w:type="paragraph" w:customStyle="1" w:styleId="Footerclassification">
    <w:name w:val="Footer classification"/>
    <w:basedOn w:val="Normal"/>
    <w:rsid w:val="00D5384A"/>
    <w:pPr>
      <w:tabs>
        <w:tab w:val="center" w:pos="4536"/>
        <w:tab w:val="center" w:pos="4819"/>
        <w:tab w:val="right" w:pos="9356"/>
      </w:tabs>
      <w:spacing w:before="240" w:line="276" w:lineRule="auto"/>
      <w:jc w:val="center"/>
    </w:pPr>
    <w:rPr>
      <w:rFonts w:cs="Arial"/>
      <w:color w:val="FF0000"/>
      <w:sz w:val="28"/>
      <w:szCs w:val="28"/>
    </w:rPr>
  </w:style>
  <w:style w:type="paragraph" w:customStyle="1" w:styleId="Tabletext">
    <w:name w:val="Table text"/>
    <w:basedOn w:val="Normal"/>
    <w:uiPriority w:val="9"/>
    <w:qFormat/>
    <w:rsid w:val="00D5384A"/>
    <w:pPr>
      <w:spacing w:line="276" w:lineRule="auto"/>
    </w:pPr>
    <w:rPr>
      <w:rFonts w:eastAsia="Calibri"/>
      <w:lang w:eastAsia="en-US"/>
    </w:rPr>
  </w:style>
  <w:style w:type="paragraph" w:customStyle="1" w:styleId="Classificationsensitivity">
    <w:name w:val="Classification sensitivity"/>
    <w:basedOn w:val="Normal"/>
    <w:rsid w:val="00D5384A"/>
    <w:pPr>
      <w:tabs>
        <w:tab w:val="center" w:pos="4536"/>
        <w:tab w:val="center" w:pos="4819"/>
        <w:tab w:val="right" w:pos="9356"/>
      </w:tabs>
      <w:spacing w:after="240" w:line="276" w:lineRule="auto"/>
      <w:jc w:val="center"/>
    </w:pPr>
    <w:rPr>
      <w:rFonts w:cs="Arial"/>
      <w:color w:val="FF0000"/>
      <w:szCs w:val="28"/>
    </w:rPr>
  </w:style>
  <w:style w:type="character" w:customStyle="1" w:styleId="Numbered1Char">
    <w:name w:val="Numbered 1 Char"/>
    <w:basedOn w:val="DefaultParagraphFont"/>
    <w:link w:val="Numbered1"/>
    <w:locked/>
    <w:rsid w:val="00BE301F"/>
    <w:rPr>
      <w:sz w:val="24"/>
      <w:szCs w:val="24"/>
    </w:rPr>
  </w:style>
  <w:style w:type="paragraph" w:customStyle="1" w:styleId="Numbered1">
    <w:name w:val="Numbered 1"/>
    <w:basedOn w:val="Normal"/>
    <w:link w:val="Numbered1Char"/>
    <w:qFormat/>
    <w:rsid w:val="00BE301F"/>
    <w:pPr>
      <w:spacing w:after="200" w:line="276" w:lineRule="auto"/>
    </w:pPr>
    <w:rPr>
      <w:rFonts w:asciiTheme="minorHAnsi" w:hAnsiTheme="minorHAnsi"/>
      <w:sz w:val="24"/>
      <w:szCs w:val="24"/>
    </w:rPr>
  </w:style>
  <w:style w:type="paragraph" w:customStyle="1" w:styleId="Footnote">
    <w:name w:val="Footnote"/>
    <w:basedOn w:val="FootnoteText"/>
    <w:link w:val="FootnoteChar"/>
    <w:qFormat/>
    <w:rsid w:val="002634B1"/>
    <w:pPr>
      <w:tabs>
        <w:tab w:val="left" w:pos="720"/>
        <w:tab w:val="left" w:pos="1077"/>
      </w:tabs>
      <w:spacing w:before="0" w:after="0"/>
      <w:ind w:left="720" w:hanging="720"/>
    </w:pPr>
    <w:rPr>
      <w:rFonts w:ascii="Times New Roman" w:eastAsia="MS Mincho" w:hAnsi="Times New Roman" w:cstheme="minorBidi"/>
      <w:sz w:val="20"/>
      <w:lang w:eastAsia="en-US"/>
    </w:rPr>
  </w:style>
  <w:style w:type="character" w:customStyle="1" w:styleId="FootnoteChar">
    <w:name w:val="Footnote Char"/>
    <w:basedOn w:val="FootnoteTextChar"/>
    <w:link w:val="Footnote"/>
    <w:rsid w:val="002634B1"/>
    <w:rPr>
      <w:rFonts w:ascii="Times New Roman" w:eastAsia="MS Mincho" w:hAnsi="Times New Roman" w:cstheme="minorBidi"/>
      <w:sz w:val="20"/>
      <w:szCs w:val="20"/>
      <w:lang w:eastAsia="en-US"/>
    </w:rPr>
  </w:style>
  <w:style w:type="paragraph" w:customStyle="1" w:styleId="AppendixLevel1">
    <w:name w:val="Appendix Level 1"/>
    <w:basedOn w:val="Heading1"/>
    <w:next w:val="Normal"/>
    <w:rsid w:val="007D7FFC"/>
    <w:pPr>
      <w:pageBreakBefore/>
      <w:numPr>
        <w:numId w:val="14"/>
      </w:numPr>
      <w:tabs>
        <w:tab w:val="num" w:pos="360"/>
      </w:tabs>
      <w:spacing w:before="240" w:line="256" w:lineRule="auto"/>
      <w:ind w:left="0" w:right="1134" w:firstLine="0"/>
    </w:pPr>
    <w:rPr>
      <w:rFonts w:ascii="Franklin Gothic Demi Cond" w:eastAsiaTheme="majorEastAsia" w:hAnsi="Franklin Gothic Demi Cond"/>
      <w:b w:val="0"/>
      <w:bCs w:val="0"/>
      <w:color w:val="1C376B"/>
      <w:lang w:eastAsia="en-US"/>
    </w:rPr>
  </w:style>
  <w:style w:type="paragraph" w:customStyle="1" w:styleId="AppendixLevel2">
    <w:name w:val="Appendix Level 2"/>
    <w:basedOn w:val="Heading1"/>
    <w:next w:val="Normal"/>
    <w:rsid w:val="007D7FFC"/>
    <w:pPr>
      <w:numPr>
        <w:ilvl w:val="1"/>
        <w:numId w:val="14"/>
      </w:numPr>
      <w:tabs>
        <w:tab w:val="num" w:pos="360"/>
      </w:tabs>
      <w:spacing w:before="240" w:line="256" w:lineRule="auto"/>
      <w:ind w:left="0" w:firstLine="0"/>
    </w:pPr>
    <w:rPr>
      <w:rFonts w:ascii="Franklin Gothic Demi Cond" w:eastAsiaTheme="majorEastAsia" w:hAnsi="Franklin Gothic Demi Cond"/>
      <w:b w:val="0"/>
      <w:bCs w:val="0"/>
      <w:color w:val="1C376B"/>
      <w:lang w:eastAsia="en-US"/>
    </w:rPr>
  </w:style>
  <w:style w:type="paragraph" w:customStyle="1" w:styleId="AppendixLevel3">
    <w:name w:val="Appendix Level 3"/>
    <w:basedOn w:val="AppendixLevel2"/>
    <w:next w:val="Normal"/>
    <w:qFormat/>
    <w:rsid w:val="007D7FFC"/>
    <w:pPr>
      <w:numPr>
        <w:ilvl w:val="2"/>
      </w:numPr>
      <w:tabs>
        <w:tab w:val="num" w:pos="360"/>
      </w:tabs>
    </w:pPr>
  </w:style>
  <w:style w:type="character" w:customStyle="1" w:styleId="Mention2">
    <w:name w:val="Mention2"/>
    <w:basedOn w:val="DefaultParagraphFont"/>
    <w:uiPriority w:val="99"/>
    <w:semiHidden/>
    <w:unhideWhenUsed/>
    <w:rsid w:val="00C76364"/>
    <w:rPr>
      <w:color w:val="2B579A"/>
      <w:shd w:val="clear" w:color="auto" w:fill="E6E6E6"/>
    </w:rPr>
  </w:style>
  <w:style w:type="paragraph" w:customStyle="1" w:styleId="Pa4">
    <w:name w:val="Pa4"/>
    <w:basedOn w:val="Default"/>
    <w:next w:val="Default"/>
    <w:uiPriority w:val="99"/>
    <w:rsid w:val="006B1D5E"/>
    <w:pPr>
      <w:spacing w:line="161" w:lineRule="atLeast"/>
    </w:pPr>
    <w:rPr>
      <w:rFonts w:ascii="Myriad Pro" w:eastAsia="Times New Roman" w:hAnsi="Myriad Pro" w:cs="Times New Roman"/>
      <w:color w:val="auto"/>
    </w:rPr>
  </w:style>
  <w:style w:type="character" w:customStyle="1" w:styleId="Mention3">
    <w:name w:val="Mention3"/>
    <w:basedOn w:val="DefaultParagraphFont"/>
    <w:uiPriority w:val="99"/>
    <w:semiHidden/>
    <w:unhideWhenUsed/>
    <w:rsid w:val="00581557"/>
    <w:rPr>
      <w:color w:val="2B579A"/>
      <w:shd w:val="clear" w:color="auto" w:fill="E6E6E6"/>
    </w:rPr>
  </w:style>
  <w:style w:type="table" w:customStyle="1" w:styleId="AxiomAgendaMinutes">
    <w:name w:val="Axiom Agenda/Minutes"/>
    <w:basedOn w:val="TableNormal"/>
    <w:uiPriority w:val="99"/>
    <w:rsid w:val="00906A08"/>
    <w:pPr>
      <w:spacing w:line="240" w:lineRule="auto"/>
    </w:pPr>
    <w:tblPr>
      <w:tblBorders>
        <w:top w:val="single" w:sz="4" w:space="0" w:color="auto"/>
        <w:bottom w:val="single" w:sz="4" w:space="0" w:color="auto"/>
        <w:insideV w:val="single" w:sz="4" w:space="0" w:color="auto"/>
      </w:tblBorders>
      <w:tblCellMar>
        <w:top w:w="57" w:type="dxa"/>
        <w:left w:w="45" w:type="dxa"/>
        <w:bottom w:w="57" w:type="dxa"/>
        <w:right w:w="45" w:type="dxa"/>
      </w:tblCellMar>
    </w:tblPr>
    <w:tblStylePr w:type="firstRow">
      <w:tblPr/>
      <w:trPr>
        <w:cantSplit/>
        <w:tblHeader/>
      </w:trPr>
      <w:tcPr>
        <w:tcBorders>
          <w:top w:val="single" w:sz="4" w:space="0" w:color="auto"/>
          <w:left w:val="nil"/>
          <w:bottom w:val="single" w:sz="4" w:space="0" w:color="auto"/>
          <w:right w:val="nil"/>
          <w:insideH w:val="nil"/>
          <w:insideV w:val="single" w:sz="4" w:space="0" w:color="auto"/>
          <w:tl2br w:val="nil"/>
          <w:tr2bl w:val="nil"/>
        </w:tcBorders>
      </w:tcPr>
    </w:tblStylePr>
  </w:style>
  <w:style w:type="paragraph" w:customStyle="1" w:styleId="Bullet1a">
    <w:name w:val="Bullet 1a"/>
    <w:basedOn w:val="ListBullet"/>
    <w:link w:val="Bullet1aChar"/>
    <w:qFormat/>
    <w:rsid w:val="00A82787"/>
    <w:pPr>
      <w:numPr>
        <w:numId w:val="0"/>
      </w:numPr>
      <w:ind w:left="2268" w:hanging="2268"/>
    </w:pPr>
    <w:rPr>
      <w:rFonts w:cs="Arial"/>
    </w:rPr>
  </w:style>
  <w:style w:type="character" w:customStyle="1" w:styleId="Bullet1aChar">
    <w:name w:val="Bullet 1a Char"/>
    <w:basedOn w:val="ListBulletChar"/>
    <w:link w:val="Bullet1a"/>
    <w:rsid w:val="00A82787"/>
    <w:rPr>
      <w:rFonts w:ascii="Arial" w:hAnsi="Arial" w:cs="Arial"/>
    </w:rPr>
  </w:style>
  <w:style w:type="paragraph" w:customStyle="1" w:styleId="Bullet2a0">
    <w:name w:val="Bullet 2a"/>
    <w:basedOn w:val="ListBullet2"/>
    <w:link w:val="Bullet2aChar0"/>
    <w:qFormat/>
    <w:rsid w:val="009E1889"/>
    <w:pPr>
      <w:numPr>
        <w:numId w:val="0"/>
      </w:numPr>
      <w:ind w:left="851" w:hanging="851"/>
    </w:pPr>
    <w:rPr>
      <w:rFonts w:cs="Arial"/>
    </w:rPr>
  </w:style>
  <w:style w:type="character" w:customStyle="1" w:styleId="Bullet2aChar0">
    <w:name w:val="Bullet 2a Char"/>
    <w:basedOn w:val="DefaultParagraphFont"/>
    <w:link w:val="Bullet2a0"/>
    <w:rsid w:val="009E1889"/>
    <w:rPr>
      <w:rFonts w:ascii="Arial" w:hAnsi="Arial" w:cs="Arial"/>
    </w:rPr>
  </w:style>
  <w:style w:type="character" w:customStyle="1" w:styleId="UnresolvedMention1">
    <w:name w:val="Unresolved Mention1"/>
    <w:basedOn w:val="DefaultParagraphFont"/>
    <w:uiPriority w:val="99"/>
    <w:semiHidden/>
    <w:unhideWhenUsed/>
    <w:rsid w:val="00616B0F"/>
    <w:rPr>
      <w:color w:val="808080"/>
      <w:shd w:val="clear" w:color="auto" w:fill="E6E6E6"/>
    </w:rPr>
  </w:style>
  <w:style w:type="paragraph" w:customStyle="1" w:styleId="AERbulletlistfirststyle">
    <w:name w:val="AER bullet list (first style)"/>
    <w:basedOn w:val="ListBullet"/>
    <w:uiPriority w:val="99"/>
    <w:qFormat/>
    <w:rsid w:val="00D128A9"/>
    <w:pPr>
      <w:numPr>
        <w:numId w:val="34"/>
      </w:numPr>
      <w:tabs>
        <w:tab w:val="left" w:pos="340"/>
      </w:tabs>
      <w:spacing w:after="0" w:line="276" w:lineRule="auto"/>
      <w:ind w:left="357" w:hanging="357"/>
    </w:pPr>
    <w:rPr>
      <w:rFonts w:eastAsiaTheme="minorHAnsi"/>
      <w:lang w:eastAsia="en-US"/>
    </w:rPr>
  </w:style>
  <w:style w:type="character" w:customStyle="1" w:styleId="None">
    <w:name w:val="None"/>
    <w:rsid w:val="00BB42E0"/>
  </w:style>
  <w:style w:type="paragraph" w:customStyle="1" w:styleId="Bullet2b0">
    <w:name w:val="Bullet 2b"/>
    <w:basedOn w:val="ListBullet2"/>
    <w:link w:val="Bullet2bChar0"/>
    <w:qFormat/>
    <w:rsid w:val="00B13F44"/>
    <w:pPr>
      <w:spacing w:line="240" w:lineRule="auto"/>
    </w:pPr>
    <w:rPr>
      <w:rFonts w:eastAsiaTheme="majorEastAsia"/>
      <w:sz w:val="21"/>
      <w:szCs w:val="21"/>
    </w:rPr>
  </w:style>
  <w:style w:type="character" w:customStyle="1" w:styleId="Bullet2bChar0">
    <w:name w:val="Bullet 2b Char"/>
    <w:basedOn w:val="ListBullet2Char"/>
    <w:link w:val="Bullet2b0"/>
    <w:rsid w:val="00B13F44"/>
    <w:rPr>
      <w:rFonts w:ascii="Arial" w:eastAsiaTheme="majorEastAsia" w:hAnsi="Arial"/>
      <w:sz w:val="21"/>
      <w:szCs w:val="21"/>
    </w:rPr>
  </w:style>
  <w:style w:type="paragraph" w:customStyle="1" w:styleId="Footnotes">
    <w:name w:val="Footnotes"/>
    <w:basedOn w:val="Normal"/>
    <w:rsid w:val="00C34E9D"/>
    <w:pPr>
      <w:tabs>
        <w:tab w:val="num" w:pos="425"/>
      </w:tabs>
      <w:spacing w:before="180" w:after="180" w:line="240" w:lineRule="auto"/>
      <w:ind w:left="425" w:hanging="425"/>
      <w:contextualSpacing/>
    </w:pPr>
    <w:rPr>
      <w:rFonts w:cs="Arial"/>
      <w:sz w:val="18"/>
      <w:szCs w:val="20"/>
    </w:rPr>
  </w:style>
  <w:style w:type="paragraph" w:styleId="TOC5">
    <w:name w:val="toc 5"/>
    <w:basedOn w:val="Normal"/>
    <w:next w:val="Normal"/>
    <w:autoRedefine/>
    <w:semiHidden/>
    <w:unhideWhenUsed/>
    <w:rsid w:val="00C34E9D"/>
    <w:pPr>
      <w:tabs>
        <w:tab w:val="right" w:leader="dot" w:pos="9015"/>
      </w:tabs>
      <w:spacing w:before="120" w:after="80"/>
    </w:pPr>
    <w:rPr>
      <w:rFonts w:asciiTheme="minorHAnsi" w:hAnsiTheme="minorHAnsi"/>
    </w:rPr>
  </w:style>
  <w:style w:type="paragraph" w:styleId="NoteHeading">
    <w:name w:val="Note Heading"/>
    <w:basedOn w:val="Normal"/>
    <w:next w:val="Normal"/>
    <w:link w:val="NoteHeadingChar"/>
    <w:semiHidden/>
    <w:unhideWhenUsed/>
    <w:rsid w:val="00C34E9D"/>
    <w:pPr>
      <w:spacing w:line="240" w:lineRule="auto"/>
    </w:pPr>
    <w:rPr>
      <w:rFonts w:asciiTheme="minorHAnsi" w:hAnsiTheme="minorHAnsi"/>
    </w:rPr>
  </w:style>
  <w:style w:type="character" w:customStyle="1" w:styleId="NoteHeadingChar">
    <w:name w:val="Note Heading Char"/>
    <w:basedOn w:val="DefaultParagraphFont"/>
    <w:link w:val="NoteHeading"/>
    <w:semiHidden/>
    <w:rsid w:val="00C34E9D"/>
  </w:style>
  <w:style w:type="paragraph" w:styleId="DocumentMap">
    <w:name w:val="Document Map"/>
    <w:basedOn w:val="Normal"/>
    <w:link w:val="DocumentMapChar"/>
    <w:uiPriority w:val="39"/>
    <w:semiHidden/>
    <w:unhideWhenUsed/>
    <w:rsid w:val="00C34E9D"/>
    <w:pPr>
      <w:spacing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39"/>
    <w:semiHidden/>
    <w:rsid w:val="00C34E9D"/>
    <w:rPr>
      <w:rFonts w:ascii="Segoe UI" w:hAnsi="Segoe UI" w:cs="Segoe UI"/>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03572">
      <w:bodyDiv w:val="1"/>
      <w:marLeft w:val="0"/>
      <w:marRight w:val="0"/>
      <w:marTop w:val="0"/>
      <w:marBottom w:val="0"/>
      <w:divBdr>
        <w:top w:val="none" w:sz="0" w:space="0" w:color="auto"/>
        <w:left w:val="none" w:sz="0" w:space="0" w:color="auto"/>
        <w:bottom w:val="none" w:sz="0" w:space="0" w:color="auto"/>
        <w:right w:val="none" w:sz="0" w:space="0" w:color="auto"/>
      </w:divBdr>
      <w:divsChild>
        <w:div w:id="1574465123">
          <w:marLeft w:val="0"/>
          <w:marRight w:val="0"/>
          <w:marTop w:val="0"/>
          <w:marBottom w:val="0"/>
          <w:divBdr>
            <w:top w:val="none" w:sz="0" w:space="0" w:color="auto"/>
            <w:left w:val="none" w:sz="0" w:space="0" w:color="auto"/>
            <w:bottom w:val="none" w:sz="0" w:space="0" w:color="auto"/>
            <w:right w:val="none" w:sz="0" w:space="0" w:color="auto"/>
          </w:divBdr>
          <w:divsChild>
            <w:div w:id="1446270511">
              <w:marLeft w:val="-225"/>
              <w:marRight w:val="-225"/>
              <w:marTop w:val="0"/>
              <w:marBottom w:val="0"/>
              <w:divBdr>
                <w:top w:val="none" w:sz="0" w:space="0" w:color="auto"/>
                <w:left w:val="none" w:sz="0" w:space="0" w:color="auto"/>
                <w:bottom w:val="none" w:sz="0" w:space="0" w:color="auto"/>
                <w:right w:val="none" w:sz="0" w:space="0" w:color="auto"/>
              </w:divBdr>
            </w:div>
          </w:divsChild>
        </w:div>
      </w:divsChild>
    </w:div>
    <w:div w:id="82846156">
      <w:bodyDiv w:val="1"/>
      <w:marLeft w:val="0"/>
      <w:marRight w:val="0"/>
      <w:marTop w:val="0"/>
      <w:marBottom w:val="0"/>
      <w:divBdr>
        <w:top w:val="none" w:sz="0" w:space="0" w:color="auto"/>
        <w:left w:val="none" w:sz="0" w:space="0" w:color="auto"/>
        <w:bottom w:val="none" w:sz="0" w:space="0" w:color="auto"/>
        <w:right w:val="none" w:sz="0" w:space="0" w:color="auto"/>
      </w:divBdr>
    </w:div>
    <w:div w:id="108211038">
      <w:bodyDiv w:val="1"/>
      <w:marLeft w:val="0"/>
      <w:marRight w:val="0"/>
      <w:marTop w:val="0"/>
      <w:marBottom w:val="0"/>
      <w:divBdr>
        <w:top w:val="none" w:sz="0" w:space="0" w:color="auto"/>
        <w:left w:val="none" w:sz="0" w:space="0" w:color="auto"/>
        <w:bottom w:val="none" w:sz="0" w:space="0" w:color="auto"/>
        <w:right w:val="none" w:sz="0" w:space="0" w:color="auto"/>
      </w:divBdr>
    </w:div>
    <w:div w:id="108933404">
      <w:bodyDiv w:val="1"/>
      <w:marLeft w:val="0"/>
      <w:marRight w:val="0"/>
      <w:marTop w:val="0"/>
      <w:marBottom w:val="0"/>
      <w:divBdr>
        <w:top w:val="none" w:sz="0" w:space="0" w:color="auto"/>
        <w:left w:val="none" w:sz="0" w:space="0" w:color="auto"/>
        <w:bottom w:val="none" w:sz="0" w:space="0" w:color="auto"/>
        <w:right w:val="none" w:sz="0" w:space="0" w:color="auto"/>
      </w:divBdr>
    </w:div>
    <w:div w:id="149255328">
      <w:bodyDiv w:val="1"/>
      <w:marLeft w:val="0"/>
      <w:marRight w:val="0"/>
      <w:marTop w:val="0"/>
      <w:marBottom w:val="0"/>
      <w:divBdr>
        <w:top w:val="none" w:sz="0" w:space="0" w:color="auto"/>
        <w:left w:val="none" w:sz="0" w:space="0" w:color="auto"/>
        <w:bottom w:val="none" w:sz="0" w:space="0" w:color="auto"/>
        <w:right w:val="none" w:sz="0" w:space="0" w:color="auto"/>
      </w:divBdr>
    </w:div>
    <w:div w:id="171145230">
      <w:bodyDiv w:val="1"/>
      <w:marLeft w:val="0"/>
      <w:marRight w:val="0"/>
      <w:marTop w:val="0"/>
      <w:marBottom w:val="0"/>
      <w:divBdr>
        <w:top w:val="none" w:sz="0" w:space="0" w:color="auto"/>
        <w:left w:val="none" w:sz="0" w:space="0" w:color="auto"/>
        <w:bottom w:val="none" w:sz="0" w:space="0" w:color="auto"/>
        <w:right w:val="none" w:sz="0" w:space="0" w:color="auto"/>
      </w:divBdr>
    </w:div>
    <w:div w:id="245505233">
      <w:bodyDiv w:val="1"/>
      <w:marLeft w:val="0"/>
      <w:marRight w:val="0"/>
      <w:marTop w:val="0"/>
      <w:marBottom w:val="0"/>
      <w:divBdr>
        <w:top w:val="none" w:sz="0" w:space="0" w:color="auto"/>
        <w:left w:val="none" w:sz="0" w:space="0" w:color="auto"/>
        <w:bottom w:val="none" w:sz="0" w:space="0" w:color="auto"/>
        <w:right w:val="none" w:sz="0" w:space="0" w:color="auto"/>
      </w:divBdr>
    </w:div>
    <w:div w:id="254674782">
      <w:bodyDiv w:val="1"/>
      <w:marLeft w:val="0"/>
      <w:marRight w:val="0"/>
      <w:marTop w:val="0"/>
      <w:marBottom w:val="0"/>
      <w:divBdr>
        <w:top w:val="none" w:sz="0" w:space="0" w:color="auto"/>
        <w:left w:val="none" w:sz="0" w:space="0" w:color="auto"/>
        <w:bottom w:val="none" w:sz="0" w:space="0" w:color="auto"/>
        <w:right w:val="none" w:sz="0" w:space="0" w:color="auto"/>
      </w:divBdr>
    </w:div>
    <w:div w:id="263197748">
      <w:bodyDiv w:val="1"/>
      <w:marLeft w:val="0"/>
      <w:marRight w:val="0"/>
      <w:marTop w:val="0"/>
      <w:marBottom w:val="0"/>
      <w:divBdr>
        <w:top w:val="none" w:sz="0" w:space="0" w:color="auto"/>
        <w:left w:val="none" w:sz="0" w:space="0" w:color="auto"/>
        <w:bottom w:val="none" w:sz="0" w:space="0" w:color="auto"/>
        <w:right w:val="none" w:sz="0" w:space="0" w:color="auto"/>
      </w:divBdr>
    </w:div>
    <w:div w:id="294725872">
      <w:bodyDiv w:val="1"/>
      <w:marLeft w:val="0"/>
      <w:marRight w:val="0"/>
      <w:marTop w:val="0"/>
      <w:marBottom w:val="0"/>
      <w:divBdr>
        <w:top w:val="none" w:sz="0" w:space="0" w:color="auto"/>
        <w:left w:val="none" w:sz="0" w:space="0" w:color="auto"/>
        <w:bottom w:val="none" w:sz="0" w:space="0" w:color="auto"/>
        <w:right w:val="none" w:sz="0" w:space="0" w:color="auto"/>
      </w:divBdr>
    </w:div>
    <w:div w:id="311563272">
      <w:bodyDiv w:val="1"/>
      <w:marLeft w:val="0"/>
      <w:marRight w:val="0"/>
      <w:marTop w:val="0"/>
      <w:marBottom w:val="0"/>
      <w:divBdr>
        <w:top w:val="none" w:sz="0" w:space="0" w:color="auto"/>
        <w:left w:val="none" w:sz="0" w:space="0" w:color="auto"/>
        <w:bottom w:val="none" w:sz="0" w:space="0" w:color="auto"/>
        <w:right w:val="none" w:sz="0" w:space="0" w:color="auto"/>
      </w:divBdr>
    </w:div>
    <w:div w:id="322588373">
      <w:bodyDiv w:val="1"/>
      <w:marLeft w:val="0"/>
      <w:marRight w:val="0"/>
      <w:marTop w:val="0"/>
      <w:marBottom w:val="0"/>
      <w:divBdr>
        <w:top w:val="none" w:sz="0" w:space="0" w:color="auto"/>
        <w:left w:val="none" w:sz="0" w:space="0" w:color="auto"/>
        <w:bottom w:val="none" w:sz="0" w:space="0" w:color="auto"/>
        <w:right w:val="none" w:sz="0" w:space="0" w:color="auto"/>
      </w:divBdr>
    </w:div>
    <w:div w:id="421492480">
      <w:bodyDiv w:val="1"/>
      <w:marLeft w:val="0"/>
      <w:marRight w:val="0"/>
      <w:marTop w:val="0"/>
      <w:marBottom w:val="0"/>
      <w:divBdr>
        <w:top w:val="none" w:sz="0" w:space="0" w:color="auto"/>
        <w:left w:val="none" w:sz="0" w:space="0" w:color="auto"/>
        <w:bottom w:val="none" w:sz="0" w:space="0" w:color="auto"/>
        <w:right w:val="none" w:sz="0" w:space="0" w:color="auto"/>
      </w:divBdr>
    </w:div>
    <w:div w:id="431633048">
      <w:bodyDiv w:val="1"/>
      <w:marLeft w:val="0"/>
      <w:marRight w:val="0"/>
      <w:marTop w:val="0"/>
      <w:marBottom w:val="0"/>
      <w:divBdr>
        <w:top w:val="none" w:sz="0" w:space="0" w:color="auto"/>
        <w:left w:val="none" w:sz="0" w:space="0" w:color="auto"/>
        <w:bottom w:val="none" w:sz="0" w:space="0" w:color="auto"/>
        <w:right w:val="none" w:sz="0" w:space="0" w:color="auto"/>
      </w:divBdr>
    </w:div>
    <w:div w:id="432239340">
      <w:bodyDiv w:val="1"/>
      <w:marLeft w:val="0"/>
      <w:marRight w:val="0"/>
      <w:marTop w:val="0"/>
      <w:marBottom w:val="0"/>
      <w:divBdr>
        <w:top w:val="none" w:sz="0" w:space="0" w:color="auto"/>
        <w:left w:val="none" w:sz="0" w:space="0" w:color="auto"/>
        <w:bottom w:val="none" w:sz="0" w:space="0" w:color="auto"/>
        <w:right w:val="none" w:sz="0" w:space="0" w:color="auto"/>
      </w:divBdr>
      <w:divsChild>
        <w:div w:id="1491100996">
          <w:marLeft w:val="0"/>
          <w:marRight w:val="0"/>
          <w:marTop w:val="180"/>
          <w:marBottom w:val="180"/>
          <w:divBdr>
            <w:top w:val="none" w:sz="0" w:space="0" w:color="auto"/>
            <w:left w:val="none" w:sz="0" w:space="0" w:color="auto"/>
            <w:bottom w:val="none" w:sz="0" w:space="0" w:color="auto"/>
            <w:right w:val="none" w:sz="0" w:space="0" w:color="auto"/>
          </w:divBdr>
          <w:divsChild>
            <w:div w:id="696081580">
              <w:marLeft w:val="-225"/>
              <w:marRight w:val="-225"/>
              <w:marTop w:val="0"/>
              <w:marBottom w:val="0"/>
              <w:divBdr>
                <w:top w:val="none" w:sz="0" w:space="0" w:color="auto"/>
                <w:left w:val="none" w:sz="0" w:space="0" w:color="auto"/>
                <w:bottom w:val="none" w:sz="0" w:space="0" w:color="auto"/>
                <w:right w:val="none" w:sz="0" w:space="0" w:color="auto"/>
              </w:divBdr>
              <w:divsChild>
                <w:div w:id="1273434157">
                  <w:marLeft w:val="0"/>
                  <w:marRight w:val="0"/>
                  <w:marTop w:val="0"/>
                  <w:marBottom w:val="0"/>
                  <w:divBdr>
                    <w:top w:val="none" w:sz="0" w:space="0" w:color="auto"/>
                    <w:left w:val="none" w:sz="0" w:space="0" w:color="auto"/>
                    <w:bottom w:val="none" w:sz="0" w:space="0" w:color="auto"/>
                    <w:right w:val="none" w:sz="0" w:space="0" w:color="auto"/>
                  </w:divBdr>
                  <w:divsChild>
                    <w:div w:id="1661808245">
                      <w:marLeft w:val="-225"/>
                      <w:marRight w:val="-225"/>
                      <w:marTop w:val="0"/>
                      <w:marBottom w:val="0"/>
                      <w:divBdr>
                        <w:top w:val="none" w:sz="0" w:space="0" w:color="auto"/>
                        <w:left w:val="none" w:sz="0" w:space="0" w:color="auto"/>
                        <w:bottom w:val="none" w:sz="0" w:space="0" w:color="auto"/>
                        <w:right w:val="none" w:sz="0" w:space="0" w:color="auto"/>
                      </w:divBdr>
                      <w:divsChild>
                        <w:div w:id="2135518722">
                          <w:marLeft w:val="0"/>
                          <w:marRight w:val="0"/>
                          <w:marTop w:val="0"/>
                          <w:marBottom w:val="0"/>
                          <w:divBdr>
                            <w:top w:val="none" w:sz="0" w:space="0" w:color="auto"/>
                            <w:left w:val="none" w:sz="0" w:space="0" w:color="auto"/>
                            <w:bottom w:val="none" w:sz="0" w:space="0" w:color="auto"/>
                            <w:right w:val="none" w:sz="0" w:space="0" w:color="auto"/>
                          </w:divBdr>
                          <w:divsChild>
                            <w:div w:id="437801079">
                              <w:marLeft w:val="0"/>
                              <w:marRight w:val="0"/>
                              <w:marTop w:val="0"/>
                              <w:marBottom w:val="0"/>
                              <w:divBdr>
                                <w:top w:val="none" w:sz="0" w:space="0" w:color="auto"/>
                                <w:left w:val="none" w:sz="0" w:space="0" w:color="auto"/>
                                <w:bottom w:val="none" w:sz="0" w:space="0" w:color="auto"/>
                                <w:right w:val="none" w:sz="0" w:space="0" w:color="auto"/>
                              </w:divBdr>
                              <w:divsChild>
                                <w:div w:id="1834174159">
                                  <w:marLeft w:val="0"/>
                                  <w:marRight w:val="0"/>
                                  <w:marTop w:val="0"/>
                                  <w:marBottom w:val="0"/>
                                  <w:divBdr>
                                    <w:top w:val="none" w:sz="0" w:space="0" w:color="auto"/>
                                    <w:left w:val="none" w:sz="0" w:space="0" w:color="auto"/>
                                    <w:bottom w:val="none" w:sz="0" w:space="0" w:color="auto"/>
                                    <w:right w:val="none" w:sz="0" w:space="0" w:color="auto"/>
                                  </w:divBdr>
                                  <w:divsChild>
                                    <w:div w:id="1711106365">
                                      <w:marLeft w:val="0"/>
                                      <w:marRight w:val="0"/>
                                      <w:marTop w:val="0"/>
                                      <w:marBottom w:val="0"/>
                                      <w:divBdr>
                                        <w:top w:val="none" w:sz="0" w:space="0" w:color="auto"/>
                                        <w:left w:val="none" w:sz="0" w:space="0" w:color="auto"/>
                                        <w:bottom w:val="none" w:sz="0" w:space="0" w:color="auto"/>
                                        <w:right w:val="none" w:sz="0" w:space="0" w:color="auto"/>
                                      </w:divBdr>
                                      <w:divsChild>
                                        <w:div w:id="1059979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634065">
      <w:bodyDiv w:val="1"/>
      <w:marLeft w:val="0"/>
      <w:marRight w:val="0"/>
      <w:marTop w:val="0"/>
      <w:marBottom w:val="0"/>
      <w:divBdr>
        <w:top w:val="none" w:sz="0" w:space="0" w:color="auto"/>
        <w:left w:val="none" w:sz="0" w:space="0" w:color="auto"/>
        <w:bottom w:val="none" w:sz="0" w:space="0" w:color="auto"/>
        <w:right w:val="none" w:sz="0" w:space="0" w:color="auto"/>
      </w:divBdr>
    </w:div>
    <w:div w:id="496573682">
      <w:bodyDiv w:val="1"/>
      <w:marLeft w:val="0"/>
      <w:marRight w:val="0"/>
      <w:marTop w:val="0"/>
      <w:marBottom w:val="0"/>
      <w:divBdr>
        <w:top w:val="none" w:sz="0" w:space="0" w:color="auto"/>
        <w:left w:val="none" w:sz="0" w:space="0" w:color="auto"/>
        <w:bottom w:val="none" w:sz="0" w:space="0" w:color="auto"/>
        <w:right w:val="none" w:sz="0" w:space="0" w:color="auto"/>
      </w:divBdr>
    </w:div>
    <w:div w:id="504367595">
      <w:bodyDiv w:val="1"/>
      <w:marLeft w:val="0"/>
      <w:marRight w:val="0"/>
      <w:marTop w:val="0"/>
      <w:marBottom w:val="0"/>
      <w:divBdr>
        <w:top w:val="none" w:sz="0" w:space="0" w:color="auto"/>
        <w:left w:val="none" w:sz="0" w:space="0" w:color="auto"/>
        <w:bottom w:val="none" w:sz="0" w:space="0" w:color="auto"/>
        <w:right w:val="none" w:sz="0" w:space="0" w:color="auto"/>
      </w:divBdr>
    </w:div>
    <w:div w:id="523250720">
      <w:bodyDiv w:val="1"/>
      <w:marLeft w:val="0"/>
      <w:marRight w:val="0"/>
      <w:marTop w:val="0"/>
      <w:marBottom w:val="0"/>
      <w:divBdr>
        <w:top w:val="none" w:sz="0" w:space="0" w:color="auto"/>
        <w:left w:val="none" w:sz="0" w:space="0" w:color="auto"/>
        <w:bottom w:val="none" w:sz="0" w:space="0" w:color="auto"/>
        <w:right w:val="none" w:sz="0" w:space="0" w:color="auto"/>
      </w:divBdr>
    </w:div>
    <w:div w:id="539364512">
      <w:bodyDiv w:val="1"/>
      <w:marLeft w:val="0"/>
      <w:marRight w:val="0"/>
      <w:marTop w:val="0"/>
      <w:marBottom w:val="0"/>
      <w:divBdr>
        <w:top w:val="none" w:sz="0" w:space="0" w:color="auto"/>
        <w:left w:val="none" w:sz="0" w:space="0" w:color="auto"/>
        <w:bottom w:val="none" w:sz="0" w:space="0" w:color="auto"/>
        <w:right w:val="none" w:sz="0" w:space="0" w:color="auto"/>
      </w:divBdr>
      <w:divsChild>
        <w:div w:id="322315265">
          <w:marLeft w:val="547"/>
          <w:marRight w:val="0"/>
          <w:marTop w:val="180"/>
          <w:marBottom w:val="0"/>
          <w:divBdr>
            <w:top w:val="none" w:sz="0" w:space="0" w:color="auto"/>
            <w:left w:val="none" w:sz="0" w:space="0" w:color="auto"/>
            <w:bottom w:val="none" w:sz="0" w:space="0" w:color="auto"/>
            <w:right w:val="none" w:sz="0" w:space="0" w:color="auto"/>
          </w:divBdr>
        </w:div>
        <w:div w:id="1246694050">
          <w:marLeft w:val="547"/>
          <w:marRight w:val="0"/>
          <w:marTop w:val="180"/>
          <w:marBottom w:val="0"/>
          <w:divBdr>
            <w:top w:val="none" w:sz="0" w:space="0" w:color="auto"/>
            <w:left w:val="none" w:sz="0" w:space="0" w:color="auto"/>
            <w:bottom w:val="none" w:sz="0" w:space="0" w:color="auto"/>
            <w:right w:val="none" w:sz="0" w:space="0" w:color="auto"/>
          </w:divBdr>
        </w:div>
        <w:div w:id="1351029936">
          <w:marLeft w:val="547"/>
          <w:marRight w:val="0"/>
          <w:marTop w:val="180"/>
          <w:marBottom w:val="0"/>
          <w:divBdr>
            <w:top w:val="none" w:sz="0" w:space="0" w:color="auto"/>
            <w:left w:val="none" w:sz="0" w:space="0" w:color="auto"/>
            <w:bottom w:val="none" w:sz="0" w:space="0" w:color="auto"/>
            <w:right w:val="none" w:sz="0" w:space="0" w:color="auto"/>
          </w:divBdr>
        </w:div>
      </w:divsChild>
    </w:div>
    <w:div w:id="561791160">
      <w:bodyDiv w:val="1"/>
      <w:marLeft w:val="0"/>
      <w:marRight w:val="0"/>
      <w:marTop w:val="0"/>
      <w:marBottom w:val="0"/>
      <w:divBdr>
        <w:top w:val="none" w:sz="0" w:space="0" w:color="auto"/>
        <w:left w:val="none" w:sz="0" w:space="0" w:color="auto"/>
        <w:bottom w:val="none" w:sz="0" w:space="0" w:color="auto"/>
        <w:right w:val="none" w:sz="0" w:space="0" w:color="auto"/>
      </w:divBdr>
    </w:div>
    <w:div w:id="568734595">
      <w:bodyDiv w:val="1"/>
      <w:marLeft w:val="0"/>
      <w:marRight w:val="0"/>
      <w:marTop w:val="0"/>
      <w:marBottom w:val="0"/>
      <w:divBdr>
        <w:top w:val="none" w:sz="0" w:space="0" w:color="auto"/>
        <w:left w:val="none" w:sz="0" w:space="0" w:color="auto"/>
        <w:bottom w:val="none" w:sz="0" w:space="0" w:color="auto"/>
        <w:right w:val="none" w:sz="0" w:space="0" w:color="auto"/>
      </w:divBdr>
    </w:div>
    <w:div w:id="571768777">
      <w:bodyDiv w:val="1"/>
      <w:marLeft w:val="0"/>
      <w:marRight w:val="0"/>
      <w:marTop w:val="0"/>
      <w:marBottom w:val="0"/>
      <w:divBdr>
        <w:top w:val="none" w:sz="0" w:space="0" w:color="auto"/>
        <w:left w:val="none" w:sz="0" w:space="0" w:color="auto"/>
        <w:bottom w:val="none" w:sz="0" w:space="0" w:color="auto"/>
        <w:right w:val="none" w:sz="0" w:space="0" w:color="auto"/>
      </w:divBdr>
    </w:div>
    <w:div w:id="618150967">
      <w:bodyDiv w:val="1"/>
      <w:marLeft w:val="0"/>
      <w:marRight w:val="0"/>
      <w:marTop w:val="0"/>
      <w:marBottom w:val="0"/>
      <w:divBdr>
        <w:top w:val="none" w:sz="0" w:space="0" w:color="auto"/>
        <w:left w:val="none" w:sz="0" w:space="0" w:color="auto"/>
        <w:bottom w:val="none" w:sz="0" w:space="0" w:color="auto"/>
        <w:right w:val="none" w:sz="0" w:space="0" w:color="auto"/>
      </w:divBdr>
    </w:div>
    <w:div w:id="639698129">
      <w:bodyDiv w:val="1"/>
      <w:marLeft w:val="0"/>
      <w:marRight w:val="0"/>
      <w:marTop w:val="0"/>
      <w:marBottom w:val="0"/>
      <w:divBdr>
        <w:top w:val="none" w:sz="0" w:space="0" w:color="auto"/>
        <w:left w:val="none" w:sz="0" w:space="0" w:color="auto"/>
        <w:bottom w:val="none" w:sz="0" w:space="0" w:color="auto"/>
        <w:right w:val="none" w:sz="0" w:space="0" w:color="auto"/>
      </w:divBdr>
      <w:divsChild>
        <w:div w:id="2083944437">
          <w:marLeft w:val="446"/>
          <w:marRight w:val="0"/>
          <w:marTop w:val="180"/>
          <w:marBottom w:val="0"/>
          <w:divBdr>
            <w:top w:val="none" w:sz="0" w:space="0" w:color="auto"/>
            <w:left w:val="none" w:sz="0" w:space="0" w:color="auto"/>
            <w:bottom w:val="none" w:sz="0" w:space="0" w:color="auto"/>
            <w:right w:val="none" w:sz="0" w:space="0" w:color="auto"/>
          </w:divBdr>
        </w:div>
        <w:div w:id="536117246">
          <w:marLeft w:val="850"/>
          <w:marRight w:val="0"/>
          <w:marTop w:val="180"/>
          <w:marBottom w:val="0"/>
          <w:divBdr>
            <w:top w:val="none" w:sz="0" w:space="0" w:color="auto"/>
            <w:left w:val="none" w:sz="0" w:space="0" w:color="auto"/>
            <w:bottom w:val="none" w:sz="0" w:space="0" w:color="auto"/>
            <w:right w:val="none" w:sz="0" w:space="0" w:color="auto"/>
          </w:divBdr>
        </w:div>
        <w:div w:id="1407531565">
          <w:marLeft w:val="850"/>
          <w:marRight w:val="0"/>
          <w:marTop w:val="180"/>
          <w:marBottom w:val="0"/>
          <w:divBdr>
            <w:top w:val="none" w:sz="0" w:space="0" w:color="auto"/>
            <w:left w:val="none" w:sz="0" w:space="0" w:color="auto"/>
            <w:bottom w:val="none" w:sz="0" w:space="0" w:color="auto"/>
            <w:right w:val="none" w:sz="0" w:space="0" w:color="auto"/>
          </w:divBdr>
        </w:div>
        <w:div w:id="1531801222">
          <w:marLeft w:val="446"/>
          <w:marRight w:val="0"/>
          <w:marTop w:val="180"/>
          <w:marBottom w:val="0"/>
          <w:divBdr>
            <w:top w:val="none" w:sz="0" w:space="0" w:color="auto"/>
            <w:left w:val="none" w:sz="0" w:space="0" w:color="auto"/>
            <w:bottom w:val="none" w:sz="0" w:space="0" w:color="auto"/>
            <w:right w:val="none" w:sz="0" w:space="0" w:color="auto"/>
          </w:divBdr>
        </w:div>
      </w:divsChild>
    </w:div>
    <w:div w:id="640039007">
      <w:bodyDiv w:val="1"/>
      <w:marLeft w:val="0"/>
      <w:marRight w:val="0"/>
      <w:marTop w:val="0"/>
      <w:marBottom w:val="0"/>
      <w:divBdr>
        <w:top w:val="none" w:sz="0" w:space="0" w:color="auto"/>
        <w:left w:val="none" w:sz="0" w:space="0" w:color="auto"/>
        <w:bottom w:val="none" w:sz="0" w:space="0" w:color="auto"/>
        <w:right w:val="none" w:sz="0" w:space="0" w:color="auto"/>
      </w:divBdr>
      <w:divsChild>
        <w:div w:id="44180876">
          <w:marLeft w:val="446"/>
          <w:marRight w:val="0"/>
          <w:marTop w:val="120"/>
          <w:marBottom w:val="40"/>
          <w:divBdr>
            <w:top w:val="none" w:sz="0" w:space="0" w:color="auto"/>
            <w:left w:val="none" w:sz="0" w:space="0" w:color="auto"/>
            <w:bottom w:val="none" w:sz="0" w:space="0" w:color="auto"/>
            <w:right w:val="none" w:sz="0" w:space="0" w:color="auto"/>
          </w:divBdr>
        </w:div>
        <w:div w:id="327174997">
          <w:marLeft w:val="446"/>
          <w:marRight w:val="0"/>
          <w:marTop w:val="120"/>
          <w:marBottom w:val="40"/>
          <w:divBdr>
            <w:top w:val="none" w:sz="0" w:space="0" w:color="auto"/>
            <w:left w:val="none" w:sz="0" w:space="0" w:color="auto"/>
            <w:bottom w:val="none" w:sz="0" w:space="0" w:color="auto"/>
            <w:right w:val="none" w:sz="0" w:space="0" w:color="auto"/>
          </w:divBdr>
        </w:div>
        <w:div w:id="1364550895">
          <w:marLeft w:val="446"/>
          <w:marRight w:val="0"/>
          <w:marTop w:val="120"/>
          <w:marBottom w:val="40"/>
          <w:divBdr>
            <w:top w:val="none" w:sz="0" w:space="0" w:color="auto"/>
            <w:left w:val="none" w:sz="0" w:space="0" w:color="auto"/>
            <w:bottom w:val="none" w:sz="0" w:space="0" w:color="auto"/>
            <w:right w:val="none" w:sz="0" w:space="0" w:color="auto"/>
          </w:divBdr>
        </w:div>
        <w:div w:id="595359874">
          <w:marLeft w:val="446"/>
          <w:marRight w:val="0"/>
          <w:marTop w:val="120"/>
          <w:marBottom w:val="40"/>
          <w:divBdr>
            <w:top w:val="none" w:sz="0" w:space="0" w:color="auto"/>
            <w:left w:val="none" w:sz="0" w:space="0" w:color="auto"/>
            <w:bottom w:val="none" w:sz="0" w:space="0" w:color="auto"/>
            <w:right w:val="none" w:sz="0" w:space="0" w:color="auto"/>
          </w:divBdr>
        </w:div>
        <w:div w:id="525757292">
          <w:marLeft w:val="446"/>
          <w:marRight w:val="0"/>
          <w:marTop w:val="120"/>
          <w:marBottom w:val="160"/>
          <w:divBdr>
            <w:top w:val="none" w:sz="0" w:space="0" w:color="auto"/>
            <w:left w:val="none" w:sz="0" w:space="0" w:color="auto"/>
            <w:bottom w:val="none" w:sz="0" w:space="0" w:color="auto"/>
            <w:right w:val="none" w:sz="0" w:space="0" w:color="auto"/>
          </w:divBdr>
        </w:div>
      </w:divsChild>
    </w:div>
    <w:div w:id="700135624">
      <w:bodyDiv w:val="1"/>
      <w:marLeft w:val="0"/>
      <w:marRight w:val="0"/>
      <w:marTop w:val="0"/>
      <w:marBottom w:val="0"/>
      <w:divBdr>
        <w:top w:val="none" w:sz="0" w:space="0" w:color="auto"/>
        <w:left w:val="none" w:sz="0" w:space="0" w:color="auto"/>
        <w:bottom w:val="none" w:sz="0" w:space="0" w:color="auto"/>
        <w:right w:val="none" w:sz="0" w:space="0" w:color="auto"/>
      </w:divBdr>
    </w:div>
    <w:div w:id="704871404">
      <w:bodyDiv w:val="1"/>
      <w:marLeft w:val="0"/>
      <w:marRight w:val="0"/>
      <w:marTop w:val="0"/>
      <w:marBottom w:val="0"/>
      <w:divBdr>
        <w:top w:val="none" w:sz="0" w:space="0" w:color="auto"/>
        <w:left w:val="none" w:sz="0" w:space="0" w:color="auto"/>
        <w:bottom w:val="none" w:sz="0" w:space="0" w:color="auto"/>
        <w:right w:val="none" w:sz="0" w:space="0" w:color="auto"/>
      </w:divBdr>
    </w:div>
    <w:div w:id="724062736">
      <w:bodyDiv w:val="1"/>
      <w:marLeft w:val="0"/>
      <w:marRight w:val="0"/>
      <w:marTop w:val="0"/>
      <w:marBottom w:val="0"/>
      <w:divBdr>
        <w:top w:val="none" w:sz="0" w:space="0" w:color="auto"/>
        <w:left w:val="none" w:sz="0" w:space="0" w:color="auto"/>
        <w:bottom w:val="none" w:sz="0" w:space="0" w:color="auto"/>
        <w:right w:val="none" w:sz="0" w:space="0" w:color="auto"/>
      </w:divBdr>
    </w:div>
    <w:div w:id="805270791">
      <w:bodyDiv w:val="1"/>
      <w:marLeft w:val="0"/>
      <w:marRight w:val="0"/>
      <w:marTop w:val="0"/>
      <w:marBottom w:val="0"/>
      <w:divBdr>
        <w:top w:val="none" w:sz="0" w:space="0" w:color="auto"/>
        <w:left w:val="none" w:sz="0" w:space="0" w:color="auto"/>
        <w:bottom w:val="none" w:sz="0" w:space="0" w:color="auto"/>
        <w:right w:val="none" w:sz="0" w:space="0" w:color="auto"/>
      </w:divBdr>
    </w:div>
    <w:div w:id="819229603">
      <w:bodyDiv w:val="1"/>
      <w:marLeft w:val="0"/>
      <w:marRight w:val="0"/>
      <w:marTop w:val="0"/>
      <w:marBottom w:val="0"/>
      <w:divBdr>
        <w:top w:val="none" w:sz="0" w:space="0" w:color="auto"/>
        <w:left w:val="none" w:sz="0" w:space="0" w:color="auto"/>
        <w:bottom w:val="none" w:sz="0" w:space="0" w:color="auto"/>
        <w:right w:val="none" w:sz="0" w:space="0" w:color="auto"/>
      </w:divBdr>
    </w:div>
    <w:div w:id="821039709">
      <w:bodyDiv w:val="1"/>
      <w:marLeft w:val="0"/>
      <w:marRight w:val="0"/>
      <w:marTop w:val="0"/>
      <w:marBottom w:val="0"/>
      <w:divBdr>
        <w:top w:val="none" w:sz="0" w:space="0" w:color="auto"/>
        <w:left w:val="none" w:sz="0" w:space="0" w:color="auto"/>
        <w:bottom w:val="none" w:sz="0" w:space="0" w:color="auto"/>
        <w:right w:val="none" w:sz="0" w:space="0" w:color="auto"/>
      </w:divBdr>
      <w:divsChild>
        <w:div w:id="1999651810">
          <w:marLeft w:val="547"/>
          <w:marRight w:val="0"/>
          <w:marTop w:val="180"/>
          <w:marBottom w:val="0"/>
          <w:divBdr>
            <w:top w:val="none" w:sz="0" w:space="0" w:color="auto"/>
            <w:left w:val="none" w:sz="0" w:space="0" w:color="auto"/>
            <w:bottom w:val="none" w:sz="0" w:space="0" w:color="auto"/>
            <w:right w:val="none" w:sz="0" w:space="0" w:color="auto"/>
          </w:divBdr>
        </w:div>
        <w:div w:id="2093428874">
          <w:marLeft w:val="547"/>
          <w:marRight w:val="0"/>
          <w:marTop w:val="180"/>
          <w:marBottom w:val="0"/>
          <w:divBdr>
            <w:top w:val="none" w:sz="0" w:space="0" w:color="auto"/>
            <w:left w:val="none" w:sz="0" w:space="0" w:color="auto"/>
            <w:bottom w:val="none" w:sz="0" w:space="0" w:color="auto"/>
            <w:right w:val="none" w:sz="0" w:space="0" w:color="auto"/>
          </w:divBdr>
        </w:div>
      </w:divsChild>
    </w:div>
    <w:div w:id="822700466">
      <w:bodyDiv w:val="1"/>
      <w:marLeft w:val="0"/>
      <w:marRight w:val="0"/>
      <w:marTop w:val="0"/>
      <w:marBottom w:val="0"/>
      <w:divBdr>
        <w:top w:val="none" w:sz="0" w:space="0" w:color="auto"/>
        <w:left w:val="none" w:sz="0" w:space="0" w:color="auto"/>
        <w:bottom w:val="none" w:sz="0" w:space="0" w:color="auto"/>
        <w:right w:val="none" w:sz="0" w:space="0" w:color="auto"/>
      </w:divBdr>
      <w:divsChild>
        <w:div w:id="958415966">
          <w:marLeft w:val="274"/>
          <w:marRight w:val="0"/>
          <w:marTop w:val="180"/>
          <w:marBottom w:val="0"/>
          <w:divBdr>
            <w:top w:val="none" w:sz="0" w:space="0" w:color="auto"/>
            <w:left w:val="none" w:sz="0" w:space="0" w:color="auto"/>
            <w:bottom w:val="none" w:sz="0" w:space="0" w:color="auto"/>
            <w:right w:val="none" w:sz="0" w:space="0" w:color="auto"/>
          </w:divBdr>
        </w:div>
        <w:div w:id="1297297328">
          <w:marLeft w:val="274"/>
          <w:marRight w:val="0"/>
          <w:marTop w:val="180"/>
          <w:marBottom w:val="0"/>
          <w:divBdr>
            <w:top w:val="none" w:sz="0" w:space="0" w:color="auto"/>
            <w:left w:val="none" w:sz="0" w:space="0" w:color="auto"/>
            <w:bottom w:val="none" w:sz="0" w:space="0" w:color="auto"/>
            <w:right w:val="none" w:sz="0" w:space="0" w:color="auto"/>
          </w:divBdr>
        </w:div>
        <w:div w:id="438179248">
          <w:marLeft w:val="274"/>
          <w:marRight w:val="0"/>
          <w:marTop w:val="180"/>
          <w:marBottom w:val="0"/>
          <w:divBdr>
            <w:top w:val="none" w:sz="0" w:space="0" w:color="auto"/>
            <w:left w:val="none" w:sz="0" w:space="0" w:color="auto"/>
            <w:bottom w:val="none" w:sz="0" w:space="0" w:color="auto"/>
            <w:right w:val="none" w:sz="0" w:space="0" w:color="auto"/>
          </w:divBdr>
        </w:div>
        <w:div w:id="341595036">
          <w:marLeft w:val="274"/>
          <w:marRight w:val="0"/>
          <w:marTop w:val="180"/>
          <w:marBottom w:val="0"/>
          <w:divBdr>
            <w:top w:val="none" w:sz="0" w:space="0" w:color="auto"/>
            <w:left w:val="none" w:sz="0" w:space="0" w:color="auto"/>
            <w:bottom w:val="none" w:sz="0" w:space="0" w:color="auto"/>
            <w:right w:val="none" w:sz="0" w:space="0" w:color="auto"/>
          </w:divBdr>
        </w:div>
      </w:divsChild>
    </w:div>
    <w:div w:id="864951816">
      <w:bodyDiv w:val="1"/>
      <w:marLeft w:val="0"/>
      <w:marRight w:val="0"/>
      <w:marTop w:val="0"/>
      <w:marBottom w:val="0"/>
      <w:divBdr>
        <w:top w:val="none" w:sz="0" w:space="0" w:color="auto"/>
        <w:left w:val="none" w:sz="0" w:space="0" w:color="auto"/>
        <w:bottom w:val="none" w:sz="0" w:space="0" w:color="auto"/>
        <w:right w:val="none" w:sz="0" w:space="0" w:color="auto"/>
      </w:divBdr>
    </w:div>
    <w:div w:id="904146266">
      <w:bodyDiv w:val="1"/>
      <w:marLeft w:val="0"/>
      <w:marRight w:val="0"/>
      <w:marTop w:val="0"/>
      <w:marBottom w:val="0"/>
      <w:divBdr>
        <w:top w:val="none" w:sz="0" w:space="0" w:color="auto"/>
        <w:left w:val="none" w:sz="0" w:space="0" w:color="auto"/>
        <w:bottom w:val="none" w:sz="0" w:space="0" w:color="auto"/>
        <w:right w:val="none" w:sz="0" w:space="0" w:color="auto"/>
      </w:divBdr>
      <w:divsChild>
        <w:div w:id="582568793">
          <w:marLeft w:val="547"/>
          <w:marRight w:val="0"/>
          <w:marTop w:val="180"/>
          <w:marBottom w:val="0"/>
          <w:divBdr>
            <w:top w:val="none" w:sz="0" w:space="0" w:color="auto"/>
            <w:left w:val="none" w:sz="0" w:space="0" w:color="auto"/>
            <w:bottom w:val="none" w:sz="0" w:space="0" w:color="auto"/>
            <w:right w:val="none" w:sz="0" w:space="0" w:color="auto"/>
          </w:divBdr>
        </w:div>
      </w:divsChild>
    </w:div>
    <w:div w:id="945694869">
      <w:bodyDiv w:val="1"/>
      <w:marLeft w:val="0"/>
      <w:marRight w:val="0"/>
      <w:marTop w:val="0"/>
      <w:marBottom w:val="0"/>
      <w:divBdr>
        <w:top w:val="none" w:sz="0" w:space="0" w:color="auto"/>
        <w:left w:val="none" w:sz="0" w:space="0" w:color="auto"/>
        <w:bottom w:val="none" w:sz="0" w:space="0" w:color="auto"/>
        <w:right w:val="none" w:sz="0" w:space="0" w:color="auto"/>
      </w:divBdr>
    </w:div>
    <w:div w:id="951400430">
      <w:bodyDiv w:val="1"/>
      <w:marLeft w:val="0"/>
      <w:marRight w:val="0"/>
      <w:marTop w:val="0"/>
      <w:marBottom w:val="0"/>
      <w:divBdr>
        <w:top w:val="none" w:sz="0" w:space="0" w:color="auto"/>
        <w:left w:val="none" w:sz="0" w:space="0" w:color="auto"/>
        <w:bottom w:val="none" w:sz="0" w:space="0" w:color="auto"/>
        <w:right w:val="none" w:sz="0" w:space="0" w:color="auto"/>
      </w:divBdr>
      <w:divsChild>
        <w:div w:id="869605576">
          <w:marLeft w:val="446"/>
          <w:marRight w:val="0"/>
          <w:marTop w:val="180"/>
          <w:marBottom w:val="0"/>
          <w:divBdr>
            <w:top w:val="none" w:sz="0" w:space="0" w:color="auto"/>
            <w:left w:val="none" w:sz="0" w:space="0" w:color="auto"/>
            <w:bottom w:val="none" w:sz="0" w:space="0" w:color="auto"/>
            <w:right w:val="none" w:sz="0" w:space="0" w:color="auto"/>
          </w:divBdr>
        </w:div>
        <w:div w:id="1962686439">
          <w:marLeft w:val="446"/>
          <w:marRight w:val="0"/>
          <w:marTop w:val="180"/>
          <w:marBottom w:val="0"/>
          <w:divBdr>
            <w:top w:val="none" w:sz="0" w:space="0" w:color="auto"/>
            <w:left w:val="none" w:sz="0" w:space="0" w:color="auto"/>
            <w:bottom w:val="none" w:sz="0" w:space="0" w:color="auto"/>
            <w:right w:val="none" w:sz="0" w:space="0" w:color="auto"/>
          </w:divBdr>
        </w:div>
      </w:divsChild>
    </w:div>
    <w:div w:id="959532131">
      <w:bodyDiv w:val="1"/>
      <w:marLeft w:val="0"/>
      <w:marRight w:val="0"/>
      <w:marTop w:val="0"/>
      <w:marBottom w:val="0"/>
      <w:divBdr>
        <w:top w:val="none" w:sz="0" w:space="0" w:color="auto"/>
        <w:left w:val="none" w:sz="0" w:space="0" w:color="auto"/>
        <w:bottom w:val="none" w:sz="0" w:space="0" w:color="auto"/>
        <w:right w:val="none" w:sz="0" w:space="0" w:color="auto"/>
      </w:divBdr>
    </w:div>
    <w:div w:id="1024097335">
      <w:bodyDiv w:val="1"/>
      <w:marLeft w:val="0"/>
      <w:marRight w:val="0"/>
      <w:marTop w:val="0"/>
      <w:marBottom w:val="0"/>
      <w:divBdr>
        <w:top w:val="none" w:sz="0" w:space="0" w:color="auto"/>
        <w:left w:val="none" w:sz="0" w:space="0" w:color="auto"/>
        <w:bottom w:val="none" w:sz="0" w:space="0" w:color="auto"/>
        <w:right w:val="none" w:sz="0" w:space="0" w:color="auto"/>
      </w:divBdr>
    </w:div>
    <w:div w:id="1088117647">
      <w:bodyDiv w:val="1"/>
      <w:marLeft w:val="0"/>
      <w:marRight w:val="0"/>
      <w:marTop w:val="0"/>
      <w:marBottom w:val="0"/>
      <w:divBdr>
        <w:top w:val="none" w:sz="0" w:space="0" w:color="auto"/>
        <w:left w:val="none" w:sz="0" w:space="0" w:color="auto"/>
        <w:bottom w:val="none" w:sz="0" w:space="0" w:color="auto"/>
        <w:right w:val="none" w:sz="0" w:space="0" w:color="auto"/>
      </w:divBdr>
    </w:div>
    <w:div w:id="1126512193">
      <w:bodyDiv w:val="1"/>
      <w:marLeft w:val="0"/>
      <w:marRight w:val="0"/>
      <w:marTop w:val="0"/>
      <w:marBottom w:val="0"/>
      <w:divBdr>
        <w:top w:val="none" w:sz="0" w:space="0" w:color="auto"/>
        <w:left w:val="none" w:sz="0" w:space="0" w:color="auto"/>
        <w:bottom w:val="none" w:sz="0" w:space="0" w:color="auto"/>
        <w:right w:val="none" w:sz="0" w:space="0" w:color="auto"/>
      </w:divBdr>
    </w:div>
    <w:div w:id="1151143047">
      <w:bodyDiv w:val="1"/>
      <w:marLeft w:val="0"/>
      <w:marRight w:val="0"/>
      <w:marTop w:val="0"/>
      <w:marBottom w:val="0"/>
      <w:divBdr>
        <w:top w:val="none" w:sz="0" w:space="0" w:color="auto"/>
        <w:left w:val="none" w:sz="0" w:space="0" w:color="auto"/>
        <w:bottom w:val="none" w:sz="0" w:space="0" w:color="auto"/>
        <w:right w:val="none" w:sz="0" w:space="0" w:color="auto"/>
      </w:divBdr>
    </w:div>
    <w:div w:id="1178613862">
      <w:bodyDiv w:val="1"/>
      <w:marLeft w:val="0"/>
      <w:marRight w:val="0"/>
      <w:marTop w:val="0"/>
      <w:marBottom w:val="0"/>
      <w:divBdr>
        <w:top w:val="none" w:sz="0" w:space="0" w:color="auto"/>
        <w:left w:val="none" w:sz="0" w:space="0" w:color="auto"/>
        <w:bottom w:val="none" w:sz="0" w:space="0" w:color="auto"/>
        <w:right w:val="none" w:sz="0" w:space="0" w:color="auto"/>
      </w:divBdr>
    </w:div>
    <w:div w:id="1190559184">
      <w:bodyDiv w:val="1"/>
      <w:marLeft w:val="0"/>
      <w:marRight w:val="0"/>
      <w:marTop w:val="0"/>
      <w:marBottom w:val="0"/>
      <w:divBdr>
        <w:top w:val="none" w:sz="0" w:space="0" w:color="auto"/>
        <w:left w:val="none" w:sz="0" w:space="0" w:color="auto"/>
        <w:bottom w:val="none" w:sz="0" w:space="0" w:color="auto"/>
        <w:right w:val="none" w:sz="0" w:space="0" w:color="auto"/>
      </w:divBdr>
    </w:div>
    <w:div w:id="1226335016">
      <w:bodyDiv w:val="1"/>
      <w:marLeft w:val="0"/>
      <w:marRight w:val="0"/>
      <w:marTop w:val="0"/>
      <w:marBottom w:val="0"/>
      <w:divBdr>
        <w:top w:val="none" w:sz="0" w:space="0" w:color="auto"/>
        <w:left w:val="none" w:sz="0" w:space="0" w:color="auto"/>
        <w:bottom w:val="none" w:sz="0" w:space="0" w:color="auto"/>
        <w:right w:val="none" w:sz="0" w:space="0" w:color="auto"/>
      </w:divBdr>
    </w:div>
    <w:div w:id="1264335977">
      <w:bodyDiv w:val="1"/>
      <w:marLeft w:val="0"/>
      <w:marRight w:val="0"/>
      <w:marTop w:val="0"/>
      <w:marBottom w:val="0"/>
      <w:divBdr>
        <w:top w:val="none" w:sz="0" w:space="0" w:color="auto"/>
        <w:left w:val="none" w:sz="0" w:space="0" w:color="auto"/>
        <w:bottom w:val="none" w:sz="0" w:space="0" w:color="auto"/>
        <w:right w:val="none" w:sz="0" w:space="0" w:color="auto"/>
      </w:divBdr>
    </w:div>
    <w:div w:id="1284729993">
      <w:bodyDiv w:val="1"/>
      <w:marLeft w:val="0"/>
      <w:marRight w:val="0"/>
      <w:marTop w:val="0"/>
      <w:marBottom w:val="0"/>
      <w:divBdr>
        <w:top w:val="none" w:sz="0" w:space="0" w:color="auto"/>
        <w:left w:val="none" w:sz="0" w:space="0" w:color="auto"/>
        <w:bottom w:val="none" w:sz="0" w:space="0" w:color="auto"/>
        <w:right w:val="none" w:sz="0" w:space="0" w:color="auto"/>
      </w:divBdr>
    </w:div>
    <w:div w:id="1308361619">
      <w:bodyDiv w:val="1"/>
      <w:marLeft w:val="0"/>
      <w:marRight w:val="0"/>
      <w:marTop w:val="0"/>
      <w:marBottom w:val="0"/>
      <w:divBdr>
        <w:top w:val="none" w:sz="0" w:space="0" w:color="auto"/>
        <w:left w:val="none" w:sz="0" w:space="0" w:color="auto"/>
        <w:bottom w:val="none" w:sz="0" w:space="0" w:color="auto"/>
        <w:right w:val="none" w:sz="0" w:space="0" w:color="auto"/>
      </w:divBdr>
    </w:div>
    <w:div w:id="1319185860">
      <w:bodyDiv w:val="1"/>
      <w:marLeft w:val="0"/>
      <w:marRight w:val="0"/>
      <w:marTop w:val="0"/>
      <w:marBottom w:val="0"/>
      <w:divBdr>
        <w:top w:val="none" w:sz="0" w:space="0" w:color="auto"/>
        <w:left w:val="none" w:sz="0" w:space="0" w:color="auto"/>
        <w:bottom w:val="none" w:sz="0" w:space="0" w:color="auto"/>
        <w:right w:val="none" w:sz="0" w:space="0" w:color="auto"/>
      </w:divBdr>
    </w:div>
    <w:div w:id="1329289588">
      <w:bodyDiv w:val="1"/>
      <w:marLeft w:val="0"/>
      <w:marRight w:val="0"/>
      <w:marTop w:val="0"/>
      <w:marBottom w:val="0"/>
      <w:divBdr>
        <w:top w:val="none" w:sz="0" w:space="0" w:color="auto"/>
        <w:left w:val="none" w:sz="0" w:space="0" w:color="auto"/>
        <w:bottom w:val="none" w:sz="0" w:space="0" w:color="auto"/>
        <w:right w:val="none" w:sz="0" w:space="0" w:color="auto"/>
      </w:divBdr>
    </w:div>
    <w:div w:id="1346397611">
      <w:bodyDiv w:val="1"/>
      <w:marLeft w:val="0"/>
      <w:marRight w:val="0"/>
      <w:marTop w:val="0"/>
      <w:marBottom w:val="0"/>
      <w:divBdr>
        <w:top w:val="none" w:sz="0" w:space="0" w:color="auto"/>
        <w:left w:val="none" w:sz="0" w:space="0" w:color="auto"/>
        <w:bottom w:val="none" w:sz="0" w:space="0" w:color="auto"/>
        <w:right w:val="none" w:sz="0" w:space="0" w:color="auto"/>
      </w:divBdr>
    </w:div>
    <w:div w:id="1408576459">
      <w:bodyDiv w:val="1"/>
      <w:marLeft w:val="0"/>
      <w:marRight w:val="0"/>
      <w:marTop w:val="0"/>
      <w:marBottom w:val="0"/>
      <w:divBdr>
        <w:top w:val="none" w:sz="0" w:space="0" w:color="auto"/>
        <w:left w:val="none" w:sz="0" w:space="0" w:color="auto"/>
        <w:bottom w:val="none" w:sz="0" w:space="0" w:color="auto"/>
        <w:right w:val="none" w:sz="0" w:space="0" w:color="auto"/>
      </w:divBdr>
    </w:div>
    <w:div w:id="1431583484">
      <w:bodyDiv w:val="1"/>
      <w:marLeft w:val="0"/>
      <w:marRight w:val="0"/>
      <w:marTop w:val="0"/>
      <w:marBottom w:val="0"/>
      <w:divBdr>
        <w:top w:val="none" w:sz="0" w:space="0" w:color="auto"/>
        <w:left w:val="none" w:sz="0" w:space="0" w:color="auto"/>
        <w:bottom w:val="none" w:sz="0" w:space="0" w:color="auto"/>
        <w:right w:val="none" w:sz="0" w:space="0" w:color="auto"/>
      </w:divBdr>
    </w:div>
    <w:div w:id="1498381950">
      <w:bodyDiv w:val="1"/>
      <w:marLeft w:val="0"/>
      <w:marRight w:val="0"/>
      <w:marTop w:val="0"/>
      <w:marBottom w:val="0"/>
      <w:divBdr>
        <w:top w:val="none" w:sz="0" w:space="0" w:color="auto"/>
        <w:left w:val="none" w:sz="0" w:space="0" w:color="auto"/>
        <w:bottom w:val="none" w:sz="0" w:space="0" w:color="auto"/>
        <w:right w:val="none" w:sz="0" w:space="0" w:color="auto"/>
      </w:divBdr>
      <w:divsChild>
        <w:div w:id="1576545230">
          <w:marLeft w:val="547"/>
          <w:marRight w:val="0"/>
          <w:marTop w:val="180"/>
          <w:marBottom w:val="0"/>
          <w:divBdr>
            <w:top w:val="none" w:sz="0" w:space="0" w:color="auto"/>
            <w:left w:val="none" w:sz="0" w:space="0" w:color="auto"/>
            <w:bottom w:val="none" w:sz="0" w:space="0" w:color="auto"/>
            <w:right w:val="none" w:sz="0" w:space="0" w:color="auto"/>
          </w:divBdr>
        </w:div>
        <w:div w:id="1301569873">
          <w:marLeft w:val="547"/>
          <w:marRight w:val="0"/>
          <w:marTop w:val="180"/>
          <w:marBottom w:val="0"/>
          <w:divBdr>
            <w:top w:val="none" w:sz="0" w:space="0" w:color="auto"/>
            <w:left w:val="none" w:sz="0" w:space="0" w:color="auto"/>
            <w:bottom w:val="none" w:sz="0" w:space="0" w:color="auto"/>
            <w:right w:val="none" w:sz="0" w:space="0" w:color="auto"/>
          </w:divBdr>
        </w:div>
        <w:div w:id="2095857987">
          <w:marLeft w:val="547"/>
          <w:marRight w:val="0"/>
          <w:marTop w:val="180"/>
          <w:marBottom w:val="0"/>
          <w:divBdr>
            <w:top w:val="none" w:sz="0" w:space="0" w:color="auto"/>
            <w:left w:val="none" w:sz="0" w:space="0" w:color="auto"/>
            <w:bottom w:val="none" w:sz="0" w:space="0" w:color="auto"/>
            <w:right w:val="none" w:sz="0" w:space="0" w:color="auto"/>
          </w:divBdr>
        </w:div>
        <w:div w:id="289363511">
          <w:marLeft w:val="1224"/>
          <w:marRight w:val="0"/>
          <w:marTop w:val="240"/>
          <w:marBottom w:val="0"/>
          <w:divBdr>
            <w:top w:val="none" w:sz="0" w:space="0" w:color="auto"/>
            <w:left w:val="none" w:sz="0" w:space="0" w:color="auto"/>
            <w:bottom w:val="none" w:sz="0" w:space="0" w:color="auto"/>
            <w:right w:val="none" w:sz="0" w:space="0" w:color="auto"/>
          </w:divBdr>
        </w:div>
        <w:div w:id="1812012576">
          <w:marLeft w:val="1224"/>
          <w:marRight w:val="0"/>
          <w:marTop w:val="240"/>
          <w:marBottom w:val="0"/>
          <w:divBdr>
            <w:top w:val="none" w:sz="0" w:space="0" w:color="auto"/>
            <w:left w:val="none" w:sz="0" w:space="0" w:color="auto"/>
            <w:bottom w:val="none" w:sz="0" w:space="0" w:color="auto"/>
            <w:right w:val="none" w:sz="0" w:space="0" w:color="auto"/>
          </w:divBdr>
        </w:div>
        <w:div w:id="674456366">
          <w:marLeft w:val="1555"/>
          <w:marRight w:val="0"/>
          <w:marTop w:val="240"/>
          <w:marBottom w:val="0"/>
          <w:divBdr>
            <w:top w:val="none" w:sz="0" w:space="0" w:color="auto"/>
            <w:left w:val="none" w:sz="0" w:space="0" w:color="auto"/>
            <w:bottom w:val="none" w:sz="0" w:space="0" w:color="auto"/>
            <w:right w:val="none" w:sz="0" w:space="0" w:color="auto"/>
          </w:divBdr>
        </w:div>
        <w:div w:id="46492877">
          <w:marLeft w:val="1469"/>
          <w:marRight w:val="0"/>
          <w:marTop w:val="240"/>
          <w:marBottom w:val="0"/>
          <w:divBdr>
            <w:top w:val="none" w:sz="0" w:space="0" w:color="auto"/>
            <w:left w:val="none" w:sz="0" w:space="0" w:color="auto"/>
            <w:bottom w:val="none" w:sz="0" w:space="0" w:color="auto"/>
            <w:right w:val="none" w:sz="0" w:space="0" w:color="auto"/>
          </w:divBdr>
        </w:div>
        <w:div w:id="1004818082">
          <w:marLeft w:val="1469"/>
          <w:marRight w:val="0"/>
          <w:marTop w:val="240"/>
          <w:marBottom w:val="0"/>
          <w:divBdr>
            <w:top w:val="none" w:sz="0" w:space="0" w:color="auto"/>
            <w:left w:val="none" w:sz="0" w:space="0" w:color="auto"/>
            <w:bottom w:val="none" w:sz="0" w:space="0" w:color="auto"/>
            <w:right w:val="none" w:sz="0" w:space="0" w:color="auto"/>
          </w:divBdr>
        </w:div>
        <w:div w:id="1021052987">
          <w:marLeft w:val="1224"/>
          <w:marRight w:val="0"/>
          <w:marTop w:val="240"/>
          <w:marBottom w:val="0"/>
          <w:divBdr>
            <w:top w:val="none" w:sz="0" w:space="0" w:color="auto"/>
            <w:left w:val="none" w:sz="0" w:space="0" w:color="auto"/>
            <w:bottom w:val="none" w:sz="0" w:space="0" w:color="auto"/>
            <w:right w:val="none" w:sz="0" w:space="0" w:color="auto"/>
          </w:divBdr>
        </w:div>
      </w:divsChild>
    </w:div>
    <w:div w:id="1500776798">
      <w:bodyDiv w:val="1"/>
      <w:marLeft w:val="0"/>
      <w:marRight w:val="0"/>
      <w:marTop w:val="0"/>
      <w:marBottom w:val="0"/>
      <w:divBdr>
        <w:top w:val="none" w:sz="0" w:space="0" w:color="auto"/>
        <w:left w:val="none" w:sz="0" w:space="0" w:color="auto"/>
        <w:bottom w:val="none" w:sz="0" w:space="0" w:color="auto"/>
        <w:right w:val="none" w:sz="0" w:space="0" w:color="auto"/>
      </w:divBdr>
    </w:div>
    <w:div w:id="1520392550">
      <w:bodyDiv w:val="1"/>
      <w:marLeft w:val="0"/>
      <w:marRight w:val="0"/>
      <w:marTop w:val="0"/>
      <w:marBottom w:val="0"/>
      <w:divBdr>
        <w:top w:val="none" w:sz="0" w:space="0" w:color="auto"/>
        <w:left w:val="none" w:sz="0" w:space="0" w:color="auto"/>
        <w:bottom w:val="none" w:sz="0" w:space="0" w:color="auto"/>
        <w:right w:val="none" w:sz="0" w:space="0" w:color="auto"/>
      </w:divBdr>
    </w:div>
    <w:div w:id="1583416454">
      <w:bodyDiv w:val="1"/>
      <w:marLeft w:val="0"/>
      <w:marRight w:val="0"/>
      <w:marTop w:val="0"/>
      <w:marBottom w:val="0"/>
      <w:divBdr>
        <w:top w:val="none" w:sz="0" w:space="0" w:color="auto"/>
        <w:left w:val="none" w:sz="0" w:space="0" w:color="auto"/>
        <w:bottom w:val="none" w:sz="0" w:space="0" w:color="auto"/>
        <w:right w:val="none" w:sz="0" w:space="0" w:color="auto"/>
      </w:divBdr>
      <w:divsChild>
        <w:div w:id="2008633162">
          <w:marLeft w:val="0"/>
          <w:marRight w:val="0"/>
          <w:marTop w:val="180"/>
          <w:marBottom w:val="180"/>
          <w:divBdr>
            <w:top w:val="none" w:sz="0" w:space="0" w:color="auto"/>
            <w:left w:val="none" w:sz="0" w:space="0" w:color="auto"/>
            <w:bottom w:val="none" w:sz="0" w:space="0" w:color="auto"/>
            <w:right w:val="none" w:sz="0" w:space="0" w:color="auto"/>
          </w:divBdr>
          <w:divsChild>
            <w:div w:id="1584802605">
              <w:marLeft w:val="-225"/>
              <w:marRight w:val="-225"/>
              <w:marTop w:val="0"/>
              <w:marBottom w:val="0"/>
              <w:divBdr>
                <w:top w:val="none" w:sz="0" w:space="0" w:color="auto"/>
                <w:left w:val="none" w:sz="0" w:space="0" w:color="auto"/>
                <w:bottom w:val="none" w:sz="0" w:space="0" w:color="auto"/>
                <w:right w:val="none" w:sz="0" w:space="0" w:color="auto"/>
              </w:divBdr>
              <w:divsChild>
                <w:div w:id="1984505778">
                  <w:marLeft w:val="0"/>
                  <w:marRight w:val="0"/>
                  <w:marTop w:val="0"/>
                  <w:marBottom w:val="0"/>
                  <w:divBdr>
                    <w:top w:val="none" w:sz="0" w:space="0" w:color="auto"/>
                    <w:left w:val="none" w:sz="0" w:space="0" w:color="auto"/>
                    <w:bottom w:val="none" w:sz="0" w:space="0" w:color="auto"/>
                    <w:right w:val="none" w:sz="0" w:space="0" w:color="auto"/>
                  </w:divBdr>
                  <w:divsChild>
                    <w:div w:id="110899673">
                      <w:marLeft w:val="-225"/>
                      <w:marRight w:val="-225"/>
                      <w:marTop w:val="0"/>
                      <w:marBottom w:val="0"/>
                      <w:divBdr>
                        <w:top w:val="none" w:sz="0" w:space="0" w:color="auto"/>
                        <w:left w:val="none" w:sz="0" w:space="0" w:color="auto"/>
                        <w:bottom w:val="none" w:sz="0" w:space="0" w:color="auto"/>
                        <w:right w:val="none" w:sz="0" w:space="0" w:color="auto"/>
                      </w:divBdr>
                      <w:divsChild>
                        <w:div w:id="2126344320">
                          <w:marLeft w:val="0"/>
                          <w:marRight w:val="0"/>
                          <w:marTop w:val="0"/>
                          <w:marBottom w:val="0"/>
                          <w:divBdr>
                            <w:top w:val="none" w:sz="0" w:space="0" w:color="auto"/>
                            <w:left w:val="none" w:sz="0" w:space="0" w:color="auto"/>
                            <w:bottom w:val="none" w:sz="0" w:space="0" w:color="auto"/>
                            <w:right w:val="none" w:sz="0" w:space="0" w:color="auto"/>
                          </w:divBdr>
                          <w:divsChild>
                            <w:div w:id="1420710697">
                              <w:marLeft w:val="0"/>
                              <w:marRight w:val="0"/>
                              <w:marTop w:val="0"/>
                              <w:marBottom w:val="0"/>
                              <w:divBdr>
                                <w:top w:val="none" w:sz="0" w:space="0" w:color="auto"/>
                                <w:left w:val="none" w:sz="0" w:space="0" w:color="auto"/>
                                <w:bottom w:val="none" w:sz="0" w:space="0" w:color="auto"/>
                                <w:right w:val="none" w:sz="0" w:space="0" w:color="auto"/>
                              </w:divBdr>
                              <w:divsChild>
                                <w:div w:id="1447431097">
                                  <w:marLeft w:val="0"/>
                                  <w:marRight w:val="0"/>
                                  <w:marTop w:val="0"/>
                                  <w:marBottom w:val="0"/>
                                  <w:divBdr>
                                    <w:top w:val="none" w:sz="0" w:space="0" w:color="auto"/>
                                    <w:left w:val="none" w:sz="0" w:space="0" w:color="auto"/>
                                    <w:bottom w:val="none" w:sz="0" w:space="0" w:color="auto"/>
                                    <w:right w:val="none" w:sz="0" w:space="0" w:color="auto"/>
                                  </w:divBdr>
                                  <w:divsChild>
                                    <w:div w:id="2086419072">
                                      <w:marLeft w:val="0"/>
                                      <w:marRight w:val="0"/>
                                      <w:marTop w:val="0"/>
                                      <w:marBottom w:val="0"/>
                                      <w:divBdr>
                                        <w:top w:val="none" w:sz="0" w:space="0" w:color="auto"/>
                                        <w:left w:val="none" w:sz="0" w:space="0" w:color="auto"/>
                                        <w:bottom w:val="none" w:sz="0" w:space="0" w:color="auto"/>
                                        <w:right w:val="none" w:sz="0" w:space="0" w:color="auto"/>
                                      </w:divBdr>
                                      <w:divsChild>
                                        <w:div w:id="2112242793">
                                          <w:marLeft w:val="0"/>
                                          <w:marRight w:val="0"/>
                                          <w:marTop w:val="0"/>
                                          <w:marBottom w:val="0"/>
                                          <w:divBdr>
                                            <w:top w:val="none" w:sz="0" w:space="0" w:color="auto"/>
                                            <w:left w:val="none" w:sz="0" w:space="0" w:color="auto"/>
                                            <w:bottom w:val="none" w:sz="0" w:space="0" w:color="auto"/>
                                            <w:right w:val="none" w:sz="0" w:space="0" w:color="auto"/>
                                          </w:divBdr>
                                          <w:divsChild>
                                            <w:div w:id="1828551158">
                                              <w:marLeft w:val="0"/>
                                              <w:marRight w:val="0"/>
                                              <w:marTop w:val="0"/>
                                              <w:marBottom w:val="0"/>
                                              <w:divBdr>
                                                <w:top w:val="none" w:sz="0" w:space="0" w:color="auto"/>
                                                <w:left w:val="none" w:sz="0" w:space="0" w:color="auto"/>
                                                <w:bottom w:val="none" w:sz="0" w:space="0" w:color="auto"/>
                                                <w:right w:val="none" w:sz="0" w:space="0" w:color="auto"/>
                                              </w:divBdr>
                                              <w:divsChild>
                                                <w:div w:id="613100396">
                                                  <w:marLeft w:val="0"/>
                                                  <w:marRight w:val="0"/>
                                                  <w:marTop w:val="0"/>
                                                  <w:marBottom w:val="0"/>
                                                  <w:divBdr>
                                                    <w:top w:val="none" w:sz="0" w:space="0" w:color="auto"/>
                                                    <w:left w:val="none" w:sz="0" w:space="0" w:color="auto"/>
                                                    <w:bottom w:val="none" w:sz="0" w:space="0" w:color="auto"/>
                                                    <w:right w:val="none" w:sz="0" w:space="0" w:color="auto"/>
                                                  </w:divBdr>
                                                  <w:divsChild>
                                                    <w:div w:id="904268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88422897">
      <w:bodyDiv w:val="1"/>
      <w:marLeft w:val="0"/>
      <w:marRight w:val="0"/>
      <w:marTop w:val="0"/>
      <w:marBottom w:val="0"/>
      <w:divBdr>
        <w:top w:val="none" w:sz="0" w:space="0" w:color="auto"/>
        <w:left w:val="none" w:sz="0" w:space="0" w:color="auto"/>
        <w:bottom w:val="none" w:sz="0" w:space="0" w:color="auto"/>
        <w:right w:val="none" w:sz="0" w:space="0" w:color="auto"/>
      </w:divBdr>
    </w:div>
    <w:div w:id="1640065814">
      <w:bodyDiv w:val="1"/>
      <w:marLeft w:val="0"/>
      <w:marRight w:val="0"/>
      <w:marTop w:val="0"/>
      <w:marBottom w:val="0"/>
      <w:divBdr>
        <w:top w:val="none" w:sz="0" w:space="0" w:color="auto"/>
        <w:left w:val="none" w:sz="0" w:space="0" w:color="auto"/>
        <w:bottom w:val="none" w:sz="0" w:space="0" w:color="auto"/>
        <w:right w:val="none" w:sz="0" w:space="0" w:color="auto"/>
      </w:divBdr>
    </w:div>
    <w:div w:id="1641881971">
      <w:bodyDiv w:val="1"/>
      <w:marLeft w:val="0"/>
      <w:marRight w:val="0"/>
      <w:marTop w:val="0"/>
      <w:marBottom w:val="0"/>
      <w:divBdr>
        <w:top w:val="none" w:sz="0" w:space="0" w:color="auto"/>
        <w:left w:val="none" w:sz="0" w:space="0" w:color="auto"/>
        <w:bottom w:val="none" w:sz="0" w:space="0" w:color="auto"/>
        <w:right w:val="none" w:sz="0" w:space="0" w:color="auto"/>
      </w:divBdr>
    </w:div>
    <w:div w:id="1672021840">
      <w:bodyDiv w:val="1"/>
      <w:marLeft w:val="0"/>
      <w:marRight w:val="0"/>
      <w:marTop w:val="0"/>
      <w:marBottom w:val="0"/>
      <w:divBdr>
        <w:top w:val="none" w:sz="0" w:space="0" w:color="auto"/>
        <w:left w:val="none" w:sz="0" w:space="0" w:color="auto"/>
        <w:bottom w:val="none" w:sz="0" w:space="0" w:color="auto"/>
        <w:right w:val="none" w:sz="0" w:space="0" w:color="auto"/>
      </w:divBdr>
    </w:div>
    <w:div w:id="1677269500">
      <w:bodyDiv w:val="1"/>
      <w:marLeft w:val="0"/>
      <w:marRight w:val="0"/>
      <w:marTop w:val="0"/>
      <w:marBottom w:val="0"/>
      <w:divBdr>
        <w:top w:val="none" w:sz="0" w:space="0" w:color="auto"/>
        <w:left w:val="none" w:sz="0" w:space="0" w:color="auto"/>
        <w:bottom w:val="none" w:sz="0" w:space="0" w:color="auto"/>
        <w:right w:val="none" w:sz="0" w:space="0" w:color="auto"/>
      </w:divBdr>
      <w:divsChild>
        <w:div w:id="1869684483">
          <w:marLeft w:val="446"/>
          <w:marRight w:val="0"/>
          <w:marTop w:val="180"/>
          <w:marBottom w:val="0"/>
          <w:divBdr>
            <w:top w:val="none" w:sz="0" w:space="0" w:color="auto"/>
            <w:left w:val="none" w:sz="0" w:space="0" w:color="auto"/>
            <w:bottom w:val="none" w:sz="0" w:space="0" w:color="auto"/>
            <w:right w:val="none" w:sz="0" w:space="0" w:color="auto"/>
          </w:divBdr>
        </w:div>
        <w:div w:id="126049069">
          <w:marLeft w:val="446"/>
          <w:marRight w:val="0"/>
          <w:marTop w:val="180"/>
          <w:marBottom w:val="0"/>
          <w:divBdr>
            <w:top w:val="none" w:sz="0" w:space="0" w:color="auto"/>
            <w:left w:val="none" w:sz="0" w:space="0" w:color="auto"/>
            <w:bottom w:val="none" w:sz="0" w:space="0" w:color="auto"/>
            <w:right w:val="none" w:sz="0" w:space="0" w:color="auto"/>
          </w:divBdr>
        </w:div>
        <w:div w:id="2064672884">
          <w:marLeft w:val="446"/>
          <w:marRight w:val="0"/>
          <w:marTop w:val="180"/>
          <w:marBottom w:val="0"/>
          <w:divBdr>
            <w:top w:val="none" w:sz="0" w:space="0" w:color="auto"/>
            <w:left w:val="none" w:sz="0" w:space="0" w:color="auto"/>
            <w:bottom w:val="none" w:sz="0" w:space="0" w:color="auto"/>
            <w:right w:val="none" w:sz="0" w:space="0" w:color="auto"/>
          </w:divBdr>
        </w:div>
        <w:div w:id="468088579">
          <w:marLeft w:val="446"/>
          <w:marRight w:val="0"/>
          <w:marTop w:val="180"/>
          <w:marBottom w:val="0"/>
          <w:divBdr>
            <w:top w:val="none" w:sz="0" w:space="0" w:color="auto"/>
            <w:left w:val="none" w:sz="0" w:space="0" w:color="auto"/>
            <w:bottom w:val="none" w:sz="0" w:space="0" w:color="auto"/>
            <w:right w:val="none" w:sz="0" w:space="0" w:color="auto"/>
          </w:divBdr>
        </w:div>
        <w:div w:id="1537966003">
          <w:marLeft w:val="446"/>
          <w:marRight w:val="0"/>
          <w:marTop w:val="180"/>
          <w:marBottom w:val="0"/>
          <w:divBdr>
            <w:top w:val="none" w:sz="0" w:space="0" w:color="auto"/>
            <w:left w:val="none" w:sz="0" w:space="0" w:color="auto"/>
            <w:bottom w:val="none" w:sz="0" w:space="0" w:color="auto"/>
            <w:right w:val="none" w:sz="0" w:space="0" w:color="auto"/>
          </w:divBdr>
        </w:div>
        <w:div w:id="1184171969">
          <w:marLeft w:val="446"/>
          <w:marRight w:val="0"/>
          <w:marTop w:val="180"/>
          <w:marBottom w:val="0"/>
          <w:divBdr>
            <w:top w:val="none" w:sz="0" w:space="0" w:color="auto"/>
            <w:left w:val="none" w:sz="0" w:space="0" w:color="auto"/>
            <w:bottom w:val="none" w:sz="0" w:space="0" w:color="auto"/>
            <w:right w:val="none" w:sz="0" w:space="0" w:color="auto"/>
          </w:divBdr>
        </w:div>
        <w:div w:id="1995335895">
          <w:marLeft w:val="446"/>
          <w:marRight w:val="0"/>
          <w:marTop w:val="180"/>
          <w:marBottom w:val="0"/>
          <w:divBdr>
            <w:top w:val="none" w:sz="0" w:space="0" w:color="auto"/>
            <w:left w:val="none" w:sz="0" w:space="0" w:color="auto"/>
            <w:bottom w:val="none" w:sz="0" w:space="0" w:color="auto"/>
            <w:right w:val="none" w:sz="0" w:space="0" w:color="auto"/>
          </w:divBdr>
        </w:div>
        <w:div w:id="898319180">
          <w:marLeft w:val="346"/>
          <w:marRight w:val="0"/>
          <w:marTop w:val="180"/>
          <w:marBottom w:val="0"/>
          <w:divBdr>
            <w:top w:val="none" w:sz="0" w:space="0" w:color="auto"/>
            <w:left w:val="none" w:sz="0" w:space="0" w:color="auto"/>
            <w:bottom w:val="none" w:sz="0" w:space="0" w:color="auto"/>
            <w:right w:val="none" w:sz="0" w:space="0" w:color="auto"/>
          </w:divBdr>
        </w:div>
        <w:div w:id="1414668543">
          <w:marLeft w:val="346"/>
          <w:marRight w:val="0"/>
          <w:marTop w:val="180"/>
          <w:marBottom w:val="0"/>
          <w:divBdr>
            <w:top w:val="none" w:sz="0" w:space="0" w:color="auto"/>
            <w:left w:val="none" w:sz="0" w:space="0" w:color="auto"/>
            <w:bottom w:val="none" w:sz="0" w:space="0" w:color="auto"/>
            <w:right w:val="none" w:sz="0" w:space="0" w:color="auto"/>
          </w:divBdr>
        </w:div>
      </w:divsChild>
    </w:div>
    <w:div w:id="1694839396">
      <w:bodyDiv w:val="1"/>
      <w:marLeft w:val="0"/>
      <w:marRight w:val="0"/>
      <w:marTop w:val="0"/>
      <w:marBottom w:val="0"/>
      <w:divBdr>
        <w:top w:val="none" w:sz="0" w:space="0" w:color="auto"/>
        <w:left w:val="none" w:sz="0" w:space="0" w:color="auto"/>
        <w:bottom w:val="none" w:sz="0" w:space="0" w:color="auto"/>
        <w:right w:val="none" w:sz="0" w:space="0" w:color="auto"/>
      </w:divBdr>
    </w:div>
    <w:div w:id="1746418759">
      <w:bodyDiv w:val="1"/>
      <w:marLeft w:val="0"/>
      <w:marRight w:val="0"/>
      <w:marTop w:val="0"/>
      <w:marBottom w:val="0"/>
      <w:divBdr>
        <w:top w:val="none" w:sz="0" w:space="0" w:color="auto"/>
        <w:left w:val="none" w:sz="0" w:space="0" w:color="auto"/>
        <w:bottom w:val="none" w:sz="0" w:space="0" w:color="auto"/>
        <w:right w:val="none" w:sz="0" w:space="0" w:color="auto"/>
      </w:divBdr>
    </w:div>
    <w:div w:id="1790777974">
      <w:bodyDiv w:val="1"/>
      <w:marLeft w:val="0"/>
      <w:marRight w:val="0"/>
      <w:marTop w:val="0"/>
      <w:marBottom w:val="0"/>
      <w:divBdr>
        <w:top w:val="none" w:sz="0" w:space="0" w:color="auto"/>
        <w:left w:val="none" w:sz="0" w:space="0" w:color="auto"/>
        <w:bottom w:val="none" w:sz="0" w:space="0" w:color="auto"/>
        <w:right w:val="none" w:sz="0" w:space="0" w:color="auto"/>
      </w:divBdr>
      <w:divsChild>
        <w:div w:id="1706129636">
          <w:marLeft w:val="0"/>
          <w:marRight w:val="0"/>
          <w:marTop w:val="0"/>
          <w:marBottom w:val="0"/>
          <w:divBdr>
            <w:top w:val="none" w:sz="0" w:space="0" w:color="auto"/>
            <w:left w:val="none" w:sz="0" w:space="0" w:color="auto"/>
            <w:bottom w:val="none" w:sz="0" w:space="0" w:color="auto"/>
            <w:right w:val="none" w:sz="0" w:space="0" w:color="auto"/>
          </w:divBdr>
          <w:divsChild>
            <w:div w:id="1665040035">
              <w:marLeft w:val="-225"/>
              <w:marRight w:val="-225"/>
              <w:marTop w:val="0"/>
              <w:marBottom w:val="0"/>
              <w:divBdr>
                <w:top w:val="none" w:sz="0" w:space="0" w:color="auto"/>
                <w:left w:val="none" w:sz="0" w:space="0" w:color="auto"/>
                <w:bottom w:val="none" w:sz="0" w:space="0" w:color="auto"/>
                <w:right w:val="none" w:sz="0" w:space="0" w:color="auto"/>
              </w:divBdr>
              <w:divsChild>
                <w:div w:id="1936400846">
                  <w:marLeft w:val="0"/>
                  <w:marRight w:val="0"/>
                  <w:marTop w:val="0"/>
                  <w:marBottom w:val="0"/>
                  <w:divBdr>
                    <w:top w:val="none" w:sz="0" w:space="0" w:color="auto"/>
                    <w:left w:val="none" w:sz="0" w:space="0" w:color="auto"/>
                    <w:bottom w:val="none" w:sz="0" w:space="0" w:color="auto"/>
                    <w:right w:val="none" w:sz="0" w:space="0" w:color="auto"/>
                  </w:divBdr>
                  <w:divsChild>
                    <w:div w:id="290868162">
                      <w:marLeft w:val="0"/>
                      <w:marRight w:val="0"/>
                      <w:marTop w:val="0"/>
                      <w:marBottom w:val="225"/>
                      <w:divBdr>
                        <w:top w:val="none" w:sz="0" w:space="0" w:color="auto"/>
                        <w:left w:val="none" w:sz="0" w:space="0" w:color="auto"/>
                        <w:bottom w:val="none" w:sz="0" w:space="0" w:color="auto"/>
                        <w:right w:val="none" w:sz="0" w:space="0" w:color="auto"/>
                      </w:divBdr>
                      <w:divsChild>
                        <w:div w:id="1634603410">
                          <w:marLeft w:val="0"/>
                          <w:marRight w:val="0"/>
                          <w:marTop w:val="0"/>
                          <w:marBottom w:val="0"/>
                          <w:divBdr>
                            <w:top w:val="none" w:sz="0" w:space="0" w:color="auto"/>
                            <w:left w:val="none" w:sz="0" w:space="0" w:color="auto"/>
                            <w:bottom w:val="none" w:sz="0" w:space="0" w:color="auto"/>
                            <w:right w:val="none" w:sz="0" w:space="0" w:color="auto"/>
                          </w:divBdr>
                          <w:divsChild>
                            <w:div w:id="1980914003">
                              <w:marLeft w:val="0"/>
                              <w:marRight w:val="0"/>
                              <w:marTop w:val="0"/>
                              <w:marBottom w:val="0"/>
                              <w:divBdr>
                                <w:top w:val="none" w:sz="0" w:space="0" w:color="auto"/>
                                <w:left w:val="none" w:sz="0" w:space="0" w:color="auto"/>
                                <w:bottom w:val="none" w:sz="0" w:space="0" w:color="auto"/>
                                <w:right w:val="none" w:sz="0" w:space="0" w:color="auto"/>
                              </w:divBdr>
                              <w:divsChild>
                                <w:div w:id="442308713">
                                  <w:marLeft w:val="0"/>
                                  <w:marRight w:val="0"/>
                                  <w:marTop w:val="0"/>
                                  <w:marBottom w:val="0"/>
                                  <w:divBdr>
                                    <w:top w:val="none" w:sz="0" w:space="0" w:color="auto"/>
                                    <w:left w:val="none" w:sz="0" w:space="0" w:color="auto"/>
                                    <w:bottom w:val="none" w:sz="0" w:space="0" w:color="auto"/>
                                    <w:right w:val="none" w:sz="0" w:space="0" w:color="auto"/>
                                  </w:divBdr>
                                  <w:divsChild>
                                    <w:div w:id="499854453">
                                      <w:marLeft w:val="0"/>
                                      <w:marRight w:val="0"/>
                                      <w:marTop w:val="0"/>
                                      <w:marBottom w:val="0"/>
                                      <w:divBdr>
                                        <w:top w:val="none" w:sz="0" w:space="0" w:color="auto"/>
                                        <w:left w:val="none" w:sz="0" w:space="0" w:color="auto"/>
                                        <w:bottom w:val="none" w:sz="0" w:space="0" w:color="auto"/>
                                        <w:right w:val="none" w:sz="0" w:space="0" w:color="auto"/>
                                      </w:divBdr>
                                      <w:divsChild>
                                        <w:div w:id="948312627">
                                          <w:marLeft w:val="0"/>
                                          <w:marRight w:val="0"/>
                                          <w:marTop w:val="0"/>
                                          <w:marBottom w:val="0"/>
                                          <w:divBdr>
                                            <w:top w:val="none" w:sz="0" w:space="0" w:color="auto"/>
                                            <w:left w:val="none" w:sz="0" w:space="0" w:color="auto"/>
                                            <w:bottom w:val="none" w:sz="0" w:space="0" w:color="auto"/>
                                            <w:right w:val="none" w:sz="0" w:space="0" w:color="auto"/>
                                          </w:divBdr>
                                          <w:divsChild>
                                            <w:div w:id="607929881">
                                              <w:marLeft w:val="0"/>
                                              <w:marRight w:val="0"/>
                                              <w:marTop w:val="0"/>
                                              <w:marBottom w:val="0"/>
                                              <w:divBdr>
                                                <w:top w:val="none" w:sz="0" w:space="0" w:color="auto"/>
                                                <w:left w:val="none" w:sz="0" w:space="0" w:color="auto"/>
                                                <w:bottom w:val="none" w:sz="0" w:space="0" w:color="auto"/>
                                                <w:right w:val="none" w:sz="0" w:space="0" w:color="auto"/>
                                              </w:divBdr>
                                              <w:divsChild>
                                                <w:div w:id="1239553820">
                                                  <w:marLeft w:val="0"/>
                                                  <w:marRight w:val="0"/>
                                                  <w:marTop w:val="0"/>
                                                  <w:marBottom w:val="0"/>
                                                  <w:divBdr>
                                                    <w:top w:val="none" w:sz="0" w:space="0" w:color="auto"/>
                                                    <w:left w:val="none" w:sz="0" w:space="0" w:color="auto"/>
                                                    <w:bottom w:val="none" w:sz="0" w:space="0" w:color="auto"/>
                                                    <w:right w:val="none" w:sz="0" w:space="0" w:color="auto"/>
                                                  </w:divBdr>
                                                  <w:divsChild>
                                                    <w:div w:id="1737783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05075798">
      <w:bodyDiv w:val="1"/>
      <w:marLeft w:val="0"/>
      <w:marRight w:val="0"/>
      <w:marTop w:val="0"/>
      <w:marBottom w:val="0"/>
      <w:divBdr>
        <w:top w:val="none" w:sz="0" w:space="0" w:color="auto"/>
        <w:left w:val="none" w:sz="0" w:space="0" w:color="auto"/>
        <w:bottom w:val="none" w:sz="0" w:space="0" w:color="auto"/>
        <w:right w:val="none" w:sz="0" w:space="0" w:color="auto"/>
      </w:divBdr>
      <w:divsChild>
        <w:div w:id="1129783082">
          <w:marLeft w:val="547"/>
          <w:marRight w:val="0"/>
          <w:marTop w:val="180"/>
          <w:marBottom w:val="0"/>
          <w:divBdr>
            <w:top w:val="none" w:sz="0" w:space="0" w:color="auto"/>
            <w:left w:val="none" w:sz="0" w:space="0" w:color="auto"/>
            <w:bottom w:val="none" w:sz="0" w:space="0" w:color="auto"/>
            <w:right w:val="none" w:sz="0" w:space="0" w:color="auto"/>
          </w:divBdr>
        </w:div>
        <w:div w:id="2056074961">
          <w:marLeft w:val="547"/>
          <w:marRight w:val="0"/>
          <w:marTop w:val="180"/>
          <w:marBottom w:val="0"/>
          <w:divBdr>
            <w:top w:val="none" w:sz="0" w:space="0" w:color="auto"/>
            <w:left w:val="none" w:sz="0" w:space="0" w:color="auto"/>
            <w:bottom w:val="none" w:sz="0" w:space="0" w:color="auto"/>
            <w:right w:val="none" w:sz="0" w:space="0" w:color="auto"/>
          </w:divBdr>
        </w:div>
        <w:div w:id="286206944">
          <w:marLeft w:val="547"/>
          <w:marRight w:val="0"/>
          <w:marTop w:val="180"/>
          <w:marBottom w:val="0"/>
          <w:divBdr>
            <w:top w:val="none" w:sz="0" w:space="0" w:color="auto"/>
            <w:left w:val="none" w:sz="0" w:space="0" w:color="auto"/>
            <w:bottom w:val="none" w:sz="0" w:space="0" w:color="auto"/>
            <w:right w:val="none" w:sz="0" w:space="0" w:color="auto"/>
          </w:divBdr>
        </w:div>
        <w:div w:id="99959514">
          <w:marLeft w:val="547"/>
          <w:marRight w:val="0"/>
          <w:marTop w:val="180"/>
          <w:marBottom w:val="0"/>
          <w:divBdr>
            <w:top w:val="none" w:sz="0" w:space="0" w:color="auto"/>
            <w:left w:val="none" w:sz="0" w:space="0" w:color="auto"/>
            <w:bottom w:val="none" w:sz="0" w:space="0" w:color="auto"/>
            <w:right w:val="none" w:sz="0" w:space="0" w:color="auto"/>
          </w:divBdr>
        </w:div>
        <w:div w:id="1962835227">
          <w:marLeft w:val="547"/>
          <w:marRight w:val="0"/>
          <w:marTop w:val="180"/>
          <w:marBottom w:val="0"/>
          <w:divBdr>
            <w:top w:val="none" w:sz="0" w:space="0" w:color="auto"/>
            <w:left w:val="none" w:sz="0" w:space="0" w:color="auto"/>
            <w:bottom w:val="none" w:sz="0" w:space="0" w:color="auto"/>
            <w:right w:val="none" w:sz="0" w:space="0" w:color="auto"/>
          </w:divBdr>
        </w:div>
        <w:div w:id="1072704174">
          <w:marLeft w:val="547"/>
          <w:marRight w:val="0"/>
          <w:marTop w:val="180"/>
          <w:marBottom w:val="0"/>
          <w:divBdr>
            <w:top w:val="none" w:sz="0" w:space="0" w:color="auto"/>
            <w:left w:val="none" w:sz="0" w:space="0" w:color="auto"/>
            <w:bottom w:val="none" w:sz="0" w:space="0" w:color="auto"/>
            <w:right w:val="none" w:sz="0" w:space="0" w:color="auto"/>
          </w:divBdr>
        </w:div>
      </w:divsChild>
    </w:div>
    <w:div w:id="1817794441">
      <w:bodyDiv w:val="1"/>
      <w:marLeft w:val="0"/>
      <w:marRight w:val="0"/>
      <w:marTop w:val="0"/>
      <w:marBottom w:val="0"/>
      <w:divBdr>
        <w:top w:val="none" w:sz="0" w:space="0" w:color="auto"/>
        <w:left w:val="none" w:sz="0" w:space="0" w:color="auto"/>
        <w:bottom w:val="none" w:sz="0" w:space="0" w:color="auto"/>
        <w:right w:val="none" w:sz="0" w:space="0" w:color="auto"/>
      </w:divBdr>
    </w:div>
    <w:div w:id="1821075435">
      <w:bodyDiv w:val="1"/>
      <w:marLeft w:val="0"/>
      <w:marRight w:val="0"/>
      <w:marTop w:val="0"/>
      <w:marBottom w:val="0"/>
      <w:divBdr>
        <w:top w:val="none" w:sz="0" w:space="0" w:color="auto"/>
        <w:left w:val="none" w:sz="0" w:space="0" w:color="auto"/>
        <w:bottom w:val="none" w:sz="0" w:space="0" w:color="auto"/>
        <w:right w:val="none" w:sz="0" w:space="0" w:color="auto"/>
      </w:divBdr>
    </w:div>
    <w:div w:id="1831746330">
      <w:bodyDiv w:val="1"/>
      <w:marLeft w:val="0"/>
      <w:marRight w:val="0"/>
      <w:marTop w:val="0"/>
      <w:marBottom w:val="0"/>
      <w:divBdr>
        <w:top w:val="none" w:sz="0" w:space="0" w:color="auto"/>
        <w:left w:val="none" w:sz="0" w:space="0" w:color="auto"/>
        <w:bottom w:val="none" w:sz="0" w:space="0" w:color="auto"/>
        <w:right w:val="none" w:sz="0" w:space="0" w:color="auto"/>
      </w:divBdr>
    </w:div>
    <w:div w:id="1836804270">
      <w:bodyDiv w:val="1"/>
      <w:marLeft w:val="0"/>
      <w:marRight w:val="0"/>
      <w:marTop w:val="0"/>
      <w:marBottom w:val="0"/>
      <w:divBdr>
        <w:top w:val="none" w:sz="0" w:space="0" w:color="auto"/>
        <w:left w:val="none" w:sz="0" w:space="0" w:color="auto"/>
        <w:bottom w:val="none" w:sz="0" w:space="0" w:color="auto"/>
        <w:right w:val="none" w:sz="0" w:space="0" w:color="auto"/>
      </w:divBdr>
    </w:div>
    <w:div w:id="1847667106">
      <w:bodyDiv w:val="1"/>
      <w:marLeft w:val="0"/>
      <w:marRight w:val="0"/>
      <w:marTop w:val="0"/>
      <w:marBottom w:val="0"/>
      <w:divBdr>
        <w:top w:val="none" w:sz="0" w:space="0" w:color="auto"/>
        <w:left w:val="none" w:sz="0" w:space="0" w:color="auto"/>
        <w:bottom w:val="none" w:sz="0" w:space="0" w:color="auto"/>
        <w:right w:val="none" w:sz="0" w:space="0" w:color="auto"/>
      </w:divBdr>
    </w:div>
    <w:div w:id="1859998212">
      <w:bodyDiv w:val="1"/>
      <w:marLeft w:val="0"/>
      <w:marRight w:val="0"/>
      <w:marTop w:val="0"/>
      <w:marBottom w:val="0"/>
      <w:divBdr>
        <w:top w:val="none" w:sz="0" w:space="0" w:color="auto"/>
        <w:left w:val="none" w:sz="0" w:space="0" w:color="auto"/>
        <w:bottom w:val="none" w:sz="0" w:space="0" w:color="auto"/>
        <w:right w:val="none" w:sz="0" w:space="0" w:color="auto"/>
      </w:divBdr>
      <w:divsChild>
        <w:div w:id="842399817">
          <w:marLeft w:val="547"/>
          <w:marRight w:val="0"/>
          <w:marTop w:val="180"/>
          <w:marBottom w:val="0"/>
          <w:divBdr>
            <w:top w:val="none" w:sz="0" w:space="0" w:color="auto"/>
            <w:left w:val="none" w:sz="0" w:space="0" w:color="auto"/>
            <w:bottom w:val="none" w:sz="0" w:space="0" w:color="auto"/>
            <w:right w:val="none" w:sz="0" w:space="0" w:color="auto"/>
          </w:divBdr>
        </w:div>
      </w:divsChild>
    </w:div>
    <w:div w:id="1916936080">
      <w:bodyDiv w:val="1"/>
      <w:marLeft w:val="0"/>
      <w:marRight w:val="0"/>
      <w:marTop w:val="0"/>
      <w:marBottom w:val="0"/>
      <w:divBdr>
        <w:top w:val="none" w:sz="0" w:space="0" w:color="auto"/>
        <w:left w:val="none" w:sz="0" w:space="0" w:color="auto"/>
        <w:bottom w:val="none" w:sz="0" w:space="0" w:color="auto"/>
        <w:right w:val="none" w:sz="0" w:space="0" w:color="auto"/>
      </w:divBdr>
    </w:div>
    <w:div w:id="1919443071">
      <w:bodyDiv w:val="1"/>
      <w:marLeft w:val="0"/>
      <w:marRight w:val="0"/>
      <w:marTop w:val="0"/>
      <w:marBottom w:val="0"/>
      <w:divBdr>
        <w:top w:val="none" w:sz="0" w:space="0" w:color="auto"/>
        <w:left w:val="none" w:sz="0" w:space="0" w:color="auto"/>
        <w:bottom w:val="none" w:sz="0" w:space="0" w:color="auto"/>
        <w:right w:val="none" w:sz="0" w:space="0" w:color="auto"/>
      </w:divBdr>
    </w:div>
    <w:div w:id="1961448950">
      <w:bodyDiv w:val="1"/>
      <w:marLeft w:val="0"/>
      <w:marRight w:val="0"/>
      <w:marTop w:val="0"/>
      <w:marBottom w:val="0"/>
      <w:divBdr>
        <w:top w:val="none" w:sz="0" w:space="0" w:color="auto"/>
        <w:left w:val="none" w:sz="0" w:space="0" w:color="auto"/>
        <w:bottom w:val="none" w:sz="0" w:space="0" w:color="auto"/>
        <w:right w:val="none" w:sz="0" w:space="0" w:color="auto"/>
      </w:divBdr>
    </w:div>
    <w:div w:id="1994024555">
      <w:bodyDiv w:val="1"/>
      <w:marLeft w:val="0"/>
      <w:marRight w:val="0"/>
      <w:marTop w:val="0"/>
      <w:marBottom w:val="0"/>
      <w:divBdr>
        <w:top w:val="none" w:sz="0" w:space="0" w:color="auto"/>
        <w:left w:val="none" w:sz="0" w:space="0" w:color="auto"/>
        <w:bottom w:val="none" w:sz="0" w:space="0" w:color="auto"/>
        <w:right w:val="none" w:sz="0" w:space="0" w:color="auto"/>
      </w:divBdr>
      <w:divsChild>
        <w:div w:id="132917691">
          <w:marLeft w:val="0"/>
          <w:marRight w:val="0"/>
          <w:marTop w:val="0"/>
          <w:marBottom w:val="0"/>
          <w:divBdr>
            <w:top w:val="none" w:sz="0" w:space="0" w:color="auto"/>
            <w:left w:val="none" w:sz="0" w:space="0" w:color="auto"/>
            <w:bottom w:val="none" w:sz="0" w:space="0" w:color="auto"/>
            <w:right w:val="none" w:sz="0" w:space="0" w:color="auto"/>
          </w:divBdr>
          <w:divsChild>
            <w:div w:id="589387979">
              <w:marLeft w:val="-225"/>
              <w:marRight w:val="-225"/>
              <w:marTop w:val="0"/>
              <w:marBottom w:val="0"/>
              <w:divBdr>
                <w:top w:val="none" w:sz="0" w:space="0" w:color="auto"/>
                <w:left w:val="none" w:sz="0" w:space="0" w:color="auto"/>
                <w:bottom w:val="none" w:sz="0" w:space="0" w:color="auto"/>
                <w:right w:val="none" w:sz="0" w:space="0" w:color="auto"/>
              </w:divBdr>
              <w:divsChild>
                <w:div w:id="1499687681">
                  <w:marLeft w:val="0"/>
                  <w:marRight w:val="0"/>
                  <w:marTop w:val="0"/>
                  <w:marBottom w:val="0"/>
                  <w:divBdr>
                    <w:top w:val="none" w:sz="0" w:space="0" w:color="auto"/>
                    <w:left w:val="none" w:sz="0" w:space="0" w:color="auto"/>
                    <w:bottom w:val="none" w:sz="0" w:space="0" w:color="auto"/>
                    <w:right w:val="none" w:sz="0" w:space="0" w:color="auto"/>
                  </w:divBdr>
                  <w:divsChild>
                    <w:div w:id="636836389">
                      <w:marLeft w:val="0"/>
                      <w:marRight w:val="0"/>
                      <w:marTop w:val="0"/>
                      <w:marBottom w:val="225"/>
                      <w:divBdr>
                        <w:top w:val="none" w:sz="0" w:space="0" w:color="auto"/>
                        <w:left w:val="none" w:sz="0" w:space="0" w:color="auto"/>
                        <w:bottom w:val="none" w:sz="0" w:space="0" w:color="auto"/>
                        <w:right w:val="none" w:sz="0" w:space="0" w:color="auto"/>
                      </w:divBdr>
                      <w:divsChild>
                        <w:div w:id="1090587379">
                          <w:marLeft w:val="0"/>
                          <w:marRight w:val="0"/>
                          <w:marTop w:val="0"/>
                          <w:marBottom w:val="0"/>
                          <w:divBdr>
                            <w:top w:val="none" w:sz="0" w:space="0" w:color="auto"/>
                            <w:left w:val="none" w:sz="0" w:space="0" w:color="auto"/>
                            <w:bottom w:val="none" w:sz="0" w:space="0" w:color="auto"/>
                            <w:right w:val="none" w:sz="0" w:space="0" w:color="auto"/>
                          </w:divBdr>
                          <w:divsChild>
                            <w:div w:id="981498480">
                              <w:marLeft w:val="0"/>
                              <w:marRight w:val="0"/>
                              <w:marTop w:val="0"/>
                              <w:marBottom w:val="0"/>
                              <w:divBdr>
                                <w:top w:val="none" w:sz="0" w:space="0" w:color="auto"/>
                                <w:left w:val="none" w:sz="0" w:space="0" w:color="auto"/>
                                <w:bottom w:val="none" w:sz="0" w:space="0" w:color="auto"/>
                                <w:right w:val="none" w:sz="0" w:space="0" w:color="auto"/>
                              </w:divBdr>
                              <w:divsChild>
                                <w:div w:id="1884975924">
                                  <w:marLeft w:val="0"/>
                                  <w:marRight w:val="0"/>
                                  <w:marTop w:val="0"/>
                                  <w:marBottom w:val="0"/>
                                  <w:divBdr>
                                    <w:top w:val="none" w:sz="0" w:space="0" w:color="auto"/>
                                    <w:left w:val="none" w:sz="0" w:space="0" w:color="auto"/>
                                    <w:bottom w:val="none" w:sz="0" w:space="0" w:color="auto"/>
                                    <w:right w:val="none" w:sz="0" w:space="0" w:color="auto"/>
                                  </w:divBdr>
                                  <w:divsChild>
                                    <w:div w:id="222644389">
                                      <w:marLeft w:val="0"/>
                                      <w:marRight w:val="0"/>
                                      <w:marTop w:val="0"/>
                                      <w:marBottom w:val="0"/>
                                      <w:divBdr>
                                        <w:top w:val="none" w:sz="0" w:space="0" w:color="auto"/>
                                        <w:left w:val="none" w:sz="0" w:space="0" w:color="auto"/>
                                        <w:bottom w:val="none" w:sz="0" w:space="0" w:color="auto"/>
                                        <w:right w:val="none" w:sz="0" w:space="0" w:color="auto"/>
                                      </w:divBdr>
                                      <w:divsChild>
                                        <w:div w:id="1559433704">
                                          <w:marLeft w:val="0"/>
                                          <w:marRight w:val="0"/>
                                          <w:marTop w:val="0"/>
                                          <w:marBottom w:val="0"/>
                                          <w:divBdr>
                                            <w:top w:val="none" w:sz="0" w:space="0" w:color="auto"/>
                                            <w:left w:val="none" w:sz="0" w:space="0" w:color="auto"/>
                                            <w:bottom w:val="none" w:sz="0" w:space="0" w:color="auto"/>
                                            <w:right w:val="none" w:sz="0" w:space="0" w:color="auto"/>
                                          </w:divBdr>
                                          <w:divsChild>
                                            <w:div w:id="920866480">
                                              <w:marLeft w:val="0"/>
                                              <w:marRight w:val="0"/>
                                              <w:marTop w:val="0"/>
                                              <w:marBottom w:val="0"/>
                                              <w:divBdr>
                                                <w:top w:val="none" w:sz="0" w:space="0" w:color="auto"/>
                                                <w:left w:val="none" w:sz="0" w:space="0" w:color="auto"/>
                                                <w:bottom w:val="none" w:sz="0" w:space="0" w:color="auto"/>
                                                <w:right w:val="none" w:sz="0" w:space="0" w:color="auto"/>
                                              </w:divBdr>
                                              <w:divsChild>
                                                <w:div w:id="834882593">
                                                  <w:marLeft w:val="0"/>
                                                  <w:marRight w:val="0"/>
                                                  <w:marTop w:val="0"/>
                                                  <w:marBottom w:val="0"/>
                                                  <w:divBdr>
                                                    <w:top w:val="none" w:sz="0" w:space="0" w:color="auto"/>
                                                    <w:left w:val="none" w:sz="0" w:space="0" w:color="auto"/>
                                                    <w:bottom w:val="none" w:sz="0" w:space="0" w:color="auto"/>
                                                    <w:right w:val="none" w:sz="0" w:space="0" w:color="auto"/>
                                                  </w:divBdr>
                                                  <w:divsChild>
                                                    <w:div w:id="1780367693">
                                                      <w:marLeft w:val="0"/>
                                                      <w:marRight w:val="0"/>
                                                      <w:marTop w:val="0"/>
                                                      <w:marBottom w:val="0"/>
                                                      <w:divBdr>
                                                        <w:top w:val="none" w:sz="0" w:space="0" w:color="auto"/>
                                                        <w:left w:val="none" w:sz="0" w:space="0" w:color="auto"/>
                                                        <w:bottom w:val="none" w:sz="0" w:space="0" w:color="auto"/>
                                                        <w:right w:val="none" w:sz="0" w:space="0" w:color="auto"/>
                                                      </w:divBdr>
                                                      <w:divsChild>
                                                        <w:div w:id="766274020">
                                                          <w:marLeft w:val="-225"/>
                                                          <w:marRight w:val="-225"/>
                                                          <w:marTop w:val="0"/>
                                                          <w:marBottom w:val="0"/>
                                                          <w:divBdr>
                                                            <w:top w:val="none" w:sz="0" w:space="0" w:color="auto"/>
                                                            <w:left w:val="none" w:sz="0" w:space="0" w:color="auto"/>
                                                            <w:bottom w:val="none" w:sz="0" w:space="0" w:color="auto"/>
                                                            <w:right w:val="none" w:sz="0" w:space="0" w:color="auto"/>
                                                          </w:divBdr>
                                                          <w:divsChild>
                                                            <w:div w:id="1017972127">
                                                              <w:marLeft w:val="0"/>
                                                              <w:marRight w:val="0"/>
                                                              <w:marTop w:val="0"/>
                                                              <w:marBottom w:val="0"/>
                                                              <w:divBdr>
                                                                <w:top w:val="none" w:sz="0" w:space="0" w:color="auto"/>
                                                                <w:left w:val="none" w:sz="0" w:space="0" w:color="auto"/>
                                                                <w:bottom w:val="none" w:sz="0" w:space="0" w:color="auto"/>
                                                                <w:right w:val="none" w:sz="0" w:space="0" w:color="auto"/>
                                                              </w:divBdr>
                                                            </w:div>
                                                          </w:divsChild>
                                                        </w:div>
                                                        <w:div w:id="984625264">
                                                          <w:marLeft w:val="-225"/>
                                                          <w:marRight w:val="-225"/>
                                                          <w:marTop w:val="0"/>
                                                          <w:marBottom w:val="0"/>
                                                          <w:divBdr>
                                                            <w:top w:val="none" w:sz="0" w:space="0" w:color="auto"/>
                                                            <w:left w:val="none" w:sz="0" w:space="0" w:color="auto"/>
                                                            <w:bottom w:val="none" w:sz="0" w:space="0" w:color="auto"/>
                                                            <w:right w:val="none" w:sz="0" w:space="0" w:color="auto"/>
                                                          </w:divBdr>
                                                          <w:divsChild>
                                                            <w:div w:id="1731657743">
                                                              <w:marLeft w:val="0"/>
                                                              <w:marRight w:val="0"/>
                                                              <w:marTop w:val="0"/>
                                                              <w:marBottom w:val="0"/>
                                                              <w:divBdr>
                                                                <w:top w:val="none" w:sz="0" w:space="0" w:color="auto"/>
                                                                <w:left w:val="none" w:sz="0" w:space="0" w:color="auto"/>
                                                                <w:bottom w:val="none" w:sz="0" w:space="0" w:color="auto"/>
                                                                <w:right w:val="none" w:sz="0" w:space="0" w:color="auto"/>
                                                              </w:divBdr>
                                                            </w:div>
                                                          </w:divsChild>
                                                        </w:div>
                                                        <w:div w:id="993415310">
                                                          <w:marLeft w:val="-225"/>
                                                          <w:marRight w:val="-225"/>
                                                          <w:marTop w:val="0"/>
                                                          <w:marBottom w:val="0"/>
                                                          <w:divBdr>
                                                            <w:top w:val="none" w:sz="0" w:space="0" w:color="auto"/>
                                                            <w:left w:val="none" w:sz="0" w:space="0" w:color="auto"/>
                                                            <w:bottom w:val="none" w:sz="0" w:space="0" w:color="auto"/>
                                                            <w:right w:val="none" w:sz="0" w:space="0" w:color="auto"/>
                                                          </w:divBdr>
                                                          <w:divsChild>
                                                            <w:div w:id="50806770">
                                                              <w:marLeft w:val="0"/>
                                                              <w:marRight w:val="0"/>
                                                              <w:marTop w:val="0"/>
                                                              <w:marBottom w:val="0"/>
                                                              <w:divBdr>
                                                                <w:top w:val="none" w:sz="0" w:space="0" w:color="auto"/>
                                                                <w:left w:val="none" w:sz="0" w:space="0" w:color="auto"/>
                                                                <w:bottom w:val="none" w:sz="0" w:space="0" w:color="auto"/>
                                                                <w:right w:val="none" w:sz="0" w:space="0" w:color="auto"/>
                                                              </w:divBdr>
                                                            </w:div>
                                                          </w:divsChild>
                                                        </w:div>
                                                        <w:div w:id="1784566654">
                                                          <w:marLeft w:val="-225"/>
                                                          <w:marRight w:val="-225"/>
                                                          <w:marTop w:val="0"/>
                                                          <w:marBottom w:val="0"/>
                                                          <w:divBdr>
                                                            <w:top w:val="none" w:sz="0" w:space="0" w:color="auto"/>
                                                            <w:left w:val="none" w:sz="0" w:space="0" w:color="auto"/>
                                                            <w:bottom w:val="none" w:sz="0" w:space="0" w:color="auto"/>
                                                            <w:right w:val="none" w:sz="0" w:space="0" w:color="auto"/>
                                                          </w:divBdr>
                                                          <w:divsChild>
                                                            <w:div w:id="178981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001276489">
      <w:bodyDiv w:val="1"/>
      <w:marLeft w:val="0"/>
      <w:marRight w:val="0"/>
      <w:marTop w:val="0"/>
      <w:marBottom w:val="0"/>
      <w:divBdr>
        <w:top w:val="none" w:sz="0" w:space="0" w:color="auto"/>
        <w:left w:val="none" w:sz="0" w:space="0" w:color="auto"/>
        <w:bottom w:val="none" w:sz="0" w:space="0" w:color="auto"/>
        <w:right w:val="none" w:sz="0" w:space="0" w:color="auto"/>
      </w:divBdr>
    </w:div>
    <w:div w:id="2014646020">
      <w:bodyDiv w:val="1"/>
      <w:marLeft w:val="0"/>
      <w:marRight w:val="0"/>
      <w:marTop w:val="0"/>
      <w:marBottom w:val="0"/>
      <w:divBdr>
        <w:top w:val="none" w:sz="0" w:space="0" w:color="auto"/>
        <w:left w:val="none" w:sz="0" w:space="0" w:color="auto"/>
        <w:bottom w:val="none" w:sz="0" w:space="0" w:color="auto"/>
        <w:right w:val="none" w:sz="0" w:space="0" w:color="auto"/>
      </w:divBdr>
    </w:div>
    <w:div w:id="2034264183">
      <w:bodyDiv w:val="1"/>
      <w:marLeft w:val="0"/>
      <w:marRight w:val="0"/>
      <w:marTop w:val="0"/>
      <w:marBottom w:val="0"/>
      <w:divBdr>
        <w:top w:val="none" w:sz="0" w:space="0" w:color="auto"/>
        <w:left w:val="none" w:sz="0" w:space="0" w:color="auto"/>
        <w:bottom w:val="none" w:sz="0" w:space="0" w:color="auto"/>
        <w:right w:val="none" w:sz="0" w:space="0" w:color="auto"/>
      </w:divBdr>
    </w:div>
    <w:div w:id="20455914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mailto:enquiries@gmrg.coagenergycouncil.gov.au" TargetMode="External"/><Relationship Id="rId26" Type="http://schemas.openxmlformats.org/officeDocument/2006/relationships/footer" Target="footer5.xml"/><Relationship Id="rId39"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hyperlink" Target="mailto:enquiries@gmrg.coagenergycouncil.gov.au" TargetMode="External"/><Relationship Id="rId34" Type="http://schemas.openxmlformats.org/officeDocument/2006/relationships/image" Target="media/image10.PNG"/><Relationship Id="rId42" Type="http://schemas.openxmlformats.org/officeDocument/2006/relationships/image" Target="media/image16.png"/><Relationship Id="rId47"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gmrg.coagenergycouncil.gov.au/" TargetMode="External"/><Relationship Id="rId25" Type="http://schemas.openxmlformats.org/officeDocument/2006/relationships/header" Target="header5.xml"/><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header" Target="header9.xml"/><Relationship Id="rId2" Type="http://schemas.openxmlformats.org/officeDocument/2006/relationships/customXml" Target="../customXml/item2.xml"/><Relationship Id="rId16" Type="http://schemas.openxmlformats.org/officeDocument/2006/relationships/hyperlink" Target="mailto:enquiries@gmrg.coagenergycouncil.gov.au" TargetMode="External"/><Relationship Id="rId20" Type="http://schemas.openxmlformats.org/officeDocument/2006/relationships/footer" Target="footer3.xml"/><Relationship Id="rId29" Type="http://schemas.openxmlformats.org/officeDocument/2006/relationships/image" Target="media/image7.PNG"/><Relationship Id="rId41"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4.png"/><Relationship Id="rId32" Type="http://schemas.openxmlformats.org/officeDocument/2006/relationships/footer" Target="footer6.xml"/><Relationship Id="rId37" Type="http://schemas.openxmlformats.org/officeDocument/2006/relationships/image" Target="media/image13.png"/><Relationship Id="rId40" Type="http://schemas.openxmlformats.org/officeDocument/2006/relationships/header" Target="header7.xml"/><Relationship Id="rId45" Type="http://schemas.openxmlformats.org/officeDocument/2006/relationships/footer" Target="footer8.xm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footer" Target="footer4.xml"/><Relationship Id="rId28" Type="http://schemas.openxmlformats.org/officeDocument/2006/relationships/image" Target="media/image6.PNG"/><Relationship Id="rId36" Type="http://schemas.openxmlformats.org/officeDocument/2006/relationships/image" Target="media/image12.png"/><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header" Target="header6.xml"/><Relationship Id="rId44"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1.png"/><Relationship Id="rId43" Type="http://schemas.openxmlformats.org/officeDocument/2006/relationships/image" Target="media/image17.png"/><Relationship Id="rId48"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s://www.aemo.com.au/Gas/Gas-Supply-Hubs/Participant-information/How-to-register" TargetMode="External"/><Relationship Id="rId1" Type="http://schemas.openxmlformats.org/officeDocument/2006/relationships/hyperlink" Target="https://www.aemo.com.au/Gas/Gas-Supply-Hubs/Market-operation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3.jpeg"/></Relationships>
</file>

<file path=word/_rels/header8.xml.rels><?xml version="1.0" encoding="UTF-8" standalone="yes"?>
<Relationships xmlns="http://schemas.openxmlformats.org/package/2006/relationships"><Relationship Id="rId1" Type="http://schemas.openxmlformats.org/officeDocument/2006/relationships/image" Target="media/image3.jpeg"/></Relationships>
</file>

<file path=word/_rels/header9.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SFS">
  <a:themeElements>
    <a:clrScheme name="Axiom With Burgundy">
      <a:dk1>
        <a:sysClr val="windowText" lastClr="000000"/>
      </a:dk1>
      <a:lt1>
        <a:srgbClr val="FFFFFF"/>
      </a:lt1>
      <a:dk2>
        <a:srgbClr val="214C90"/>
      </a:dk2>
      <a:lt2>
        <a:srgbClr val="E1E2E7"/>
      </a:lt2>
      <a:accent1>
        <a:srgbClr val="214C90"/>
      </a:accent1>
      <a:accent2>
        <a:srgbClr val="46A6A9"/>
      </a:accent2>
      <a:accent3>
        <a:srgbClr val="5D89B4"/>
      </a:accent3>
      <a:accent4>
        <a:srgbClr val="A9A8A9"/>
      </a:accent4>
      <a:accent5>
        <a:srgbClr val="990033"/>
      </a:accent5>
      <a:accent6>
        <a:srgbClr val="800080"/>
      </a:accent6>
      <a:hlink>
        <a:srgbClr val="214C90"/>
      </a:hlink>
      <a:folHlink>
        <a:srgbClr val="46A6A9"/>
      </a:folHlink>
    </a:clrScheme>
    <a:fontScheme name="Axiom Arial and Book Antiqua">
      <a:majorFont>
        <a:latin typeface="Arial"/>
        <a:ea typeface=""/>
        <a:cs typeface=""/>
      </a:majorFont>
      <a:minorFont>
        <a:latin typeface="Book Antiqu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2E8C1A015F23C4FBB98617DE4247464" ma:contentTypeVersion="4" ma:contentTypeDescription="Create a new document." ma:contentTypeScope="" ma:versionID="a0806ceb8048e201d52ef4e037bce857">
  <xsd:schema xmlns:xsd="http://www.w3.org/2001/XMLSchema" xmlns:xs="http://www.w3.org/2001/XMLSchema" xmlns:p="http://schemas.microsoft.com/office/2006/metadata/properties" xmlns:ns2="b36f0a4f-5506-4329-9a4e-301ad29d175f" xmlns:ns3="4a9afdaf-ab64-48c3-9c8c-735e54f00f2f" targetNamespace="http://schemas.microsoft.com/office/2006/metadata/properties" ma:root="true" ma:fieldsID="78ee5fae77b9423cdd17821d23ad321b" ns2:_="" ns3:_="">
    <xsd:import namespace="b36f0a4f-5506-4329-9a4e-301ad29d175f"/>
    <xsd:import namespace="4a9afdaf-ab64-48c3-9c8c-735e54f00f2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6f0a4f-5506-4329-9a4e-301ad29d175f"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9afdaf-ab64-48c3-9c8c-735e54f00f2f"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8956E52-22A0-4F14-8D8D-C1433A664DFF}">
  <ds:schemaRefs>
    <ds:schemaRef ds:uri="http://schemas.microsoft.com/sharepoint/v3/contenttype/forms"/>
  </ds:schemaRefs>
</ds:datastoreItem>
</file>

<file path=customXml/itemProps2.xml><?xml version="1.0" encoding="utf-8"?>
<ds:datastoreItem xmlns:ds="http://schemas.openxmlformats.org/officeDocument/2006/customXml" ds:itemID="{A4B233F9-DB68-41BE-AACE-57E46EDA94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6f0a4f-5506-4329-9a4e-301ad29d175f"/>
    <ds:schemaRef ds:uri="4a9afdaf-ab64-48c3-9c8c-735e54f00f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8255001-7064-495A-8898-F50D10692B50}">
  <ds:schemaRefs>
    <ds:schemaRef ds:uri="http://purl.org/dc/terms/"/>
    <ds:schemaRef ds:uri="http://schemas.microsoft.com/office/2006/metadata/properties"/>
    <ds:schemaRef ds:uri="http://schemas.openxmlformats.org/package/2006/metadata/core-properties"/>
    <ds:schemaRef ds:uri="http://purl.org/dc/dcmitype/"/>
    <ds:schemaRef ds:uri="http://purl.org/dc/elements/1.1/"/>
    <ds:schemaRef ds:uri="http://schemas.microsoft.com/office/2006/documentManagement/types"/>
    <ds:schemaRef ds:uri="http://schemas.microsoft.com/office/infopath/2007/PartnerControls"/>
    <ds:schemaRef ds:uri="4a9afdaf-ab64-48c3-9c8c-735e54f00f2f"/>
    <ds:schemaRef ds:uri="b36f0a4f-5506-4329-9a4e-301ad29d175f"/>
    <ds:schemaRef ds:uri="http://www.w3.org/XML/1998/namespace"/>
  </ds:schemaRefs>
</ds:datastoreItem>
</file>

<file path=customXml/itemProps4.xml><?xml version="1.0" encoding="utf-8"?>
<ds:datastoreItem xmlns:ds="http://schemas.openxmlformats.org/officeDocument/2006/customXml" ds:itemID="{327B7273-F6B6-42F2-8166-0FBBBDDA72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AC5FEF50.dotm</Template>
  <TotalTime>173</TotalTime>
  <Pages>144</Pages>
  <Words>57766</Words>
  <Characters>311483</Characters>
  <Application>Microsoft Office Word</Application>
  <DocSecurity>0</DocSecurity>
  <Lines>2595</Lines>
  <Paragraphs>737</Paragraphs>
  <ScaleCrop>false</ScaleCrop>
  <HeadingPairs>
    <vt:vector size="2" baseType="variant">
      <vt:variant>
        <vt:lpstr>Title</vt:lpstr>
      </vt:variant>
      <vt:variant>
        <vt:i4>1</vt:i4>
      </vt:variant>
    </vt:vector>
  </HeadingPairs>
  <TitlesOfParts>
    <vt:vector size="1" baseType="lpstr">
      <vt:lpstr>GMRG Standardisation and Capacity Trading Platform Consultation Paper 07092017</vt:lpstr>
    </vt:vector>
  </TitlesOfParts>
  <Company/>
  <LinksUpToDate>false</LinksUpToDate>
  <CharactersWithSpaces>368512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GMRG Standardisation and Capacity Trading Platform Consultation Paper 07092017</dc:title>
  <dc:subject/>
  <dc:creator>GMRG</dc:creator>
  <cp:keywords/>
  <dc:description/>
  <cp:lastModifiedBy>Murphy, Erin</cp:lastModifiedBy>
  <cp:revision>12</cp:revision>
  <cp:lastPrinted>2017-09-05T17:47:00Z</cp:lastPrinted>
  <dcterms:created xsi:type="dcterms:W3CDTF">2018-02-02T05:40:00Z</dcterms:created>
  <dcterms:modified xsi:type="dcterms:W3CDTF">2018-02-05T23:34:00Z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0x01010052E8C1A015F23C4FBB98617DE4247464</vt:lpwstr>
  </property>
</Properties>
</file>