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7.xml" ContentType="application/vnd.openxmlformats-officedocument.wordprocessingml.header+xml"/>
  <Override PartName="/word/footer8.xml" ContentType="application/vnd.openxmlformats-officedocument.wordprocessingml.footer+xml"/>
  <Override PartName="/word/header8.xml" ContentType="application/vnd.openxmlformats-officedocument.wordprocessingml.header+xml"/>
  <Override PartName="/word/footer9.xml" ContentType="application/vnd.openxmlformats-officedocument.wordprocessingml.footer+xml"/>
  <Override PartName="/word/header9.xml" ContentType="application/vnd.openxmlformats-officedocument.wordprocessingml.header+xml"/>
  <Override PartName="/word/footer10.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1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6E5885B" w14:textId="77777777" w:rsidR="00022B6D" w:rsidRPr="00115A93" w:rsidRDefault="00022B6D" w:rsidP="00022B6D">
      <w:pPr>
        <w:rPr>
          <w:sz w:val="344"/>
          <w:szCs w:val="344"/>
        </w:rPr>
      </w:pPr>
    </w:p>
    <w:p w14:paraId="5EAD0EB5" w14:textId="11BA0897" w:rsidR="00493401" w:rsidRPr="00613E2F" w:rsidRDefault="003135B3" w:rsidP="0001545E">
      <w:pPr>
        <w:spacing w:after="400"/>
        <w:ind w:left="-142" w:right="-1"/>
        <w:rPr>
          <w:sz w:val="40"/>
          <w:szCs w:val="40"/>
        </w:rPr>
      </w:pPr>
      <w:r>
        <w:rPr>
          <w:color w:val="007BC1"/>
          <w:sz w:val="40"/>
          <w:szCs w:val="40"/>
        </w:rPr>
        <w:t>Day-Ahead Auction</w:t>
      </w:r>
      <w:r w:rsidR="000866EB" w:rsidRPr="00613E2F">
        <w:rPr>
          <w:color w:val="007BC1"/>
          <w:sz w:val="40"/>
          <w:szCs w:val="40"/>
        </w:rPr>
        <w:t xml:space="preserve"> </w:t>
      </w:r>
      <w:r>
        <w:rPr>
          <w:color w:val="007BC1"/>
          <w:sz w:val="40"/>
          <w:szCs w:val="40"/>
        </w:rPr>
        <w:t xml:space="preserve">of Contracted but Un-Nominated Capacity </w:t>
      </w:r>
      <w:r w:rsidR="006B3497">
        <w:rPr>
          <w:color w:val="007BC1"/>
          <w:sz w:val="40"/>
          <w:szCs w:val="40"/>
        </w:rPr>
        <w:t>&amp;</w:t>
      </w:r>
      <w:r w:rsidR="00632257">
        <w:rPr>
          <w:color w:val="007BC1"/>
          <w:sz w:val="40"/>
          <w:szCs w:val="40"/>
        </w:rPr>
        <w:t xml:space="preserve"> </w:t>
      </w:r>
      <w:r>
        <w:rPr>
          <w:color w:val="007BC1"/>
          <w:sz w:val="40"/>
          <w:szCs w:val="40"/>
        </w:rPr>
        <w:t>Reporting Framework</w:t>
      </w:r>
      <w:r w:rsidR="006B3497">
        <w:rPr>
          <w:color w:val="007BC1"/>
          <w:sz w:val="40"/>
          <w:szCs w:val="40"/>
        </w:rPr>
        <w:t xml:space="preserve"> </w:t>
      </w:r>
    </w:p>
    <w:p w14:paraId="301A1524" w14:textId="77777777" w:rsidR="00493401" w:rsidRPr="00613E2F" w:rsidRDefault="002E5E25" w:rsidP="00FB0886">
      <w:pPr>
        <w:pStyle w:val="Subtitle"/>
        <w:ind w:left="-142" w:right="709"/>
        <w:rPr>
          <w:rFonts w:asciiTheme="majorHAnsi" w:hAnsiTheme="majorHAnsi" w:cstheme="majorHAnsi"/>
          <w:b/>
          <w:color w:val="auto"/>
          <w:sz w:val="36"/>
          <w:szCs w:val="36"/>
        </w:rPr>
      </w:pPr>
      <w:bookmarkStart w:id="0" w:name="_Hlk487713733"/>
      <w:r w:rsidRPr="00613E2F">
        <w:rPr>
          <w:rFonts w:asciiTheme="majorHAnsi" w:hAnsiTheme="majorHAnsi" w:cstheme="majorHAnsi"/>
          <w:b/>
          <w:color w:val="auto"/>
          <w:sz w:val="36"/>
          <w:szCs w:val="36"/>
        </w:rPr>
        <w:t xml:space="preserve">Consultation </w:t>
      </w:r>
      <w:r w:rsidR="00493401" w:rsidRPr="00613E2F">
        <w:rPr>
          <w:rFonts w:asciiTheme="majorHAnsi" w:hAnsiTheme="majorHAnsi" w:cstheme="majorHAnsi"/>
          <w:b/>
          <w:color w:val="auto"/>
          <w:sz w:val="36"/>
          <w:szCs w:val="36"/>
        </w:rPr>
        <w:t>Paper</w:t>
      </w:r>
    </w:p>
    <w:p w14:paraId="73A9C251" w14:textId="06D63B5F" w:rsidR="00493401" w:rsidRPr="002412D5" w:rsidRDefault="003135B3" w:rsidP="00FB0886">
      <w:pPr>
        <w:pStyle w:val="Date"/>
        <w:ind w:left="-142"/>
        <w:rPr>
          <w:sz w:val="28"/>
          <w:szCs w:val="28"/>
        </w:rPr>
      </w:pPr>
      <w:r>
        <w:rPr>
          <w:sz w:val="28"/>
          <w:szCs w:val="28"/>
        </w:rPr>
        <w:t>October</w:t>
      </w:r>
      <w:r w:rsidR="00493401" w:rsidRPr="002412D5">
        <w:rPr>
          <w:sz w:val="28"/>
          <w:szCs w:val="28"/>
        </w:rPr>
        <w:t xml:space="preserve"> 2017</w:t>
      </w:r>
    </w:p>
    <w:bookmarkEnd w:id="0"/>
    <w:p w14:paraId="52909F20" w14:textId="77777777" w:rsidR="00493401" w:rsidRDefault="00493401" w:rsidP="00493401"/>
    <w:p w14:paraId="7504F2FE" w14:textId="77777777" w:rsidR="00493401" w:rsidRPr="00115A93" w:rsidRDefault="00493401" w:rsidP="00493401">
      <w:pPr>
        <w:rPr>
          <w:sz w:val="344"/>
          <w:szCs w:val="344"/>
        </w:rPr>
      </w:pPr>
    </w:p>
    <w:p w14:paraId="59EAE725" w14:textId="77777777" w:rsidR="00570893" w:rsidRDefault="00493401">
      <w:pPr>
        <w:rPr>
          <w:rFonts w:eastAsiaTheme="minorEastAsia"/>
        </w:rPr>
        <w:sectPr w:rsidR="00570893" w:rsidSect="00CF1252">
          <w:headerReference w:type="default" r:id="rId11"/>
          <w:footerReference w:type="even" r:id="rId12"/>
          <w:headerReference w:type="first" r:id="rId13"/>
          <w:footerReference w:type="first" r:id="rId14"/>
          <w:type w:val="continuous"/>
          <w:pgSz w:w="11907" w:h="16840" w:code="9"/>
          <w:pgMar w:top="1361" w:right="1418" w:bottom="992" w:left="1701" w:header="567" w:footer="397" w:gutter="0"/>
          <w:pgNumType w:fmt="lowerRoman"/>
          <w:cols w:space="708"/>
          <w:titlePg/>
          <w:docGrid w:linePitch="360"/>
        </w:sectPr>
      </w:pPr>
      <w:r>
        <w:rPr>
          <w:noProof/>
        </w:rPr>
        <w:drawing>
          <wp:inline distT="0" distB="0" distL="0" distR="0" wp14:anchorId="3B9ACBB1" wp14:editId="2426F75E">
            <wp:extent cx="2857500" cy="838200"/>
            <wp:effectExtent l="0" t="0" r="0" b="0"/>
            <wp:docPr id="1" name="Picture 1" descr="Gas Market Reform Group Logo" title="GMRG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Katherine Lowe\AppData\Local\Microsoft\Windows\INetCacheContent.Word\GMRG-logo-small.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57500" cy="838200"/>
                    </a:xfrm>
                    <a:prstGeom prst="rect">
                      <a:avLst/>
                    </a:prstGeom>
                    <a:noFill/>
                    <a:ln>
                      <a:noFill/>
                    </a:ln>
                  </pic:spPr>
                </pic:pic>
              </a:graphicData>
            </a:graphic>
          </wp:inline>
        </w:drawing>
      </w:r>
    </w:p>
    <w:p w14:paraId="23B24D6F" w14:textId="77777777" w:rsidR="00570893" w:rsidRPr="00844DE2" w:rsidRDefault="00570893" w:rsidP="00570893">
      <w:pPr>
        <w:pageBreakBefore/>
        <w:spacing w:after="600" w:line="240" w:lineRule="auto"/>
        <w:outlineLvl w:val="3"/>
        <w:rPr>
          <w:rFonts w:asciiTheme="majorHAnsi" w:eastAsiaTheme="minorEastAsia" w:hAnsiTheme="majorHAnsi" w:cstheme="majorBidi"/>
          <w:b/>
          <w:bCs/>
          <w:color w:val="0099CC"/>
          <w:sz w:val="32"/>
          <w:szCs w:val="28"/>
        </w:rPr>
      </w:pPr>
      <w:r w:rsidRPr="00844DE2">
        <w:rPr>
          <w:rFonts w:asciiTheme="majorHAnsi" w:eastAsiaTheme="minorEastAsia" w:hAnsiTheme="majorHAnsi" w:cstheme="majorBidi"/>
          <w:b/>
          <w:bCs/>
          <w:color w:val="0099CC"/>
          <w:sz w:val="32"/>
          <w:szCs w:val="28"/>
        </w:rPr>
        <w:lastRenderedPageBreak/>
        <w:t>Submissions</w:t>
      </w:r>
    </w:p>
    <w:p w14:paraId="0A5170BF" w14:textId="2E462031" w:rsidR="00570893" w:rsidRPr="00FC2047" w:rsidRDefault="00570893" w:rsidP="00FC2047">
      <w:pPr>
        <w:spacing w:before="240" w:after="120"/>
      </w:pPr>
      <w:bookmarkStart w:id="19" w:name="_Hlk487648237"/>
      <w:r w:rsidRPr="00144CFC">
        <w:t xml:space="preserve">Stakeholders are encouraged to make submissions in response to this </w:t>
      </w:r>
      <w:r w:rsidR="0083640E" w:rsidRPr="00144CFC">
        <w:t xml:space="preserve">Consultation </w:t>
      </w:r>
      <w:r w:rsidRPr="00144CFC">
        <w:t xml:space="preserve">Paper by </w:t>
      </w:r>
      <w:r w:rsidRPr="00144CFC">
        <w:rPr>
          <w:b/>
        </w:rPr>
        <w:t>5pm (AEST)</w:t>
      </w:r>
      <w:r w:rsidRPr="00144CFC">
        <w:t xml:space="preserve"> </w:t>
      </w:r>
      <w:r w:rsidR="008D2A4A">
        <w:rPr>
          <w:b/>
        </w:rPr>
        <w:t>6</w:t>
      </w:r>
      <w:r w:rsidR="001B7CE2" w:rsidRPr="00144CFC">
        <w:rPr>
          <w:b/>
        </w:rPr>
        <w:t xml:space="preserve"> </w:t>
      </w:r>
      <w:r w:rsidR="003135B3" w:rsidRPr="00144CFC">
        <w:rPr>
          <w:b/>
        </w:rPr>
        <w:t xml:space="preserve">November </w:t>
      </w:r>
      <w:r w:rsidRPr="00144CFC">
        <w:rPr>
          <w:b/>
        </w:rPr>
        <w:t>2017</w:t>
      </w:r>
      <w:r w:rsidRPr="00144CFC">
        <w:t>.</w:t>
      </w:r>
    </w:p>
    <w:bookmarkEnd w:id="19"/>
    <w:p w14:paraId="715F058F" w14:textId="21C19CA5" w:rsidR="00570893" w:rsidRPr="00FC2047" w:rsidRDefault="00570893" w:rsidP="00FC2047">
      <w:pPr>
        <w:spacing w:before="240" w:after="120"/>
      </w:pPr>
      <w:r w:rsidRPr="00FC2047">
        <w:t xml:space="preserve">Electronic submissions are preferred and can be sent via e-mail addressed to the Gas Market Reform Group (GMRG) at </w:t>
      </w:r>
      <w:hyperlink r:id="rId16" w:history="1">
        <w:r w:rsidR="00581557" w:rsidRPr="001D2A44">
          <w:rPr>
            <w:rStyle w:val="Hyperlink"/>
            <w:rFonts w:cs="Arial"/>
          </w:rPr>
          <w:t>enquiries@gmrg.coagenergycouncil.gov.au</w:t>
        </w:r>
      </w:hyperlink>
    </w:p>
    <w:p w14:paraId="6565254D" w14:textId="77777777" w:rsidR="00570893" w:rsidRPr="00FC2047" w:rsidRDefault="00570893" w:rsidP="00FC2047">
      <w:pPr>
        <w:widowControl w:val="0"/>
        <w:suppressAutoHyphens/>
        <w:autoSpaceDE w:val="0"/>
        <w:autoSpaceDN w:val="0"/>
        <w:adjustRightInd w:val="0"/>
        <w:spacing w:before="240" w:after="120"/>
        <w:textAlignment w:val="center"/>
        <w:rPr>
          <w:lang w:eastAsia="en-US"/>
        </w:rPr>
      </w:pPr>
      <w:r w:rsidRPr="00FC2047">
        <w:rPr>
          <w:lang w:eastAsia="en-US"/>
        </w:rPr>
        <w:t>Stakeholders who wish to provide hard copies by post may do so by addressing their submissions to:</w:t>
      </w:r>
    </w:p>
    <w:p w14:paraId="7454D99B" w14:textId="77777777" w:rsidR="00570893" w:rsidRPr="00FC2047" w:rsidRDefault="00570893" w:rsidP="00570893">
      <w:pPr>
        <w:widowControl w:val="0"/>
        <w:suppressAutoHyphens/>
        <w:autoSpaceDE w:val="0"/>
        <w:autoSpaceDN w:val="0"/>
        <w:adjustRightInd w:val="0"/>
        <w:spacing w:line="240" w:lineRule="auto"/>
        <w:ind w:left="851"/>
        <w:textAlignment w:val="center"/>
        <w:rPr>
          <w:rFonts w:eastAsia="Cambria" w:cs="Arial"/>
          <w:lang w:val="en-GB" w:eastAsia="en-US"/>
        </w:rPr>
      </w:pPr>
      <w:r w:rsidRPr="00FC2047">
        <w:rPr>
          <w:rFonts w:eastAsia="Cambria" w:cs="Arial"/>
          <w:lang w:val="en-GB" w:eastAsia="en-US"/>
        </w:rPr>
        <w:t>Gas Market Reform Group</w:t>
      </w:r>
    </w:p>
    <w:p w14:paraId="762CF8F4" w14:textId="77777777" w:rsidR="00570893" w:rsidRPr="00CC30F1" w:rsidRDefault="00A429E7" w:rsidP="00570893">
      <w:pPr>
        <w:widowControl w:val="0"/>
        <w:suppressAutoHyphens/>
        <w:autoSpaceDE w:val="0"/>
        <w:autoSpaceDN w:val="0"/>
        <w:adjustRightInd w:val="0"/>
        <w:spacing w:line="240" w:lineRule="auto"/>
        <w:ind w:left="851"/>
        <w:textAlignment w:val="center"/>
        <w:rPr>
          <w:rFonts w:eastAsia="Cambria" w:cs="Arial"/>
          <w:sz w:val="24"/>
          <w:lang w:val="en-GB" w:eastAsia="en-US"/>
        </w:rPr>
      </w:pPr>
      <w:proofErr w:type="gramStart"/>
      <w:r w:rsidRPr="00CC30F1">
        <w:rPr>
          <w:rFonts w:eastAsia="Cambria" w:cs="Arial"/>
          <w:sz w:val="24"/>
          <w:lang w:val="en-GB" w:eastAsia="en-US"/>
        </w:rPr>
        <w:t>c/o</w:t>
      </w:r>
      <w:proofErr w:type="gramEnd"/>
      <w:r w:rsidRPr="00CC30F1">
        <w:rPr>
          <w:rFonts w:eastAsia="Cambria" w:cs="Arial"/>
          <w:sz w:val="24"/>
          <w:lang w:val="en-GB" w:eastAsia="en-US"/>
        </w:rPr>
        <w:t xml:space="preserve"> Australian Energy Market Commission</w:t>
      </w:r>
    </w:p>
    <w:p w14:paraId="3657AD57" w14:textId="77777777" w:rsidR="00A429E7" w:rsidRPr="00FC2047" w:rsidRDefault="00A429E7" w:rsidP="00570893">
      <w:pPr>
        <w:widowControl w:val="0"/>
        <w:suppressAutoHyphens/>
        <w:autoSpaceDE w:val="0"/>
        <w:autoSpaceDN w:val="0"/>
        <w:adjustRightInd w:val="0"/>
        <w:spacing w:line="240" w:lineRule="auto"/>
        <w:ind w:left="851"/>
        <w:textAlignment w:val="center"/>
        <w:rPr>
          <w:rFonts w:eastAsia="Cambria" w:cs="Arial"/>
          <w:lang w:val="en-GB" w:eastAsia="en-US"/>
        </w:rPr>
      </w:pPr>
      <w:r w:rsidRPr="00FC2047">
        <w:rPr>
          <w:rFonts w:eastAsia="Cambria" w:cs="Arial"/>
          <w:lang w:val="en-GB" w:eastAsia="en-US"/>
        </w:rPr>
        <w:t>PO Box A2449</w:t>
      </w:r>
    </w:p>
    <w:p w14:paraId="5CA1B074" w14:textId="77777777" w:rsidR="00570893" w:rsidRPr="00FC2047" w:rsidRDefault="00A429E7" w:rsidP="00FC2047">
      <w:pPr>
        <w:widowControl w:val="0"/>
        <w:suppressAutoHyphens/>
        <w:autoSpaceDE w:val="0"/>
        <w:autoSpaceDN w:val="0"/>
        <w:adjustRightInd w:val="0"/>
        <w:spacing w:line="240" w:lineRule="auto"/>
        <w:ind w:left="851"/>
        <w:textAlignment w:val="center"/>
        <w:rPr>
          <w:rFonts w:eastAsia="Cambria" w:cs="Arial"/>
          <w:lang w:val="en-GB" w:eastAsia="en-US"/>
        </w:rPr>
      </w:pPr>
      <w:r w:rsidRPr="00FC2047">
        <w:rPr>
          <w:rFonts w:eastAsia="Cambria" w:cs="Arial"/>
          <w:lang w:val="en-GB" w:eastAsia="en-US"/>
        </w:rPr>
        <w:t xml:space="preserve">Sydney </w:t>
      </w:r>
      <w:r w:rsidR="008C4D94" w:rsidRPr="00FC2047">
        <w:rPr>
          <w:rFonts w:eastAsia="Cambria" w:cs="Arial"/>
          <w:lang w:val="en-GB" w:eastAsia="en-US"/>
        </w:rPr>
        <w:t>South NSW</w:t>
      </w:r>
      <w:r w:rsidR="007D03EF" w:rsidRPr="00FC2047">
        <w:rPr>
          <w:rFonts w:eastAsia="Cambria" w:cs="Arial"/>
          <w:lang w:val="en-GB" w:eastAsia="en-US"/>
        </w:rPr>
        <w:t xml:space="preserve"> </w:t>
      </w:r>
      <w:r w:rsidRPr="00FC2047">
        <w:rPr>
          <w:rFonts w:eastAsia="Cambria" w:cs="Arial"/>
          <w:lang w:val="en-GB" w:eastAsia="en-US"/>
        </w:rPr>
        <w:t>1235</w:t>
      </w:r>
    </w:p>
    <w:p w14:paraId="41FB47C7" w14:textId="1BA33B96" w:rsidR="00570893" w:rsidRDefault="00570893" w:rsidP="00FC2047">
      <w:pPr>
        <w:spacing w:before="240" w:after="120"/>
      </w:pPr>
      <w:r w:rsidRPr="00570893">
        <w:t xml:space="preserve">The GMRG has a strong preference for public submissions to generate full and frank debate. </w:t>
      </w:r>
      <w:r w:rsidRPr="00570893">
        <w:rPr>
          <w:rFonts w:cs="Arial"/>
          <w:lang w:val="en"/>
        </w:rPr>
        <w:t xml:space="preserve">All stakeholder submissions will be published on the </w:t>
      </w:r>
      <w:r w:rsidR="00C23AD0">
        <w:rPr>
          <w:rFonts w:cs="Arial"/>
          <w:lang w:val="en"/>
        </w:rPr>
        <w:t xml:space="preserve">GMRG’s </w:t>
      </w:r>
      <w:r w:rsidRPr="00570893">
        <w:rPr>
          <w:rFonts w:cs="Arial"/>
          <w:lang w:val="en"/>
        </w:rPr>
        <w:t xml:space="preserve">website </w:t>
      </w:r>
      <w:r w:rsidRPr="00570893">
        <w:t>at</w:t>
      </w:r>
      <w:r w:rsidR="008C4D94">
        <w:t xml:space="preserve"> </w:t>
      </w:r>
      <w:hyperlink r:id="rId17" w:history="1">
        <w:r w:rsidR="00956FF7" w:rsidRPr="002D482F">
          <w:rPr>
            <w:rStyle w:val="Hyperlink"/>
          </w:rPr>
          <w:t>http://gmrg.coagenergycouncil.gov.au/</w:t>
        </w:r>
      </w:hyperlink>
      <w:r w:rsidR="00956FF7">
        <w:t xml:space="preserve"> </w:t>
      </w:r>
      <w:r w:rsidRPr="00570893">
        <w:rPr>
          <w:rFonts w:cs="Arial"/>
          <w:color w:val="000000"/>
          <w:lang w:val="en"/>
        </w:rPr>
        <w:t>unless stakeholders have clearly indicated that a submission should remain confidential, either in whole or in part.</w:t>
      </w:r>
      <w:r w:rsidRPr="00570893">
        <w:t xml:space="preserve"> </w:t>
      </w:r>
    </w:p>
    <w:p w14:paraId="62FEE785" w14:textId="6031B492" w:rsidR="00CE7C87" w:rsidRPr="00992C7D" w:rsidRDefault="00CE7C87" w:rsidP="00CE7C87">
      <w:pPr>
        <w:pStyle w:val="BodyText"/>
        <w:spacing w:line="252" w:lineRule="auto"/>
      </w:pPr>
      <w:r w:rsidRPr="00144CFC">
        <w:t xml:space="preserve">In addition to providing a written submission, stakeholders will have an opportunity to attend a public forum, which will be held in Melbourne on </w:t>
      </w:r>
      <w:r w:rsidRPr="00144CFC">
        <w:rPr>
          <w:b/>
        </w:rPr>
        <w:t>31 October 2017</w:t>
      </w:r>
      <w:r w:rsidRPr="00144CFC">
        <w:t xml:space="preserve">. Stakeholders are encouraged to express their interest in attending this forum by emailing </w:t>
      </w:r>
      <w:hyperlink r:id="rId18" w:history="1">
        <w:r w:rsidRPr="00144CFC">
          <w:rPr>
            <w:rStyle w:val="Hyperlink"/>
            <w:rFonts w:cs="Arial"/>
          </w:rPr>
          <w:t>enquiries@gmrg.coagenergycouncil.gov.au</w:t>
        </w:r>
      </w:hyperlink>
      <w:r w:rsidRPr="00144CFC">
        <w:t>.</w:t>
      </w:r>
    </w:p>
    <w:p w14:paraId="5FFD7DE0" w14:textId="636F5B51" w:rsidR="00570893" w:rsidRPr="00570893" w:rsidRDefault="00570893" w:rsidP="00FC2047">
      <w:pPr>
        <w:spacing w:before="240" w:after="120"/>
        <w:rPr>
          <w:rFonts w:cs="Arial"/>
        </w:rPr>
      </w:pPr>
      <w:r w:rsidRPr="00570893">
        <w:rPr>
          <w:rFonts w:cs="Arial"/>
        </w:rPr>
        <w:t xml:space="preserve">Please note that this paper is intended to examine the options associated with the </w:t>
      </w:r>
      <w:r w:rsidR="00C76541">
        <w:rPr>
          <w:rFonts w:cs="Arial"/>
        </w:rPr>
        <w:t xml:space="preserve">development of </w:t>
      </w:r>
      <w:r w:rsidR="003135B3">
        <w:rPr>
          <w:rFonts w:cs="Arial"/>
        </w:rPr>
        <w:t>the day-ahead auction and reporting framework for secondary capacity trades</w:t>
      </w:r>
      <w:r w:rsidRPr="00570893">
        <w:rPr>
          <w:rFonts w:cs="Arial"/>
        </w:rPr>
        <w:t>. It is intended for consultation and does not reflec</w:t>
      </w:r>
      <w:r w:rsidR="00FC2047">
        <w:rPr>
          <w:rFonts w:cs="Arial"/>
        </w:rPr>
        <w:t xml:space="preserve">t the final views of the GMRG. </w:t>
      </w:r>
    </w:p>
    <w:p w14:paraId="1F1FFCF5" w14:textId="5E577D67" w:rsidR="002E5E25" w:rsidRDefault="00570893" w:rsidP="00115A93">
      <w:pPr>
        <w:spacing w:before="240" w:after="120"/>
      </w:pPr>
      <w:r w:rsidRPr="00570893">
        <w:rPr>
          <w:rFonts w:cs="Arial"/>
        </w:rPr>
        <w:t>For further information ab</w:t>
      </w:r>
      <w:r w:rsidRPr="008C4D94">
        <w:rPr>
          <w:rFonts w:cs="Arial"/>
        </w:rPr>
        <w:t>out</w:t>
      </w:r>
      <w:r w:rsidRPr="00570893">
        <w:rPr>
          <w:rFonts w:cs="Arial"/>
        </w:rPr>
        <w:t xml:space="preserve"> </w:t>
      </w:r>
      <w:r w:rsidR="002E5E25">
        <w:rPr>
          <w:rFonts w:cs="Arial"/>
        </w:rPr>
        <w:t xml:space="preserve">this Consultation </w:t>
      </w:r>
      <w:r w:rsidRPr="008C4D94">
        <w:rPr>
          <w:rFonts w:cs="Arial"/>
        </w:rPr>
        <w:t xml:space="preserve">Paper or making a submission, please contact the GMRG via email at </w:t>
      </w:r>
      <w:hyperlink r:id="rId19" w:history="1">
        <w:r w:rsidR="00581557" w:rsidRPr="001D2A44">
          <w:rPr>
            <w:rStyle w:val="Hyperlink"/>
            <w:rFonts w:cs="Arial"/>
          </w:rPr>
          <w:t>enquiries@gmrg.coagenergycouncil.gov.au</w:t>
        </w:r>
      </w:hyperlink>
      <w:r w:rsidR="00581557">
        <w:t xml:space="preserve"> </w:t>
      </w:r>
    </w:p>
    <w:p w14:paraId="5D72CFED" w14:textId="77777777" w:rsidR="00115A93" w:rsidRPr="00115A93" w:rsidRDefault="00115A93" w:rsidP="00115A93">
      <w:pPr>
        <w:spacing w:before="240" w:after="120"/>
        <w:rPr>
          <w:sz w:val="144"/>
          <w:szCs w:val="144"/>
        </w:rPr>
      </w:pPr>
    </w:p>
    <w:p w14:paraId="2938088A" w14:textId="77777777" w:rsidR="006B1D5E" w:rsidRPr="002E5E25" w:rsidRDefault="006B1D5E" w:rsidP="00FC2047">
      <w:pPr>
        <w:pStyle w:val="Pa4"/>
        <w:spacing w:before="240" w:after="120" w:line="264" w:lineRule="auto"/>
        <w:rPr>
          <w:rFonts w:asciiTheme="majorHAnsi" w:hAnsiTheme="majorHAnsi" w:cstheme="majorHAnsi"/>
          <w:color w:val="000000"/>
          <w:sz w:val="20"/>
          <w:szCs w:val="20"/>
        </w:rPr>
      </w:pPr>
      <w:r w:rsidRPr="002E5E25">
        <w:rPr>
          <w:rFonts w:asciiTheme="majorHAnsi" w:hAnsiTheme="majorHAnsi" w:cstheme="majorHAnsi"/>
          <w:color w:val="000000"/>
          <w:sz w:val="20"/>
          <w:szCs w:val="20"/>
        </w:rPr>
        <w:t>The views and opinions expressed in this publication are those of the GMRG</w:t>
      </w:r>
      <w:r w:rsidR="00FC2047" w:rsidRPr="002E5E25">
        <w:rPr>
          <w:rFonts w:asciiTheme="majorHAnsi" w:hAnsiTheme="majorHAnsi" w:cstheme="majorHAnsi"/>
          <w:color w:val="000000"/>
          <w:sz w:val="20"/>
          <w:szCs w:val="20"/>
        </w:rPr>
        <w:t xml:space="preserve">. </w:t>
      </w:r>
    </w:p>
    <w:p w14:paraId="65AC5F30" w14:textId="71756FB9" w:rsidR="006B1D5E" w:rsidRPr="002E5E25" w:rsidRDefault="006B1D5E" w:rsidP="00FC2047">
      <w:pPr>
        <w:spacing w:before="240" w:after="120"/>
        <w:rPr>
          <w:rFonts w:asciiTheme="majorHAnsi" w:hAnsiTheme="majorHAnsi" w:cstheme="majorHAnsi"/>
          <w:sz w:val="20"/>
          <w:szCs w:val="20"/>
        </w:rPr>
      </w:pPr>
      <w:r w:rsidRPr="002E5E25">
        <w:rPr>
          <w:rFonts w:asciiTheme="majorHAnsi" w:hAnsiTheme="majorHAnsi" w:cstheme="majorHAnsi"/>
          <w:color w:val="000000"/>
          <w:sz w:val="20"/>
          <w:szCs w:val="20"/>
        </w:rPr>
        <w:t xml:space="preserve">While reasonable efforts have been made to ensure that the contents of this publication are factually correct, the GMRG </w:t>
      </w:r>
      <w:r w:rsidR="00DF08E7">
        <w:rPr>
          <w:rFonts w:asciiTheme="majorHAnsi" w:hAnsiTheme="majorHAnsi" w:cstheme="majorHAnsi"/>
          <w:color w:val="000000"/>
          <w:sz w:val="20"/>
          <w:szCs w:val="20"/>
        </w:rPr>
        <w:t xml:space="preserve">and its advisors, NERA Economic Consulting and Johnson Winter &amp; Slattery, do </w:t>
      </w:r>
      <w:r w:rsidRPr="002E5E25">
        <w:rPr>
          <w:rFonts w:asciiTheme="majorHAnsi" w:hAnsiTheme="majorHAnsi" w:cstheme="majorHAnsi"/>
          <w:color w:val="000000"/>
          <w:sz w:val="20"/>
          <w:szCs w:val="20"/>
        </w:rPr>
        <w:t>not accept responsibility for the accuracy or completeness of the contents, and shall not be liable for any loss or damage that may be occasioned directly or indirectly through the use of, or reliance on, the contents of this publication.</w:t>
      </w:r>
    </w:p>
    <w:p w14:paraId="20CC921A" w14:textId="77777777" w:rsidR="006B1D5E" w:rsidRPr="00570893" w:rsidRDefault="006B1D5E" w:rsidP="006B1D5E"/>
    <w:p w14:paraId="630DA4DE" w14:textId="77777777" w:rsidR="00570893" w:rsidRDefault="00570893">
      <w:pPr>
        <w:rPr>
          <w:rFonts w:eastAsiaTheme="minorEastAsia"/>
        </w:rPr>
        <w:sectPr w:rsidR="00570893" w:rsidSect="00CF1252">
          <w:headerReference w:type="first" r:id="rId20"/>
          <w:pgSz w:w="11907" w:h="16840" w:code="9"/>
          <w:pgMar w:top="1361" w:right="1418" w:bottom="992" w:left="1701" w:header="567" w:footer="397" w:gutter="0"/>
          <w:pgNumType w:fmt="lowerRoman"/>
          <w:cols w:space="708"/>
          <w:titlePg/>
          <w:docGrid w:linePitch="360"/>
        </w:sectPr>
      </w:pPr>
    </w:p>
    <w:p w14:paraId="1D7AC60C" w14:textId="77777777" w:rsidR="00AA3026" w:rsidRPr="00DE2084" w:rsidRDefault="00AA3026" w:rsidP="00E2663A">
      <w:pPr>
        <w:pStyle w:val="TOCHeading"/>
        <w:spacing w:after="240"/>
      </w:pPr>
      <w:r w:rsidRPr="00DE2084">
        <w:lastRenderedPageBreak/>
        <w:t>Contents</w:t>
      </w:r>
    </w:p>
    <w:p w14:paraId="0021F912" w14:textId="36A146B7" w:rsidR="00272B32" w:rsidRDefault="00CC006A">
      <w:pPr>
        <w:pStyle w:val="TOC1"/>
        <w:rPr>
          <w:rFonts w:asciiTheme="minorHAnsi" w:eastAsiaTheme="minorEastAsia" w:hAnsiTheme="minorHAnsi"/>
          <w:b w:val="0"/>
          <w:lang w:eastAsia="en-AU"/>
        </w:rPr>
      </w:pPr>
      <w:r>
        <w:rPr>
          <w:rFonts w:eastAsiaTheme="minorEastAsia"/>
          <w:b w:val="0"/>
        </w:rPr>
        <w:fldChar w:fldCharType="begin"/>
      </w:r>
      <w:r>
        <w:rPr>
          <w:rFonts w:eastAsiaTheme="minorEastAsia"/>
          <w:b w:val="0"/>
        </w:rPr>
        <w:instrText xml:space="preserve"> TOC \o "1-2" \h \z \u </w:instrText>
      </w:r>
      <w:r>
        <w:rPr>
          <w:rFonts w:eastAsiaTheme="minorEastAsia"/>
          <w:b w:val="0"/>
        </w:rPr>
        <w:fldChar w:fldCharType="separate"/>
      </w:r>
      <w:hyperlink w:anchor="_Toc495351619" w:history="1">
        <w:r w:rsidR="00272B32" w:rsidRPr="00F47F94">
          <w:rPr>
            <w:rStyle w:val="Hyperlink"/>
          </w:rPr>
          <w:t>Abbreviations</w:t>
        </w:r>
        <w:r w:rsidR="00272B32">
          <w:rPr>
            <w:webHidden/>
          </w:rPr>
          <w:tab/>
        </w:r>
        <w:r w:rsidR="00272B32">
          <w:rPr>
            <w:webHidden/>
          </w:rPr>
          <w:fldChar w:fldCharType="begin"/>
        </w:r>
        <w:r w:rsidR="00272B32">
          <w:rPr>
            <w:webHidden/>
          </w:rPr>
          <w:instrText xml:space="preserve"> PAGEREF _Toc495351619 \h </w:instrText>
        </w:r>
        <w:r w:rsidR="00272B32">
          <w:rPr>
            <w:webHidden/>
          </w:rPr>
        </w:r>
        <w:r w:rsidR="00272B32">
          <w:rPr>
            <w:webHidden/>
          </w:rPr>
          <w:fldChar w:fldCharType="separate"/>
        </w:r>
        <w:r w:rsidR="00272B32">
          <w:rPr>
            <w:webHidden/>
          </w:rPr>
          <w:t>iii</w:t>
        </w:r>
        <w:r w:rsidR="00272B32">
          <w:rPr>
            <w:webHidden/>
          </w:rPr>
          <w:fldChar w:fldCharType="end"/>
        </w:r>
      </w:hyperlink>
    </w:p>
    <w:p w14:paraId="325CC968" w14:textId="75FA20F1" w:rsidR="00272B32" w:rsidRDefault="00610057">
      <w:pPr>
        <w:pStyle w:val="TOC1"/>
        <w:rPr>
          <w:rFonts w:asciiTheme="minorHAnsi" w:eastAsiaTheme="minorEastAsia" w:hAnsiTheme="minorHAnsi"/>
          <w:b w:val="0"/>
          <w:lang w:eastAsia="en-AU"/>
        </w:rPr>
      </w:pPr>
      <w:hyperlink w:anchor="_Toc495351620" w:history="1">
        <w:r w:rsidR="00272B32" w:rsidRPr="00F47F94">
          <w:rPr>
            <w:rStyle w:val="Hyperlink"/>
          </w:rPr>
          <w:t>1.</w:t>
        </w:r>
        <w:r w:rsidR="00272B32">
          <w:rPr>
            <w:rFonts w:asciiTheme="minorHAnsi" w:eastAsiaTheme="minorEastAsia" w:hAnsiTheme="minorHAnsi"/>
            <w:b w:val="0"/>
            <w:lang w:eastAsia="en-AU"/>
          </w:rPr>
          <w:tab/>
        </w:r>
        <w:r w:rsidR="00272B32" w:rsidRPr="00F47F94">
          <w:rPr>
            <w:rStyle w:val="Hyperlink"/>
          </w:rPr>
          <w:t>Introduction</w:t>
        </w:r>
        <w:r w:rsidR="00272B32">
          <w:rPr>
            <w:webHidden/>
          </w:rPr>
          <w:tab/>
        </w:r>
        <w:r w:rsidR="00272B32">
          <w:rPr>
            <w:webHidden/>
          </w:rPr>
          <w:fldChar w:fldCharType="begin"/>
        </w:r>
        <w:r w:rsidR="00272B32">
          <w:rPr>
            <w:webHidden/>
          </w:rPr>
          <w:instrText xml:space="preserve"> PAGEREF _Toc495351620 \h </w:instrText>
        </w:r>
        <w:r w:rsidR="00272B32">
          <w:rPr>
            <w:webHidden/>
          </w:rPr>
        </w:r>
        <w:r w:rsidR="00272B32">
          <w:rPr>
            <w:webHidden/>
          </w:rPr>
          <w:fldChar w:fldCharType="separate"/>
        </w:r>
        <w:r w:rsidR="00272B32">
          <w:rPr>
            <w:webHidden/>
          </w:rPr>
          <w:t>5</w:t>
        </w:r>
        <w:r w:rsidR="00272B32">
          <w:rPr>
            <w:webHidden/>
          </w:rPr>
          <w:fldChar w:fldCharType="end"/>
        </w:r>
      </w:hyperlink>
    </w:p>
    <w:p w14:paraId="2CA77885" w14:textId="5F63F08B" w:rsidR="00272B32" w:rsidRDefault="00610057">
      <w:pPr>
        <w:pStyle w:val="TOC2"/>
        <w:rPr>
          <w:rFonts w:asciiTheme="minorHAnsi" w:eastAsiaTheme="minorEastAsia" w:hAnsiTheme="minorHAnsi"/>
          <w:lang w:eastAsia="en-AU"/>
        </w:rPr>
      </w:pPr>
      <w:hyperlink w:anchor="_Toc495351621" w:history="1">
        <w:r w:rsidR="00272B32" w:rsidRPr="00F47F94">
          <w:rPr>
            <w:rStyle w:val="Hyperlink"/>
          </w:rPr>
          <w:t>1.1</w:t>
        </w:r>
        <w:r w:rsidR="00272B32">
          <w:rPr>
            <w:rFonts w:asciiTheme="minorHAnsi" w:eastAsiaTheme="minorEastAsia" w:hAnsiTheme="minorHAnsi"/>
            <w:lang w:eastAsia="en-AU"/>
          </w:rPr>
          <w:tab/>
        </w:r>
        <w:r w:rsidR="00272B32" w:rsidRPr="00F47F94">
          <w:rPr>
            <w:rStyle w:val="Hyperlink"/>
          </w:rPr>
          <w:t>Progression of the capacity trading reform package</w:t>
        </w:r>
        <w:r w:rsidR="00272B32">
          <w:rPr>
            <w:webHidden/>
          </w:rPr>
          <w:tab/>
        </w:r>
        <w:r w:rsidR="00272B32">
          <w:rPr>
            <w:webHidden/>
          </w:rPr>
          <w:fldChar w:fldCharType="begin"/>
        </w:r>
        <w:r w:rsidR="00272B32">
          <w:rPr>
            <w:webHidden/>
          </w:rPr>
          <w:instrText xml:space="preserve"> PAGEREF _Toc495351621 \h </w:instrText>
        </w:r>
        <w:r w:rsidR="00272B32">
          <w:rPr>
            <w:webHidden/>
          </w:rPr>
        </w:r>
        <w:r w:rsidR="00272B32">
          <w:rPr>
            <w:webHidden/>
          </w:rPr>
          <w:fldChar w:fldCharType="separate"/>
        </w:r>
        <w:r w:rsidR="00272B32">
          <w:rPr>
            <w:webHidden/>
          </w:rPr>
          <w:t>7</w:t>
        </w:r>
        <w:r w:rsidR="00272B32">
          <w:rPr>
            <w:webHidden/>
          </w:rPr>
          <w:fldChar w:fldCharType="end"/>
        </w:r>
      </w:hyperlink>
    </w:p>
    <w:p w14:paraId="2FC75119" w14:textId="795848C2" w:rsidR="00272B32" w:rsidRDefault="00610057">
      <w:pPr>
        <w:pStyle w:val="TOC2"/>
        <w:rPr>
          <w:rFonts w:asciiTheme="minorHAnsi" w:eastAsiaTheme="minorEastAsia" w:hAnsiTheme="minorHAnsi"/>
          <w:lang w:eastAsia="en-AU"/>
        </w:rPr>
      </w:pPr>
      <w:hyperlink w:anchor="_Toc495351622" w:history="1">
        <w:r w:rsidR="00272B32" w:rsidRPr="00F47F94">
          <w:rPr>
            <w:rStyle w:val="Hyperlink"/>
          </w:rPr>
          <w:t>1.2</w:t>
        </w:r>
        <w:r w:rsidR="00272B32">
          <w:rPr>
            <w:rFonts w:asciiTheme="minorHAnsi" w:eastAsiaTheme="minorEastAsia" w:hAnsiTheme="minorHAnsi"/>
            <w:lang w:eastAsia="en-AU"/>
          </w:rPr>
          <w:tab/>
        </w:r>
        <w:r w:rsidR="00272B32" w:rsidRPr="00F47F94">
          <w:rPr>
            <w:rStyle w:val="Hyperlink"/>
          </w:rPr>
          <w:t>Consultation process and next steps</w:t>
        </w:r>
        <w:r w:rsidR="00272B32">
          <w:rPr>
            <w:webHidden/>
          </w:rPr>
          <w:tab/>
        </w:r>
        <w:r w:rsidR="00272B32">
          <w:rPr>
            <w:webHidden/>
          </w:rPr>
          <w:fldChar w:fldCharType="begin"/>
        </w:r>
        <w:r w:rsidR="00272B32">
          <w:rPr>
            <w:webHidden/>
          </w:rPr>
          <w:instrText xml:space="preserve"> PAGEREF _Toc495351622 \h </w:instrText>
        </w:r>
        <w:r w:rsidR="00272B32">
          <w:rPr>
            <w:webHidden/>
          </w:rPr>
        </w:r>
        <w:r w:rsidR="00272B32">
          <w:rPr>
            <w:webHidden/>
          </w:rPr>
          <w:fldChar w:fldCharType="separate"/>
        </w:r>
        <w:r w:rsidR="00272B32">
          <w:rPr>
            <w:webHidden/>
          </w:rPr>
          <w:t>8</w:t>
        </w:r>
        <w:r w:rsidR="00272B32">
          <w:rPr>
            <w:webHidden/>
          </w:rPr>
          <w:fldChar w:fldCharType="end"/>
        </w:r>
      </w:hyperlink>
    </w:p>
    <w:p w14:paraId="0C7EEA33" w14:textId="7565D86A" w:rsidR="00272B32" w:rsidRDefault="00610057">
      <w:pPr>
        <w:pStyle w:val="TOC2"/>
        <w:rPr>
          <w:rFonts w:asciiTheme="minorHAnsi" w:eastAsiaTheme="minorEastAsia" w:hAnsiTheme="minorHAnsi"/>
          <w:lang w:eastAsia="en-AU"/>
        </w:rPr>
      </w:pPr>
      <w:hyperlink w:anchor="_Toc495351623" w:history="1">
        <w:r w:rsidR="00272B32" w:rsidRPr="00F47F94">
          <w:rPr>
            <w:rStyle w:val="Hyperlink"/>
          </w:rPr>
          <w:t>1.3</w:t>
        </w:r>
        <w:r w:rsidR="00272B32">
          <w:rPr>
            <w:rFonts w:asciiTheme="minorHAnsi" w:eastAsiaTheme="minorEastAsia" w:hAnsiTheme="minorHAnsi"/>
            <w:lang w:eastAsia="en-AU"/>
          </w:rPr>
          <w:tab/>
        </w:r>
        <w:r w:rsidR="00272B32" w:rsidRPr="00F47F94">
          <w:rPr>
            <w:rStyle w:val="Hyperlink"/>
          </w:rPr>
          <w:t>Structure of this paper</w:t>
        </w:r>
        <w:r w:rsidR="00272B32">
          <w:rPr>
            <w:webHidden/>
          </w:rPr>
          <w:tab/>
        </w:r>
        <w:r w:rsidR="00272B32">
          <w:rPr>
            <w:webHidden/>
          </w:rPr>
          <w:fldChar w:fldCharType="begin"/>
        </w:r>
        <w:r w:rsidR="00272B32">
          <w:rPr>
            <w:webHidden/>
          </w:rPr>
          <w:instrText xml:space="preserve"> PAGEREF _Toc495351623 \h </w:instrText>
        </w:r>
        <w:r w:rsidR="00272B32">
          <w:rPr>
            <w:webHidden/>
          </w:rPr>
        </w:r>
        <w:r w:rsidR="00272B32">
          <w:rPr>
            <w:webHidden/>
          </w:rPr>
          <w:fldChar w:fldCharType="separate"/>
        </w:r>
        <w:r w:rsidR="00272B32">
          <w:rPr>
            <w:webHidden/>
          </w:rPr>
          <w:t>9</w:t>
        </w:r>
        <w:r w:rsidR="00272B32">
          <w:rPr>
            <w:webHidden/>
          </w:rPr>
          <w:fldChar w:fldCharType="end"/>
        </w:r>
      </w:hyperlink>
    </w:p>
    <w:p w14:paraId="7BEB7041" w14:textId="07087196" w:rsidR="00272B32" w:rsidRDefault="00610057">
      <w:pPr>
        <w:pStyle w:val="TOC1"/>
        <w:rPr>
          <w:rFonts w:asciiTheme="minorHAnsi" w:eastAsiaTheme="minorEastAsia" w:hAnsiTheme="minorHAnsi"/>
          <w:b w:val="0"/>
          <w:lang w:eastAsia="en-AU"/>
        </w:rPr>
      </w:pPr>
      <w:hyperlink w:anchor="_Toc495351624" w:history="1">
        <w:r w:rsidR="00272B32" w:rsidRPr="00F47F94">
          <w:rPr>
            <w:rStyle w:val="Hyperlink"/>
          </w:rPr>
          <w:t>2.</w:t>
        </w:r>
        <w:r w:rsidR="00272B32">
          <w:rPr>
            <w:rFonts w:asciiTheme="minorHAnsi" w:eastAsiaTheme="minorEastAsia" w:hAnsiTheme="minorHAnsi"/>
            <w:b w:val="0"/>
            <w:lang w:eastAsia="en-AU"/>
          </w:rPr>
          <w:tab/>
        </w:r>
        <w:r w:rsidR="00272B32" w:rsidRPr="00F47F94">
          <w:rPr>
            <w:rStyle w:val="Hyperlink"/>
          </w:rPr>
          <w:t>Capacity Trading Reform Package</w:t>
        </w:r>
        <w:r w:rsidR="00272B32">
          <w:rPr>
            <w:webHidden/>
          </w:rPr>
          <w:tab/>
        </w:r>
        <w:r w:rsidR="00272B32">
          <w:rPr>
            <w:webHidden/>
          </w:rPr>
          <w:fldChar w:fldCharType="begin"/>
        </w:r>
        <w:r w:rsidR="00272B32">
          <w:rPr>
            <w:webHidden/>
          </w:rPr>
          <w:instrText xml:space="preserve"> PAGEREF _Toc495351624 \h </w:instrText>
        </w:r>
        <w:r w:rsidR="00272B32">
          <w:rPr>
            <w:webHidden/>
          </w:rPr>
        </w:r>
        <w:r w:rsidR="00272B32">
          <w:rPr>
            <w:webHidden/>
          </w:rPr>
          <w:fldChar w:fldCharType="separate"/>
        </w:r>
        <w:r w:rsidR="00272B32">
          <w:rPr>
            <w:webHidden/>
          </w:rPr>
          <w:t>10</w:t>
        </w:r>
        <w:r w:rsidR="00272B32">
          <w:rPr>
            <w:webHidden/>
          </w:rPr>
          <w:fldChar w:fldCharType="end"/>
        </w:r>
      </w:hyperlink>
    </w:p>
    <w:p w14:paraId="123E63A1" w14:textId="4B94CDBC" w:rsidR="00272B32" w:rsidRDefault="00610057">
      <w:pPr>
        <w:pStyle w:val="TOC2"/>
        <w:rPr>
          <w:rFonts w:asciiTheme="minorHAnsi" w:eastAsiaTheme="minorEastAsia" w:hAnsiTheme="minorHAnsi"/>
          <w:lang w:eastAsia="en-AU"/>
        </w:rPr>
      </w:pPr>
      <w:hyperlink w:anchor="_Toc495351625" w:history="1">
        <w:r w:rsidR="00272B32" w:rsidRPr="00F47F94">
          <w:rPr>
            <w:rStyle w:val="Hyperlink"/>
          </w:rPr>
          <w:t>2.1</w:t>
        </w:r>
        <w:r w:rsidR="00272B32">
          <w:rPr>
            <w:rFonts w:asciiTheme="minorHAnsi" w:eastAsiaTheme="minorEastAsia" w:hAnsiTheme="minorHAnsi"/>
            <w:lang w:eastAsia="en-AU"/>
          </w:rPr>
          <w:tab/>
        </w:r>
        <w:r w:rsidR="00272B32" w:rsidRPr="00F47F94">
          <w:rPr>
            <w:rStyle w:val="Hyperlink"/>
          </w:rPr>
          <w:t>Key elements of the reform package</w:t>
        </w:r>
        <w:r w:rsidR="00272B32">
          <w:rPr>
            <w:webHidden/>
          </w:rPr>
          <w:tab/>
        </w:r>
        <w:r w:rsidR="00272B32">
          <w:rPr>
            <w:webHidden/>
          </w:rPr>
          <w:fldChar w:fldCharType="begin"/>
        </w:r>
        <w:r w:rsidR="00272B32">
          <w:rPr>
            <w:webHidden/>
          </w:rPr>
          <w:instrText xml:space="preserve"> PAGEREF _Toc495351625 \h </w:instrText>
        </w:r>
        <w:r w:rsidR="00272B32">
          <w:rPr>
            <w:webHidden/>
          </w:rPr>
        </w:r>
        <w:r w:rsidR="00272B32">
          <w:rPr>
            <w:webHidden/>
          </w:rPr>
          <w:fldChar w:fldCharType="separate"/>
        </w:r>
        <w:r w:rsidR="00272B32">
          <w:rPr>
            <w:webHidden/>
          </w:rPr>
          <w:t>10</w:t>
        </w:r>
        <w:r w:rsidR="00272B32">
          <w:rPr>
            <w:webHidden/>
          </w:rPr>
          <w:fldChar w:fldCharType="end"/>
        </w:r>
      </w:hyperlink>
    </w:p>
    <w:p w14:paraId="7E80CE42" w14:textId="10C9E201" w:rsidR="00272B32" w:rsidRDefault="00610057">
      <w:pPr>
        <w:pStyle w:val="TOC2"/>
        <w:rPr>
          <w:rFonts w:asciiTheme="minorHAnsi" w:eastAsiaTheme="minorEastAsia" w:hAnsiTheme="minorHAnsi"/>
          <w:lang w:eastAsia="en-AU"/>
        </w:rPr>
      </w:pPr>
      <w:hyperlink w:anchor="_Toc495351626" w:history="1">
        <w:r w:rsidR="00272B32" w:rsidRPr="00F47F94">
          <w:rPr>
            <w:rStyle w:val="Hyperlink"/>
          </w:rPr>
          <w:t>2.2</w:t>
        </w:r>
        <w:r w:rsidR="00272B32">
          <w:rPr>
            <w:rFonts w:asciiTheme="minorHAnsi" w:eastAsiaTheme="minorEastAsia" w:hAnsiTheme="minorHAnsi"/>
            <w:lang w:eastAsia="en-AU"/>
          </w:rPr>
          <w:tab/>
        </w:r>
        <w:r w:rsidR="00272B32" w:rsidRPr="00F47F94">
          <w:rPr>
            <w:rStyle w:val="Hyperlink"/>
          </w:rPr>
          <w:t>How secondary capacity can be procured under the new framework</w:t>
        </w:r>
        <w:r w:rsidR="00272B32">
          <w:rPr>
            <w:webHidden/>
          </w:rPr>
          <w:tab/>
        </w:r>
        <w:r w:rsidR="00272B32">
          <w:rPr>
            <w:webHidden/>
          </w:rPr>
          <w:fldChar w:fldCharType="begin"/>
        </w:r>
        <w:r w:rsidR="00272B32">
          <w:rPr>
            <w:webHidden/>
          </w:rPr>
          <w:instrText xml:space="preserve"> PAGEREF _Toc495351626 \h </w:instrText>
        </w:r>
        <w:r w:rsidR="00272B32">
          <w:rPr>
            <w:webHidden/>
          </w:rPr>
        </w:r>
        <w:r w:rsidR="00272B32">
          <w:rPr>
            <w:webHidden/>
          </w:rPr>
          <w:fldChar w:fldCharType="separate"/>
        </w:r>
        <w:r w:rsidR="00272B32">
          <w:rPr>
            <w:webHidden/>
          </w:rPr>
          <w:t>12</w:t>
        </w:r>
        <w:r w:rsidR="00272B32">
          <w:rPr>
            <w:webHidden/>
          </w:rPr>
          <w:fldChar w:fldCharType="end"/>
        </w:r>
      </w:hyperlink>
    </w:p>
    <w:p w14:paraId="2E75B1B7" w14:textId="0A929CB0" w:rsidR="00272B32" w:rsidRDefault="00610057">
      <w:pPr>
        <w:pStyle w:val="TOC2"/>
        <w:rPr>
          <w:rFonts w:asciiTheme="minorHAnsi" w:eastAsiaTheme="minorEastAsia" w:hAnsiTheme="minorHAnsi"/>
          <w:lang w:eastAsia="en-AU"/>
        </w:rPr>
      </w:pPr>
      <w:hyperlink w:anchor="_Toc495351627" w:history="1">
        <w:r w:rsidR="00272B32" w:rsidRPr="00F47F94">
          <w:rPr>
            <w:rStyle w:val="Hyperlink"/>
          </w:rPr>
          <w:t>2.3</w:t>
        </w:r>
        <w:r w:rsidR="00272B32">
          <w:rPr>
            <w:rFonts w:asciiTheme="minorHAnsi" w:eastAsiaTheme="minorEastAsia" w:hAnsiTheme="minorHAnsi"/>
            <w:lang w:eastAsia="en-AU"/>
          </w:rPr>
          <w:tab/>
        </w:r>
        <w:r w:rsidR="00272B32" w:rsidRPr="00F47F94">
          <w:rPr>
            <w:rStyle w:val="Hyperlink"/>
          </w:rPr>
          <w:t>Assessment framework for the reform package</w:t>
        </w:r>
        <w:r w:rsidR="00272B32">
          <w:rPr>
            <w:webHidden/>
          </w:rPr>
          <w:tab/>
        </w:r>
        <w:r w:rsidR="00272B32">
          <w:rPr>
            <w:webHidden/>
          </w:rPr>
          <w:fldChar w:fldCharType="begin"/>
        </w:r>
        <w:r w:rsidR="00272B32">
          <w:rPr>
            <w:webHidden/>
          </w:rPr>
          <w:instrText xml:space="preserve"> PAGEREF _Toc495351627 \h </w:instrText>
        </w:r>
        <w:r w:rsidR="00272B32">
          <w:rPr>
            <w:webHidden/>
          </w:rPr>
        </w:r>
        <w:r w:rsidR="00272B32">
          <w:rPr>
            <w:webHidden/>
          </w:rPr>
          <w:fldChar w:fldCharType="separate"/>
        </w:r>
        <w:r w:rsidR="00272B32">
          <w:rPr>
            <w:webHidden/>
          </w:rPr>
          <w:t>16</w:t>
        </w:r>
        <w:r w:rsidR="00272B32">
          <w:rPr>
            <w:webHidden/>
          </w:rPr>
          <w:fldChar w:fldCharType="end"/>
        </w:r>
      </w:hyperlink>
    </w:p>
    <w:p w14:paraId="742F7725" w14:textId="4E3CCC8F" w:rsidR="00272B32" w:rsidRDefault="00610057">
      <w:pPr>
        <w:pStyle w:val="TOC1"/>
        <w:rPr>
          <w:rFonts w:asciiTheme="minorHAnsi" w:eastAsiaTheme="minorEastAsia" w:hAnsiTheme="minorHAnsi"/>
          <w:b w:val="0"/>
          <w:lang w:eastAsia="en-AU"/>
        </w:rPr>
      </w:pPr>
      <w:hyperlink w:anchor="_Toc495351628" w:history="1">
        <w:r w:rsidR="00272B32" w:rsidRPr="00F47F94">
          <w:rPr>
            <w:rStyle w:val="Hyperlink"/>
          </w:rPr>
          <w:t>Part A: Day-Ahead Auction of Contracted but  Un-Nominated Capacity</w:t>
        </w:r>
        <w:r w:rsidR="00272B32">
          <w:rPr>
            <w:webHidden/>
          </w:rPr>
          <w:tab/>
        </w:r>
        <w:r w:rsidR="00272B32">
          <w:rPr>
            <w:webHidden/>
          </w:rPr>
          <w:fldChar w:fldCharType="begin"/>
        </w:r>
        <w:r w:rsidR="00272B32">
          <w:rPr>
            <w:webHidden/>
          </w:rPr>
          <w:instrText xml:space="preserve"> PAGEREF _Toc495351628 \h </w:instrText>
        </w:r>
        <w:r w:rsidR="00272B32">
          <w:rPr>
            <w:webHidden/>
          </w:rPr>
        </w:r>
        <w:r w:rsidR="00272B32">
          <w:rPr>
            <w:webHidden/>
          </w:rPr>
          <w:fldChar w:fldCharType="separate"/>
        </w:r>
        <w:r w:rsidR="00272B32">
          <w:rPr>
            <w:webHidden/>
          </w:rPr>
          <w:t>19</w:t>
        </w:r>
        <w:r w:rsidR="00272B32">
          <w:rPr>
            <w:webHidden/>
          </w:rPr>
          <w:fldChar w:fldCharType="end"/>
        </w:r>
      </w:hyperlink>
    </w:p>
    <w:p w14:paraId="5BFAB316" w14:textId="05B7EBB7" w:rsidR="00272B32" w:rsidRDefault="00610057">
      <w:pPr>
        <w:pStyle w:val="TOC1"/>
        <w:rPr>
          <w:rFonts w:asciiTheme="minorHAnsi" w:eastAsiaTheme="minorEastAsia" w:hAnsiTheme="minorHAnsi"/>
          <w:b w:val="0"/>
          <w:lang w:eastAsia="en-AU"/>
        </w:rPr>
      </w:pPr>
      <w:hyperlink w:anchor="_Toc495351629" w:history="1">
        <w:r w:rsidR="00272B32" w:rsidRPr="00F47F94">
          <w:rPr>
            <w:rStyle w:val="Hyperlink"/>
          </w:rPr>
          <w:t>3.</w:t>
        </w:r>
        <w:r w:rsidR="00272B32">
          <w:rPr>
            <w:rFonts w:asciiTheme="minorHAnsi" w:eastAsiaTheme="minorEastAsia" w:hAnsiTheme="minorHAnsi"/>
            <w:b w:val="0"/>
            <w:lang w:eastAsia="en-AU"/>
          </w:rPr>
          <w:tab/>
        </w:r>
        <w:r w:rsidR="00272B32" w:rsidRPr="00F47F94">
          <w:rPr>
            <w:rStyle w:val="Hyperlink"/>
          </w:rPr>
          <w:t>Products to be Auctioned</w:t>
        </w:r>
        <w:r w:rsidR="00272B32">
          <w:rPr>
            <w:webHidden/>
          </w:rPr>
          <w:tab/>
        </w:r>
        <w:r w:rsidR="00272B32">
          <w:rPr>
            <w:webHidden/>
          </w:rPr>
          <w:fldChar w:fldCharType="begin"/>
        </w:r>
        <w:r w:rsidR="00272B32">
          <w:rPr>
            <w:webHidden/>
          </w:rPr>
          <w:instrText xml:space="preserve"> PAGEREF _Toc495351629 \h </w:instrText>
        </w:r>
        <w:r w:rsidR="00272B32">
          <w:rPr>
            <w:webHidden/>
          </w:rPr>
        </w:r>
        <w:r w:rsidR="00272B32">
          <w:rPr>
            <w:webHidden/>
          </w:rPr>
          <w:fldChar w:fldCharType="separate"/>
        </w:r>
        <w:r w:rsidR="00272B32">
          <w:rPr>
            <w:webHidden/>
          </w:rPr>
          <w:t>23</w:t>
        </w:r>
        <w:r w:rsidR="00272B32">
          <w:rPr>
            <w:webHidden/>
          </w:rPr>
          <w:fldChar w:fldCharType="end"/>
        </w:r>
      </w:hyperlink>
    </w:p>
    <w:p w14:paraId="3BB53B85" w14:textId="08A788AA" w:rsidR="00272B32" w:rsidRDefault="00610057">
      <w:pPr>
        <w:pStyle w:val="TOC2"/>
        <w:rPr>
          <w:rFonts w:asciiTheme="minorHAnsi" w:eastAsiaTheme="minorEastAsia" w:hAnsiTheme="minorHAnsi"/>
          <w:lang w:eastAsia="en-AU"/>
        </w:rPr>
      </w:pPr>
      <w:hyperlink w:anchor="_Toc495351630" w:history="1">
        <w:r w:rsidR="00272B32" w:rsidRPr="00F47F94">
          <w:rPr>
            <w:rStyle w:val="Hyperlink"/>
          </w:rPr>
          <w:t>3.1</w:t>
        </w:r>
        <w:r w:rsidR="00272B32">
          <w:rPr>
            <w:rFonts w:asciiTheme="minorHAnsi" w:eastAsiaTheme="minorEastAsia" w:hAnsiTheme="minorHAnsi"/>
            <w:lang w:eastAsia="en-AU"/>
          </w:rPr>
          <w:tab/>
        </w:r>
        <w:r w:rsidR="00272B32" w:rsidRPr="00F47F94">
          <w:rPr>
            <w:rStyle w:val="Hyperlink"/>
          </w:rPr>
          <w:t>Transportation products to be subject to the auction</w:t>
        </w:r>
        <w:r w:rsidR="00272B32">
          <w:rPr>
            <w:webHidden/>
          </w:rPr>
          <w:tab/>
        </w:r>
        <w:r w:rsidR="00272B32">
          <w:rPr>
            <w:webHidden/>
          </w:rPr>
          <w:fldChar w:fldCharType="begin"/>
        </w:r>
        <w:r w:rsidR="00272B32">
          <w:rPr>
            <w:webHidden/>
          </w:rPr>
          <w:instrText xml:space="preserve"> PAGEREF _Toc495351630 \h </w:instrText>
        </w:r>
        <w:r w:rsidR="00272B32">
          <w:rPr>
            <w:webHidden/>
          </w:rPr>
        </w:r>
        <w:r w:rsidR="00272B32">
          <w:rPr>
            <w:webHidden/>
          </w:rPr>
          <w:fldChar w:fldCharType="separate"/>
        </w:r>
        <w:r w:rsidR="00272B32">
          <w:rPr>
            <w:webHidden/>
          </w:rPr>
          <w:t>23</w:t>
        </w:r>
        <w:r w:rsidR="00272B32">
          <w:rPr>
            <w:webHidden/>
          </w:rPr>
          <w:fldChar w:fldCharType="end"/>
        </w:r>
      </w:hyperlink>
    </w:p>
    <w:p w14:paraId="32B91FB4" w14:textId="705727C8" w:rsidR="00272B32" w:rsidRDefault="00610057">
      <w:pPr>
        <w:pStyle w:val="TOC2"/>
        <w:rPr>
          <w:rFonts w:asciiTheme="minorHAnsi" w:eastAsiaTheme="minorEastAsia" w:hAnsiTheme="minorHAnsi"/>
          <w:lang w:eastAsia="en-AU"/>
        </w:rPr>
      </w:pPr>
      <w:hyperlink w:anchor="_Toc495351631" w:history="1">
        <w:r w:rsidR="00272B32" w:rsidRPr="00F47F94">
          <w:rPr>
            <w:rStyle w:val="Hyperlink"/>
          </w:rPr>
          <w:t>3.2</w:t>
        </w:r>
        <w:r w:rsidR="00272B32">
          <w:rPr>
            <w:rFonts w:asciiTheme="minorHAnsi" w:eastAsiaTheme="minorEastAsia" w:hAnsiTheme="minorHAnsi"/>
            <w:lang w:eastAsia="en-AU"/>
          </w:rPr>
          <w:tab/>
        </w:r>
        <w:r w:rsidR="00272B32" w:rsidRPr="00F47F94">
          <w:rPr>
            <w:rStyle w:val="Hyperlink"/>
          </w:rPr>
          <w:t>Priority of the auction product</w:t>
        </w:r>
        <w:r w:rsidR="00272B32">
          <w:rPr>
            <w:webHidden/>
          </w:rPr>
          <w:tab/>
        </w:r>
        <w:r w:rsidR="00272B32">
          <w:rPr>
            <w:webHidden/>
          </w:rPr>
          <w:fldChar w:fldCharType="begin"/>
        </w:r>
        <w:r w:rsidR="00272B32">
          <w:rPr>
            <w:webHidden/>
          </w:rPr>
          <w:instrText xml:space="preserve"> PAGEREF _Toc495351631 \h </w:instrText>
        </w:r>
        <w:r w:rsidR="00272B32">
          <w:rPr>
            <w:webHidden/>
          </w:rPr>
        </w:r>
        <w:r w:rsidR="00272B32">
          <w:rPr>
            <w:webHidden/>
          </w:rPr>
          <w:fldChar w:fldCharType="separate"/>
        </w:r>
        <w:r w:rsidR="00272B32">
          <w:rPr>
            <w:webHidden/>
          </w:rPr>
          <w:t>26</w:t>
        </w:r>
        <w:r w:rsidR="00272B32">
          <w:rPr>
            <w:webHidden/>
          </w:rPr>
          <w:fldChar w:fldCharType="end"/>
        </w:r>
      </w:hyperlink>
    </w:p>
    <w:p w14:paraId="030213B0" w14:textId="3017DABF" w:rsidR="00272B32" w:rsidRDefault="00610057">
      <w:pPr>
        <w:pStyle w:val="TOC2"/>
        <w:rPr>
          <w:rFonts w:asciiTheme="minorHAnsi" w:eastAsiaTheme="minorEastAsia" w:hAnsiTheme="minorHAnsi"/>
          <w:lang w:eastAsia="en-AU"/>
        </w:rPr>
      </w:pPr>
      <w:hyperlink w:anchor="_Toc495351632" w:history="1">
        <w:r w:rsidR="00272B32" w:rsidRPr="00F47F94">
          <w:rPr>
            <w:rStyle w:val="Hyperlink"/>
          </w:rPr>
          <w:t>3.3</w:t>
        </w:r>
        <w:r w:rsidR="00272B32">
          <w:rPr>
            <w:rFonts w:asciiTheme="minorHAnsi" w:eastAsiaTheme="minorEastAsia" w:hAnsiTheme="minorHAnsi"/>
            <w:lang w:eastAsia="en-AU"/>
          </w:rPr>
          <w:tab/>
        </w:r>
        <w:r w:rsidR="00272B32" w:rsidRPr="00F47F94">
          <w:rPr>
            <w:rStyle w:val="Hyperlink"/>
          </w:rPr>
          <w:t>Other features of the auction product</w:t>
        </w:r>
        <w:r w:rsidR="00272B32">
          <w:rPr>
            <w:webHidden/>
          </w:rPr>
          <w:tab/>
        </w:r>
        <w:r w:rsidR="00272B32">
          <w:rPr>
            <w:webHidden/>
          </w:rPr>
          <w:fldChar w:fldCharType="begin"/>
        </w:r>
        <w:r w:rsidR="00272B32">
          <w:rPr>
            <w:webHidden/>
          </w:rPr>
          <w:instrText xml:space="preserve"> PAGEREF _Toc495351632 \h </w:instrText>
        </w:r>
        <w:r w:rsidR="00272B32">
          <w:rPr>
            <w:webHidden/>
          </w:rPr>
        </w:r>
        <w:r w:rsidR="00272B32">
          <w:rPr>
            <w:webHidden/>
          </w:rPr>
          <w:fldChar w:fldCharType="separate"/>
        </w:r>
        <w:r w:rsidR="00272B32">
          <w:rPr>
            <w:webHidden/>
          </w:rPr>
          <w:t>40</w:t>
        </w:r>
        <w:r w:rsidR="00272B32">
          <w:rPr>
            <w:webHidden/>
          </w:rPr>
          <w:fldChar w:fldCharType="end"/>
        </w:r>
      </w:hyperlink>
    </w:p>
    <w:p w14:paraId="01B9EB82" w14:textId="4B8DAF85" w:rsidR="00272B32" w:rsidRDefault="00610057">
      <w:pPr>
        <w:pStyle w:val="TOC2"/>
        <w:rPr>
          <w:rFonts w:asciiTheme="minorHAnsi" w:eastAsiaTheme="minorEastAsia" w:hAnsiTheme="minorHAnsi"/>
          <w:lang w:eastAsia="en-AU"/>
        </w:rPr>
      </w:pPr>
      <w:hyperlink w:anchor="_Toc495351633" w:history="1">
        <w:r w:rsidR="00272B32" w:rsidRPr="00F47F94">
          <w:rPr>
            <w:rStyle w:val="Hyperlink"/>
          </w:rPr>
          <w:t>3.4</w:t>
        </w:r>
        <w:r w:rsidR="00272B32">
          <w:rPr>
            <w:rFonts w:asciiTheme="minorHAnsi" w:eastAsiaTheme="minorEastAsia" w:hAnsiTheme="minorHAnsi"/>
            <w:lang w:eastAsia="en-AU"/>
          </w:rPr>
          <w:tab/>
        </w:r>
        <w:r w:rsidR="00272B32" w:rsidRPr="00F47F94">
          <w:rPr>
            <w:rStyle w:val="Hyperlink"/>
          </w:rPr>
          <w:t>Zonal versus point-to-point auction products</w:t>
        </w:r>
        <w:r w:rsidR="00272B32">
          <w:rPr>
            <w:webHidden/>
          </w:rPr>
          <w:tab/>
        </w:r>
        <w:r w:rsidR="00272B32">
          <w:rPr>
            <w:webHidden/>
          </w:rPr>
          <w:fldChar w:fldCharType="begin"/>
        </w:r>
        <w:r w:rsidR="00272B32">
          <w:rPr>
            <w:webHidden/>
          </w:rPr>
          <w:instrText xml:space="preserve"> PAGEREF _Toc495351633 \h </w:instrText>
        </w:r>
        <w:r w:rsidR="00272B32">
          <w:rPr>
            <w:webHidden/>
          </w:rPr>
        </w:r>
        <w:r w:rsidR="00272B32">
          <w:rPr>
            <w:webHidden/>
          </w:rPr>
          <w:fldChar w:fldCharType="separate"/>
        </w:r>
        <w:r w:rsidR="00272B32">
          <w:rPr>
            <w:webHidden/>
          </w:rPr>
          <w:t>41</w:t>
        </w:r>
        <w:r w:rsidR="00272B32">
          <w:rPr>
            <w:webHidden/>
          </w:rPr>
          <w:fldChar w:fldCharType="end"/>
        </w:r>
      </w:hyperlink>
    </w:p>
    <w:p w14:paraId="548C7FEB" w14:textId="0C05B930" w:rsidR="00272B32" w:rsidRDefault="00610057">
      <w:pPr>
        <w:pStyle w:val="TOC2"/>
        <w:rPr>
          <w:rFonts w:asciiTheme="minorHAnsi" w:eastAsiaTheme="minorEastAsia" w:hAnsiTheme="minorHAnsi"/>
          <w:lang w:eastAsia="en-AU"/>
        </w:rPr>
      </w:pPr>
      <w:hyperlink w:anchor="_Toc495351634" w:history="1">
        <w:r w:rsidR="00272B32" w:rsidRPr="00F47F94">
          <w:rPr>
            <w:rStyle w:val="Hyperlink"/>
          </w:rPr>
          <w:t>3.5</w:t>
        </w:r>
        <w:r w:rsidR="00272B32">
          <w:rPr>
            <w:rFonts w:asciiTheme="minorHAnsi" w:eastAsiaTheme="minorEastAsia" w:hAnsiTheme="minorHAnsi"/>
            <w:lang w:eastAsia="en-AU"/>
          </w:rPr>
          <w:tab/>
        </w:r>
        <w:r w:rsidR="00272B32" w:rsidRPr="00F47F94">
          <w:rPr>
            <w:rStyle w:val="Hyperlink"/>
          </w:rPr>
          <w:t>Summary of the GMRG’s preliminary view on product design</w:t>
        </w:r>
        <w:r w:rsidR="00272B32">
          <w:rPr>
            <w:webHidden/>
          </w:rPr>
          <w:tab/>
        </w:r>
        <w:r w:rsidR="00272B32">
          <w:rPr>
            <w:webHidden/>
          </w:rPr>
          <w:fldChar w:fldCharType="begin"/>
        </w:r>
        <w:r w:rsidR="00272B32">
          <w:rPr>
            <w:webHidden/>
          </w:rPr>
          <w:instrText xml:space="preserve"> PAGEREF _Toc495351634 \h </w:instrText>
        </w:r>
        <w:r w:rsidR="00272B32">
          <w:rPr>
            <w:webHidden/>
          </w:rPr>
        </w:r>
        <w:r w:rsidR="00272B32">
          <w:rPr>
            <w:webHidden/>
          </w:rPr>
          <w:fldChar w:fldCharType="separate"/>
        </w:r>
        <w:r w:rsidR="00272B32">
          <w:rPr>
            <w:webHidden/>
          </w:rPr>
          <w:t>43</w:t>
        </w:r>
        <w:r w:rsidR="00272B32">
          <w:rPr>
            <w:webHidden/>
          </w:rPr>
          <w:fldChar w:fldCharType="end"/>
        </w:r>
      </w:hyperlink>
    </w:p>
    <w:p w14:paraId="2D1432DC" w14:textId="3E560BA6" w:rsidR="00272B32" w:rsidRDefault="00610057">
      <w:pPr>
        <w:pStyle w:val="TOC1"/>
        <w:rPr>
          <w:rFonts w:asciiTheme="minorHAnsi" w:eastAsiaTheme="minorEastAsia" w:hAnsiTheme="minorHAnsi"/>
          <w:b w:val="0"/>
          <w:lang w:eastAsia="en-AU"/>
        </w:rPr>
      </w:pPr>
      <w:hyperlink w:anchor="_Toc495351635" w:history="1">
        <w:r w:rsidR="00272B32" w:rsidRPr="00F47F94">
          <w:rPr>
            <w:rStyle w:val="Hyperlink"/>
          </w:rPr>
          <w:t>4.</w:t>
        </w:r>
        <w:r w:rsidR="00272B32">
          <w:rPr>
            <w:rFonts w:asciiTheme="minorHAnsi" w:eastAsiaTheme="minorEastAsia" w:hAnsiTheme="minorHAnsi"/>
            <w:b w:val="0"/>
            <w:lang w:eastAsia="en-AU"/>
          </w:rPr>
          <w:tab/>
        </w:r>
        <w:r w:rsidR="00272B32" w:rsidRPr="00F47F94">
          <w:rPr>
            <w:rStyle w:val="Hyperlink"/>
          </w:rPr>
          <w:t>Auction Design</w:t>
        </w:r>
        <w:r w:rsidR="00272B32">
          <w:rPr>
            <w:webHidden/>
          </w:rPr>
          <w:tab/>
        </w:r>
        <w:r w:rsidR="00272B32">
          <w:rPr>
            <w:webHidden/>
          </w:rPr>
          <w:fldChar w:fldCharType="begin"/>
        </w:r>
        <w:r w:rsidR="00272B32">
          <w:rPr>
            <w:webHidden/>
          </w:rPr>
          <w:instrText xml:space="preserve"> PAGEREF _Toc495351635 \h </w:instrText>
        </w:r>
        <w:r w:rsidR="00272B32">
          <w:rPr>
            <w:webHidden/>
          </w:rPr>
        </w:r>
        <w:r w:rsidR="00272B32">
          <w:rPr>
            <w:webHidden/>
          </w:rPr>
          <w:fldChar w:fldCharType="separate"/>
        </w:r>
        <w:r w:rsidR="00272B32">
          <w:rPr>
            <w:webHidden/>
          </w:rPr>
          <w:t>45</w:t>
        </w:r>
        <w:r w:rsidR="00272B32">
          <w:rPr>
            <w:webHidden/>
          </w:rPr>
          <w:fldChar w:fldCharType="end"/>
        </w:r>
      </w:hyperlink>
    </w:p>
    <w:p w14:paraId="7AEFE19C" w14:textId="67FC5568" w:rsidR="00272B32" w:rsidRDefault="00610057">
      <w:pPr>
        <w:pStyle w:val="TOC2"/>
        <w:rPr>
          <w:rFonts w:asciiTheme="minorHAnsi" w:eastAsiaTheme="minorEastAsia" w:hAnsiTheme="minorHAnsi"/>
          <w:lang w:eastAsia="en-AU"/>
        </w:rPr>
      </w:pPr>
      <w:hyperlink w:anchor="_Toc495351636" w:history="1">
        <w:r w:rsidR="00272B32" w:rsidRPr="00F47F94">
          <w:rPr>
            <w:rStyle w:val="Hyperlink"/>
          </w:rPr>
          <w:t>4.1</w:t>
        </w:r>
        <w:r w:rsidR="00272B32">
          <w:rPr>
            <w:rFonts w:asciiTheme="minorHAnsi" w:eastAsiaTheme="minorEastAsia" w:hAnsiTheme="minorHAnsi"/>
            <w:lang w:eastAsia="en-AU"/>
          </w:rPr>
          <w:tab/>
        </w:r>
        <w:r w:rsidR="00272B32" w:rsidRPr="00F47F94">
          <w:rPr>
            <w:rStyle w:val="Hyperlink"/>
          </w:rPr>
          <w:t>Auction quantity</w:t>
        </w:r>
        <w:r w:rsidR="00272B32">
          <w:rPr>
            <w:webHidden/>
          </w:rPr>
          <w:tab/>
        </w:r>
        <w:r w:rsidR="00272B32">
          <w:rPr>
            <w:webHidden/>
          </w:rPr>
          <w:fldChar w:fldCharType="begin"/>
        </w:r>
        <w:r w:rsidR="00272B32">
          <w:rPr>
            <w:webHidden/>
          </w:rPr>
          <w:instrText xml:space="preserve"> PAGEREF _Toc495351636 \h </w:instrText>
        </w:r>
        <w:r w:rsidR="00272B32">
          <w:rPr>
            <w:webHidden/>
          </w:rPr>
        </w:r>
        <w:r w:rsidR="00272B32">
          <w:rPr>
            <w:webHidden/>
          </w:rPr>
          <w:fldChar w:fldCharType="separate"/>
        </w:r>
        <w:r w:rsidR="00272B32">
          <w:rPr>
            <w:webHidden/>
          </w:rPr>
          <w:t>45</w:t>
        </w:r>
        <w:r w:rsidR="00272B32">
          <w:rPr>
            <w:webHidden/>
          </w:rPr>
          <w:fldChar w:fldCharType="end"/>
        </w:r>
      </w:hyperlink>
    </w:p>
    <w:p w14:paraId="5FAF06A5" w14:textId="43A184AD" w:rsidR="00272B32" w:rsidRDefault="00610057">
      <w:pPr>
        <w:pStyle w:val="TOC2"/>
        <w:rPr>
          <w:rFonts w:asciiTheme="minorHAnsi" w:eastAsiaTheme="minorEastAsia" w:hAnsiTheme="minorHAnsi"/>
          <w:lang w:eastAsia="en-AU"/>
        </w:rPr>
      </w:pPr>
      <w:hyperlink w:anchor="_Toc495351637" w:history="1">
        <w:r w:rsidR="00272B32" w:rsidRPr="00F47F94">
          <w:rPr>
            <w:rStyle w:val="Hyperlink"/>
          </w:rPr>
          <w:t>4.2</w:t>
        </w:r>
        <w:r w:rsidR="00272B32">
          <w:rPr>
            <w:rFonts w:asciiTheme="minorHAnsi" w:eastAsiaTheme="minorEastAsia" w:hAnsiTheme="minorHAnsi"/>
            <w:lang w:eastAsia="en-AU"/>
          </w:rPr>
          <w:tab/>
        </w:r>
        <w:r w:rsidR="00272B32" w:rsidRPr="00F47F94">
          <w:rPr>
            <w:rStyle w:val="Hyperlink"/>
          </w:rPr>
          <w:t>Auction format</w:t>
        </w:r>
        <w:r w:rsidR="00272B32">
          <w:rPr>
            <w:webHidden/>
          </w:rPr>
          <w:tab/>
        </w:r>
        <w:r w:rsidR="00272B32">
          <w:rPr>
            <w:webHidden/>
          </w:rPr>
          <w:fldChar w:fldCharType="begin"/>
        </w:r>
        <w:r w:rsidR="00272B32">
          <w:rPr>
            <w:webHidden/>
          </w:rPr>
          <w:instrText xml:space="preserve"> PAGEREF _Toc495351637 \h </w:instrText>
        </w:r>
        <w:r w:rsidR="00272B32">
          <w:rPr>
            <w:webHidden/>
          </w:rPr>
        </w:r>
        <w:r w:rsidR="00272B32">
          <w:rPr>
            <w:webHidden/>
          </w:rPr>
          <w:fldChar w:fldCharType="separate"/>
        </w:r>
        <w:r w:rsidR="00272B32">
          <w:rPr>
            <w:webHidden/>
          </w:rPr>
          <w:t>49</w:t>
        </w:r>
        <w:r w:rsidR="00272B32">
          <w:rPr>
            <w:webHidden/>
          </w:rPr>
          <w:fldChar w:fldCharType="end"/>
        </w:r>
      </w:hyperlink>
    </w:p>
    <w:p w14:paraId="589ED436" w14:textId="33AC02C6" w:rsidR="00272B32" w:rsidRDefault="00610057">
      <w:pPr>
        <w:pStyle w:val="TOC2"/>
        <w:rPr>
          <w:rFonts w:asciiTheme="minorHAnsi" w:eastAsiaTheme="minorEastAsia" w:hAnsiTheme="minorHAnsi"/>
          <w:lang w:eastAsia="en-AU"/>
        </w:rPr>
      </w:pPr>
      <w:hyperlink w:anchor="_Toc495351638" w:history="1">
        <w:r w:rsidR="00272B32" w:rsidRPr="00F47F94">
          <w:rPr>
            <w:rStyle w:val="Hyperlink"/>
          </w:rPr>
          <w:t>4.3</w:t>
        </w:r>
        <w:r w:rsidR="00272B32">
          <w:rPr>
            <w:rFonts w:asciiTheme="minorHAnsi" w:eastAsiaTheme="minorEastAsia" w:hAnsiTheme="minorHAnsi"/>
            <w:lang w:eastAsia="en-AU"/>
          </w:rPr>
          <w:tab/>
        </w:r>
        <w:r w:rsidR="00272B32" w:rsidRPr="00F47F94">
          <w:rPr>
            <w:rStyle w:val="Hyperlink"/>
          </w:rPr>
          <w:t>Reserve price</w:t>
        </w:r>
        <w:r w:rsidR="00272B32">
          <w:rPr>
            <w:webHidden/>
          </w:rPr>
          <w:tab/>
        </w:r>
        <w:r w:rsidR="00272B32">
          <w:rPr>
            <w:webHidden/>
          </w:rPr>
          <w:fldChar w:fldCharType="begin"/>
        </w:r>
        <w:r w:rsidR="00272B32">
          <w:rPr>
            <w:webHidden/>
          </w:rPr>
          <w:instrText xml:space="preserve"> PAGEREF _Toc495351638 \h </w:instrText>
        </w:r>
        <w:r w:rsidR="00272B32">
          <w:rPr>
            <w:webHidden/>
          </w:rPr>
        </w:r>
        <w:r w:rsidR="00272B32">
          <w:rPr>
            <w:webHidden/>
          </w:rPr>
          <w:fldChar w:fldCharType="separate"/>
        </w:r>
        <w:r w:rsidR="00272B32">
          <w:rPr>
            <w:webHidden/>
          </w:rPr>
          <w:t>61</w:t>
        </w:r>
        <w:r w:rsidR="00272B32">
          <w:rPr>
            <w:webHidden/>
          </w:rPr>
          <w:fldChar w:fldCharType="end"/>
        </w:r>
      </w:hyperlink>
    </w:p>
    <w:p w14:paraId="60400783" w14:textId="68FDE9D3" w:rsidR="00272B32" w:rsidRDefault="00610057">
      <w:pPr>
        <w:pStyle w:val="TOC2"/>
        <w:rPr>
          <w:rFonts w:asciiTheme="minorHAnsi" w:eastAsiaTheme="minorEastAsia" w:hAnsiTheme="minorHAnsi"/>
          <w:lang w:eastAsia="en-AU"/>
        </w:rPr>
      </w:pPr>
      <w:hyperlink w:anchor="_Toc495351639" w:history="1">
        <w:r w:rsidR="00272B32" w:rsidRPr="00F47F94">
          <w:rPr>
            <w:rStyle w:val="Hyperlink"/>
          </w:rPr>
          <w:t>4.4</w:t>
        </w:r>
        <w:r w:rsidR="00272B32">
          <w:rPr>
            <w:rFonts w:asciiTheme="minorHAnsi" w:eastAsiaTheme="minorEastAsia" w:hAnsiTheme="minorHAnsi"/>
            <w:lang w:eastAsia="en-AU"/>
          </w:rPr>
          <w:tab/>
        </w:r>
        <w:r w:rsidR="00272B32" w:rsidRPr="00F47F94">
          <w:rPr>
            <w:rStyle w:val="Hyperlink"/>
          </w:rPr>
          <w:t>Pricing rule</w:t>
        </w:r>
        <w:r w:rsidR="00272B32">
          <w:rPr>
            <w:webHidden/>
          </w:rPr>
          <w:tab/>
        </w:r>
        <w:r w:rsidR="00272B32">
          <w:rPr>
            <w:webHidden/>
          </w:rPr>
          <w:fldChar w:fldCharType="begin"/>
        </w:r>
        <w:r w:rsidR="00272B32">
          <w:rPr>
            <w:webHidden/>
          </w:rPr>
          <w:instrText xml:space="preserve"> PAGEREF _Toc495351639 \h </w:instrText>
        </w:r>
        <w:r w:rsidR="00272B32">
          <w:rPr>
            <w:webHidden/>
          </w:rPr>
        </w:r>
        <w:r w:rsidR="00272B32">
          <w:rPr>
            <w:webHidden/>
          </w:rPr>
          <w:fldChar w:fldCharType="separate"/>
        </w:r>
        <w:r w:rsidR="00272B32">
          <w:rPr>
            <w:webHidden/>
          </w:rPr>
          <w:t>62</w:t>
        </w:r>
        <w:r w:rsidR="00272B32">
          <w:rPr>
            <w:webHidden/>
          </w:rPr>
          <w:fldChar w:fldCharType="end"/>
        </w:r>
      </w:hyperlink>
    </w:p>
    <w:p w14:paraId="136D1C03" w14:textId="6AB19454" w:rsidR="00272B32" w:rsidRDefault="00610057">
      <w:pPr>
        <w:pStyle w:val="TOC2"/>
        <w:rPr>
          <w:rFonts w:asciiTheme="minorHAnsi" w:eastAsiaTheme="minorEastAsia" w:hAnsiTheme="minorHAnsi"/>
          <w:lang w:eastAsia="en-AU"/>
        </w:rPr>
      </w:pPr>
      <w:hyperlink w:anchor="_Toc495351640" w:history="1">
        <w:r w:rsidR="00272B32" w:rsidRPr="00F47F94">
          <w:rPr>
            <w:rStyle w:val="Hyperlink"/>
          </w:rPr>
          <w:t>4.5</w:t>
        </w:r>
        <w:r w:rsidR="00272B32">
          <w:rPr>
            <w:rFonts w:asciiTheme="minorHAnsi" w:eastAsiaTheme="minorEastAsia" w:hAnsiTheme="minorHAnsi"/>
            <w:lang w:eastAsia="en-AU"/>
          </w:rPr>
          <w:tab/>
        </w:r>
        <w:r w:rsidR="00272B32" w:rsidRPr="00F47F94">
          <w:rPr>
            <w:rStyle w:val="Hyperlink"/>
          </w:rPr>
          <w:t>Determination of winning bidders</w:t>
        </w:r>
        <w:r w:rsidR="00272B32">
          <w:rPr>
            <w:webHidden/>
          </w:rPr>
          <w:tab/>
        </w:r>
        <w:r w:rsidR="00272B32">
          <w:rPr>
            <w:webHidden/>
          </w:rPr>
          <w:fldChar w:fldCharType="begin"/>
        </w:r>
        <w:r w:rsidR="00272B32">
          <w:rPr>
            <w:webHidden/>
          </w:rPr>
          <w:instrText xml:space="preserve"> PAGEREF _Toc495351640 \h </w:instrText>
        </w:r>
        <w:r w:rsidR="00272B32">
          <w:rPr>
            <w:webHidden/>
          </w:rPr>
        </w:r>
        <w:r w:rsidR="00272B32">
          <w:rPr>
            <w:webHidden/>
          </w:rPr>
          <w:fldChar w:fldCharType="separate"/>
        </w:r>
        <w:r w:rsidR="00272B32">
          <w:rPr>
            <w:webHidden/>
          </w:rPr>
          <w:t>65</w:t>
        </w:r>
        <w:r w:rsidR="00272B32">
          <w:rPr>
            <w:webHidden/>
          </w:rPr>
          <w:fldChar w:fldCharType="end"/>
        </w:r>
      </w:hyperlink>
    </w:p>
    <w:p w14:paraId="5BD85663" w14:textId="073544CA" w:rsidR="00272B32" w:rsidRDefault="00610057">
      <w:pPr>
        <w:pStyle w:val="TOC2"/>
        <w:rPr>
          <w:rFonts w:asciiTheme="minorHAnsi" w:eastAsiaTheme="minorEastAsia" w:hAnsiTheme="minorHAnsi"/>
          <w:lang w:eastAsia="en-AU"/>
        </w:rPr>
      </w:pPr>
      <w:hyperlink w:anchor="_Toc495351641" w:history="1">
        <w:r w:rsidR="00272B32" w:rsidRPr="00F47F94">
          <w:rPr>
            <w:rStyle w:val="Hyperlink"/>
          </w:rPr>
          <w:t>4.6</w:t>
        </w:r>
        <w:r w:rsidR="00272B32">
          <w:rPr>
            <w:rFonts w:asciiTheme="minorHAnsi" w:eastAsiaTheme="minorEastAsia" w:hAnsiTheme="minorHAnsi"/>
            <w:lang w:eastAsia="en-AU"/>
          </w:rPr>
          <w:tab/>
        </w:r>
        <w:r w:rsidR="00272B32" w:rsidRPr="00F47F94">
          <w:rPr>
            <w:rStyle w:val="Hyperlink"/>
          </w:rPr>
          <w:t>Treatment of curtailment on the gas day</w:t>
        </w:r>
        <w:r w:rsidR="00272B32">
          <w:rPr>
            <w:webHidden/>
          </w:rPr>
          <w:tab/>
        </w:r>
        <w:r w:rsidR="00272B32">
          <w:rPr>
            <w:webHidden/>
          </w:rPr>
          <w:fldChar w:fldCharType="begin"/>
        </w:r>
        <w:r w:rsidR="00272B32">
          <w:rPr>
            <w:webHidden/>
          </w:rPr>
          <w:instrText xml:space="preserve"> PAGEREF _Toc495351641 \h </w:instrText>
        </w:r>
        <w:r w:rsidR="00272B32">
          <w:rPr>
            <w:webHidden/>
          </w:rPr>
        </w:r>
        <w:r w:rsidR="00272B32">
          <w:rPr>
            <w:webHidden/>
          </w:rPr>
          <w:fldChar w:fldCharType="separate"/>
        </w:r>
        <w:r w:rsidR="00272B32">
          <w:rPr>
            <w:webHidden/>
          </w:rPr>
          <w:t>66</w:t>
        </w:r>
        <w:r w:rsidR="00272B32">
          <w:rPr>
            <w:webHidden/>
          </w:rPr>
          <w:fldChar w:fldCharType="end"/>
        </w:r>
      </w:hyperlink>
    </w:p>
    <w:p w14:paraId="1576EFC1" w14:textId="2803673A" w:rsidR="00272B32" w:rsidRDefault="00610057">
      <w:pPr>
        <w:pStyle w:val="TOC2"/>
        <w:rPr>
          <w:rFonts w:asciiTheme="minorHAnsi" w:eastAsiaTheme="minorEastAsia" w:hAnsiTheme="minorHAnsi"/>
          <w:lang w:eastAsia="en-AU"/>
        </w:rPr>
      </w:pPr>
      <w:hyperlink w:anchor="_Toc495351642" w:history="1">
        <w:r w:rsidR="00272B32" w:rsidRPr="00F47F94">
          <w:rPr>
            <w:rStyle w:val="Hyperlink"/>
          </w:rPr>
          <w:t>4.7</w:t>
        </w:r>
        <w:r w:rsidR="00272B32">
          <w:rPr>
            <w:rFonts w:asciiTheme="minorHAnsi" w:eastAsiaTheme="minorEastAsia" w:hAnsiTheme="minorHAnsi"/>
            <w:lang w:eastAsia="en-AU"/>
          </w:rPr>
          <w:tab/>
        </w:r>
        <w:r w:rsidR="00272B32" w:rsidRPr="00F47F94">
          <w:rPr>
            <w:rStyle w:val="Hyperlink"/>
          </w:rPr>
          <w:t>Allocation of auction residue</w:t>
        </w:r>
        <w:r w:rsidR="00272B32">
          <w:rPr>
            <w:webHidden/>
          </w:rPr>
          <w:tab/>
        </w:r>
        <w:r w:rsidR="00272B32">
          <w:rPr>
            <w:webHidden/>
          </w:rPr>
          <w:fldChar w:fldCharType="begin"/>
        </w:r>
        <w:r w:rsidR="00272B32">
          <w:rPr>
            <w:webHidden/>
          </w:rPr>
          <w:instrText xml:space="preserve"> PAGEREF _Toc495351642 \h </w:instrText>
        </w:r>
        <w:r w:rsidR="00272B32">
          <w:rPr>
            <w:webHidden/>
          </w:rPr>
        </w:r>
        <w:r w:rsidR="00272B32">
          <w:rPr>
            <w:webHidden/>
          </w:rPr>
          <w:fldChar w:fldCharType="separate"/>
        </w:r>
        <w:r w:rsidR="00272B32">
          <w:rPr>
            <w:webHidden/>
          </w:rPr>
          <w:t>70</w:t>
        </w:r>
        <w:r w:rsidR="00272B32">
          <w:rPr>
            <w:webHidden/>
          </w:rPr>
          <w:fldChar w:fldCharType="end"/>
        </w:r>
      </w:hyperlink>
    </w:p>
    <w:p w14:paraId="0ED88626" w14:textId="17848F1C" w:rsidR="00272B32" w:rsidRDefault="00610057">
      <w:pPr>
        <w:pStyle w:val="TOC2"/>
        <w:rPr>
          <w:rFonts w:asciiTheme="minorHAnsi" w:eastAsiaTheme="minorEastAsia" w:hAnsiTheme="minorHAnsi"/>
          <w:lang w:eastAsia="en-AU"/>
        </w:rPr>
      </w:pPr>
      <w:hyperlink w:anchor="_Toc495351643" w:history="1">
        <w:r w:rsidR="00272B32" w:rsidRPr="00F47F94">
          <w:rPr>
            <w:rStyle w:val="Hyperlink"/>
          </w:rPr>
          <w:t>4.8</w:t>
        </w:r>
        <w:r w:rsidR="00272B32">
          <w:rPr>
            <w:rFonts w:asciiTheme="minorHAnsi" w:eastAsiaTheme="minorEastAsia" w:hAnsiTheme="minorHAnsi"/>
            <w:lang w:eastAsia="en-AU"/>
          </w:rPr>
          <w:tab/>
        </w:r>
        <w:r w:rsidR="00272B32" w:rsidRPr="00F47F94">
          <w:rPr>
            <w:rStyle w:val="Hyperlink"/>
          </w:rPr>
          <w:t>Information available to auction participants</w:t>
        </w:r>
        <w:r w:rsidR="00272B32">
          <w:rPr>
            <w:webHidden/>
          </w:rPr>
          <w:tab/>
        </w:r>
        <w:r w:rsidR="00272B32">
          <w:rPr>
            <w:webHidden/>
          </w:rPr>
          <w:fldChar w:fldCharType="begin"/>
        </w:r>
        <w:r w:rsidR="00272B32">
          <w:rPr>
            <w:webHidden/>
          </w:rPr>
          <w:instrText xml:space="preserve"> PAGEREF _Toc495351643 \h </w:instrText>
        </w:r>
        <w:r w:rsidR="00272B32">
          <w:rPr>
            <w:webHidden/>
          </w:rPr>
        </w:r>
        <w:r w:rsidR="00272B32">
          <w:rPr>
            <w:webHidden/>
          </w:rPr>
          <w:fldChar w:fldCharType="separate"/>
        </w:r>
        <w:r w:rsidR="00272B32">
          <w:rPr>
            <w:webHidden/>
          </w:rPr>
          <w:t>72</w:t>
        </w:r>
        <w:r w:rsidR="00272B32">
          <w:rPr>
            <w:webHidden/>
          </w:rPr>
          <w:fldChar w:fldCharType="end"/>
        </w:r>
      </w:hyperlink>
    </w:p>
    <w:p w14:paraId="239F1AC6" w14:textId="40836B42" w:rsidR="00272B32" w:rsidRDefault="00610057">
      <w:pPr>
        <w:pStyle w:val="TOC2"/>
        <w:rPr>
          <w:rFonts w:asciiTheme="minorHAnsi" w:eastAsiaTheme="minorEastAsia" w:hAnsiTheme="minorHAnsi"/>
          <w:lang w:eastAsia="en-AU"/>
        </w:rPr>
      </w:pPr>
      <w:hyperlink w:anchor="_Toc495351644" w:history="1">
        <w:r w:rsidR="00272B32" w:rsidRPr="00F47F94">
          <w:rPr>
            <w:rStyle w:val="Hyperlink"/>
          </w:rPr>
          <w:t>4.9</w:t>
        </w:r>
        <w:r w:rsidR="00272B32">
          <w:rPr>
            <w:rFonts w:asciiTheme="minorHAnsi" w:eastAsiaTheme="minorEastAsia" w:hAnsiTheme="minorHAnsi"/>
            <w:lang w:eastAsia="en-AU"/>
          </w:rPr>
          <w:tab/>
        </w:r>
        <w:r w:rsidR="00272B32" w:rsidRPr="00F47F94">
          <w:rPr>
            <w:rStyle w:val="Hyperlink"/>
          </w:rPr>
          <w:t>Auction timing</w:t>
        </w:r>
        <w:r w:rsidR="00272B32">
          <w:rPr>
            <w:webHidden/>
          </w:rPr>
          <w:tab/>
        </w:r>
        <w:r w:rsidR="00272B32">
          <w:rPr>
            <w:webHidden/>
          </w:rPr>
          <w:fldChar w:fldCharType="begin"/>
        </w:r>
        <w:r w:rsidR="00272B32">
          <w:rPr>
            <w:webHidden/>
          </w:rPr>
          <w:instrText xml:space="preserve"> PAGEREF _Toc495351644 \h </w:instrText>
        </w:r>
        <w:r w:rsidR="00272B32">
          <w:rPr>
            <w:webHidden/>
          </w:rPr>
        </w:r>
        <w:r w:rsidR="00272B32">
          <w:rPr>
            <w:webHidden/>
          </w:rPr>
          <w:fldChar w:fldCharType="separate"/>
        </w:r>
        <w:r w:rsidR="00272B32">
          <w:rPr>
            <w:webHidden/>
          </w:rPr>
          <w:t>73</w:t>
        </w:r>
        <w:r w:rsidR="00272B32">
          <w:rPr>
            <w:webHidden/>
          </w:rPr>
          <w:fldChar w:fldCharType="end"/>
        </w:r>
      </w:hyperlink>
    </w:p>
    <w:p w14:paraId="29D2F5E6" w14:textId="693D5822" w:rsidR="00272B32" w:rsidRDefault="00610057">
      <w:pPr>
        <w:pStyle w:val="TOC2"/>
        <w:rPr>
          <w:rFonts w:asciiTheme="minorHAnsi" w:eastAsiaTheme="minorEastAsia" w:hAnsiTheme="minorHAnsi"/>
          <w:lang w:eastAsia="en-AU"/>
        </w:rPr>
      </w:pPr>
      <w:hyperlink w:anchor="_Toc495351645" w:history="1">
        <w:r w:rsidR="00272B32" w:rsidRPr="00F47F94">
          <w:rPr>
            <w:rStyle w:val="Hyperlink"/>
          </w:rPr>
          <w:t>4.10</w:t>
        </w:r>
        <w:r w:rsidR="00272B32">
          <w:rPr>
            <w:rFonts w:asciiTheme="minorHAnsi" w:eastAsiaTheme="minorEastAsia" w:hAnsiTheme="minorHAnsi"/>
            <w:lang w:eastAsia="en-AU"/>
          </w:rPr>
          <w:tab/>
        </w:r>
        <w:r w:rsidR="00272B32" w:rsidRPr="00F47F94">
          <w:rPr>
            <w:rStyle w:val="Hyperlink"/>
          </w:rPr>
          <w:t>Summary of the GMRG’s preliminary view on auction design</w:t>
        </w:r>
        <w:r w:rsidR="00272B32">
          <w:rPr>
            <w:webHidden/>
          </w:rPr>
          <w:tab/>
        </w:r>
        <w:r w:rsidR="00272B32">
          <w:rPr>
            <w:webHidden/>
          </w:rPr>
          <w:fldChar w:fldCharType="begin"/>
        </w:r>
        <w:r w:rsidR="00272B32">
          <w:rPr>
            <w:webHidden/>
          </w:rPr>
          <w:instrText xml:space="preserve"> PAGEREF _Toc495351645 \h </w:instrText>
        </w:r>
        <w:r w:rsidR="00272B32">
          <w:rPr>
            <w:webHidden/>
          </w:rPr>
        </w:r>
        <w:r w:rsidR="00272B32">
          <w:rPr>
            <w:webHidden/>
          </w:rPr>
          <w:fldChar w:fldCharType="separate"/>
        </w:r>
        <w:r w:rsidR="00272B32">
          <w:rPr>
            <w:webHidden/>
          </w:rPr>
          <w:t>75</w:t>
        </w:r>
        <w:r w:rsidR="00272B32">
          <w:rPr>
            <w:webHidden/>
          </w:rPr>
          <w:fldChar w:fldCharType="end"/>
        </w:r>
      </w:hyperlink>
    </w:p>
    <w:p w14:paraId="1D303579" w14:textId="01471955" w:rsidR="00272B32" w:rsidRDefault="00610057">
      <w:pPr>
        <w:pStyle w:val="TOC1"/>
        <w:rPr>
          <w:rFonts w:asciiTheme="minorHAnsi" w:eastAsiaTheme="minorEastAsia" w:hAnsiTheme="minorHAnsi"/>
          <w:b w:val="0"/>
          <w:lang w:eastAsia="en-AU"/>
        </w:rPr>
      </w:pPr>
      <w:hyperlink w:anchor="_Toc495351646" w:history="1">
        <w:r w:rsidR="00272B32" w:rsidRPr="00F47F94">
          <w:rPr>
            <w:rStyle w:val="Hyperlink"/>
          </w:rPr>
          <w:t>5.</w:t>
        </w:r>
        <w:r w:rsidR="00272B32">
          <w:rPr>
            <w:rFonts w:asciiTheme="minorHAnsi" w:eastAsiaTheme="minorEastAsia" w:hAnsiTheme="minorHAnsi"/>
            <w:b w:val="0"/>
            <w:lang w:eastAsia="en-AU"/>
          </w:rPr>
          <w:tab/>
        </w:r>
        <w:r w:rsidR="00272B32" w:rsidRPr="00F47F94">
          <w:rPr>
            <w:rStyle w:val="Hyperlink"/>
          </w:rPr>
          <w:t>Coverage of the Auction</w:t>
        </w:r>
        <w:r w:rsidR="00272B32">
          <w:rPr>
            <w:webHidden/>
          </w:rPr>
          <w:tab/>
        </w:r>
        <w:r w:rsidR="00272B32">
          <w:rPr>
            <w:webHidden/>
          </w:rPr>
          <w:fldChar w:fldCharType="begin"/>
        </w:r>
        <w:r w:rsidR="00272B32">
          <w:rPr>
            <w:webHidden/>
          </w:rPr>
          <w:instrText xml:space="preserve"> PAGEREF _Toc495351646 \h </w:instrText>
        </w:r>
        <w:r w:rsidR="00272B32">
          <w:rPr>
            <w:webHidden/>
          </w:rPr>
        </w:r>
        <w:r w:rsidR="00272B32">
          <w:rPr>
            <w:webHidden/>
          </w:rPr>
          <w:fldChar w:fldCharType="separate"/>
        </w:r>
        <w:r w:rsidR="00272B32">
          <w:rPr>
            <w:webHidden/>
          </w:rPr>
          <w:t>76</w:t>
        </w:r>
        <w:r w:rsidR="00272B32">
          <w:rPr>
            <w:webHidden/>
          </w:rPr>
          <w:fldChar w:fldCharType="end"/>
        </w:r>
      </w:hyperlink>
    </w:p>
    <w:p w14:paraId="5D803048" w14:textId="38106B1A" w:rsidR="00272B32" w:rsidRDefault="00610057">
      <w:pPr>
        <w:pStyle w:val="TOC2"/>
        <w:rPr>
          <w:rFonts w:asciiTheme="minorHAnsi" w:eastAsiaTheme="minorEastAsia" w:hAnsiTheme="minorHAnsi"/>
          <w:lang w:eastAsia="en-AU"/>
        </w:rPr>
      </w:pPr>
      <w:hyperlink w:anchor="_Toc495351647" w:history="1">
        <w:r w:rsidR="00272B32" w:rsidRPr="00F47F94">
          <w:rPr>
            <w:rStyle w:val="Hyperlink"/>
          </w:rPr>
          <w:t>5.1</w:t>
        </w:r>
        <w:r w:rsidR="00272B32">
          <w:rPr>
            <w:rFonts w:asciiTheme="minorHAnsi" w:eastAsiaTheme="minorEastAsia" w:hAnsiTheme="minorHAnsi"/>
            <w:lang w:eastAsia="en-AU"/>
          </w:rPr>
          <w:tab/>
        </w:r>
        <w:r w:rsidR="00272B32" w:rsidRPr="00F47F94">
          <w:rPr>
            <w:rStyle w:val="Hyperlink"/>
          </w:rPr>
          <w:t>Coverage and exemption options identified by project teams</w:t>
        </w:r>
        <w:r w:rsidR="00272B32">
          <w:rPr>
            <w:webHidden/>
          </w:rPr>
          <w:tab/>
        </w:r>
        <w:r w:rsidR="00272B32">
          <w:rPr>
            <w:webHidden/>
          </w:rPr>
          <w:fldChar w:fldCharType="begin"/>
        </w:r>
        <w:r w:rsidR="00272B32">
          <w:rPr>
            <w:webHidden/>
          </w:rPr>
          <w:instrText xml:space="preserve"> PAGEREF _Toc495351647 \h </w:instrText>
        </w:r>
        <w:r w:rsidR="00272B32">
          <w:rPr>
            <w:webHidden/>
          </w:rPr>
        </w:r>
        <w:r w:rsidR="00272B32">
          <w:rPr>
            <w:webHidden/>
          </w:rPr>
          <w:fldChar w:fldCharType="separate"/>
        </w:r>
        <w:r w:rsidR="00272B32">
          <w:rPr>
            <w:webHidden/>
          </w:rPr>
          <w:t>77</w:t>
        </w:r>
        <w:r w:rsidR="00272B32">
          <w:rPr>
            <w:webHidden/>
          </w:rPr>
          <w:fldChar w:fldCharType="end"/>
        </w:r>
      </w:hyperlink>
    </w:p>
    <w:p w14:paraId="19C92562" w14:textId="5B34D61B" w:rsidR="00272B32" w:rsidRDefault="00610057">
      <w:pPr>
        <w:pStyle w:val="TOC2"/>
        <w:rPr>
          <w:rFonts w:asciiTheme="minorHAnsi" w:eastAsiaTheme="minorEastAsia" w:hAnsiTheme="minorHAnsi"/>
          <w:lang w:eastAsia="en-AU"/>
        </w:rPr>
      </w:pPr>
      <w:hyperlink w:anchor="_Toc495351648" w:history="1">
        <w:r w:rsidR="00272B32" w:rsidRPr="00F47F94">
          <w:rPr>
            <w:rStyle w:val="Hyperlink"/>
          </w:rPr>
          <w:t>5.2</w:t>
        </w:r>
        <w:r w:rsidR="00272B32">
          <w:rPr>
            <w:rFonts w:asciiTheme="minorHAnsi" w:eastAsiaTheme="minorEastAsia" w:hAnsiTheme="minorHAnsi"/>
            <w:lang w:eastAsia="en-AU"/>
          </w:rPr>
          <w:tab/>
        </w:r>
        <w:r w:rsidR="00272B32" w:rsidRPr="00F47F94">
          <w:rPr>
            <w:rStyle w:val="Hyperlink"/>
          </w:rPr>
          <w:t>Coverage options identified by NERA</w:t>
        </w:r>
        <w:r w:rsidR="00272B32">
          <w:rPr>
            <w:webHidden/>
          </w:rPr>
          <w:tab/>
        </w:r>
        <w:r w:rsidR="00272B32">
          <w:rPr>
            <w:webHidden/>
          </w:rPr>
          <w:fldChar w:fldCharType="begin"/>
        </w:r>
        <w:r w:rsidR="00272B32">
          <w:rPr>
            <w:webHidden/>
          </w:rPr>
          <w:instrText xml:space="preserve"> PAGEREF _Toc495351648 \h </w:instrText>
        </w:r>
        <w:r w:rsidR="00272B32">
          <w:rPr>
            <w:webHidden/>
          </w:rPr>
        </w:r>
        <w:r w:rsidR="00272B32">
          <w:rPr>
            <w:webHidden/>
          </w:rPr>
          <w:fldChar w:fldCharType="separate"/>
        </w:r>
        <w:r w:rsidR="00272B32">
          <w:rPr>
            <w:webHidden/>
          </w:rPr>
          <w:t>79</w:t>
        </w:r>
        <w:r w:rsidR="00272B32">
          <w:rPr>
            <w:webHidden/>
          </w:rPr>
          <w:fldChar w:fldCharType="end"/>
        </w:r>
      </w:hyperlink>
    </w:p>
    <w:p w14:paraId="54ABD14E" w14:textId="68DB10B2" w:rsidR="00272B32" w:rsidRDefault="00610057">
      <w:pPr>
        <w:pStyle w:val="TOC2"/>
        <w:rPr>
          <w:rFonts w:asciiTheme="minorHAnsi" w:eastAsiaTheme="minorEastAsia" w:hAnsiTheme="minorHAnsi"/>
          <w:lang w:eastAsia="en-AU"/>
        </w:rPr>
      </w:pPr>
      <w:hyperlink w:anchor="_Toc495351649" w:history="1">
        <w:r w:rsidR="00272B32" w:rsidRPr="00F47F94">
          <w:rPr>
            <w:rStyle w:val="Hyperlink"/>
          </w:rPr>
          <w:t>5.3</w:t>
        </w:r>
        <w:r w:rsidR="00272B32">
          <w:rPr>
            <w:rFonts w:asciiTheme="minorHAnsi" w:eastAsiaTheme="minorEastAsia" w:hAnsiTheme="minorHAnsi"/>
            <w:lang w:eastAsia="en-AU"/>
          </w:rPr>
          <w:tab/>
        </w:r>
        <w:r w:rsidR="00272B32" w:rsidRPr="00F47F94">
          <w:rPr>
            <w:rStyle w:val="Hyperlink"/>
          </w:rPr>
          <w:t>Pipelines that would be subject to the auction if it is limited to contractually congested pipelines</w:t>
        </w:r>
        <w:r w:rsidR="00272B32">
          <w:rPr>
            <w:webHidden/>
          </w:rPr>
          <w:tab/>
        </w:r>
        <w:r w:rsidR="00272B32">
          <w:rPr>
            <w:webHidden/>
          </w:rPr>
          <w:fldChar w:fldCharType="begin"/>
        </w:r>
        <w:r w:rsidR="00272B32">
          <w:rPr>
            <w:webHidden/>
          </w:rPr>
          <w:instrText xml:space="preserve"> PAGEREF _Toc495351649 \h </w:instrText>
        </w:r>
        <w:r w:rsidR="00272B32">
          <w:rPr>
            <w:webHidden/>
          </w:rPr>
        </w:r>
        <w:r w:rsidR="00272B32">
          <w:rPr>
            <w:webHidden/>
          </w:rPr>
          <w:fldChar w:fldCharType="separate"/>
        </w:r>
        <w:r w:rsidR="00272B32">
          <w:rPr>
            <w:webHidden/>
          </w:rPr>
          <w:t>82</w:t>
        </w:r>
        <w:r w:rsidR="00272B32">
          <w:rPr>
            <w:webHidden/>
          </w:rPr>
          <w:fldChar w:fldCharType="end"/>
        </w:r>
      </w:hyperlink>
    </w:p>
    <w:p w14:paraId="5E8979B9" w14:textId="2D97FEA2" w:rsidR="00272B32" w:rsidRDefault="00610057">
      <w:pPr>
        <w:pStyle w:val="TOC2"/>
        <w:rPr>
          <w:rFonts w:asciiTheme="minorHAnsi" w:eastAsiaTheme="minorEastAsia" w:hAnsiTheme="minorHAnsi"/>
          <w:lang w:eastAsia="en-AU"/>
        </w:rPr>
      </w:pPr>
      <w:hyperlink w:anchor="_Toc495351650" w:history="1">
        <w:r w:rsidR="00272B32" w:rsidRPr="00F47F94">
          <w:rPr>
            <w:rStyle w:val="Hyperlink"/>
          </w:rPr>
          <w:t>5.4</w:t>
        </w:r>
        <w:r w:rsidR="00272B32">
          <w:rPr>
            <w:rFonts w:asciiTheme="minorHAnsi" w:eastAsiaTheme="minorEastAsia" w:hAnsiTheme="minorHAnsi"/>
            <w:lang w:eastAsia="en-AU"/>
          </w:rPr>
          <w:tab/>
        </w:r>
        <w:r w:rsidR="00272B32" w:rsidRPr="00F47F94">
          <w:rPr>
            <w:rStyle w:val="Hyperlink"/>
          </w:rPr>
          <w:t>GMRG’s preliminary view and questions</w:t>
        </w:r>
        <w:r w:rsidR="00272B32">
          <w:rPr>
            <w:webHidden/>
          </w:rPr>
          <w:tab/>
        </w:r>
        <w:r w:rsidR="00272B32">
          <w:rPr>
            <w:webHidden/>
          </w:rPr>
          <w:fldChar w:fldCharType="begin"/>
        </w:r>
        <w:r w:rsidR="00272B32">
          <w:rPr>
            <w:webHidden/>
          </w:rPr>
          <w:instrText xml:space="preserve"> PAGEREF _Toc495351650 \h </w:instrText>
        </w:r>
        <w:r w:rsidR="00272B32">
          <w:rPr>
            <w:webHidden/>
          </w:rPr>
        </w:r>
        <w:r w:rsidR="00272B32">
          <w:rPr>
            <w:webHidden/>
          </w:rPr>
          <w:fldChar w:fldCharType="separate"/>
        </w:r>
        <w:r w:rsidR="00272B32">
          <w:rPr>
            <w:webHidden/>
          </w:rPr>
          <w:t>84</w:t>
        </w:r>
        <w:r w:rsidR="00272B32">
          <w:rPr>
            <w:webHidden/>
          </w:rPr>
          <w:fldChar w:fldCharType="end"/>
        </w:r>
      </w:hyperlink>
    </w:p>
    <w:p w14:paraId="5B0F869F" w14:textId="642084DC" w:rsidR="00272B32" w:rsidRDefault="00610057">
      <w:pPr>
        <w:pStyle w:val="TOC1"/>
        <w:rPr>
          <w:rFonts w:asciiTheme="minorHAnsi" w:eastAsiaTheme="minorEastAsia" w:hAnsiTheme="minorHAnsi"/>
          <w:b w:val="0"/>
          <w:lang w:eastAsia="en-AU"/>
        </w:rPr>
      </w:pPr>
      <w:hyperlink w:anchor="_Toc495351651" w:history="1">
        <w:r w:rsidR="00272B32" w:rsidRPr="00F47F94">
          <w:rPr>
            <w:rStyle w:val="Hyperlink"/>
          </w:rPr>
          <w:t>6.</w:t>
        </w:r>
        <w:r w:rsidR="00272B32">
          <w:rPr>
            <w:rFonts w:asciiTheme="minorHAnsi" w:eastAsiaTheme="minorEastAsia" w:hAnsiTheme="minorHAnsi"/>
            <w:b w:val="0"/>
            <w:lang w:eastAsia="en-AU"/>
          </w:rPr>
          <w:tab/>
        </w:r>
        <w:r w:rsidR="00272B32" w:rsidRPr="00F47F94">
          <w:rPr>
            <w:rStyle w:val="Hyperlink"/>
          </w:rPr>
          <w:t>Design and Use of the Auction Platform</w:t>
        </w:r>
        <w:r w:rsidR="00272B32">
          <w:rPr>
            <w:webHidden/>
          </w:rPr>
          <w:tab/>
        </w:r>
        <w:r w:rsidR="00272B32">
          <w:rPr>
            <w:webHidden/>
          </w:rPr>
          <w:fldChar w:fldCharType="begin"/>
        </w:r>
        <w:r w:rsidR="00272B32">
          <w:rPr>
            <w:webHidden/>
          </w:rPr>
          <w:instrText xml:space="preserve"> PAGEREF _Toc495351651 \h </w:instrText>
        </w:r>
        <w:r w:rsidR="00272B32">
          <w:rPr>
            <w:webHidden/>
          </w:rPr>
        </w:r>
        <w:r w:rsidR="00272B32">
          <w:rPr>
            <w:webHidden/>
          </w:rPr>
          <w:fldChar w:fldCharType="separate"/>
        </w:r>
        <w:r w:rsidR="00272B32">
          <w:rPr>
            <w:webHidden/>
          </w:rPr>
          <w:t>87</w:t>
        </w:r>
        <w:r w:rsidR="00272B32">
          <w:rPr>
            <w:webHidden/>
          </w:rPr>
          <w:fldChar w:fldCharType="end"/>
        </w:r>
      </w:hyperlink>
    </w:p>
    <w:p w14:paraId="7DAC687C" w14:textId="79436E77" w:rsidR="00272B32" w:rsidRDefault="00610057">
      <w:pPr>
        <w:pStyle w:val="TOC2"/>
        <w:rPr>
          <w:rFonts w:asciiTheme="minorHAnsi" w:eastAsiaTheme="minorEastAsia" w:hAnsiTheme="minorHAnsi"/>
          <w:lang w:eastAsia="en-AU"/>
        </w:rPr>
      </w:pPr>
      <w:hyperlink w:anchor="_Toc495351652" w:history="1">
        <w:r w:rsidR="00272B32" w:rsidRPr="00F47F94">
          <w:rPr>
            <w:rStyle w:val="Hyperlink"/>
          </w:rPr>
          <w:t>6.1</w:t>
        </w:r>
        <w:r w:rsidR="00272B32">
          <w:rPr>
            <w:rFonts w:asciiTheme="minorHAnsi" w:eastAsiaTheme="minorEastAsia" w:hAnsiTheme="minorHAnsi"/>
            <w:lang w:eastAsia="en-AU"/>
          </w:rPr>
          <w:tab/>
        </w:r>
        <w:r w:rsidR="00272B32" w:rsidRPr="00F47F94">
          <w:rPr>
            <w:rStyle w:val="Hyperlink"/>
          </w:rPr>
          <w:t>Auction platform and systems</w:t>
        </w:r>
        <w:r w:rsidR="00272B32">
          <w:rPr>
            <w:webHidden/>
          </w:rPr>
          <w:tab/>
        </w:r>
        <w:r w:rsidR="00272B32">
          <w:rPr>
            <w:webHidden/>
          </w:rPr>
          <w:fldChar w:fldCharType="begin"/>
        </w:r>
        <w:r w:rsidR="00272B32">
          <w:rPr>
            <w:webHidden/>
          </w:rPr>
          <w:instrText xml:space="preserve"> PAGEREF _Toc495351652 \h </w:instrText>
        </w:r>
        <w:r w:rsidR="00272B32">
          <w:rPr>
            <w:webHidden/>
          </w:rPr>
        </w:r>
        <w:r w:rsidR="00272B32">
          <w:rPr>
            <w:webHidden/>
          </w:rPr>
          <w:fldChar w:fldCharType="separate"/>
        </w:r>
        <w:r w:rsidR="00272B32">
          <w:rPr>
            <w:webHidden/>
          </w:rPr>
          <w:t>87</w:t>
        </w:r>
        <w:r w:rsidR="00272B32">
          <w:rPr>
            <w:webHidden/>
          </w:rPr>
          <w:fldChar w:fldCharType="end"/>
        </w:r>
      </w:hyperlink>
    </w:p>
    <w:p w14:paraId="5A315E5F" w14:textId="303AE8ED" w:rsidR="00272B32" w:rsidRDefault="00610057">
      <w:pPr>
        <w:pStyle w:val="TOC2"/>
        <w:rPr>
          <w:rFonts w:asciiTheme="minorHAnsi" w:eastAsiaTheme="minorEastAsia" w:hAnsiTheme="minorHAnsi"/>
          <w:lang w:eastAsia="en-AU"/>
        </w:rPr>
      </w:pPr>
      <w:hyperlink w:anchor="_Toc495351653" w:history="1">
        <w:r w:rsidR="00272B32" w:rsidRPr="00F47F94">
          <w:rPr>
            <w:rStyle w:val="Hyperlink"/>
          </w:rPr>
          <w:t>6.2</w:t>
        </w:r>
        <w:r w:rsidR="00272B32">
          <w:rPr>
            <w:rFonts w:asciiTheme="minorHAnsi" w:eastAsiaTheme="minorEastAsia" w:hAnsiTheme="minorHAnsi"/>
            <w:lang w:eastAsia="en-AU"/>
          </w:rPr>
          <w:tab/>
        </w:r>
        <w:r w:rsidR="00272B32" w:rsidRPr="00F47F94">
          <w:rPr>
            <w:rStyle w:val="Hyperlink"/>
          </w:rPr>
          <w:t>Use of the Auction Platform</w:t>
        </w:r>
        <w:r w:rsidR="00272B32">
          <w:rPr>
            <w:webHidden/>
          </w:rPr>
          <w:tab/>
        </w:r>
        <w:r w:rsidR="00272B32">
          <w:rPr>
            <w:webHidden/>
          </w:rPr>
          <w:fldChar w:fldCharType="begin"/>
        </w:r>
        <w:r w:rsidR="00272B32">
          <w:rPr>
            <w:webHidden/>
          </w:rPr>
          <w:instrText xml:space="preserve"> PAGEREF _Toc495351653 \h </w:instrText>
        </w:r>
        <w:r w:rsidR="00272B32">
          <w:rPr>
            <w:webHidden/>
          </w:rPr>
        </w:r>
        <w:r w:rsidR="00272B32">
          <w:rPr>
            <w:webHidden/>
          </w:rPr>
          <w:fldChar w:fldCharType="separate"/>
        </w:r>
        <w:r w:rsidR="00272B32">
          <w:rPr>
            <w:webHidden/>
          </w:rPr>
          <w:t>88</w:t>
        </w:r>
        <w:r w:rsidR="00272B32">
          <w:rPr>
            <w:webHidden/>
          </w:rPr>
          <w:fldChar w:fldCharType="end"/>
        </w:r>
      </w:hyperlink>
    </w:p>
    <w:p w14:paraId="32FE5022" w14:textId="0CA08346" w:rsidR="00272B32" w:rsidRDefault="00610057">
      <w:pPr>
        <w:pStyle w:val="TOC2"/>
        <w:rPr>
          <w:rFonts w:asciiTheme="minorHAnsi" w:eastAsiaTheme="minorEastAsia" w:hAnsiTheme="minorHAnsi"/>
          <w:lang w:eastAsia="en-AU"/>
        </w:rPr>
      </w:pPr>
      <w:hyperlink w:anchor="_Toc495351654" w:history="1">
        <w:r w:rsidR="00272B32" w:rsidRPr="00F47F94">
          <w:rPr>
            <w:rStyle w:val="Hyperlink"/>
          </w:rPr>
          <w:t>6.3</w:t>
        </w:r>
        <w:r w:rsidR="00272B32">
          <w:rPr>
            <w:rFonts w:asciiTheme="minorHAnsi" w:eastAsiaTheme="minorEastAsia" w:hAnsiTheme="minorHAnsi"/>
            <w:lang w:eastAsia="en-AU"/>
          </w:rPr>
          <w:tab/>
        </w:r>
        <w:r w:rsidR="00272B32" w:rsidRPr="00F47F94">
          <w:rPr>
            <w:rStyle w:val="Hyperlink"/>
          </w:rPr>
          <w:t>Use of the STTM and DWGM by auction participants</w:t>
        </w:r>
        <w:r w:rsidR="00272B32">
          <w:rPr>
            <w:webHidden/>
          </w:rPr>
          <w:tab/>
        </w:r>
        <w:r w:rsidR="00272B32">
          <w:rPr>
            <w:webHidden/>
          </w:rPr>
          <w:fldChar w:fldCharType="begin"/>
        </w:r>
        <w:r w:rsidR="00272B32">
          <w:rPr>
            <w:webHidden/>
          </w:rPr>
          <w:instrText xml:space="preserve"> PAGEREF _Toc495351654 \h </w:instrText>
        </w:r>
        <w:r w:rsidR="00272B32">
          <w:rPr>
            <w:webHidden/>
          </w:rPr>
        </w:r>
        <w:r w:rsidR="00272B32">
          <w:rPr>
            <w:webHidden/>
          </w:rPr>
          <w:fldChar w:fldCharType="separate"/>
        </w:r>
        <w:r w:rsidR="00272B32">
          <w:rPr>
            <w:webHidden/>
          </w:rPr>
          <w:t>94</w:t>
        </w:r>
        <w:r w:rsidR="00272B32">
          <w:rPr>
            <w:webHidden/>
          </w:rPr>
          <w:fldChar w:fldCharType="end"/>
        </w:r>
      </w:hyperlink>
    </w:p>
    <w:p w14:paraId="6154F839" w14:textId="72AA998D" w:rsidR="00272B32" w:rsidRDefault="00610057">
      <w:pPr>
        <w:pStyle w:val="TOC1"/>
        <w:rPr>
          <w:rFonts w:asciiTheme="minorHAnsi" w:eastAsiaTheme="minorEastAsia" w:hAnsiTheme="minorHAnsi"/>
          <w:b w:val="0"/>
          <w:lang w:eastAsia="en-AU"/>
        </w:rPr>
      </w:pPr>
      <w:hyperlink w:anchor="_Toc495351655" w:history="1">
        <w:r w:rsidR="00272B32" w:rsidRPr="00F47F94">
          <w:rPr>
            <w:rStyle w:val="Hyperlink"/>
          </w:rPr>
          <w:t>7.</w:t>
        </w:r>
        <w:r w:rsidR="00272B32">
          <w:rPr>
            <w:rFonts w:asciiTheme="minorHAnsi" w:eastAsiaTheme="minorEastAsia" w:hAnsiTheme="minorHAnsi"/>
            <w:b w:val="0"/>
            <w:lang w:eastAsia="en-AU"/>
          </w:rPr>
          <w:tab/>
        </w:r>
        <w:r w:rsidR="00272B32" w:rsidRPr="00F47F94">
          <w:rPr>
            <w:rStyle w:val="Hyperlink"/>
          </w:rPr>
          <w:t>Legal and Governance Framework for the Auction</w:t>
        </w:r>
        <w:r w:rsidR="00272B32">
          <w:rPr>
            <w:webHidden/>
          </w:rPr>
          <w:tab/>
        </w:r>
        <w:r w:rsidR="00272B32">
          <w:rPr>
            <w:webHidden/>
          </w:rPr>
          <w:fldChar w:fldCharType="begin"/>
        </w:r>
        <w:r w:rsidR="00272B32">
          <w:rPr>
            <w:webHidden/>
          </w:rPr>
          <w:instrText xml:space="preserve"> PAGEREF _Toc495351655 \h </w:instrText>
        </w:r>
        <w:r w:rsidR="00272B32">
          <w:rPr>
            <w:webHidden/>
          </w:rPr>
        </w:r>
        <w:r w:rsidR="00272B32">
          <w:rPr>
            <w:webHidden/>
          </w:rPr>
          <w:fldChar w:fldCharType="separate"/>
        </w:r>
        <w:r w:rsidR="00272B32">
          <w:rPr>
            <w:webHidden/>
          </w:rPr>
          <w:t>97</w:t>
        </w:r>
        <w:r w:rsidR="00272B32">
          <w:rPr>
            <w:webHidden/>
          </w:rPr>
          <w:fldChar w:fldCharType="end"/>
        </w:r>
      </w:hyperlink>
    </w:p>
    <w:p w14:paraId="13C394AD" w14:textId="424D9407" w:rsidR="00272B32" w:rsidRDefault="00610057">
      <w:pPr>
        <w:pStyle w:val="TOC2"/>
        <w:rPr>
          <w:rFonts w:asciiTheme="minorHAnsi" w:eastAsiaTheme="minorEastAsia" w:hAnsiTheme="minorHAnsi"/>
          <w:lang w:eastAsia="en-AU"/>
        </w:rPr>
      </w:pPr>
      <w:hyperlink w:anchor="_Toc495351656" w:history="1">
        <w:r w:rsidR="00272B32" w:rsidRPr="00F47F94">
          <w:rPr>
            <w:rStyle w:val="Hyperlink"/>
          </w:rPr>
          <w:t>7.1</w:t>
        </w:r>
        <w:r w:rsidR="00272B32">
          <w:rPr>
            <w:rFonts w:asciiTheme="minorHAnsi" w:eastAsiaTheme="minorEastAsia" w:hAnsiTheme="minorHAnsi"/>
            <w:lang w:eastAsia="en-AU"/>
          </w:rPr>
          <w:tab/>
        </w:r>
        <w:r w:rsidR="00272B32" w:rsidRPr="00F47F94">
          <w:rPr>
            <w:rStyle w:val="Hyperlink"/>
          </w:rPr>
          <w:t>Legal and governance framework</w:t>
        </w:r>
        <w:r w:rsidR="00272B32">
          <w:rPr>
            <w:webHidden/>
          </w:rPr>
          <w:tab/>
        </w:r>
        <w:r w:rsidR="00272B32">
          <w:rPr>
            <w:webHidden/>
          </w:rPr>
          <w:fldChar w:fldCharType="begin"/>
        </w:r>
        <w:r w:rsidR="00272B32">
          <w:rPr>
            <w:webHidden/>
          </w:rPr>
          <w:instrText xml:space="preserve"> PAGEREF _Toc495351656 \h </w:instrText>
        </w:r>
        <w:r w:rsidR="00272B32">
          <w:rPr>
            <w:webHidden/>
          </w:rPr>
        </w:r>
        <w:r w:rsidR="00272B32">
          <w:rPr>
            <w:webHidden/>
          </w:rPr>
          <w:fldChar w:fldCharType="separate"/>
        </w:r>
        <w:r w:rsidR="00272B32">
          <w:rPr>
            <w:webHidden/>
          </w:rPr>
          <w:t>97</w:t>
        </w:r>
        <w:r w:rsidR="00272B32">
          <w:rPr>
            <w:webHidden/>
          </w:rPr>
          <w:fldChar w:fldCharType="end"/>
        </w:r>
      </w:hyperlink>
    </w:p>
    <w:p w14:paraId="512B6EE3" w14:textId="1FE9207C" w:rsidR="00272B32" w:rsidRDefault="00610057">
      <w:pPr>
        <w:pStyle w:val="TOC2"/>
        <w:rPr>
          <w:rFonts w:asciiTheme="minorHAnsi" w:eastAsiaTheme="minorEastAsia" w:hAnsiTheme="minorHAnsi"/>
          <w:lang w:eastAsia="en-AU"/>
        </w:rPr>
      </w:pPr>
      <w:hyperlink w:anchor="_Toc495351657" w:history="1">
        <w:r w:rsidR="00272B32" w:rsidRPr="00F47F94">
          <w:rPr>
            <w:rStyle w:val="Hyperlink"/>
          </w:rPr>
          <w:t>7.2</w:t>
        </w:r>
        <w:r w:rsidR="00272B32">
          <w:rPr>
            <w:rFonts w:asciiTheme="minorHAnsi" w:eastAsiaTheme="minorEastAsia" w:hAnsiTheme="minorHAnsi"/>
            <w:lang w:eastAsia="en-AU"/>
          </w:rPr>
          <w:tab/>
        </w:r>
        <w:r w:rsidR="00272B32" w:rsidRPr="00F47F94">
          <w:rPr>
            <w:rStyle w:val="Hyperlink"/>
          </w:rPr>
          <w:t>Overview of key changes and new instruments</w:t>
        </w:r>
        <w:r w:rsidR="00272B32">
          <w:rPr>
            <w:webHidden/>
          </w:rPr>
          <w:tab/>
        </w:r>
        <w:r w:rsidR="00272B32">
          <w:rPr>
            <w:webHidden/>
          </w:rPr>
          <w:fldChar w:fldCharType="begin"/>
        </w:r>
        <w:r w:rsidR="00272B32">
          <w:rPr>
            <w:webHidden/>
          </w:rPr>
          <w:instrText xml:space="preserve"> PAGEREF _Toc495351657 \h </w:instrText>
        </w:r>
        <w:r w:rsidR="00272B32">
          <w:rPr>
            <w:webHidden/>
          </w:rPr>
        </w:r>
        <w:r w:rsidR="00272B32">
          <w:rPr>
            <w:webHidden/>
          </w:rPr>
          <w:fldChar w:fldCharType="separate"/>
        </w:r>
        <w:r w:rsidR="00272B32">
          <w:rPr>
            <w:webHidden/>
          </w:rPr>
          <w:t>98</w:t>
        </w:r>
        <w:r w:rsidR="00272B32">
          <w:rPr>
            <w:webHidden/>
          </w:rPr>
          <w:fldChar w:fldCharType="end"/>
        </w:r>
      </w:hyperlink>
    </w:p>
    <w:p w14:paraId="0A49E398" w14:textId="0CCD1B8C" w:rsidR="00272B32" w:rsidRDefault="00610057">
      <w:pPr>
        <w:pStyle w:val="TOC1"/>
        <w:rPr>
          <w:rFonts w:asciiTheme="minorHAnsi" w:eastAsiaTheme="minorEastAsia" w:hAnsiTheme="minorHAnsi"/>
          <w:b w:val="0"/>
          <w:lang w:eastAsia="en-AU"/>
        </w:rPr>
      </w:pPr>
      <w:hyperlink w:anchor="_Toc495351658" w:history="1">
        <w:r w:rsidR="00272B32" w:rsidRPr="00F47F94">
          <w:rPr>
            <w:rStyle w:val="Hyperlink"/>
          </w:rPr>
          <w:t>Part B: Reporting Framework for Secondary Trades</w:t>
        </w:r>
        <w:r w:rsidR="00272B32">
          <w:rPr>
            <w:webHidden/>
          </w:rPr>
          <w:tab/>
        </w:r>
        <w:r w:rsidR="00272B32">
          <w:rPr>
            <w:webHidden/>
          </w:rPr>
          <w:fldChar w:fldCharType="begin"/>
        </w:r>
        <w:r w:rsidR="00272B32">
          <w:rPr>
            <w:webHidden/>
          </w:rPr>
          <w:instrText xml:space="preserve"> PAGEREF _Toc495351658 \h </w:instrText>
        </w:r>
        <w:r w:rsidR="00272B32">
          <w:rPr>
            <w:webHidden/>
          </w:rPr>
        </w:r>
        <w:r w:rsidR="00272B32">
          <w:rPr>
            <w:webHidden/>
          </w:rPr>
          <w:fldChar w:fldCharType="separate"/>
        </w:r>
        <w:r w:rsidR="00272B32">
          <w:rPr>
            <w:webHidden/>
          </w:rPr>
          <w:t>101</w:t>
        </w:r>
        <w:r w:rsidR="00272B32">
          <w:rPr>
            <w:webHidden/>
          </w:rPr>
          <w:fldChar w:fldCharType="end"/>
        </w:r>
      </w:hyperlink>
    </w:p>
    <w:p w14:paraId="4FACEBA0" w14:textId="2E4FD2B7" w:rsidR="00272B32" w:rsidRDefault="00610057">
      <w:pPr>
        <w:pStyle w:val="TOC1"/>
        <w:rPr>
          <w:rFonts w:asciiTheme="minorHAnsi" w:eastAsiaTheme="minorEastAsia" w:hAnsiTheme="minorHAnsi"/>
          <w:b w:val="0"/>
          <w:lang w:eastAsia="en-AU"/>
        </w:rPr>
      </w:pPr>
      <w:hyperlink w:anchor="_Toc495351659" w:history="1">
        <w:r w:rsidR="00272B32" w:rsidRPr="00F47F94">
          <w:rPr>
            <w:rStyle w:val="Hyperlink"/>
          </w:rPr>
          <w:t>8.</w:t>
        </w:r>
        <w:r w:rsidR="00272B32">
          <w:rPr>
            <w:rFonts w:asciiTheme="minorHAnsi" w:eastAsiaTheme="minorEastAsia" w:hAnsiTheme="minorHAnsi"/>
            <w:b w:val="0"/>
            <w:lang w:eastAsia="en-AU"/>
          </w:rPr>
          <w:tab/>
        </w:r>
        <w:r w:rsidR="00272B32" w:rsidRPr="00F47F94">
          <w:rPr>
            <w:rStyle w:val="Hyperlink"/>
          </w:rPr>
          <w:t>Reporting Requirements for Secondary Trades</w:t>
        </w:r>
        <w:r w:rsidR="00272B32">
          <w:rPr>
            <w:webHidden/>
          </w:rPr>
          <w:tab/>
        </w:r>
        <w:r w:rsidR="00272B32">
          <w:rPr>
            <w:webHidden/>
          </w:rPr>
          <w:fldChar w:fldCharType="begin"/>
        </w:r>
        <w:r w:rsidR="00272B32">
          <w:rPr>
            <w:webHidden/>
          </w:rPr>
          <w:instrText xml:space="preserve"> PAGEREF _Toc495351659 \h </w:instrText>
        </w:r>
        <w:r w:rsidR="00272B32">
          <w:rPr>
            <w:webHidden/>
          </w:rPr>
        </w:r>
        <w:r w:rsidR="00272B32">
          <w:rPr>
            <w:webHidden/>
          </w:rPr>
          <w:fldChar w:fldCharType="separate"/>
        </w:r>
        <w:r w:rsidR="00272B32">
          <w:rPr>
            <w:webHidden/>
          </w:rPr>
          <w:t>103</w:t>
        </w:r>
        <w:r w:rsidR="00272B32">
          <w:rPr>
            <w:webHidden/>
          </w:rPr>
          <w:fldChar w:fldCharType="end"/>
        </w:r>
      </w:hyperlink>
    </w:p>
    <w:p w14:paraId="37D835D0" w14:textId="099F3EE5" w:rsidR="00272B32" w:rsidRDefault="00610057">
      <w:pPr>
        <w:pStyle w:val="TOC2"/>
        <w:rPr>
          <w:rFonts w:asciiTheme="minorHAnsi" w:eastAsiaTheme="minorEastAsia" w:hAnsiTheme="minorHAnsi"/>
          <w:lang w:eastAsia="en-AU"/>
        </w:rPr>
      </w:pPr>
      <w:hyperlink w:anchor="_Toc495351660" w:history="1">
        <w:r w:rsidR="00272B32" w:rsidRPr="00F47F94">
          <w:rPr>
            <w:rStyle w:val="Hyperlink"/>
          </w:rPr>
          <w:t>8.1</w:t>
        </w:r>
        <w:r w:rsidR="00272B32">
          <w:rPr>
            <w:rFonts w:asciiTheme="minorHAnsi" w:eastAsiaTheme="minorEastAsia" w:hAnsiTheme="minorHAnsi"/>
            <w:lang w:eastAsia="en-AU"/>
          </w:rPr>
          <w:tab/>
        </w:r>
        <w:r w:rsidR="00272B32" w:rsidRPr="00F47F94">
          <w:rPr>
            <w:rStyle w:val="Hyperlink"/>
          </w:rPr>
          <w:t>Types of trades to be reported</w:t>
        </w:r>
        <w:r w:rsidR="00272B32">
          <w:rPr>
            <w:webHidden/>
          </w:rPr>
          <w:tab/>
        </w:r>
        <w:r w:rsidR="00272B32">
          <w:rPr>
            <w:webHidden/>
          </w:rPr>
          <w:fldChar w:fldCharType="begin"/>
        </w:r>
        <w:r w:rsidR="00272B32">
          <w:rPr>
            <w:webHidden/>
          </w:rPr>
          <w:instrText xml:space="preserve"> PAGEREF _Toc495351660 \h </w:instrText>
        </w:r>
        <w:r w:rsidR="00272B32">
          <w:rPr>
            <w:webHidden/>
          </w:rPr>
        </w:r>
        <w:r w:rsidR="00272B32">
          <w:rPr>
            <w:webHidden/>
          </w:rPr>
          <w:fldChar w:fldCharType="separate"/>
        </w:r>
        <w:r w:rsidR="00272B32">
          <w:rPr>
            <w:webHidden/>
          </w:rPr>
          <w:t>103</w:t>
        </w:r>
        <w:r w:rsidR="00272B32">
          <w:rPr>
            <w:webHidden/>
          </w:rPr>
          <w:fldChar w:fldCharType="end"/>
        </w:r>
      </w:hyperlink>
    </w:p>
    <w:p w14:paraId="7C953A7C" w14:textId="57416181" w:rsidR="00272B32" w:rsidRDefault="00610057">
      <w:pPr>
        <w:pStyle w:val="TOC2"/>
        <w:rPr>
          <w:rFonts w:asciiTheme="minorHAnsi" w:eastAsiaTheme="minorEastAsia" w:hAnsiTheme="minorHAnsi"/>
          <w:lang w:eastAsia="en-AU"/>
        </w:rPr>
      </w:pPr>
      <w:hyperlink w:anchor="_Toc495351661" w:history="1">
        <w:r w:rsidR="00272B32" w:rsidRPr="00F47F94">
          <w:rPr>
            <w:rStyle w:val="Hyperlink"/>
          </w:rPr>
          <w:t>8.2</w:t>
        </w:r>
        <w:r w:rsidR="00272B32">
          <w:rPr>
            <w:rFonts w:asciiTheme="minorHAnsi" w:eastAsiaTheme="minorEastAsia" w:hAnsiTheme="minorHAnsi"/>
            <w:lang w:eastAsia="en-AU"/>
          </w:rPr>
          <w:tab/>
        </w:r>
        <w:r w:rsidR="00272B32" w:rsidRPr="00F47F94">
          <w:rPr>
            <w:rStyle w:val="Hyperlink"/>
          </w:rPr>
          <w:t>Information to be reported</w:t>
        </w:r>
        <w:r w:rsidR="00272B32">
          <w:rPr>
            <w:webHidden/>
          </w:rPr>
          <w:tab/>
        </w:r>
        <w:r w:rsidR="00272B32">
          <w:rPr>
            <w:webHidden/>
          </w:rPr>
          <w:fldChar w:fldCharType="begin"/>
        </w:r>
        <w:r w:rsidR="00272B32">
          <w:rPr>
            <w:webHidden/>
          </w:rPr>
          <w:instrText xml:space="preserve"> PAGEREF _Toc495351661 \h </w:instrText>
        </w:r>
        <w:r w:rsidR="00272B32">
          <w:rPr>
            <w:webHidden/>
          </w:rPr>
        </w:r>
        <w:r w:rsidR="00272B32">
          <w:rPr>
            <w:webHidden/>
          </w:rPr>
          <w:fldChar w:fldCharType="separate"/>
        </w:r>
        <w:r w:rsidR="00272B32">
          <w:rPr>
            <w:webHidden/>
          </w:rPr>
          <w:t>105</w:t>
        </w:r>
        <w:r w:rsidR="00272B32">
          <w:rPr>
            <w:webHidden/>
          </w:rPr>
          <w:fldChar w:fldCharType="end"/>
        </w:r>
      </w:hyperlink>
    </w:p>
    <w:p w14:paraId="03F1A3A8" w14:textId="4E275707" w:rsidR="00272B32" w:rsidRDefault="00610057">
      <w:pPr>
        <w:pStyle w:val="TOC2"/>
        <w:rPr>
          <w:rFonts w:asciiTheme="minorHAnsi" w:eastAsiaTheme="minorEastAsia" w:hAnsiTheme="minorHAnsi"/>
          <w:lang w:eastAsia="en-AU"/>
        </w:rPr>
      </w:pPr>
      <w:hyperlink w:anchor="_Toc495351662" w:history="1">
        <w:r w:rsidR="00272B32" w:rsidRPr="00F47F94">
          <w:rPr>
            <w:rStyle w:val="Hyperlink"/>
          </w:rPr>
          <w:t>8.3</w:t>
        </w:r>
        <w:r w:rsidR="00272B32">
          <w:rPr>
            <w:rFonts w:asciiTheme="minorHAnsi" w:eastAsiaTheme="minorEastAsia" w:hAnsiTheme="minorHAnsi"/>
            <w:lang w:eastAsia="en-AU"/>
          </w:rPr>
          <w:tab/>
        </w:r>
        <w:r w:rsidR="00272B32" w:rsidRPr="00F47F94">
          <w:rPr>
            <w:rStyle w:val="Hyperlink"/>
          </w:rPr>
          <w:t>Reporting obligations</w:t>
        </w:r>
        <w:r w:rsidR="00272B32">
          <w:rPr>
            <w:webHidden/>
          </w:rPr>
          <w:tab/>
        </w:r>
        <w:r w:rsidR="00272B32">
          <w:rPr>
            <w:webHidden/>
          </w:rPr>
          <w:fldChar w:fldCharType="begin"/>
        </w:r>
        <w:r w:rsidR="00272B32">
          <w:rPr>
            <w:webHidden/>
          </w:rPr>
          <w:instrText xml:space="preserve"> PAGEREF _Toc495351662 \h </w:instrText>
        </w:r>
        <w:r w:rsidR="00272B32">
          <w:rPr>
            <w:webHidden/>
          </w:rPr>
        </w:r>
        <w:r w:rsidR="00272B32">
          <w:rPr>
            <w:webHidden/>
          </w:rPr>
          <w:fldChar w:fldCharType="separate"/>
        </w:r>
        <w:r w:rsidR="00272B32">
          <w:rPr>
            <w:webHidden/>
          </w:rPr>
          <w:t>107</w:t>
        </w:r>
        <w:r w:rsidR="00272B32">
          <w:rPr>
            <w:webHidden/>
          </w:rPr>
          <w:fldChar w:fldCharType="end"/>
        </w:r>
      </w:hyperlink>
    </w:p>
    <w:p w14:paraId="68201A34" w14:textId="02D1D31F" w:rsidR="00272B32" w:rsidRDefault="00610057">
      <w:pPr>
        <w:pStyle w:val="TOC2"/>
        <w:rPr>
          <w:rFonts w:asciiTheme="minorHAnsi" w:eastAsiaTheme="minorEastAsia" w:hAnsiTheme="minorHAnsi"/>
          <w:lang w:eastAsia="en-AU"/>
        </w:rPr>
      </w:pPr>
      <w:hyperlink w:anchor="_Toc495351663" w:history="1">
        <w:r w:rsidR="00272B32" w:rsidRPr="00F47F94">
          <w:rPr>
            <w:rStyle w:val="Hyperlink"/>
          </w:rPr>
          <w:t>8.4</w:t>
        </w:r>
        <w:r w:rsidR="00272B32">
          <w:rPr>
            <w:rFonts w:asciiTheme="minorHAnsi" w:eastAsiaTheme="minorEastAsia" w:hAnsiTheme="minorHAnsi"/>
            <w:lang w:eastAsia="en-AU"/>
          </w:rPr>
          <w:tab/>
        </w:r>
        <w:r w:rsidR="00272B32" w:rsidRPr="00F47F94">
          <w:rPr>
            <w:rStyle w:val="Hyperlink"/>
          </w:rPr>
          <w:t>Where the information should be published</w:t>
        </w:r>
        <w:r w:rsidR="00272B32">
          <w:rPr>
            <w:webHidden/>
          </w:rPr>
          <w:tab/>
        </w:r>
        <w:r w:rsidR="00272B32">
          <w:rPr>
            <w:webHidden/>
          </w:rPr>
          <w:fldChar w:fldCharType="begin"/>
        </w:r>
        <w:r w:rsidR="00272B32">
          <w:rPr>
            <w:webHidden/>
          </w:rPr>
          <w:instrText xml:space="preserve"> PAGEREF _Toc495351663 \h </w:instrText>
        </w:r>
        <w:r w:rsidR="00272B32">
          <w:rPr>
            <w:webHidden/>
          </w:rPr>
        </w:r>
        <w:r w:rsidR="00272B32">
          <w:rPr>
            <w:webHidden/>
          </w:rPr>
          <w:fldChar w:fldCharType="separate"/>
        </w:r>
        <w:r w:rsidR="00272B32">
          <w:rPr>
            <w:webHidden/>
          </w:rPr>
          <w:t>109</w:t>
        </w:r>
        <w:r w:rsidR="00272B32">
          <w:rPr>
            <w:webHidden/>
          </w:rPr>
          <w:fldChar w:fldCharType="end"/>
        </w:r>
      </w:hyperlink>
    </w:p>
    <w:p w14:paraId="329A233E" w14:textId="0A1ED1AB" w:rsidR="00272B32" w:rsidRDefault="00610057">
      <w:pPr>
        <w:pStyle w:val="TOC2"/>
        <w:rPr>
          <w:rFonts w:asciiTheme="minorHAnsi" w:eastAsiaTheme="minorEastAsia" w:hAnsiTheme="minorHAnsi"/>
          <w:lang w:eastAsia="en-AU"/>
        </w:rPr>
      </w:pPr>
      <w:hyperlink w:anchor="_Toc495351664" w:history="1">
        <w:r w:rsidR="00272B32" w:rsidRPr="00F47F94">
          <w:rPr>
            <w:rStyle w:val="Hyperlink"/>
          </w:rPr>
          <w:t>8.5</w:t>
        </w:r>
        <w:r w:rsidR="00272B32">
          <w:rPr>
            <w:rFonts w:asciiTheme="minorHAnsi" w:eastAsiaTheme="minorEastAsia" w:hAnsiTheme="minorHAnsi"/>
            <w:lang w:eastAsia="en-AU"/>
          </w:rPr>
          <w:tab/>
        </w:r>
        <w:r w:rsidR="00272B32" w:rsidRPr="00F47F94">
          <w:rPr>
            <w:rStyle w:val="Hyperlink"/>
          </w:rPr>
          <w:t>Summary of the proposed reporting requirements</w:t>
        </w:r>
        <w:r w:rsidR="00272B32">
          <w:rPr>
            <w:webHidden/>
          </w:rPr>
          <w:tab/>
        </w:r>
        <w:r w:rsidR="00272B32">
          <w:rPr>
            <w:webHidden/>
          </w:rPr>
          <w:fldChar w:fldCharType="begin"/>
        </w:r>
        <w:r w:rsidR="00272B32">
          <w:rPr>
            <w:webHidden/>
          </w:rPr>
          <w:instrText xml:space="preserve"> PAGEREF _Toc495351664 \h </w:instrText>
        </w:r>
        <w:r w:rsidR="00272B32">
          <w:rPr>
            <w:webHidden/>
          </w:rPr>
        </w:r>
        <w:r w:rsidR="00272B32">
          <w:rPr>
            <w:webHidden/>
          </w:rPr>
          <w:fldChar w:fldCharType="separate"/>
        </w:r>
        <w:r w:rsidR="00272B32">
          <w:rPr>
            <w:webHidden/>
          </w:rPr>
          <w:t>110</w:t>
        </w:r>
        <w:r w:rsidR="00272B32">
          <w:rPr>
            <w:webHidden/>
          </w:rPr>
          <w:fldChar w:fldCharType="end"/>
        </w:r>
      </w:hyperlink>
    </w:p>
    <w:p w14:paraId="5E46E002" w14:textId="3C83935F" w:rsidR="00272B32" w:rsidRDefault="00610057">
      <w:pPr>
        <w:pStyle w:val="TOC1"/>
        <w:rPr>
          <w:rFonts w:asciiTheme="minorHAnsi" w:eastAsiaTheme="minorEastAsia" w:hAnsiTheme="minorHAnsi"/>
          <w:b w:val="0"/>
          <w:lang w:eastAsia="en-AU"/>
        </w:rPr>
      </w:pPr>
      <w:hyperlink w:anchor="_Toc495351665" w:history="1">
        <w:r w:rsidR="00272B32" w:rsidRPr="00F47F94">
          <w:rPr>
            <w:rStyle w:val="Hyperlink"/>
          </w:rPr>
          <w:t>9.</w:t>
        </w:r>
        <w:r w:rsidR="00272B32">
          <w:rPr>
            <w:rFonts w:asciiTheme="minorHAnsi" w:eastAsiaTheme="minorEastAsia" w:hAnsiTheme="minorHAnsi"/>
            <w:b w:val="0"/>
            <w:lang w:eastAsia="en-AU"/>
          </w:rPr>
          <w:tab/>
        </w:r>
        <w:r w:rsidR="00272B32" w:rsidRPr="00F47F94">
          <w:rPr>
            <w:rStyle w:val="Hyperlink"/>
          </w:rPr>
          <w:t>Governance Arrangements for the Reporting Framework for Secondary Trades</w:t>
        </w:r>
        <w:r w:rsidR="00272B32">
          <w:rPr>
            <w:webHidden/>
          </w:rPr>
          <w:tab/>
        </w:r>
        <w:r w:rsidR="00272B32">
          <w:rPr>
            <w:webHidden/>
          </w:rPr>
          <w:fldChar w:fldCharType="begin"/>
        </w:r>
        <w:r w:rsidR="00272B32">
          <w:rPr>
            <w:webHidden/>
          </w:rPr>
          <w:instrText xml:space="preserve"> PAGEREF _Toc495351665 \h </w:instrText>
        </w:r>
        <w:r w:rsidR="00272B32">
          <w:rPr>
            <w:webHidden/>
          </w:rPr>
        </w:r>
        <w:r w:rsidR="00272B32">
          <w:rPr>
            <w:webHidden/>
          </w:rPr>
          <w:fldChar w:fldCharType="separate"/>
        </w:r>
        <w:r w:rsidR="00272B32">
          <w:rPr>
            <w:webHidden/>
          </w:rPr>
          <w:t>111</w:t>
        </w:r>
        <w:r w:rsidR="00272B32">
          <w:rPr>
            <w:webHidden/>
          </w:rPr>
          <w:fldChar w:fldCharType="end"/>
        </w:r>
      </w:hyperlink>
    </w:p>
    <w:p w14:paraId="17AA3476" w14:textId="6A815EE2" w:rsidR="009A1D3E" w:rsidRPr="00C55946" w:rsidRDefault="00CC006A" w:rsidP="00C55946">
      <w:pPr>
        <w:sectPr w:rsidR="009A1D3E" w:rsidRPr="00C55946" w:rsidSect="00CF1252">
          <w:footerReference w:type="default" r:id="rId21"/>
          <w:pgSz w:w="11907" w:h="16840" w:code="9"/>
          <w:pgMar w:top="1361" w:right="1418" w:bottom="992" w:left="1701" w:header="567" w:footer="397" w:gutter="0"/>
          <w:pgNumType w:fmt="lowerRoman" w:start="1"/>
          <w:cols w:space="708"/>
          <w:docGrid w:linePitch="360"/>
        </w:sectPr>
      </w:pPr>
      <w:r>
        <w:rPr>
          <w:rFonts w:eastAsiaTheme="minorEastAsia" w:cstheme="minorBidi"/>
          <w:b/>
          <w:noProof/>
          <w:lang w:eastAsia="en-US"/>
        </w:rPr>
        <w:fldChar w:fldCharType="end"/>
      </w:r>
    </w:p>
    <w:p w14:paraId="77AB63A3" w14:textId="77777777" w:rsidR="004F7F03" w:rsidRDefault="004F7F03" w:rsidP="00D0772C">
      <w:pPr>
        <w:pStyle w:val="ExecSummHeading1"/>
        <w:spacing w:after="0"/>
      </w:pPr>
      <w:bookmarkStart w:id="29" w:name="_Toc452029500"/>
      <w:bookmarkStart w:id="30" w:name="_Toc495351619"/>
      <w:bookmarkStart w:id="31" w:name="_Toc452029499"/>
      <w:bookmarkStart w:id="32" w:name="_Toc449094489"/>
      <w:r>
        <w:lastRenderedPageBreak/>
        <w:t>Abbreviations</w:t>
      </w:r>
      <w:bookmarkEnd w:id="29"/>
      <w:bookmarkEnd w:id="30"/>
    </w:p>
    <w:tbl>
      <w:tblPr>
        <w:tblStyle w:val="TableGrid"/>
        <w:tblW w:w="0" w:type="auto"/>
        <w:tblLook w:val="06A0" w:firstRow="1" w:lastRow="0" w:firstColumn="1" w:lastColumn="0" w:noHBand="1" w:noVBand="1"/>
        <w:tblCaption w:val="Abbreviations"/>
        <w:tblDescription w:val="Abbreviations used throughout the document"/>
      </w:tblPr>
      <w:tblGrid>
        <w:gridCol w:w="2127"/>
        <w:gridCol w:w="6378"/>
      </w:tblGrid>
      <w:tr w:rsidR="00533C69" w:rsidRPr="004C3FE0" w14:paraId="2F0AC31B" w14:textId="77777777" w:rsidTr="00D30EB7">
        <w:trPr>
          <w:cnfStyle w:val="100000000000" w:firstRow="1" w:lastRow="0" w:firstColumn="0" w:lastColumn="0" w:oddVBand="0" w:evenVBand="0" w:oddHBand="0" w:evenHBand="0" w:firstRowFirstColumn="0" w:firstRowLastColumn="0" w:lastRowFirstColumn="0" w:lastRowLastColumn="0"/>
          <w:tblHeader/>
        </w:trPr>
        <w:tc>
          <w:tcPr>
            <w:tcW w:w="2127" w:type="dxa"/>
            <w:tcBorders>
              <w:bottom w:val="single" w:sz="4" w:space="0" w:color="auto"/>
            </w:tcBorders>
            <w:shd w:val="clear" w:color="auto" w:fill="0099CC"/>
          </w:tcPr>
          <w:p w14:paraId="468DD6E2" w14:textId="77777777" w:rsidR="00533C69" w:rsidRPr="004C3FE0" w:rsidRDefault="00533C69" w:rsidP="00D30EB7">
            <w:pPr>
              <w:ind w:left="74" w:right="74"/>
              <w:rPr>
                <w:szCs w:val="18"/>
              </w:rPr>
            </w:pPr>
            <w:r w:rsidRPr="004C3FE0">
              <w:rPr>
                <w:szCs w:val="18"/>
              </w:rPr>
              <w:t>Term</w:t>
            </w:r>
          </w:p>
        </w:tc>
        <w:tc>
          <w:tcPr>
            <w:tcW w:w="6378" w:type="dxa"/>
            <w:tcBorders>
              <w:bottom w:val="single" w:sz="4" w:space="0" w:color="auto"/>
            </w:tcBorders>
            <w:shd w:val="clear" w:color="auto" w:fill="0099CC"/>
          </w:tcPr>
          <w:p w14:paraId="4A796B00" w14:textId="77777777" w:rsidR="00533C69" w:rsidRPr="004C3FE0" w:rsidRDefault="00533C69" w:rsidP="00D30EB7">
            <w:pPr>
              <w:ind w:left="74" w:right="74"/>
              <w:rPr>
                <w:szCs w:val="18"/>
              </w:rPr>
            </w:pPr>
            <w:r w:rsidRPr="004C3FE0">
              <w:rPr>
                <w:szCs w:val="18"/>
              </w:rPr>
              <w:t>Definition</w:t>
            </w:r>
          </w:p>
        </w:tc>
      </w:tr>
      <w:tr w:rsidR="00533C69" w:rsidRPr="004C3FE0" w14:paraId="52D6BB94" w14:textId="77777777" w:rsidTr="00533C69">
        <w:tc>
          <w:tcPr>
            <w:tcW w:w="2127" w:type="dxa"/>
            <w:shd w:val="clear" w:color="auto" w:fill="auto"/>
          </w:tcPr>
          <w:p w14:paraId="4AEBB00F" w14:textId="77777777" w:rsidR="00533C69" w:rsidRPr="004C3FE0" w:rsidRDefault="00533C69" w:rsidP="00D30EB7">
            <w:pPr>
              <w:ind w:left="74" w:right="74"/>
              <w:rPr>
                <w:szCs w:val="18"/>
              </w:rPr>
            </w:pPr>
            <w:r w:rsidRPr="004C3FE0">
              <w:rPr>
                <w:szCs w:val="18"/>
              </w:rPr>
              <w:t>AA</w:t>
            </w:r>
          </w:p>
        </w:tc>
        <w:tc>
          <w:tcPr>
            <w:tcW w:w="6378" w:type="dxa"/>
            <w:shd w:val="clear" w:color="auto" w:fill="auto"/>
          </w:tcPr>
          <w:p w14:paraId="4ECE13B4" w14:textId="77777777" w:rsidR="00533C69" w:rsidRPr="004C3FE0" w:rsidRDefault="00533C69" w:rsidP="00D30EB7">
            <w:pPr>
              <w:ind w:left="74" w:right="74"/>
              <w:rPr>
                <w:szCs w:val="18"/>
              </w:rPr>
            </w:pPr>
            <w:r w:rsidRPr="004C3FE0">
              <w:rPr>
                <w:szCs w:val="18"/>
              </w:rPr>
              <w:t>Access Arrangement</w:t>
            </w:r>
          </w:p>
        </w:tc>
      </w:tr>
      <w:tr w:rsidR="00533C69" w:rsidRPr="004C3FE0" w14:paraId="33DB9A67" w14:textId="77777777" w:rsidTr="00533C69">
        <w:tc>
          <w:tcPr>
            <w:tcW w:w="2127" w:type="dxa"/>
            <w:shd w:val="clear" w:color="auto" w:fill="auto"/>
          </w:tcPr>
          <w:p w14:paraId="12E6F8C8" w14:textId="77777777" w:rsidR="00533C69" w:rsidRPr="004C3FE0" w:rsidRDefault="00533C69" w:rsidP="00D30EB7">
            <w:pPr>
              <w:ind w:left="74" w:right="74"/>
              <w:rPr>
                <w:szCs w:val="18"/>
              </w:rPr>
            </w:pPr>
            <w:r w:rsidRPr="004C3FE0">
              <w:rPr>
                <w:szCs w:val="18"/>
              </w:rPr>
              <w:t>ACCC</w:t>
            </w:r>
          </w:p>
        </w:tc>
        <w:tc>
          <w:tcPr>
            <w:tcW w:w="6378" w:type="dxa"/>
            <w:shd w:val="clear" w:color="auto" w:fill="auto"/>
          </w:tcPr>
          <w:p w14:paraId="41E2C63B" w14:textId="77777777" w:rsidR="00533C69" w:rsidRPr="004C3FE0" w:rsidRDefault="00533C69" w:rsidP="00D30EB7">
            <w:pPr>
              <w:ind w:left="74" w:right="74"/>
              <w:rPr>
                <w:szCs w:val="18"/>
              </w:rPr>
            </w:pPr>
            <w:r w:rsidRPr="004C3FE0">
              <w:rPr>
                <w:szCs w:val="18"/>
              </w:rPr>
              <w:t>Australian Competition and Consumer Commission</w:t>
            </w:r>
          </w:p>
        </w:tc>
      </w:tr>
      <w:tr w:rsidR="00533C69" w:rsidRPr="004C3FE0" w14:paraId="2637AACA" w14:textId="77777777" w:rsidTr="00533C69">
        <w:tc>
          <w:tcPr>
            <w:tcW w:w="2127" w:type="dxa"/>
            <w:shd w:val="clear" w:color="auto" w:fill="auto"/>
          </w:tcPr>
          <w:p w14:paraId="0ABF3A83" w14:textId="77777777" w:rsidR="00533C69" w:rsidRPr="004C3FE0" w:rsidRDefault="00533C69" w:rsidP="00D30EB7">
            <w:pPr>
              <w:ind w:left="74" w:right="74"/>
              <w:rPr>
                <w:szCs w:val="18"/>
              </w:rPr>
            </w:pPr>
            <w:r>
              <w:rPr>
                <w:szCs w:val="18"/>
              </w:rPr>
              <w:t>ADP</w:t>
            </w:r>
          </w:p>
        </w:tc>
        <w:tc>
          <w:tcPr>
            <w:tcW w:w="6378" w:type="dxa"/>
            <w:shd w:val="clear" w:color="auto" w:fill="auto"/>
          </w:tcPr>
          <w:p w14:paraId="653465F1" w14:textId="77777777" w:rsidR="00533C69" w:rsidRPr="004C3FE0" w:rsidRDefault="00533C69" w:rsidP="00D30EB7">
            <w:pPr>
              <w:ind w:left="74" w:right="74"/>
              <w:rPr>
                <w:szCs w:val="18"/>
              </w:rPr>
            </w:pPr>
            <w:r>
              <w:rPr>
                <w:szCs w:val="18"/>
              </w:rPr>
              <w:t>Amadeus to Darwin Pipeline</w:t>
            </w:r>
          </w:p>
        </w:tc>
      </w:tr>
      <w:tr w:rsidR="00533C69" w:rsidRPr="004C3FE0" w14:paraId="74C7AC0A" w14:textId="77777777" w:rsidTr="00533C69">
        <w:tc>
          <w:tcPr>
            <w:tcW w:w="2127" w:type="dxa"/>
          </w:tcPr>
          <w:p w14:paraId="409FD1DD" w14:textId="77777777" w:rsidR="00533C69" w:rsidRPr="004C3FE0" w:rsidRDefault="00533C69" w:rsidP="00D30EB7">
            <w:pPr>
              <w:ind w:left="74" w:right="74"/>
              <w:rPr>
                <w:szCs w:val="18"/>
              </w:rPr>
            </w:pPr>
            <w:r w:rsidRPr="004C3FE0">
              <w:rPr>
                <w:szCs w:val="18"/>
              </w:rPr>
              <w:t>AEMC</w:t>
            </w:r>
          </w:p>
        </w:tc>
        <w:tc>
          <w:tcPr>
            <w:tcW w:w="6378" w:type="dxa"/>
          </w:tcPr>
          <w:p w14:paraId="4E42D3E4" w14:textId="77777777" w:rsidR="00533C69" w:rsidRPr="004C3FE0" w:rsidRDefault="00533C69" w:rsidP="00D30EB7">
            <w:pPr>
              <w:ind w:left="74" w:right="74"/>
              <w:rPr>
                <w:szCs w:val="18"/>
              </w:rPr>
            </w:pPr>
            <w:r w:rsidRPr="004C3FE0">
              <w:rPr>
                <w:szCs w:val="18"/>
              </w:rPr>
              <w:t>Australian Energy Market Commission</w:t>
            </w:r>
          </w:p>
        </w:tc>
      </w:tr>
      <w:tr w:rsidR="00533C69" w:rsidRPr="004C3FE0" w14:paraId="2EA29ED3" w14:textId="77777777" w:rsidTr="00533C69">
        <w:tc>
          <w:tcPr>
            <w:tcW w:w="2127" w:type="dxa"/>
          </w:tcPr>
          <w:p w14:paraId="2B1FF026" w14:textId="77777777" w:rsidR="00533C69" w:rsidRPr="004C3FE0" w:rsidRDefault="00533C69" w:rsidP="00D30EB7">
            <w:pPr>
              <w:ind w:left="74" w:right="74"/>
              <w:rPr>
                <w:szCs w:val="18"/>
              </w:rPr>
            </w:pPr>
            <w:r w:rsidRPr="004C3FE0">
              <w:rPr>
                <w:szCs w:val="18"/>
              </w:rPr>
              <w:t>AEMO</w:t>
            </w:r>
          </w:p>
        </w:tc>
        <w:tc>
          <w:tcPr>
            <w:tcW w:w="6378" w:type="dxa"/>
          </w:tcPr>
          <w:p w14:paraId="034CA6AB" w14:textId="77777777" w:rsidR="00533C69" w:rsidRPr="004C3FE0" w:rsidRDefault="00533C69" w:rsidP="00D30EB7">
            <w:pPr>
              <w:ind w:left="74" w:right="74"/>
              <w:rPr>
                <w:szCs w:val="18"/>
              </w:rPr>
            </w:pPr>
            <w:r w:rsidRPr="004C3FE0">
              <w:rPr>
                <w:szCs w:val="18"/>
              </w:rPr>
              <w:t>Australian Energy Market Operator</w:t>
            </w:r>
          </w:p>
        </w:tc>
      </w:tr>
      <w:tr w:rsidR="00533C69" w:rsidRPr="004C3FE0" w14:paraId="341FCC62" w14:textId="77777777" w:rsidTr="00533C69">
        <w:tc>
          <w:tcPr>
            <w:tcW w:w="2127" w:type="dxa"/>
          </w:tcPr>
          <w:p w14:paraId="2FB3E10B" w14:textId="77777777" w:rsidR="00533C69" w:rsidRPr="004C3FE0" w:rsidRDefault="00533C69" w:rsidP="00D30EB7">
            <w:pPr>
              <w:ind w:left="74" w:right="74"/>
              <w:rPr>
                <w:szCs w:val="18"/>
              </w:rPr>
            </w:pPr>
            <w:r w:rsidRPr="004C3FE0">
              <w:rPr>
                <w:szCs w:val="18"/>
              </w:rPr>
              <w:t>AER</w:t>
            </w:r>
          </w:p>
        </w:tc>
        <w:tc>
          <w:tcPr>
            <w:tcW w:w="6378" w:type="dxa"/>
          </w:tcPr>
          <w:p w14:paraId="22CD2C0E" w14:textId="77777777" w:rsidR="00533C69" w:rsidRPr="004C3FE0" w:rsidRDefault="00533C69" w:rsidP="00D30EB7">
            <w:pPr>
              <w:ind w:left="74" w:right="74"/>
              <w:rPr>
                <w:szCs w:val="18"/>
              </w:rPr>
            </w:pPr>
            <w:r w:rsidRPr="004C3FE0">
              <w:rPr>
                <w:szCs w:val="18"/>
              </w:rPr>
              <w:t>Australian Energy Regulator</w:t>
            </w:r>
          </w:p>
        </w:tc>
      </w:tr>
      <w:tr w:rsidR="00533C69" w:rsidRPr="004C3FE0" w14:paraId="6660A0C0" w14:textId="77777777" w:rsidTr="00533C69">
        <w:tc>
          <w:tcPr>
            <w:tcW w:w="2127" w:type="dxa"/>
          </w:tcPr>
          <w:p w14:paraId="42F0A764" w14:textId="77777777" w:rsidR="00533C69" w:rsidRPr="004C3FE0" w:rsidRDefault="00533C69" w:rsidP="00D30EB7">
            <w:pPr>
              <w:ind w:left="74" w:right="74"/>
              <w:rPr>
                <w:szCs w:val="18"/>
              </w:rPr>
            </w:pPr>
            <w:r w:rsidRPr="004C3FE0">
              <w:rPr>
                <w:szCs w:val="18"/>
              </w:rPr>
              <w:t>AEST</w:t>
            </w:r>
          </w:p>
        </w:tc>
        <w:tc>
          <w:tcPr>
            <w:tcW w:w="6378" w:type="dxa"/>
          </w:tcPr>
          <w:p w14:paraId="25526E5D" w14:textId="77777777" w:rsidR="00533C69" w:rsidRPr="004C3FE0" w:rsidRDefault="00533C69" w:rsidP="00D30EB7">
            <w:pPr>
              <w:ind w:left="74" w:right="74"/>
              <w:rPr>
                <w:szCs w:val="18"/>
              </w:rPr>
            </w:pPr>
            <w:r w:rsidRPr="004C3FE0">
              <w:rPr>
                <w:szCs w:val="18"/>
              </w:rPr>
              <w:t>Australian Eastern Standard Time</w:t>
            </w:r>
          </w:p>
        </w:tc>
      </w:tr>
      <w:tr w:rsidR="00D30EB7" w:rsidRPr="00E37A1E" w14:paraId="07BDD096" w14:textId="77777777" w:rsidTr="00686058">
        <w:tc>
          <w:tcPr>
            <w:tcW w:w="2127" w:type="dxa"/>
          </w:tcPr>
          <w:p w14:paraId="719C3B74" w14:textId="77777777" w:rsidR="00D30EB7" w:rsidRPr="00E37A1E" w:rsidRDefault="00D30EB7" w:rsidP="00D30EB7">
            <w:pPr>
              <w:ind w:left="74" w:right="74"/>
              <w:rPr>
                <w:rFonts w:cs="Arial"/>
                <w:szCs w:val="18"/>
              </w:rPr>
            </w:pPr>
            <w:r w:rsidRPr="00E37A1E">
              <w:rPr>
                <w:rFonts w:cs="Arial"/>
                <w:szCs w:val="18"/>
              </w:rPr>
              <w:t>BB</w:t>
            </w:r>
          </w:p>
        </w:tc>
        <w:tc>
          <w:tcPr>
            <w:tcW w:w="6378" w:type="dxa"/>
          </w:tcPr>
          <w:p w14:paraId="11A1D039" w14:textId="77777777" w:rsidR="00D30EB7" w:rsidRPr="00E37A1E" w:rsidRDefault="00D30EB7" w:rsidP="00D30EB7">
            <w:pPr>
              <w:ind w:left="74" w:right="74"/>
              <w:rPr>
                <w:rFonts w:cs="Arial"/>
                <w:szCs w:val="18"/>
              </w:rPr>
            </w:pPr>
            <w:r w:rsidRPr="00E37A1E">
              <w:rPr>
                <w:rFonts w:cs="Arial"/>
                <w:szCs w:val="18"/>
              </w:rPr>
              <w:t>Natural Gas Services Bulletin Board</w:t>
            </w:r>
          </w:p>
        </w:tc>
      </w:tr>
      <w:tr w:rsidR="00533C69" w:rsidRPr="004C3FE0" w14:paraId="0DD4E630" w14:textId="77777777" w:rsidTr="00533C69">
        <w:tc>
          <w:tcPr>
            <w:tcW w:w="2127" w:type="dxa"/>
          </w:tcPr>
          <w:p w14:paraId="2403E415" w14:textId="77777777" w:rsidR="00533C69" w:rsidRPr="004C3FE0" w:rsidRDefault="00533C69" w:rsidP="00D30EB7">
            <w:pPr>
              <w:ind w:left="74" w:right="74"/>
              <w:rPr>
                <w:szCs w:val="18"/>
              </w:rPr>
            </w:pPr>
            <w:r w:rsidRPr="004C3FE0">
              <w:rPr>
                <w:szCs w:val="18"/>
              </w:rPr>
              <w:t>CGP</w:t>
            </w:r>
          </w:p>
        </w:tc>
        <w:tc>
          <w:tcPr>
            <w:tcW w:w="6378" w:type="dxa"/>
          </w:tcPr>
          <w:p w14:paraId="4451B68C" w14:textId="77777777" w:rsidR="00533C69" w:rsidRPr="004C3FE0" w:rsidRDefault="00533C69" w:rsidP="00D30EB7">
            <w:pPr>
              <w:ind w:left="74" w:right="74"/>
              <w:rPr>
                <w:szCs w:val="18"/>
              </w:rPr>
            </w:pPr>
            <w:r w:rsidRPr="004C3FE0">
              <w:rPr>
                <w:szCs w:val="18"/>
              </w:rPr>
              <w:t>Carpentaria Gas Pipeline</w:t>
            </w:r>
          </w:p>
        </w:tc>
      </w:tr>
      <w:tr w:rsidR="00533C69" w:rsidRPr="004C3FE0" w14:paraId="3FB27F3C" w14:textId="77777777" w:rsidTr="00533C69">
        <w:tc>
          <w:tcPr>
            <w:tcW w:w="2127" w:type="dxa"/>
          </w:tcPr>
          <w:p w14:paraId="3B8F844C" w14:textId="77777777" w:rsidR="00533C69" w:rsidRPr="004C3FE0" w:rsidRDefault="00533C69" w:rsidP="00D30EB7">
            <w:pPr>
              <w:ind w:left="74" w:right="74"/>
              <w:rPr>
                <w:szCs w:val="18"/>
              </w:rPr>
            </w:pPr>
            <w:r w:rsidRPr="004C3FE0">
              <w:rPr>
                <w:szCs w:val="18"/>
              </w:rPr>
              <w:t>COAG</w:t>
            </w:r>
          </w:p>
        </w:tc>
        <w:tc>
          <w:tcPr>
            <w:tcW w:w="6378" w:type="dxa"/>
          </w:tcPr>
          <w:p w14:paraId="0BD32EAE" w14:textId="77777777" w:rsidR="00533C69" w:rsidRPr="004C3FE0" w:rsidRDefault="00533C69" w:rsidP="00D30EB7">
            <w:pPr>
              <w:ind w:left="74" w:right="74"/>
              <w:rPr>
                <w:szCs w:val="18"/>
              </w:rPr>
            </w:pPr>
            <w:r w:rsidRPr="004C3FE0">
              <w:rPr>
                <w:szCs w:val="18"/>
              </w:rPr>
              <w:t>Council of Australian Governments</w:t>
            </w:r>
          </w:p>
        </w:tc>
      </w:tr>
      <w:tr w:rsidR="00533C69" w:rsidRPr="004C3FE0" w14:paraId="7B45D1EE" w14:textId="77777777" w:rsidTr="00533C69">
        <w:tc>
          <w:tcPr>
            <w:tcW w:w="2127" w:type="dxa"/>
          </w:tcPr>
          <w:p w14:paraId="3DC7F936" w14:textId="77777777" w:rsidR="00533C69" w:rsidRPr="004C3FE0" w:rsidRDefault="00533C69" w:rsidP="00D30EB7">
            <w:pPr>
              <w:ind w:left="74" w:right="74"/>
              <w:rPr>
                <w:szCs w:val="18"/>
              </w:rPr>
            </w:pPr>
            <w:r w:rsidRPr="004C3FE0">
              <w:rPr>
                <w:szCs w:val="18"/>
              </w:rPr>
              <w:t xml:space="preserve">CTA </w:t>
            </w:r>
          </w:p>
        </w:tc>
        <w:tc>
          <w:tcPr>
            <w:tcW w:w="6378" w:type="dxa"/>
          </w:tcPr>
          <w:p w14:paraId="3BB07358" w14:textId="77777777" w:rsidR="00533C69" w:rsidRPr="004C3FE0" w:rsidRDefault="00533C69" w:rsidP="00D30EB7">
            <w:pPr>
              <w:ind w:left="74" w:right="74"/>
              <w:rPr>
                <w:szCs w:val="18"/>
              </w:rPr>
            </w:pPr>
            <w:r w:rsidRPr="004C3FE0">
              <w:rPr>
                <w:szCs w:val="18"/>
              </w:rPr>
              <w:t>Capacity Trading Agreement</w:t>
            </w:r>
          </w:p>
        </w:tc>
      </w:tr>
      <w:tr w:rsidR="00533C69" w:rsidRPr="004C3FE0" w14:paraId="49C49A8E" w14:textId="77777777" w:rsidTr="00533C69">
        <w:tc>
          <w:tcPr>
            <w:tcW w:w="2127" w:type="dxa"/>
          </w:tcPr>
          <w:p w14:paraId="409384EE" w14:textId="77777777" w:rsidR="00533C69" w:rsidRPr="004C3FE0" w:rsidRDefault="00533C69" w:rsidP="00D30EB7">
            <w:pPr>
              <w:ind w:left="74" w:right="74"/>
              <w:rPr>
                <w:szCs w:val="18"/>
              </w:rPr>
            </w:pPr>
            <w:r>
              <w:rPr>
                <w:szCs w:val="18"/>
              </w:rPr>
              <w:t>DTS</w:t>
            </w:r>
          </w:p>
        </w:tc>
        <w:tc>
          <w:tcPr>
            <w:tcW w:w="6378" w:type="dxa"/>
          </w:tcPr>
          <w:p w14:paraId="765F86D5" w14:textId="77777777" w:rsidR="00533C69" w:rsidRPr="004C3FE0" w:rsidRDefault="00533C69" w:rsidP="00D30EB7">
            <w:pPr>
              <w:ind w:left="74" w:right="74"/>
              <w:rPr>
                <w:szCs w:val="18"/>
              </w:rPr>
            </w:pPr>
            <w:r>
              <w:rPr>
                <w:szCs w:val="18"/>
              </w:rPr>
              <w:t xml:space="preserve">Declared Transmission System </w:t>
            </w:r>
          </w:p>
        </w:tc>
      </w:tr>
      <w:tr w:rsidR="00533C69" w:rsidRPr="004C3FE0" w14:paraId="1BAFB626" w14:textId="77777777" w:rsidTr="00533C69">
        <w:tc>
          <w:tcPr>
            <w:tcW w:w="2127" w:type="dxa"/>
          </w:tcPr>
          <w:p w14:paraId="166A191F" w14:textId="77777777" w:rsidR="00533C69" w:rsidRPr="004C3FE0" w:rsidRDefault="00533C69" w:rsidP="00D30EB7">
            <w:pPr>
              <w:ind w:left="74" w:right="74"/>
              <w:rPr>
                <w:szCs w:val="18"/>
              </w:rPr>
            </w:pPr>
            <w:r w:rsidRPr="004C3FE0">
              <w:rPr>
                <w:szCs w:val="18"/>
              </w:rPr>
              <w:t>DWGM</w:t>
            </w:r>
          </w:p>
        </w:tc>
        <w:tc>
          <w:tcPr>
            <w:tcW w:w="6378" w:type="dxa"/>
          </w:tcPr>
          <w:p w14:paraId="7F528470" w14:textId="77777777" w:rsidR="00533C69" w:rsidRPr="004C3FE0" w:rsidRDefault="00533C69" w:rsidP="00D30EB7">
            <w:pPr>
              <w:ind w:left="74" w:right="74"/>
              <w:rPr>
                <w:szCs w:val="18"/>
              </w:rPr>
            </w:pPr>
            <w:r w:rsidRPr="004C3FE0">
              <w:rPr>
                <w:szCs w:val="18"/>
              </w:rPr>
              <w:t>Declared Wholesale Gas Market</w:t>
            </w:r>
          </w:p>
        </w:tc>
      </w:tr>
      <w:tr w:rsidR="00533C69" w:rsidRPr="004C3FE0" w14:paraId="518C43B2" w14:textId="77777777" w:rsidTr="00533C69">
        <w:tc>
          <w:tcPr>
            <w:tcW w:w="2127" w:type="dxa"/>
          </w:tcPr>
          <w:p w14:paraId="3EEB9437" w14:textId="77777777" w:rsidR="00533C69" w:rsidRPr="004C3FE0" w:rsidRDefault="00533C69" w:rsidP="00D30EB7">
            <w:pPr>
              <w:ind w:left="74" w:right="74"/>
              <w:rPr>
                <w:szCs w:val="18"/>
              </w:rPr>
            </w:pPr>
            <w:r w:rsidRPr="004C3FE0">
              <w:rPr>
                <w:i/>
                <w:szCs w:val="18"/>
              </w:rPr>
              <w:t>East Coast Review</w:t>
            </w:r>
          </w:p>
        </w:tc>
        <w:tc>
          <w:tcPr>
            <w:tcW w:w="6378" w:type="dxa"/>
          </w:tcPr>
          <w:p w14:paraId="6EA1D599" w14:textId="77777777" w:rsidR="00533C69" w:rsidRPr="004C3FE0" w:rsidRDefault="00533C69" w:rsidP="00D30EB7">
            <w:pPr>
              <w:ind w:left="74" w:right="74"/>
              <w:rPr>
                <w:szCs w:val="18"/>
              </w:rPr>
            </w:pPr>
            <w:r w:rsidRPr="004C3FE0">
              <w:rPr>
                <w:szCs w:val="18"/>
              </w:rPr>
              <w:t xml:space="preserve">AEMC’s </w:t>
            </w:r>
            <w:r w:rsidRPr="004C3FE0">
              <w:rPr>
                <w:rFonts w:cs="Arial"/>
                <w:i/>
                <w:iCs/>
                <w:szCs w:val="18"/>
              </w:rPr>
              <w:t xml:space="preserve">Eastern Australian Wholesale Gas Market and Pipelines Framework Review </w:t>
            </w:r>
            <w:r w:rsidRPr="004C3FE0">
              <w:rPr>
                <w:rFonts w:cs="Arial"/>
                <w:iCs/>
                <w:szCs w:val="18"/>
              </w:rPr>
              <w:t>(May 2016)</w:t>
            </w:r>
          </w:p>
        </w:tc>
      </w:tr>
      <w:tr w:rsidR="00533C69" w:rsidRPr="004C3FE0" w14:paraId="6D4AD968" w14:textId="77777777" w:rsidTr="00533C69">
        <w:tc>
          <w:tcPr>
            <w:tcW w:w="2127" w:type="dxa"/>
          </w:tcPr>
          <w:p w14:paraId="0D0DD9E9" w14:textId="77777777" w:rsidR="00533C69" w:rsidRPr="004C3FE0" w:rsidRDefault="00533C69" w:rsidP="00D30EB7">
            <w:pPr>
              <w:ind w:left="74" w:right="74"/>
              <w:rPr>
                <w:szCs w:val="18"/>
              </w:rPr>
            </w:pPr>
            <w:r w:rsidRPr="004C3FE0">
              <w:rPr>
                <w:szCs w:val="18"/>
              </w:rPr>
              <w:t>EGP</w:t>
            </w:r>
          </w:p>
        </w:tc>
        <w:tc>
          <w:tcPr>
            <w:tcW w:w="6378" w:type="dxa"/>
          </w:tcPr>
          <w:p w14:paraId="676D75BE" w14:textId="77777777" w:rsidR="00533C69" w:rsidRPr="004C3FE0" w:rsidRDefault="00533C69" w:rsidP="00D30EB7">
            <w:pPr>
              <w:ind w:left="74" w:right="74"/>
              <w:rPr>
                <w:szCs w:val="18"/>
              </w:rPr>
            </w:pPr>
            <w:r w:rsidRPr="004C3FE0">
              <w:rPr>
                <w:szCs w:val="18"/>
              </w:rPr>
              <w:t xml:space="preserve">Eastern Gas Pipeline </w:t>
            </w:r>
          </w:p>
        </w:tc>
      </w:tr>
      <w:tr w:rsidR="00533C69" w:rsidRPr="004C3FE0" w14:paraId="5D5E35FF" w14:textId="77777777" w:rsidTr="00533C69">
        <w:tc>
          <w:tcPr>
            <w:tcW w:w="2127" w:type="dxa"/>
          </w:tcPr>
          <w:p w14:paraId="6B834D62" w14:textId="77777777" w:rsidR="00533C69" w:rsidRPr="004C3FE0" w:rsidRDefault="00533C69" w:rsidP="00D30EB7">
            <w:pPr>
              <w:ind w:left="74" w:right="74"/>
              <w:rPr>
                <w:szCs w:val="18"/>
              </w:rPr>
            </w:pPr>
            <w:r>
              <w:rPr>
                <w:szCs w:val="18"/>
              </w:rPr>
              <w:t xml:space="preserve">Energy </w:t>
            </w:r>
            <w:r w:rsidRPr="004C3FE0">
              <w:rPr>
                <w:szCs w:val="18"/>
              </w:rPr>
              <w:t>Council</w:t>
            </w:r>
          </w:p>
        </w:tc>
        <w:tc>
          <w:tcPr>
            <w:tcW w:w="6378" w:type="dxa"/>
          </w:tcPr>
          <w:p w14:paraId="273CAA4E" w14:textId="77777777" w:rsidR="00533C69" w:rsidRPr="004C3FE0" w:rsidRDefault="00533C69" w:rsidP="00D30EB7">
            <w:pPr>
              <w:ind w:left="74" w:right="74"/>
              <w:rPr>
                <w:szCs w:val="18"/>
              </w:rPr>
            </w:pPr>
            <w:r w:rsidRPr="004C3FE0">
              <w:rPr>
                <w:szCs w:val="18"/>
              </w:rPr>
              <w:t>COAG Energy Council</w:t>
            </w:r>
          </w:p>
        </w:tc>
      </w:tr>
      <w:tr w:rsidR="00533C69" w:rsidRPr="004C3FE0" w14:paraId="69622476" w14:textId="77777777" w:rsidTr="00533C69">
        <w:tc>
          <w:tcPr>
            <w:tcW w:w="2127" w:type="dxa"/>
          </w:tcPr>
          <w:p w14:paraId="024A524E" w14:textId="77777777" w:rsidR="00533C69" w:rsidRDefault="00533C69" w:rsidP="00D30EB7">
            <w:pPr>
              <w:ind w:left="74" w:right="74"/>
              <w:rPr>
                <w:szCs w:val="18"/>
              </w:rPr>
            </w:pPr>
            <w:r>
              <w:rPr>
                <w:szCs w:val="18"/>
              </w:rPr>
              <w:t>ERA</w:t>
            </w:r>
          </w:p>
        </w:tc>
        <w:tc>
          <w:tcPr>
            <w:tcW w:w="6378" w:type="dxa"/>
          </w:tcPr>
          <w:p w14:paraId="78442591" w14:textId="77777777" w:rsidR="00533C69" w:rsidRPr="004C3FE0" w:rsidRDefault="00533C69" w:rsidP="00D30EB7">
            <w:pPr>
              <w:ind w:left="74" w:right="74"/>
              <w:rPr>
                <w:szCs w:val="18"/>
              </w:rPr>
            </w:pPr>
            <w:r>
              <w:rPr>
                <w:szCs w:val="18"/>
              </w:rPr>
              <w:t>Economic Regulation Authority (WA)</w:t>
            </w:r>
          </w:p>
        </w:tc>
      </w:tr>
      <w:tr w:rsidR="00533C69" w:rsidRPr="004C3FE0" w14:paraId="34074165" w14:textId="77777777" w:rsidTr="00533C69">
        <w:tc>
          <w:tcPr>
            <w:tcW w:w="2127" w:type="dxa"/>
          </w:tcPr>
          <w:p w14:paraId="751DAC4A" w14:textId="77777777" w:rsidR="00533C69" w:rsidRDefault="00533C69" w:rsidP="00D30EB7">
            <w:pPr>
              <w:ind w:left="74" w:right="74"/>
              <w:rPr>
                <w:szCs w:val="18"/>
              </w:rPr>
            </w:pPr>
            <w:r>
              <w:rPr>
                <w:szCs w:val="18"/>
              </w:rPr>
              <w:t>ETS</w:t>
            </w:r>
          </w:p>
        </w:tc>
        <w:tc>
          <w:tcPr>
            <w:tcW w:w="6378" w:type="dxa"/>
          </w:tcPr>
          <w:p w14:paraId="0E678288" w14:textId="77777777" w:rsidR="00533C69" w:rsidRDefault="00533C69" w:rsidP="00D30EB7">
            <w:pPr>
              <w:ind w:left="74" w:right="74"/>
              <w:rPr>
                <w:szCs w:val="18"/>
              </w:rPr>
            </w:pPr>
            <w:proofErr w:type="spellStart"/>
            <w:r>
              <w:rPr>
                <w:szCs w:val="18"/>
              </w:rPr>
              <w:t>Trayport</w:t>
            </w:r>
            <w:proofErr w:type="spellEnd"/>
            <w:r>
              <w:rPr>
                <w:szCs w:val="18"/>
              </w:rPr>
              <w:t xml:space="preserve"> Exchange Trading System</w:t>
            </w:r>
          </w:p>
        </w:tc>
      </w:tr>
      <w:tr w:rsidR="00D30EB7" w:rsidRPr="00E37A1E" w14:paraId="370D3AB5" w14:textId="77777777" w:rsidTr="00686058">
        <w:tc>
          <w:tcPr>
            <w:tcW w:w="2127" w:type="dxa"/>
          </w:tcPr>
          <w:p w14:paraId="61109C00" w14:textId="77777777" w:rsidR="00D30EB7" w:rsidRPr="00E37A1E" w:rsidRDefault="00D30EB7" w:rsidP="00D30EB7">
            <w:pPr>
              <w:ind w:left="74" w:right="74"/>
              <w:rPr>
                <w:rFonts w:cs="Arial"/>
                <w:szCs w:val="18"/>
              </w:rPr>
            </w:pPr>
            <w:r>
              <w:rPr>
                <w:rFonts w:cs="Arial"/>
                <w:szCs w:val="18"/>
              </w:rPr>
              <w:t>FTP</w:t>
            </w:r>
          </w:p>
        </w:tc>
        <w:tc>
          <w:tcPr>
            <w:tcW w:w="6378" w:type="dxa"/>
          </w:tcPr>
          <w:p w14:paraId="553D986C" w14:textId="77777777" w:rsidR="00D30EB7" w:rsidRPr="00E37A1E" w:rsidRDefault="00D30EB7" w:rsidP="00D30EB7">
            <w:pPr>
              <w:ind w:left="74" w:right="74"/>
              <w:rPr>
                <w:rFonts w:cs="Arial"/>
                <w:szCs w:val="18"/>
              </w:rPr>
            </w:pPr>
            <w:r>
              <w:rPr>
                <w:rFonts w:cs="Arial"/>
                <w:szCs w:val="18"/>
              </w:rPr>
              <w:t>File Transfer Protocol</w:t>
            </w:r>
          </w:p>
        </w:tc>
      </w:tr>
      <w:tr w:rsidR="00533C69" w:rsidRPr="004C3FE0" w14:paraId="5A8FF184" w14:textId="77777777" w:rsidTr="00533C69">
        <w:tc>
          <w:tcPr>
            <w:tcW w:w="2127" w:type="dxa"/>
          </w:tcPr>
          <w:p w14:paraId="15649D0E" w14:textId="77777777" w:rsidR="00533C69" w:rsidRPr="004C3FE0" w:rsidRDefault="00533C69" w:rsidP="00D30EB7">
            <w:pPr>
              <w:ind w:left="74" w:right="74"/>
              <w:rPr>
                <w:szCs w:val="18"/>
              </w:rPr>
            </w:pPr>
            <w:r w:rsidRPr="004C3FE0">
              <w:rPr>
                <w:szCs w:val="18"/>
              </w:rPr>
              <w:t>GMRG</w:t>
            </w:r>
          </w:p>
        </w:tc>
        <w:tc>
          <w:tcPr>
            <w:tcW w:w="6378" w:type="dxa"/>
          </w:tcPr>
          <w:p w14:paraId="4FE9E200" w14:textId="77777777" w:rsidR="00533C69" w:rsidRPr="004C3FE0" w:rsidRDefault="00533C69" w:rsidP="00D30EB7">
            <w:pPr>
              <w:ind w:left="74" w:right="74"/>
              <w:rPr>
                <w:szCs w:val="18"/>
              </w:rPr>
            </w:pPr>
            <w:r w:rsidRPr="004C3FE0">
              <w:rPr>
                <w:szCs w:val="18"/>
              </w:rPr>
              <w:t>Gas Market Reform Group</w:t>
            </w:r>
          </w:p>
        </w:tc>
      </w:tr>
      <w:tr w:rsidR="00533C69" w:rsidRPr="004C3FE0" w14:paraId="39744084" w14:textId="77777777" w:rsidTr="00533C69">
        <w:tc>
          <w:tcPr>
            <w:tcW w:w="2127" w:type="dxa"/>
          </w:tcPr>
          <w:p w14:paraId="5F3134C9" w14:textId="77777777" w:rsidR="00533C69" w:rsidRPr="004C3FE0" w:rsidRDefault="00533C69" w:rsidP="00D30EB7">
            <w:pPr>
              <w:ind w:left="74" w:right="74"/>
              <w:rPr>
                <w:szCs w:val="18"/>
              </w:rPr>
            </w:pPr>
            <w:r w:rsidRPr="004C3FE0">
              <w:rPr>
                <w:szCs w:val="18"/>
              </w:rPr>
              <w:t>GSH</w:t>
            </w:r>
          </w:p>
        </w:tc>
        <w:tc>
          <w:tcPr>
            <w:tcW w:w="6378" w:type="dxa"/>
          </w:tcPr>
          <w:p w14:paraId="7DC2E912" w14:textId="77777777" w:rsidR="00533C69" w:rsidRPr="004C3FE0" w:rsidRDefault="00533C69" w:rsidP="00D30EB7">
            <w:pPr>
              <w:ind w:left="74" w:right="74"/>
              <w:rPr>
                <w:szCs w:val="18"/>
              </w:rPr>
            </w:pPr>
            <w:r w:rsidRPr="004C3FE0">
              <w:rPr>
                <w:szCs w:val="18"/>
              </w:rPr>
              <w:t>Gas Supply Hub</w:t>
            </w:r>
          </w:p>
        </w:tc>
      </w:tr>
      <w:tr w:rsidR="00533C69" w:rsidRPr="004C3FE0" w14:paraId="0376AD59" w14:textId="77777777" w:rsidTr="00533C69">
        <w:tc>
          <w:tcPr>
            <w:tcW w:w="2127" w:type="dxa"/>
          </w:tcPr>
          <w:p w14:paraId="3BDBCDDD" w14:textId="77777777" w:rsidR="00533C69" w:rsidRPr="004C3FE0" w:rsidRDefault="00533C69" w:rsidP="00D30EB7">
            <w:pPr>
              <w:ind w:left="74" w:right="74"/>
              <w:rPr>
                <w:szCs w:val="18"/>
              </w:rPr>
            </w:pPr>
            <w:r w:rsidRPr="004C3FE0">
              <w:rPr>
                <w:szCs w:val="18"/>
              </w:rPr>
              <w:t>GTA</w:t>
            </w:r>
          </w:p>
        </w:tc>
        <w:tc>
          <w:tcPr>
            <w:tcW w:w="6378" w:type="dxa"/>
          </w:tcPr>
          <w:p w14:paraId="7A755CD1" w14:textId="77777777" w:rsidR="00533C69" w:rsidRPr="004C3FE0" w:rsidRDefault="00533C69" w:rsidP="00D30EB7">
            <w:pPr>
              <w:ind w:left="74" w:right="74"/>
              <w:rPr>
                <w:szCs w:val="18"/>
              </w:rPr>
            </w:pPr>
            <w:r w:rsidRPr="004C3FE0">
              <w:rPr>
                <w:szCs w:val="18"/>
              </w:rPr>
              <w:t>Gas Transportation Agreement</w:t>
            </w:r>
          </w:p>
        </w:tc>
      </w:tr>
      <w:tr w:rsidR="00533C69" w:rsidRPr="004C3FE0" w14:paraId="78BBF6DD" w14:textId="77777777" w:rsidTr="00533C69">
        <w:tc>
          <w:tcPr>
            <w:tcW w:w="2127" w:type="dxa"/>
          </w:tcPr>
          <w:p w14:paraId="7AE4E6B3" w14:textId="77777777" w:rsidR="00533C69" w:rsidRPr="004C3FE0" w:rsidRDefault="00533C69" w:rsidP="00D30EB7">
            <w:pPr>
              <w:ind w:left="74" w:right="74"/>
              <w:rPr>
                <w:szCs w:val="18"/>
              </w:rPr>
            </w:pPr>
            <w:r>
              <w:rPr>
                <w:szCs w:val="18"/>
              </w:rPr>
              <w:t>HPTP</w:t>
            </w:r>
          </w:p>
        </w:tc>
        <w:tc>
          <w:tcPr>
            <w:tcW w:w="6378" w:type="dxa"/>
          </w:tcPr>
          <w:p w14:paraId="3A736A26" w14:textId="77777777" w:rsidR="00533C69" w:rsidRPr="004C3FE0" w:rsidRDefault="00533C69" w:rsidP="00D30EB7">
            <w:pPr>
              <w:ind w:left="74" w:right="74"/>
              <w:rPr>
                <w:szCs w:val="18"/>
              </w:rPr>
            </w:pPr>
            <w:r>
              <w:t>High Pressure Trade Point)</w:t>
            </w:r>
          </w:p>
        </w:tc>
      </w:tr>
      <w:tr w:rsidR="00533C69" w:rsidRPr="004C3FE0" w14:paraId="2CE7E9ED" w14:textId="77777777" w:rsidTr="00533C69">
        <w:tc>
          <w:tcPr>
            <w:tcW w:w="2127" w:type="dxa"/>
          </w:tcPr>
          <w:p w14:paraId="5DFA6BED" w14:textId="77777777" w:rsidR="00533C69" w:rsidRPr="004C3FE0" w:rsidRDefault="00533C69" w:rsidP="00D30EB7">
            <w:pPr>
              <w:ind w:left="74" w:right="74"/>
              <w:rPr>
                <w:szCs w:val="18"/>
              </w:rPr>
            </w:pPr>
            <w:r w:rsidRPr="004C3FE0">
              <w:rPr>
                <w:szCs w:val="18"/>
              </w:rPr>
              <w:t>JWS</w:t>
            </w:r>
          </w:p>
        </w:tc>
        <w:tc>
          <w:tcPr>
            <w:tcW w:w="6378" w:type="dxa"/>
          </w:tcPr>
          <w:p w14:paraId="6B0B55D0" w14:textId="77777777" w:rsidR="00533C69" w:rsidRPr="004C3FE0" w:rsidRDefault="00533C69" w:rsidP="00D30EB7">
            <w:pPr>
              <w:ind w:left="74" w:right="74"/>
              <w:rPr>
                <w:szCs w:val="18"/>
              </w:rPr>
            </w:pPr>
            <w:r w:rsidRPr="004C3FE0">
              <w:rPr>
                <w:szCs w:val="18"/>
              </w:rPr>
              <w:t>Johnson, Winter &amp; Slattery</w:t>
            </w:r>
          </w:p>
        </w:tc>
      </w:tr>
      <w:tr w:rsidR="00533C69" w:rsidRPr="004C3FE0" w14:paraId="1529C0ED" w14:textId="77777777" w:rsidTr="00533C69">
        <w:tc>
          <w:tcPr>
            <w:tcW w:w="2127" w:type="dxa"/>
          </w:tcPr>
          <w:p w14:paraId="5805E929" w14:textId="77777777" w:rsidR="00533C69" w:rsidRPr="004C3FE0" w:rsidRDefault="00533C69" w:rsidP="00D30EB7">
            <w:pPr>
              <w:ind w:left="74" w:right="74"/>
              <w:rPr>
                <w:szCs w:val="18"/>
              </w:rPr>
            </w:pPr>
            <w:r>
              <w:rPr>
                <w:szCs w:val="18"/>
              </w:rPr>
              <w:t>LPTP</w:t>
            </w:r>
          </w:p>
        </w:tc>
        <w:tc>
          <w:tcPr>
            <w:tcW w:w="6378" w:type="dxa"/>
          </w:tcPr>
          <w:p w14:paraId="75CEAF58" w14:textId="77777777" w:rsidR="00533C69" w:rsidRPr="004C3FE0" w:rsidRDefault="00533C69" w:rsidP="00D30EB7">
            <w:pPr>
              <w:ind w:left="74" w:right="74"/>
              <w:rPr>
                <w:szCs w:val="18"/>
              </w:rPr>
            </w:pPr>
            <w:r>
              <w:t>Low Pressure Trade Point)</w:t>
            </w:r>
          </w:p>
        </w:tc>
      </w:tr>
      <w:tr w:rsidR="00533C69" w:rsidRPr="004C3FE0" w14:paraId="59116F44" w14:textId="77777777" w:rsidTr="00533C69">
        <w:tc>
          <w:tcPr>
            <w:tcW w:w="2127" w:type="dxa"/>
          </w:tcPr>
          <w:p w14:paraId="7DDB049C" w14:textId="77777777" w:rsidR="00533C69" w:rsidRPr="004C3FE0" w:rsidRDefault="00533C69" w:rsidP="00D30EB7">
            <w:pPr>
              <w:ind w:left="74" w:right="74"/>
              <w:rPr>
                <w:szCs w:val="18"/>
              </w:rPr>
            </w:pPr>
            <w:r w:rsidRPr="004C3FE0">
              <w:rPr>
                <w:szCs w:val="18"/>
              </w:rPr>
              <w:t>MAPS</w:t>
            </w:r>
          </w:p>
        </w:tc>
        <w:tc>
          <w:tcPr>
            <w:tcW w:w="6378" w:type="dxa"/>
          </w:tcPr>
          <w:p w14:paraId="564CBD92" w14:textId="77777777" w:rsidR="00533C69" w:rsidRPr="004C3FE0" w:rsidRDefault="00533C69" w:rsidP="00D30EB7">
            <w:pPr>
              <w:ind w:left="74" w:right="74"/>
              <w:rPr>
                <w:szCs w:val="18"/>
              </w:rPr>
            </w:pPr>
            <w:r w:rsidRPr="004C3FE0">
              <w:rPr>
                <w:szCs w:val="18"/>
              </w:rPr>
              <w:t>Moomba to Adelaide Pipeline System</w:t>
            </w:r>
          </w:p>
        </w:tc>
      </w:tr>
      <w:tr w:rsidR="00533C69" w:rsidRPr="004C3FE0" w14:paraId="7D4E95D0" w14:textId="77777777" w:rsidTr="00533C69">
        <w:tc>
          <w:tcPr>
            <w:tcW w:w="2127" w:type="dxa"/>
          </w:tcPr>
          <w:p w14:paraId="0CE66CC2" w14:textId="77777777" w:rsidR="00533C69" w:rsidRPr="004C3FE0" w:rsidRDefault="00533C69" w:rsidP="00D30EB7">
            <w:pPr>
              <w:ind w:left="74" w:right="74"/>
              <w:rPr>
                <w:szCs w:val="18"/>
              </w:rPr>
            </w:pPr>
            <w:r>
              <w:rPr>
                <w:szCs w:val="18"/>
              </w:rPr>
              <w:t>MCF</w:t>
            </w:r>
          </w:p>
        </w:tc>
        <w:tc>
          <w:tcPr>
            <w:tcW w:w="6378" w:type="dxa"/>
          </w:tcPr>
          <w:p w14:paraId="7EE6F4E9" w14:textId="77777777" w:rsidR="00533C69" w:rsidRPr="004C3FE0" w:rsidRDefault="00533C69" w:rsidP="00D30EB7">
            <w:pPr>
              <w:ind w:left="74" w:right="74"/>
              <w:rPr>
                <w:szCs w:val="18"/>
              </w:rPr>
            </w:pPr>
            <w:r>
              <w:rPr>
                <w:szCs w:val="18"/>
              </w:rPr>
              <w:t xml:space="preserve">Moomba Compression Facility </w:t>
            </w:r>
          </w:p>
        </w:tc>
      </w:tr>
      <w:tr w:rsidR="00533C69" w:rsidRPr="004C3FE0" w14:paraId="43E69091" w14:textId="77777777" w:rsidTr="00533C69">
        <w:tc>
          <w:tcPr>
            <w:tcW w:w="2127" w:type="dxa"/>
          </w:tcPr>
          <w:p w14:paraId="4AD6407A" w14:textId="77777777" w:rsidR="00533C69" w:rsidRPr="004C3FE0" w:rsidRDefault="00533C69" w:rsidP="00D30EB7">
            <w:pPr>
              <w:ind w:left="74" w:right="74"/>
              <w:rPr>
                <w:szCs w:val="18"/>
              </w:rPr>
            </w:pPr>
            <w:r>
              <w:rPr>
                <w:szCs w:val="18"/>
              </w:rPr>
              <w:t>MDQ</w:t>
            </w:r>
          </w:p>
        </w:tc>
        <w:tc>
          <w:tcPr>
            <w:tcW w:w="6378" w:type="dxa"/>
          </w:tcPr>
          <w:p w14:paraId="18746229" w14:textId="77777777" w:rsidR="00533C69" w:rsidRPr="004C3FE0" w:rsidRDefault="00533C69" w:rsidP="00D30EB7">
            <w:pPr>
              <w:ind w:left="74" w:right="74"/>
              <w:rPr>
                <w:szCs w:val="18"/>
              </w:rPr>
            </w:pPr>
            <w:r>
              <w:rPr>
                <w:szCs w:val="18"/>
              </w:rPr>
              <w:t>Maximum Daily Quantity</w:t>
            </w:r>
          </w:p>
        </w:tc>
      </w:tr>
      <w:tr w:rsidR="00533C69" w:rsidRPr="004C3FE0" w14:paraId="1C76F12C" w14:textId="77777777" w:rsidTr="00533C69">
        <w:tc>
          <w:tcPr>
            <w:tcW w:w="2127" w:type="dxa"/>
          </w:tcPr>
          <w:p w14:paraId="7F44E410" w14:textId="77777777" w:rsidR="00533C69" w:rsidRDefault="00533C69" w:rsidP="00D30EB7">
            <w:pPr>
              <w:ind w:left="74" w:right="74"/>
              <w:rPr>
                <w:szCs w:val="18"/>
              </w:rPr>
            </w:pPr>
            <w:r>
              <w:rPr>
                <w:szCs w:val="18"/>
              </w:rPr>
              <w:t>MHQ</w:t>
            </w:r>
          </w:p>
        </w:tc>
        <w:tc>
          <w:tcPr>
            <w:tcW w:w="6378" w:type="dxa"/>
          </w:tcPr>
          <w:p w14:paraId="10EE2E67" w14:textId="77777777" w:rsidR="00533C69" w:rsidRDefault="00533C69" w:rsidP="00D30EB7">
            <w:pPr>
              <w:ind w:left="74" w:right="74"/>
              <w:rPr>
                <w:szCs w:val="18"/>
              </w:rPr>
            </w:pPr>
            <w:r>
              <w:rPr>
                <w:szCs w:val="18"/>
              </w:rPr>
              <w:t xml:space="preserve">Maximum Hourly Quantity </w:t>
            </w:r>
          </w:p>
        </w:tc>
      </w:tr>
      <w:tr w:rsidR="00533C69" w:rsidRPr="004C3FE0" w14:paraId="6B46E1C4" w14:textId="77777777" w:rsidTr="00533C69">
        <w:tc>
          <w:tcPr>
            <w:tcW w:w="2127" w:type="dxa"/>
          </w:tcPr>
          <w:p w14:paraId="1A0EF0F7" w14:textId="77777777" w:rsidR="00533C69" w:rsidRPr="004C3FE0" w:rsidRDefault="00533C69" w:rsidP="00D30EB7">
            <w:pPr>
              <w:ind w:left="74" w:right="74"/>
              <w:rPr>
                <w:szCs w:val="18"/>
              </w:rPr>
            </w:pPr>
            <w:r w:rsidRPr="004C3FE0">
              <w:rPr>
                <w:szCs w:val="18"/>
              </w:rPr>
              <w:t>MOS</w:t>
            </w:r>
          </w:p>
        </w:tc>
        <w:tc>
          <w:tcPr>
            <w:tcW w:w="6378" w:type="dxa"/>
          </w:tcPr>
          <w:p w14:paraId="4A3EEE40" w14:textId="77777777" w:rsidR="00533C69" w:rsidRPr="004C3FE0" w:rsidRDefault="00533C69" w:rsidP="00D30EB7">
            <w:pPr>
              <w:ind w:left="74" w:right="74"/>
              <w:rPr>
                <w:szCs w:val="18"/>
              </w:rPr>
            </w:pPr>
            <w:r w:rsidRPr="004C3FE0">
              <w:rPr>
                <w:szCs w:val="18"/>
              </w:rPr>
              <w:t>Market Operator Service</w:t>
            </w:r>
          </w:p>
        </w:tc>
      </w:tr>
      <w:tr w:rsidR="00533C69" w:rsidRPr="004C3FE0" w14:paraId="74E75885" w14:textId="77777777" w:rsidTr="00533C69">
        <w:tc>
          <w:tcPr>
            <w:tcW w:w="2127" w:type="dxa"/>
          </w:tcPr>
          <w:p w14:paraId="19501836" w14:textId="77777777" w:rsidR="00533C69" w:rsidRPr="004C3FE0" w:rsidRDefault="00533C69" w:rsidP="00D30EB7">
            <w:pPr>
              <w:ind w:left="74" w:right="74"/>
              <w:rPr>
                <w:szCs w:val="18"/>
              </w:rPr>
            </w:pPr>
            <w:r w:rsidRPr="004C3FE0">
              <w:rPr>
                <w:szCs w:val="18"/>
              </w:rPr>
              <w:t>MSP</w:t>
            </w:r>
          </w:p>
        </w:tc>
        <w:tc>
          <w:tcPr>
            <w:tcW w:w="6378" w:type="dxa"/>
          </w:tcPr>
          <w:p w14:paraId="30BD9AC6" w14:textId="77777777" w:rsidR="00533C69" w:rsidRPr="004C3FE0" w:rsidRDefault="00533C69" w:rsidP="00D30EB7">
            <w:pPr>
              <w:ind w:left="74" w:right="74"/>
              <w:rPr>
                <w:szCs w:val="18"/>
              </w:rPr>
            </w:pPr>
            <w:r w:rsidRPr="004C3FE0">
              <w:rPr>
                <w:szCs w:val="18"/>
              </w:rPr>
              <w:t xml:space="preserve">Moomba to Sydney Pipeline </w:t>
            </w:r>
          </w:p>
        </w:tc>
      </w:tr>
      <w:tr w:rsidR="00D30EB7" w:rsidRPr="00E37A1E" w14:paraId="6A8A3211" w14:textId="77777777" w:rsidTr="00686058">
        <w:tc>
          <w:tcPr>
            <w:tcW w:w="2127" w:type="dxa"/>
          </w:tcPr>
          <w:p w14:paraId="4A0099AD" w14:textId="77777777" w:rsidR="00D30EB7" w:rsidRPr="00E37A1E" w:rsidRDefault="00D30EB7" w:rsidP="00D30EB7">
            <w:pPr>
              <w:ind w:left="74" w:right="74"/>
              <w:rPr>
                <w:rFonts w:cs="Arial"/>
                <w:szCs w:val="18"/>
              </w:rPr>
            </w:pPr>
            <w:r w:rsidRPr="00E37A1E">
              <w:rPr>
                <w:rFonts w:cs="Arial"/>
                <w:szCs w:val="18"/>
              </w:rPr>
              <w:t>MSV</w:t>
            </w:r>
          </w:p>
        </w:tc>
        <w:tc>
          <w:tcPr>
            <w:tcW w:w="6378" w:type="dxa"/>
          </w:tcPr>
          <w:p w14:paraId="14145193" w14:textId="77777777" w:rsidR="00D30EB7" w:rsidRPr="00E37A1E" w:rsidRDefault="00D30EB7" w:rsidP="00D30EB7">
            <w:pPr>
              <w:ind w:left="74" w:right="74"/>
              <w:rPr>
                <w:rFonts w:cs="Arial"/>
                <w:szCs w:val="18"/>
              </w:rPr>
            </w:pPr>
            <w:r w:rsidRPr="00E37A1E">
              <w:rPr>
                <w:rFonts w:cs="Arial"/>
                <w:szCs w:val="18"/>
              </w:rPr>
              <w:t>Market Schedule Varia</w:t>
            </w:r>
            <w:r>
              <w:rPr>
                <w:rFonts w:cs="Arial"/>
                <w:szCs w:val="18"/>
              </w:rPr>
              <w:t>tion</w:t>
            </w:r>
          </w:p>
        </w:tc>
      </w:tr>
      <w:tr w:rsidR="00533C69" w:rsidRPr="004C3FE0" w14:paraId="66EAA171" w14:textId="77777777" w:rsidTr="00533C69">
        <w:tc>
          <w:tcPr>
            <w:tcW w:w="2127" w:type="dxa"/>
          </w:tcPr>
          <w:p w14:paraId="27E4F28D" w14:textId="77777777" w:rsidR="00533C69" w:rsidRPr="004C3FE0" w:rsidRDefault="00533C69" w:rsidP="00D30EB7">
            <w:pPr>
              <w:ind w:left="74" w:right="74"/>
              <w:rPr>
                <w:szCs w:val="18"/>
              </w:rPr>
            </w:pPr>
            <w:r>
              <w:rPr>
                <w:szCs w:val="18"/>
              </w:rPr>
              <w:t>NER</w:t>
            </w:r>
          </w:p>
        </w:tc>
        <w:tc>
          <w:tcPr>
            <w:tcW w:w="6378" w:type="dxa"/>
          </w:tcPr>
          <w:p w14:paraId="1539D69A" w14:textId="77777777" w:rsidR="00533C69" w:rsidRPr="004C3FE0" w:rsidRDefault="00533C69" w:rsidP="00D30EB7">
            <w:pPr>
              <w:ind w:left="74" w:right="74"/>
              <w:rPr>
                <w:szCs w:val="18"/>
              </w:rPr>
            </w:pPr>
            <w:r>
              <w:rPr>
                <w:szCs w:val="18"/>
              </w:rPr>
              <w:t xml:space="preserve">National Electricity Rules </w:t>
            </w:r>
          </w:p>
        </w:tc>
      </w:tr>
      <w:tr w:rsidR="00533C69" w:rsidRPr="004C3FE0" w14:paraId="6A7F628B" w14:textId="77777777" w:rsidTr="00533C69">
        <w:tc>
          <w:tcPr>
            <w:tcW w:w="2127" w:type="dxa"/>
          </w:tcPr>
          <w:p w14:paraId="5240618A" w14:textId="77777777" w:rsidR="00533C69" w:rsidRPr="004C3FE0" w:rsidRDefault="00533C69" w:rsidP="00D30EB7">
            <w:pPr>
              <w:ind w:left="74" w:right="74"/>
              <w:rPr>
                <w:szCs w:val="18"/>
              </w:rPr>
            </w:pPr>
            <w:r w:rsidRPr="004C3FE0">
              <w:rPr>
                <w:szCs w:val="18"/>
              </w:rPr>
              <w:t>NGL</w:t>
            </w:r>
          </w:p>
        </w:tc>
        <w:tc>
          <w:tcPr>
            <w:tcW w:w="6378" w:type="dxa"/>
          </w:tcPr>
          <w:p w14:paraId="0AEABDC8" w14:textId="77777777" w:rsidR="00533C69" w:rsidRPr="004C3FE0" w:rsidRDefault="00533C69" w:rsidP="00D30EB7">
            <w:pPr>
              <w:ind w:left="74" w:right="74"/>
              <w:rPr>
                <w:szCs w:val="18"/>
              </w:rPr>
            </w:pPr>
            <w:r w:rsidRPr="004C3FE0">
              <w:rPr>
                <w:szCs w:val="18"/>
              </w:rPr>
              <w:t>National Gas Law</w:t>
            </w:r>
          </w:p>
        </w:tc>
      </w:tr>
      <w:tr w:rsidR="00533C69" w:rsidRPr="004C3FE0" w14:paraId="768E898E" w14:textId="77777777" w:rsidTr="00533C69">
        <w:tc>
          <w:tcPr>
            <w:tcW w:w="2127" w:type="dxa"/>
          </w:tcPr>
          <w:p w14:paraId="33F453E0" w14:textId="77777777" w:rsidR="00533C69" w:rsidRPr="004C3FE0" w:rsidRDefault="00533C69" w:rsidP="00D30EB7">
            <w:pPr>
              <w:ind w:left="74" w:right="74"/>
              <w:rPr>
                <w:szCs w:val="18"/>
              </w:rPr>
            </w:pPr>
            <w:r w:rsidRPr="004C3FE0">
              <w:rPr>
                <w:szCs w:val="18"/>
              </w:rPr>
              <w:t>NGO</w:t>
            </w:r>
          </w:p>
        </w:tc>
        <w:tc>
          <w:tcPr>
            <w:tcW w:w="6378" w:type="dxa"/>
          </w:tcPr>
          <w:p w14:paraId="3F428900" w14:textId="77777777" w:rsidR="00533C69" w:rsidRPr="004C3FE0" w:rsidRDefault="00533C69" w:rsidP="00D30EB7">
            <w:pPr>
              <w:ind w:left="74" w:right="74"/>
              <w:rPr>
                <w:szCs w:val="18"/>
              </w:rPr>
            </w:pPr>
            <w:r w:rsidRPr="004C3FE0">
              <w:rPr>
                <w:szCs w:val="18"/>
              </w:rPr>
              <w:t>National Gas Objective</w:t>
            </w:r>
          </w:p>
        </w:tc>
      </w:tr>
      <w:tr w:rsidR="00533C69" w:rsidRPr="004C3FE0" w14:paraId="69A013F4" w14:textId="77777777" w:rsidTr="00533C69">
        <w:tc>
          <w:tcPr>
            <w:tcW w:w="2127" w:type="dxa"/>
          </w:tcPr>
          <w:p w14:paraId="55401481" w14:textId="77777777" w:rsidR="00533C69" w:rsidRPr="004C3FE0" w:rsidRDefault="00533C69" w:rsidP="00D30EB7">
            <w:pPr>
              <w:ind w:left="74" w:right="74"/>
              <w:rPr>
                <w:szCs w:val="18"/>
              </w:rPr>
            </w:pPr>
            <w:r>
              <w:rPr>
                <w:szCs w:val="18"/>
              </w:rPr>
              <w:t>NGP</w:t>
            </w:r>
          </w:p>
        </w:tc>
        <w:tc>
          <w:tcPr>
            <w:tcW w:w="6378" w:type="dxa"/>
          </w:tcPr>
          <w:p w14:paraId="165F85E3" w14:textId="77777777" w:rsidR="00533C69" w:rsidRPr="004C3FE0" w:rsidRDefault="00533C69" w:rsidP="00D30EB7">
            <w:pPr>
              <w:ind w:left="74" w:right="74"/>
              <w:rPr>
                <w:szCs w:val="18"/>
              </w:rPr>
            </w:pPr>
            <w:r>
              <w:rPr>
                <w:szCs w:val="18"/>
              </w:rPr>
              <w:t xml:space="preserve">Northern Gas Pipeline </w:t>
            </w:r>
          </w:p>
        </w:tc>
      </w:tr>
      <w:tr w:rsidR="00533C69" w:rsidRPr="004C3FE0" w14:paraId="7CBEBE1C" w14:textId="77777777" w:rsidTr="00533C69">
        <w:tc>
          <w:tcPr>
            <w:tcW w:w="2127" w:type="dxa"/>
          </w:tcPr>
          <w:p w14:paraId="3D2A6436" w14:textId="77777777" w:rsidR="00533C69" w:rsidRPr="004C3FE0" w:rsidRDefault="00533C69" w:rsidP="00D30EB7">
            <w:pPr>
              <w:ind w:left="74" w:right="74"/>
              <w:rPr>
                <w:szCs w:val="18"/>
              </w:rPr>
            </w:pPr>
            <w:r w:rsidRPr="004C3FE0">
              <w:rPr>
                <w:szCs w:val="18"/>
              </w:rPr>
              <w:lastRenderedPageBreak/>
              <w:t>NGR</w:t>
            </w:r>
          </w:p>
        </w:tc>
        <w:tc>
          <w:tcPr>
            <w:tcW w:w="6378" w:type="dxa"/>
          </w:tcPr>
          <w:p w14:paraId="1E534D07" w14:textId="77777777" w:rsidR="00533C69" w:rsidRPr="004C3FE0" w:rsidRDefault="00533C69" w:rsidP="00D30EB7">
            <w:pPr>
              <w:ind w:left="74" w:right="74"/>
              <w:rPr>
                <w:szCs w:val="18"/>
              </w:rPr>
            </w:pPr>
            <w:r w:rsidRPr="004C3FE0">
              <w:rPr>
                <w:szCs w:val="18"/>
              </w:rPr>
              <w:t>National Gas Rules</w:t>
            </w:r>
          </w:p>
        </w:tc>
      </w:tr>
      <w:tr w:rsidR="00533C69" w:rsidRPr="004C3FE0" w14:paraId="61DCCE3A" w14:textId="77777777" w:rsidTr="00533C69">
        <w:tc>
          <w:tcPr>
            <w:tcW w:w="2127" w:type="dxa"/>
          </w:tcPr>
          <w:p w14:paraId="3C903DB2" w14:textId="77777777" w:rsidR="00533C69" w:rsidRPr="004C3FE0" w:rsidRDefault="00533C69" w:rsidP="00D30EB7">
            <w:pPr>
              <w:ind w:left="74" w:right="74"/>
              <w:rPr>
                <w:szCs w:val="18"/>
              </w:rPr>
            </w:pPr>
            <w:r w:rsidRPr="004C3FE0">
              <w:rPr>
                <w:szCs w:val="18"/>
              </w:rPr>
              <w:t>RBP</w:t>
            </w:r>
          </w:p>
        </w:tc>
        <w:tc>
          <w:tcPr>
            <w:tcW w:w="6378" w:type="dxa"/>
          </w:tcPr>
          <w:p w14:paraId="049BA385" w14:textId="77777777" w:rsidR="00533C69" w:rsidRPr="004C3FE0" w:rsidRDefault="00533C69" w:rsidP="00D30EB7">
            <w:pPr>
              <w:ind w:left="74" w:right="74"/>
              <w:rPr>
                <w:szCs w:val="18"/>
              </w:rPr>
            </w:pPr>
            <w:r w:rsidRPr="004C3FE0">
              <w:rPr>
                <w:szCs w:val="18"/>
              </w:rPr>
              <w:t>Roma to Brisbane Pipeline</w:t>
            </w:r>
          </w:p>
        </w:tc>
      </w:tr>
      <w:tr w:rsidR="00533C69" w:rsidRPr="004C3FE0" w14:paraId="2B24E2FA" w14:textId="77777777" w:rsidTr="00533C69">
        <w:tc>
          <w:tcPr>
            <w:tcW w:w="2127" w:type="dxa"/>
          </w:tcPr>
          <w:p w14:paraId="6EE067A6" w14:textId="77777777" w:rsidR="00533C69" w:rsidRPr="004C3FE0" w:rsidRDefault="00533C69" w:rsidP="00D30EB7">
            <w:pPr>
              <w:ind w:left="74" w:right="74"/>
              <w:rPr>
                <w:szCs w:val="18"/>
              </w:rPr>
            </w:pPr>
            <w:r w:rsidRPr="004C3FE0">
              <w:rPr>
                <w:szCs w:val="18"/>
              </w:rPr>
              <w:t>SCO</w:t>
            </w:r>
          </w:p>
        </w:tc>
        <w:tc>
          <w:tcPr>
            <w:tcW w:w="6378" w:type="dxa"/>
          </w:tcPr>
          <w:p w14:paraId="31F550AE" w14:textId="025CC559" w:rsidR="00533C69" w:rsidRPr="004C3FE0" w:rsidRDefault="00522628" w:rsidP="00D30EB7">
            <w:pPr>
              <w:ind w:left="74" w:right="74"/>
              <w:rPr>
                <w:szCs w:val="18"/>
              </w:rPr>
            </w:pPr>
            <w:r>
              <w:rPr>
                <w:szCs w:val="18"/>
              </w:rPr>
              <w:t>Senior</w:t>
            </w:r>
            <w:r w:rsidR="00533C69" w:rsidRPr="004C3FE0">
              <w:rPr>
                <w:szCs w:val="18"/>
              </w:rPr>
              <w:t xml:space="preserve"> Committee of Officials</w:t>
            </w:r>
          </w:p>
        </w:tc>
      </w:tr>
      <w:tr w:rsidR="00D30EB7" w:rsidRPr="00E37A1E" w14:paraId="7C75696A" w14:textId="77777777" w:rsidTr="00686058">
        <w:tc>
          <w:tcPr>
            <w:tcW w:w="2127" w:type="dxa"/>
          </w:tcPr>
          <w:p w14:paraId="60DA5CA7" w14:textId="77777777" w:rsidR="00D30EB7" w:rsidRPr="00E37A1E" w:rsidRDefault="00D30EB7" w:rsidP="00D30EB7">
            <w:pPr>
              <w:ind w:left="74" w:right="74"/>
              <w:rPr>
                <w:rFonts w:cs="Arial"/>
                <w:szCs w:val="18"/>
              </w:rPr>
            </w:pPr>
            <w:r>
              <w:rPr>
                <w:rFonts w:cs="Arial"/>
                <w:szCs w:val="18"/>
              </w:rPr>
              <w:t>SIP</w:t>
            </w:r>
          </w:p>
        </w:tc>
        <w:tc>
          <w:tcPr>
            <w:tcW w:w="6378" w:type="dxa"/>
          </w:tcPr>
          <w:p w14:paraId="34214C35" w14:textId="77777777" w:rsidR="00D30EB7" w:rsidRPr="00E37A1E" w:rsidRDefault="00D30EB7" w:rsidP="00D30EB7">
            <w:pPr>
              <w:ind w:left="74" w:right="74"/>
              <w:rPr>
                <w:rFonts w:cs="Arial"/>
                <w:szCs w:val="18"/>
              </w:rPr>
            </w:pPr>
            <w:r w:rsidRPr="008B1B73">
              <w:rPr>
                <w:rFonts w:cs="Arial"/>
              </w:rPr>
              <w:t>STTM Interface Protocol</w:t>
            </w:r>
          </w:p>
        </w:tc>
      </w:tr>
      <w:tr w:rsidR="00533C69" w:rsidRPr="004C3FE0" w14:paraId="45924E4B" w14:textId="77777777" w:rsidTr="00533C69">
        <w:tc>
          <w:tcPr>
            <w:tcW w:w="2127" w:type="dxa"/>
          </w:tcPr>
          <w:p w14:paraId="41245A66" w14:textId="77777777" w:rsidR="00533C69" w:rsidRPr="004C3FE0" w:rsidRDefault="00533C69" w:rsidP="00D30EB7">
            <w:pPr>
              <w:ind w:left="74" w:right="74"/>
              <w:rPr>
                <w:szCs w:val="18"/>
              </w:rPr>
            </w:pPr>
            <w:r>
              <w:rPr>
                <w:szCs w:val="18"/>
              </w:rPr>
              <w:t>SRA</w:t>
            </w:r>
          </w:p>
        </w:tc>
        <w:tc>
          <w:tcPr>
            <w:tcW w:w="6378" w:type="dxa"/>
          </w:tcPr>
          <w:p w14:paraId="2AACE322" w14:textId="77777777" w:rsidR="00533C69" w:rsidRPr="004C3FE0" w:rsidRDefault="00533C69" w:rsidP="00D30EB7">
            <w:pPr>
              <w:ind w:left="74" w:right="74"/>
              <w:rPr>
                <w:szCs w:val="18"/>
              </w:rPr>
            </w:pPr>
            <w:r>
              <w:rPr>
                <w:szCs w:val="18"/>
              </w:rPr>
              <w:t>Settlement Residue Auction</w:t>
            </w:r>
          </w:p>
        </w:tc>
      </w:tr>
      <w:tr w:rsidR="00533C69" w:rsidRPr="004C3FE0" w14:paraId="739618C3" w14:textId="77777777" w:rsidTr="00533C69">
        <w:tc>
          <w:tcPr>
            <w:tcW w:w="2127" w:type="dxa"/>
          </w:tcPr>
          <w:p w14:paraId="18D25CE7" w14:textId="77777777" w:rsidR="00533C69" w:rsidRPr="004C3FE0" w:rsidRDefault="00533C69" w:rsidP="00D30EB7">
            <w:pPr>
              <w:ind w:left="74" w:right="74"/>
              <w:rPr>
                <w:szCs w:val="18"/>
              </w:rPr>
            </w:pPr>
            <w:r w:rsidRPr="004C3FE0">
              <w:rPr>
                <w:szCs w:val="18"/>
              </w:rPr>
              <w:t>STTM</w:t>
            </w:r>
          </w:p>
        </w:tc>
        <w:tc>
          <w:tcPr>
            <w:tcW w:w="6378" w:type="dxa"/>
          </w:tcPr>
          <w:p w14:paraId="5942D299" w14:textId="77777777" w:rsidR="00533C69" w:rsidRPr="004C3FE0" w:rsidRDefault="00533C69" w:rsidP="00D30EB7">
            <w:pPr>
              <w:ind w:left="74" w:right="74"/>
              <w:rPr>
                <w:szCs w:val="18"/>
              </w:rPr>
            </w:pPr>
            <w:r w:rsidRPr="004C3FE0">
              <w:rPr>
                <w:szCs w:val="18"/>
              </w:rPr>
              <w:t>Short Term Trading Market</w:t>
            </w:r>
          </w:p>
        </w:tc>
      </w:tr>
      <w:tr w:rsidR="00533C69" w:rsidRPr="004C3FE0" w14:paraId="04F2A696" w14:textId="77777777" w:rsidTr="00533C69">
        <w:tc>
          <w:tcPr>
            <w:tcW w:w="2127" w:type="dxa"/>
          </w:tcPr>
          <w:p w14:paraId="6040E13B" w14:textId="77777777" w:rsidR="00533C69" w:rsidRPr="004C3FE0" w:rsidRDefault="00533C69" w:rsidP="00D30EB7">
            <w:pPr>
              <w:ind w:left="74" w:right="74"/>
              <w:rPr>
                <w:szCs w:val="18"/>
              </w:rPr>
            </w:pPr>
            <w:r w:rsidRPr="004C3FE0">
              <w:rPr>
                <w:szCs w:val="18"/>
              </w:rPr>
              <w:t>SWQP</w:t>
            </w:r>
          </w:p>
        </w:tc>
        <w:tc>
          <w:tcPr>
            <w:tcW w:w="6378" w:type="dxa"/>
          </w:tcPr>
          <w:p w14:paraId="340D7FF5" w14:textId="77777777" w:rsidR="00533C69" w:rsidRPr="004C3FE0" w:rsidRDefault="00533C69" w:rsidP="00D30EB7">
            <w:pPr>
              <w:ind w:left="74" w:right="74"/>
              <w:rPr>
                <w:szCs w:val="18"/>
              </w:rPr>
            </w:pPr>
            <w:r w:rsidRPr="004C3FE0">
              <w:rPr>
                <w:rFonts w:asciiTheme="majorHAnsi" w:hAnsiTheme="majorHAnsi" w:cstheme="majorHAnsi"/>
                <w:szCs w:val="18"/>
              </w:rPr>
              <w:t>South West Queensland Pipeline</w:t>
            </w:r>
          </w:p>
        </w:tc>
      </w:tr>
      <w:tr w:rsidR="00533C69" w:rsidRPr="004C3FE0" w14:paraId="1EB00AEE" w14:textId="77777777" w:rsidTr="00533C69">
        <w:tc>
          <w:tcPr>
            <w:tcW w:w="2127" w:type="dxa"/>
          </w:tcPr>
          <w:p w14:paraId="6BED6E07" w14:textId="77777777" w:rsidR="00533C69" w:rsidRPr="004C3FE0" w:rsidRDefault="00533C69" w:rsidP="00D30EB7">
            <w:pPr>
              <w:ind w:left="74" w:right="74"/>
              <w:rPr>
                <w:szCs w:val="18"/>
              </w:rPr>
            </w:pPr>
            <w:r>
              <w:rPr>
                <w:szCs w:val="18"/>
              </w:rPr>
              <w:t>TGP</w:t>
            </w:r>
          </w:p>
        </w:tc>
        <w:tc>
          <w:tcPr>
            <w:tcW w:w="6378" w:type="dxa"/>
          </w:tcPr>
          <w:p w14:paraId="0EA302D3" w14:textId="77777777" w:rsidR="00533C69" w:rsidRPr="004C3FE0" w:rsidRDefault="00533C69" w:rsidP="00D30EB7">
            <w:pPr>
              <w:ind w:left="74" w:right="74"/>
              <w:rPr>
                <w:rFonts w:asciiTheme="majorHAnsi" w:hAnsiTheme="majorHAnsi" w:cstheme="majorHAnsi"/>
                <w:szCs w:val="18"/>
              </w:rPr>
            </w:pPr>
            <w:r>
              <w:rPr>
                <w:rFonts w:asciiTheme="majorHAnsi" w:hAnsiTheme="majorHAnsi" w:cstheme="majorHAnsi"/>
                <w:szCs w:val="18"/>
              </w:rPr>
              <w:t>Tasmanian Gas Pipeline</w:t>
            </w:r>
          </w:p>
        </w:tc>
      </w:tr>
      <w:tr w:rsidR="00533C69" w:rsidRPr="004C3FE0" w14:paraId="4F853D00" w14:textId="77777777" w:rsidTr="00533C69">
        <w:tc>
          <w:tcPr>
            <w:tcW w:w="2127" w:type="dxa"/>
          </w:tcPr>
          <w:p w14:paraId="62A021BA" w14:textId="77777777" w:rsidR="00533C69" w:rsidRPr="004C3FE0" w:rsidRDefault="00533C69" w:rsidP="00D30EB7">
            <w:pPr>
              <w:ind w:left="74" w:right="74"/>
              <w:rPr>
                <w:szCs w:val="18"/>
              </w:rPr>
            </w:pPr>
            <w:r w:rsidRPr="004C3FE0">
              <w:rPr>
                <w:szCs w:val="18"/>
              </w:rPr>
              <w:t>Transportation services</w:t>
            </w:r>
          </w:p>
        </w:tc>
        <w:tc>
          <w:tcPr>
            <w:tcW w:w="6378" w:type="dxa"/>
          </w:tcPr>
          <w:p w14:paraId="343AD189" w14:textId="77777777" w:rsidR="00533C69" w:rsidRPr="004C3FE0" w:rsidRDefault="00533C69" w:rsidP="00D30EB7">
            <w:pPr>
              <w:ind w:left="74" w:right="74"/>
              <w:rPr>
                <w:szCs w:val="18"/>
              </w:rPr>
            </w:pPr>
            <w:r w:rsidRPr="004C3FE0">
              <w:rPr>
                <w:szCs w:val="18"/>
              </w:rPr>
              <w:t>This term is used to jointly refer to pipeline and compression services</w:t>
            </w:r>
          </w:p>
        </w:tc>
      </w:tr>
      <w:tr w:rsidR="00533C69" w:rsidRPr="004C3FE0" w14:paraId="1CB80500" w14:textId="77777777" w:rsidTr="00533C69">
        <w:tc>
          <w:tcPr>
            <w:tcW w:w="2127" w:type="dxa"/>
          </w:tcPr>
          <w:p w14:paraId="458206BC" w14:textId="77777777" w:rsidR="00533C69" w:rsidRPr="004C3FE0" w:rsidRDefault="00533C69" w:rsidP="00D30EB7">
            <w:pPr>
              <w:ind w:left="74" w:right="74"/>
              <w:rPr>
                <w:szCs w:val="18"/>
              </w:rPr>
            </w:pPr>
            <w:r w:rsidRPr="004C3FE0">
              <w:rPr>
                <w:szCs w:val="18"/>
              </w:rPr>
              <w:t>Vision</w:t>
            </w:r>
          </w:p>
        </w:tc>
        <w:tc>
          <w:tcPr>
            <w:tcW w:w="6378" w:type="dxa"/>
          </w:tcPr>
          <w:p w14:paraId="28493D0E" w14:textId="77777777" w:rsidR="00533C69" w:rsidRPr="004C3FE0" w:rsidRDefault="00533C69" w:rsidP="00D30EB7">
            <w:pPr>
              <w:ind w:left="74" w:right="74"/>
              <w:rPr>
                <w:szCs w:val="18"/>
              </w:rPr>
            </w:pPr>
            <w:r w:rsidRPr="004C3FE0">
              <w:rPr>
                <w:szCs w:val="18"/>
              </w:rPr>
              <w:t xml:space="preserve">COAG Energy Council’s </w:t>
            </w:r>
            <w:r w:rsidRPr="004C3FE0">
              <w:rPr>
                <w:i/>
                <w:szCs w:val="18"/>
              </w:rPr>
              <w:t>Australian Gas Market Vision</w:t>
            </w:r>
            <w:r w:rsidRPr="004C3FE0">
              <w:rPr>
                <w:szCs w:val="18"/>
              </w:rPr>
              <w:t xml:space="preserve"> (December 2014)</w:t>
            </w:r>
          </w:p>
        </w:tc>
      </w:tr>
    </w:tbl>
    <w:p w14:paraId="30D9E145" w14:textId="77777777" w:rsidR="00533C69" w:rsidRDefault="00533C69" w:rsidP="004F7F03">
      <w:pPr>
        <w:sectPr w:rsidR="00533C69" w:rsidSect="00CF1252">
          <w:pgSz w:w="11907" w:h="16840" w:code="9"/>
          <w:pgMar w:top="1361" w:right="1418" w:bottom="992" w:left="1701" w:header="567" w:footer="397" w:gutter="0"/>
          <w:pgNumType w:fmt="lowerRoman"/>
          <w:cols w:space="708"/>
          <w:docGrid w:linePitch="360"/>
        </w:sectPr>
      </w:pPr>
    </w:p>
    <w:p w14:paraId="21DEB5FC" w14:textId="275F981A" w:rsidR="00E164A7" w:rsidRDefault="005C2E04" w:rsidP="00E164A7">
      <w:pPr>
        <w:pStyle w:val="Heading1"/>
        <w:spacing w:before="0"/>
      </w:pPr>
      <w:bookmarkStart w:id="33" w:name="_Toc452029502"/>
      <w:bookmarkStart w:id="34" w:name="_Toc495351620"/>
      <w:bookmarkEnd w:id="31"/>
      <w:bookmarkEnd w:id="32"/>
      <w:r>
        <w:t>I</w:t>
      </w:r>
      <w:bookmarkEnd w:id="33"/>
      <w:r>
        <w:t>ntroduction</w:t>
      </w:r>
      <w:bookmarkEnd w:id="34"/>
      <w:r w:rsidR="00F543AE">
        <w:t xml:space="preserve"> </w:t>
      </w:r>
    </w:p>
    <w:p w14:paraId="77F848F4" w14:textId="77777777" w:rsidR="008B0B84" w:rsidRDefault="00B73EB7" w:rsidP="008B0B84">
      <w:pPr>
        <w:pStyle w:val="BodyText"/>
      </w:pPr>
      <w:r>
        <w:t>The Gas Market Reform Group (GMRG)</w:t>
      </w:r>
      <w:r w:rsidR="00B20837">
        <w:t xml:space="preserve"> </w:t>
      </w:r>
      <w:r>
        <w:t>was established by the COAG Energy Council (</w:t>
      </w:r>
      <w:r w:rsidR="00C76541">
        <w:t xml:space="preserve">Energy </w:t>
      </w:r>
      <w:r>
        <w:t xml:space="preserve">Council) in the latter half of 2016 </w:t>
      </w:r>
      <w:r w:rsidR="006F7012">
        <w:t xml:space="preserve">to </w:t>
      </w:r>
      <w:r w:rsidR="008B1846">
        <w:t>lead the design, development and implementation of a range of reforms</w:t>
      </w:r>
      <w:r w:rsidR="00B464E5">
        <w:t xml:space="preserve"> set out in the Gas Market Reform Package</w:t>
      </w:r>
      <w:r w:rsidR="002129A4">
        <w:t xml:space="preserve">, including a </w:t>
      </w:r>
      <w:r w:rsidR="00D73D6E">
        <w:t>package</w:t>
      </w:r>
      <w:r w:rsidR="002129A4">
        <w:t xml:space="preserve"> of capacity trading reforms.</w:t>
      </w:r>
      <w:r>
        <w:rPr>
          <w:rStyle w:val="FootnoteReference"/>
        </w:rPr>
        <w:footnoteReference w:id="2"/>
      </w:r>
      <w:r>
        <w:t xml:space="preserve"> </w:t>
      </w:r>
    </w:p>
    <w:p w14:paraId="0B13B2A1" w14:textId="77777777" w:rsidR="004C7499" w:rsidRPr="00511F80" w:rsidRDefault="00F87169" w:rsidP="004C7499">
      <w:pPr>
        <w:pStyle w:val="BodyText"/>
        <w:rPr>
          <w:rFonts w:cs="Arial"/>
        </w:rPr>
      </w:pPr>
      <w:r>
        <w:t xml:space="preserve">The </w:t>
      </w:r>
      <w:r w:rsidR="00D73D6E">
        <w:t>capacity trading reform package</w:t>
      </w:r>
      <w:r w:rsidR="008B0B84">
        <w:t xml:space="preserve"> </w:t>
      </w:r>
      <w:r w:rsidR="00D73D6E">
        <w:t xml:space="preserve">was </w:t>
      </w:r>
      <w:r w:rsidR="00296311">
        <w:t xml:space="preserve">recommended by the Australian Energy Market Commission (AEMC) </w:t>
      </w:r>
      <w:r w:rsidR="00066FB6">
        <w:t xml:space="preserve">as part of its </w:t>
      </w:r>
      <w:r w:rsidR="00296311" w:rsidRPr="00680C5B">
        <w:rPr>
          <w:rFonts w:cs="Arial"/>
          <w:i/>
          <w:iCs/>
        </w:rPr>
        <w:t>Eastern Australian Wholesale Gas Market and Pipelines Framework Review</w:t>
      </w:r>
      <w:r w:rsidR="00D00B76">
        <w:rPr>
          <w:rFonts w:cs="Arial"/>
          <w:i/>
          <w:iCs/>
        </w:rPr>
        <w:t xml:space="preserve"> (</w:t>
      </w:r>
      <w:r w:rsidR="005E3347" w:rsidRPr="005E3347">
        <w:rPr>
          <w:rFonts w:cs="Arial"/>
          <w:i/>
          <w:iCs/>
        </w:rPr>
        <w:t>East Coast Review</w:t>
      </w:r>
      <w:r w:rsidR="00D00B76">
        <w:rPr>
          <w:rFonts w:cs="Arial"/>
          <w:i/>
          <w:iCs/>
        </w:rPr>
        <w:t>)</w:t>
      </w:r>
      <w:r>
        <w:rPr>
          <w:rFonts w:cs="Arial"/>
          <w:iCs/>
        </w:rPr>
        <w:t xml:space="preserve"> </w:t>
      </w:r>
      <w:r w:rsidR="004C7499">
        <w:rPr>
          <w:rFonts w:cs="Arial"/>
          <w:iCs/>
        </w:rPr>
        <w:t xml:space="preserve">(see Appendix A for further detail) </w:t>
      </w:r>
      <w:r>
        <w:rPr>
          <w:rFonts w:cs="Arial"/>
          <w:iCs/>
        </w:rPr>
        <w:t xml:space="preserve">and </w:t>
      </w:r>
      <w:r w:rsidR="00066FB6">
        <w:rPr>
          <w:rFonts w:cs="Arial"/>
          <w:iCs/>
        </w:rPr>
        <w:t xml:space="preserve">endorsed </w:t>
      </w:r>
      <w:r w:rsidR="009E46D8">
        <w:rPr>
          <w:rFonts w:cs="Arial"/>
          <w:iCs/>
        </w:rPr>
        <w:t xml:space="preserve">by the </w:t>
      </w:r>
      <w:r w:rsidR="00C76541">
        <w:rPr>
          <w:rFonts w:cs="Arial"/>
          <w:iCs/>
        </w:rPr>
        <w:t xml:space="preserve">Energy </w:t>
      </w:r>
      <w:r w:rsidR="00066FB6">
        <w:rPr>
          <w:rFonts w:cs="Arial"/>
          <w:iCs/>
        </w:rPr>
        <w:t>Council at its August 2016 meeting</w:t>
      </w:r>
      <w:r>
        <w:rPr>
          <w:rFonts w:cs="Arial"/>
          <w:iCs/>
        </w:rPr>
        <w:t xml:space="preserve">. </w:t>
      </w:r>
      <w:r w:rsidR="004C7499">
        <w:rPr>
          <w:rFonts w:cs="Arial"/>
          <w:iCs/>
        </w:rPr>
        <w:t>The reforms</w:t>
      </w:r>
      <w:r w:rsidR="00FB0886">
        <w:rPr>
          <w:rFonts w:cs="Arial"/>
          <w:iCs/>
        </w:rPr>
        <w:t xml:space="preserve">, which relate to </w:t>
      </w:r>
      <w:r w:rsidR="006E4AD4">
        <w:rPr>
          <w:rFonts w:cs="Arial"/>
          <w:iCs/>
        </w:rPr>
        <w:t xml:space="preserve">transmission </w:t>
      </w:r>
      <w:r w:rsidR="00FB0886">
        <w:rPr>
          <w:rFonts w:cs="Arial"/>
          <w:iCs/>
        </w:rPr>
        <w:t>pipeline and compression services (jointly referred to as ‘transportation services’)</w:t>
      </w:r>
      <w:r w:rsidR="004C7499">
        <w:rPr>
          <w:rFonts w:cs="Arial"/>
          <w:iCs/>
        </w:rPr>
        <w:t xml:space="preserve"> include </w:t>
      </w:r>
      <w:r w:rsidR="004C7499" w:rsidRPr="00511F80">
        <w:rPr>
          <w:rFonts w:cs="Arial"/>
        </w:rPr>
        <w:t>the development of:</w:t>
      </w:r>
    </w:p>
    <w:p w14:paraId="0DB872E1" w14:textId="77777777" w:rsidR="004C7499" w:rsidRDefault="004C7499" w:rsidP="004C7499">
      <w:pPr>
        <w:pStyle w:val="ListBullet"/>
        <w:spacing w:line="252" w:lineRule="auto"/>
        <w:rPr>
          <w:rFonts w:cs="Arial"/>
        </w:rPr>
      </w:pPr>
      <w:r w:rsidRPr="009E1675">
        <w:rPr>
          <w:rFonts w:cs="Arial"/>
        </w:rPr>
        <w:t>a capacity trading platform(s) that shippers can use to trade secondary</w:t>
      </w:r>
      <w:r>
        <w:rPr>
          <w:rFonts w:cs="Arial"/>
        </w:rPr>
        <w:t xml:space="preserve"> </w:t>
      </w:r>
      <w:r w:rsidRPr="00EA5933">
        <w:rPr>
          <w:rFonts w:cs="Arial"/>
        </w:rPr>
        <w:t>capacity</w:t>
      </w:r>
      <w:r w:rsidRPr="009E1675">
        <w:rPr>
          <w:rFonts w:cs="Arial"/>
        </w:rPr>
        <w:t xml:space="preserve"> </w:t>
      </w:r>
      <w:r>
        <w:rPr>
          <w:rFonts w:cs="Arial"/>
        </w:rPr>
        <w:t xml:space="preserve">ahead of the </w:t>
      </w:r>
      <w:r w:rsidR="004E50FA">
        <w:rPr>
          <w:rFonts w:cs="Arial"/>
        </w:rPr>
        <w:t xml:space="preserve">nomination cut-off time </w:t>
      </w:r>
      <w:r>
        <w:rPr>
          <w:rFonts w:cs="Arial"/>
        </w:rPr>
        <w:t xml:space="preserve">and </w:t>
      </w:r>
      <w:r w:rsidR="006E4AD4">
        <w:rPr>
          <w:rFonts w:cs="Arial"/>
        </w:rPr>
        <w:t>provides for exchange-</w:t>
      </w:r>
      <w:r w:rsidRPr="009E1675">
        <w:rPr>
          <w:rFonts w:cs="Arial"/>
        </w:rPr>
        <w:t xml:space="preserve">based trading of commonly traded </w:t>
      </w:r>
      <w:r>
        <w:rPr>
          <w:rFonts w:cs="Arial"/>
        </w:rPr>
        <w:t xml:space="preserve">products </w:t>
      </w:r>
      <w:r w:rsidRPr="009E1675">
        <w:rPr>
          <w:rFonts w:cs="Arial"/>
        </w:rPr>
        <w:t xml:space="preserve">and a listing </w:t>
      </w:r>
      <w:r>
        <w:rPr>
          <w:rFonts w:cs="Arial"/>
        </w:rPr>
        <w:t xml:space="preserve">service </w:t>
      </w:r>
      <w:r w:rsidRPr="009E1675">
        <w:rPr>
          <w:rFonts w:cs="Arial"/>
        </w:rPr>
        <w:t xml:space="preserve">for other </w:t>
      </w:r>
      <w:r>
        <w:rPr>
          <w:rFonts w:cs="Arial"/>
        </w:rPr>
        <w:t>more bespoke products</w:t>
      </w:r>
      <w:r w:rsidRPr="009E1675">
        <w:rPr>
          <w:rFonts w:cs="Arial"/>
        </w:rPr>
        <w:t xml:space="preserve">; </w:t>
      </w:r>
    </w:p>
    <w:p w14:paraId="781BD18A" w14:textId="77777777" w:rsidR="001B7CE2" w:rsidRPr="00066FB6" w:rsidRDefault="001B7CE2" w:rsidP="001B7CE2">
      <w:pPr>
        <w:pStyle w:val="ListBullet"/>
        <w:spacing w:line="252" w:lineRule="auto"/>
        <w:rPr>
          <w:rFonts w:cs="Arial"/>
        </w:rPr>
      </w:pPr>
      <w:r w:rsidRPr="00066FB6">
        <w:rPr>
          <w:rFonts w:cs="Arial"/>
        </w:rPr>
        <w:t>a day-ahead auction of contracted but un-nominated capacity</w:t>
      </w:r>
      <w:r>
        <w:rPr>
          <w:rFonts w:cs="Arial"/>
        </w:rPr>
        <w:t>, which would be conducted shortly after nomination cut-off and subject to a reserve price of zero (with compressor fuel provided in-kind by shippers)</w:t>
      </w:r>
      <w:r w:rsidRPr="00066FB6">
        <w:rPr>
          <w:rFonts w:cs="Arial"/>
        </w:rPr>
        <w:t xml:space="preserve">; </w:t>
      </w:r>
    </w:p>
    <w:p w14:paraId="5E4296FD" w14:textId="77777777" w:rsidR="004C7499" w:rsidRPr="00511F80" w:rsidRDefault="004C7499" w:rsidP="004C7499">
      <w:pPr>
        <w:pStyle w:val="ListBullet"/>
        <w:spacing w:line="252" w:lineRule="auto"/>
        <w:rPr>
          <w:rFonts w:cs="Arial"/>
        </w:rPr>
      </w:pPr>
      <w:r w:rsidRPr="00511F80">
        <w:rPr>
          <w:rFonts w:cs="Arial"/>
        </w:rPr>
        <w:t xml:space="preserve">standards for key contract terms </w:t>
      </w:r>
      <w:r>
        <w:rPr>
          <w:rFonts w:cs="Arial"/>
        </w:rPr>
        <w:t xml:space="preserve">in </w:t>
      </w:r>
      <w:r w:rsidRPr="00511F80">
        <w:rPr>
          <w:rFonts w:cs="Arial"/>
        </w:rPr>
        <w:t>primary, secondary</w:t>
      </w:r>
      <w:r w:rsidR="00FB0886">
        <w:rPr>
          <w:rFonts w:cs="Arial"/>
        </w:rPr>
        <w:t xml:space="preserve"> and</w:t>
      </w:r>
      <w:r w:rsidRPr="00511F80">
        <w:rPr>
          <w:rFonts w:cs="Arial"/>
        </w:rPr>
        <w:t xml:space="preserve"> operational </w:t>
      </w:r>
      <w:r w:rsidR="00FB0886">
        <w:rPr>
          <w:rFonts w:cs="Arial"/>
        </w:rPr>
        <w:t>transportation agreements</w:t>
      </w:r>
      <w:r>
        <w:rPr>
          <w:rFonts w:cs="Arial"/>
        </w:rPr>
        <w:t xml:space="preserve"> to make capacity products more fungible and, in so doing, facilitate a greater level of secondary capacity trading</w:t>
      </w:r>
      <w:r w:rsidRPr="00511F80">
        <w:rPr>
          <w:rFonts w:cs="Arial"/>
        </w:rPr>
        <w:t>;</w:t>
      </w:r>
      <w:r>
        <w:rPr>
          <w:rFonts w:cs="Arial"/>
        </w:rPr>
        <w:t xml:space="preserve"> and</w:t>
      </w:r>
    </w:p>
    <w:p w14:paraId="3BA74B7E" w14:textId="77777777" w:rsidR="004C7499" w:rsidRPr="00511F80" w:rsidRDefault="004C7499" w:rsidP="004C7499">
      <w:pPr>
        <w:pStyle w:val="ListBullet"/>
        <w:spacing w:line="252" w:lineRule="auto"/>
        <w:rPr>
          <w:rFonts w:cs="Arial"/>
        </w:rPr>
      </w:pPr>
      <w:proofErr w:type="gramStart"/>
      <w:r w:rsidRPr="00511F80">
        <w:rPr>
          <w:rFonts w:cs="Arial"/>
        </w:rPr>
        <w:t>a</w:t>
      </w:r>
      <w:proofErr w:type="gramEnd"/>
      <w:r w:rsidRPr="00511F80">
        <w:rPr>
          <w:rFonts w:cs="Arial"/>
        </w:rPr>
        <w:t xml:space="preserve"> reporting framework for secondary capacity trades that provides for the publication of the price and other related information on secondary trades.</w:t>
      </w:r>
    </w:p>
    <w:p w14:paraId="1C07E39D" w14:textId="77777777" w:rsidR="00296311" w:rsidRPr="00511F80" w:rsidRDefault="004C7499" w:rsidP="008B0B84">
      <w:pPr>
        <w:pStyle w:val="BodyText"/>
        <w:rPr>
          <w:rFonts w:eastAsiaTheme="majorEastAsia" w:cs="Arial"/>
        </w:rPr>
      </w:pPr>
      <w:r>
        <w:rPr>
          <w:rFonts w:cs="Arial"/>
          <w:iCs/>
        </w:rPr>
        <w:t xml:space="preserve">Together </w:t>
      </w:r>
      <w:r w:rsidR="00F87169">
        <w:rPr>
          <w:rFonts w:cs="Arial"/>
          <w:iCs/>
        </w:rPr>
        <w:t xml:space="preserve">these reforms </w:t>
      </w:r>
      <w:r w:rsidR="00296311" w:rsidRPr="00511F80">
        <w:rPr>
          <w:rFonts w:cs="Arial"/>
        </w:rPr>
        <w:t xml:space="preserve">are expected to </w:t>
      </w:r>
      <w:r w:rsidR="00296311" w:rsidRPr="00511F80">
        <w:rPr>
          <w:rFonts w:eastAsiaTheme="majorEastAsia" w:cs="Arial"/>
        </w:rPr>
        <w:t xml:space="preserve">foster the development of a more liquid </w:t>
      </w:r>
      <w:r w:rsidR="00EF54D1">
        <w:rPr>
          <w:rFonts w:eastAsiaTheme="majorEastAsia" w:cs="Arial"/>
        </w:rPr>
        <w:t xml:space="preserve">secondary capacity market </w:t>
      </w:r>
      <w:r w:rsidR="00296311" w:rsidRPr="00511F80">
        <w:rPr>
          <w:rFonts w:eastAsiaTheme="majorEastAsia" w:cs="Arial"/>
        </w:rPr>
        <w:t>by:</w:t>
      </w:r>
      <w:r w:rsidR="00636AC6">
        <w:rPr>
          <w:rStyle w:val="FootnoteReference"/>
          <w:rFonts w:eastAsiaTheme="majorEastAsia" w:cs="Arial"/>
        </w:rPr>
        <w:footnoteReference w:id="3"/>
      </w:r>
    </w:p>
    <w:p w14:paraId="75B3B268" w14:textId="77777777" w:rsidR="00F87169" w:rsidRDefault="00F87169" w:rsidP="00296311">
      <w:pPr>
        <w:pStyle w:val="ListBullet"/>
        <w:spacing w:line="252" w:lineRule="auto"/>
        <w:rPr>
          <w:rFonts w:eastAsiaTheme="majorEastAsia" w:cs="Arial"/>
        </w:rPr>
      </w:pPr>
      <w:r>
        <w:rPr>
          <w:rFonts w:eastAsiaTheme="majorEastAsia" w:cs="Arial"/>
        </w:rPr>
        <w:t>using market based processes to allocate capacity on a non-discriminatory basis to those that value it most;</w:t>
      </w:r>
    </w:p>
    <w:p w14:paraId="09D03EB7" w14:textId="6047FAAF" w:rsidR="00C76541" w:rsidRPr="0037565A" w:rsidRDefault="00C76541" w:rsidP="00C76541">
      <w:pPr>
        <w:pStyle w:val="ListBullet"/>
        <w:spacing w:line="252" w:lineRule="auto"/>
        <w:rPr>
          <w:rFonts w:eastAsiaTheme="majorEastAsia" w:cs="Arial"/>
        </w:rPr>
      </w:pPr>
      <w:r w:rsidRPr="0037565A">
        <w:rPr>
          <w:rFonts w:eastAsiaTheme="majorEastAsia" w:cs="Arial"/>
          <w:color w:val="000000" w:themeColor="text1"/>
        </w:rPr>
        <w:t xml:space="preserve">improving the incentive shippers have to trade capacity and </w:t>
      </w:r>
      <w:r w:rsidRPr="0037565A">
        <w:rPr>
          <w:rFonts w:asciiTheme="majorHAnsi" w:eastAsiaTheme="minorEastAsia" w:hAnsiTheme="majorHAnsi" w:cstheme="majorHAnsi"/>
        </w:rPr>
        <w:t xml:space="preserve">posing a constraint on the ability of </w:t>
      </w:r>
      <w:r w:rsidR="00236C0A">
        <w:rPr>
          <w:rFonts w:asciiTheme="majorHAnsi" w:eastAsiaTheme="minorEastAsia" w:hAnsiTheme="majorHAnsi" w:cstheme="majorHAnsi"/>
        </w:rPr>
        <w:t xml:space="preserve">service providers </w:t>
      </w:r>
      <w:r w:rsidRPr="0037565A">
        <w:rPr>
          <w:rFonts w:asciiTheme="majorHAnsi" w:eastAsiaTheme="minorEastAsia" w:hAnsiTheme="majorHAnsi" w:cstheme="majorHAnsi"/>
        </w:rPr>
        <w:t xml:space="preserve">to sell secondary capacity </w:t>
      </w:r>
      <w:r w:rsidR="00C86754">
        <w:rPr>
          <w:rFonts w:asciiTheme="majorHAnsi" w:eastAsiaTheme="minorEastAsia" w:hAnsiTheme="majorHAnsi" w:cstheme="majorHAnsi"/>
        </w:rPr>
        <w:t>at</w:t>
      </w:r>
      <w:r w:rsidR="00FB0886">
        <w:rPr>
          <w:rFonts w:asciiTheme="majorHAnsi" w:eastAsiaTheme="minorEastAsia" w:hAnsiTheme="majorHAnsi" w:cstheme="majorHAnsi"/>
        </w:rPr>
        <w:t xml:space="preserve"> prices in excess of what </w:t>
      </w:r>
      <w:r w:rsidRPr="0037565A">
        <w:rPr>
          <w:rFonts w:asciiTheme="majorHAnsi" w:eastAsiaTheme="minorEastAsia" w:hAnsiTheme="majorHAnsi" w:cstheme="majorHAnsi"/>
        </w:rPr>
        <w:t>would be expected in a workably competitive market</w:t>
      </w:r>
      <w:r w:rsidRPr="0037565A">
        <w:rPr>
          <w:rFonts w:eastAsiaTheme="majorEastAsia" w:cs="Arial"/>
          <w:color w:val="000000" w:themeColor="text1"/>
        </w:rPr>
        <w:t>;</w:t>
      </w:r>
    </w:p>
    <w:p w14:paraId="15029A92" w14:textId="77777777" w:rsidR="00F87169" w:rsidRDefault="00636AC6" w:rsidP="00296311">
      <w:pPr>
        <w:pStyle w:val="ListBullet"/>
        <w:spacing w:line="252" w:lineRule="auto"/>
        <w:rPr>
          <w:rFonts w:eastAsiaTheme="majorEastAsia" w:cs="Arial"/>
        </w:rPr>
      </w:pPr>
      <w:r>
        <w:rPr>
          <w:rFonts w:eastAsiaTheme="majorEastAsia" w:cs="Arial"/>
        </w:rPr>
        <w:t>r</w:t>
      </w:r>
      <w:r w:rsidR="00F87169">
        <w:rPr>
          <w:rFonts w:eastAsiaTheme="majorEastAsia" w:cs="Arial"/>
        </w:rPr>
        <w:t xml:space="preserve">educing the search and transaction costs associated with secondary </w:t>
      </w:r>
      <w:r w:rsidR="00FB0886">
        <w:rPr>
          <w:rFonts w:eastAsiaTheme="majorEastAsia" w:cs="Arial"/>
        </w:rPr>
        <w:t xml:space="preserve">capacity </w:t>
      </w:r>
      <w:r w:rsidR="00F87169">
        <w:rPr>
          <w:rFonts w:eastAsiaTheme="majorEastAsia" w:cs="Arial"/>
        </w:rPr>
        <w:t>trades;</w:t>
      </w:r>
      <w:r w:rsidR="00C76541">
        <w:rPr>
          <w:rFonts w:eastAsiaTheme="majorEastAsia" w:cs="Arial"/>
        </w:rPr>
        <w:t xml:space="preserve"> and</w:t>
      </w:r>
    </w:p>
    <w:p w14:paraId="1FF08D56" w14:textId="77777777" w:rsidR="00296311" w:rsidRPr="00511F80" w:rsidRDefault="00296311" w:rsidP="00296311">
      <w:pPr>
        <w:pStyle w:val="ListBullet"/>
        <w:spacing w:line="252" w:lineRule="auto"/>
        <w:rPr>
          <w:rFonts w:eastAsiaTheme="majorEastAsia" w:cs="Arial"/>
        </w:rPr>
      </w:pPr>
      <w:proofErr w:type="gramStart"/>
      <w:r w:rsidRPr="00511F80">
        <w:rPr>
          <w:rFonts w:eastAsiaTheme="majorEastAsia" w:cs="Arial"/>
        </w:rPr>
        <w:t>reducing</w:t>
      </w:r>
      <w:proofErr w:type="gramEnd"/>
      <w:r w:rsidRPr="00511F80">
        <w:rPr>
          <w:rFonts w:eastAsiaTheme="majorEastAsia" w:cs="Arial"/>
        </w:rPr>
        <w:t xml:space="preserve"> information asymmetries </w:t>
      </w:r>
      <w:r w:rsidR="00FB0886">
        <w:rPr>
          <w:rFonts w:eastAsiaTheme="majorEastAsia" w:cs="Arial"/>
        </w:rPr>
        <w:t xml:space="preserve">and aiding </w:t>
      </w:r>
      <w:r w:rsidR="00636AC6">
        <w:rPr>
          <w:rFonts w:eastAsiaTheme="majorEastAsia" w:cs="Arial"/>
        </w:rPr>
        <w:t>the price discovery process</w:t>
      </w:r>
      <w:r w:rsidR="00C76541">
        <w:rPr>
          <w:rFonts w:eastAsiaTheme="majorEastAsia" w:cs="Arial"/>
        </w:rPr>
        <w:t>.</w:t>
      </w:r>
    </w:p>
    <w:p w14:paraId="6A6ADBDB" w14:textId="56A3E1FA" w:rsidR="005C49EA" w:rsidRDefault="00A54E31" w:rsidP="001163C1">
      <w:pPr>
        <w:pStyle w:val="BodyText"/>
        <w:rPr>
          <w:rFonts w:eastAsiaTheme="majorEastAsia" w:cs="Arial"/>
        </w:rPr>
      </w:pPr>
      <w:r>
        <w:rPr>
          <w:rFonts w:eastAsiaTheme="majorEastAsia"/>
        </w:rPr>
        <w:t>G</w:t>
      </w:r>
      <w:r w:rsidR="00890D69">
        <w:rPr>
          <w:rFonts w:eastAsiaTheme="majorEastAsia"/>
        </w:rPr>
        <w:t xml:space="preserve">reater liquidity in this market </w:t>
      </w:r>
      <w:r>
        <w:rPr>
          <w:rFonts w:eastAsiaTheme="majorEastAsia"/>
        </w:rPr>
        <w:t xml:space="preserve">is expected to </w:t>
      </w:r>
      <w:r w:rsidR="00890D69">
        <w:rPr>
          <w:rFonts w:eastAsiaTheme="majorEastAsia"/>
        </w:rPr>
        <w:t xml:space="preserve">facilitate </w:t>
      </w:r>
      <w:r w:rsidR="006E4AD4">
        <w:rPr>
          <w:rFonts w:eastAsiaTheme="majorEastAsia"/>
        </w:rPr>
        <w:t xml:space="preserve">increased </w:t>
      </w:r>
      <w:r w:rsidR="00890D69">
        <w:rPr>
          <w:rFonts w:eastAsiaTheme="majorEastAsia"/>
        </w:rPr>
        <w:t xml:space="preserve">trade in </w:t>
      </w:r>
      <w:r w:rsidR="00EF77FB">
        <w:rPr>
          <w:rFonts w:eastAsiaTheme="majorEastAsia"/>
        </w:rPr>
        <w:t>gas</w:t>
      </w:r>
      <w:r w:rsidR="003514A9">
        <w:rPr>
          <w:rFonts w:eastAsiaTheme="majorEastAsia"/>
        </w:rPr>
        <w:t xml:space="preserve"> and </w:t>
      </w:r>
      <w:r w:rsidR="00C32839">
        <w:rPr>
          <w:rFonts w:eastAsiaTheme="majorEastAsia"/>
        </w:rPr>
        <w:t>support the development of a more robust reference price for gas</w:t>
      </w:r>
      <w:r w:rsidR="00C1014A">
        <w:rPr>
          <w:rFonts w:eastAsiaTheme="majorEastAsia"/>
        </w:rPr>
        <w:t>. This</w:t>
      </w:r>
      <w:r w:rsidR="00476D8D">
        <w:rPr>
          <w:rFonts w:eastAsiaTheme="majorEastAsia"/>
        </w:rPr>
        <w:t>, in turn,</w:t>
      </w:r>
      <w:r w:rsidR="001163C1">
        <w:rPr>
          <w:rFonts w:eastAsiaTheme="majorEastAsia"/>
        </w:rPr>
        <w:t xml:space="preserve"> </w:t>
      </w:r>
      <w:r w:rsidR="00693FAD">
        <w:rPr>
          <w:rFonts w:eastAsiaTheme="majorEastAsia"/>
        </w:rPr>
        <w:t xml:space="preserve">is expected to </w:t>
      </w:r>
      <w:r w:rsidR="003514A9">
        <w:rPr>
          <w:rFonts w:eastAsiaTheme="majorEastAsia"/>
        </w:rPr>
        <w:t xml:space="preserve">enable market participants to make more informed decisions about </w:t>
      </w:r>
      <w:r w:rsidR="001163C1">
        <w:rPr>
          <w:rFonts w:eastAsiaTheme="majorEastAsia"/>
        </w:rPr>
        <w:t xml:space="preserve">their use of gas and investments in </w:t>
      </w:r>
      <w:r w:rsidR="00B52C50">
        <w:rPr>
          <w:rFonts w:eastAsiaTheme="majorEastAsia"/>
        </w:rPr>
        <w:t xml:space="preserve">exploration, </w:t>
      </w:r>
      <w:r w:rsidR="003514A9">
        <w:rPr>
          <w:rFonts w:eastAsiaTheme="majorEastAsia"/>
        </w:rPr>
        <w:t>production</w:t>
      </w:r>
      <w:r w:rsidR="00B52C50">
        <w:rPr>
          <w:rFonts w:eastAsiaTheme="majorEastAsia"/>
        </w:rPr>
        <w:t>, pipelines and storage</w:t>
      </w:r>
      <w:r w:rsidR="001163C1">
        <w:rPr>
          <w:rFonts w:eastAsiaTheme="majorEastAsia"/>
        </w:rPr>
        <w:t xml:space="preserve"> facilities</w:t>
      </w:r>
      <w:r w:rsidR="008D278A">
        <w:rPr>
          <w:rFonts w:eastAsiaTheme="majorEastAsia"/>
        </w:rPr>
        <w:t>.</w:t>
      </w:r>
      <w:r w:rsidR="00476D8D">
        <w:rPr>
          <w:rStyle w:val="FootnoteReference"/>
          <w:rFonts w:eastAsiaTheme="majorEastAsia"/>
        </w:rPr>
        <w:footnoteReference w:id="4"/>
      </w:r>
      <w:r w:rsidR="001163C1">
        <w:rPr>
          <w:rFonts w:eastAsiaTheme="majorEastAsia"/>
        </w:rPr>
        <w:t xml:space="preserve"> The </w:t>
      </w:r>
      <w:r w:rsidR="00D73D6E">
        <w:rPr>
          <w:rFonts w:eastAsiaTheme="majorEastAsia"/>
        </w:rPr>
        <w:t xml:space="preserve">package of </w:t>
      </w:r>
      <w:r w:rsidR="001163C1">
        <w:rPr>
          <w:rFonts w:eastAsiaTheme="majorEastAsia"/>
        </w:rPr>
        <w:t xml:space="preserve">reforms </w:t>
      </w:r>
      <w:r w:rsidR="00DE189B">
        <w:rPr>
          <w:rFonts w:eastAsiaTheme="majorEastAsia"/>
        </w:rPr>
        <w:t xml:space="preserve">is </w:t>
      </w:r>
      <w:r w:rsidR="001163C1">
        <w:rPr>
          <w:rFonts w:eastAsiaTheme="majorEastAsia"/>
        </w:rPr>
        <w:t xml:space="preserve">therefore expected to </w:t>
      </w:r>
      <w:r w:rsidR="00EF54D1">
        <w:rPr>
          <w:rFonts w:eastAsiaTheme="majorEastAsia" w:cs="Arial"/>
        </w:rPr>
        <w:t xml:space="preserve">promote the National Gas Objective (NGO) and the </w:t>
      </w:r>
      <w:r w:rsidR="00FB0886">
        <w:rPr>
          <w:rFonts w:eastAsiaTheme="majorEastAsia" w:cs="Arial"/>
        </w:rPr>
        <w:t xml:space="preserve">Energy </w:t>
      </w:r>
      <w:r w:rsidR="00EF54D1">
        <w:rPr>
          <w:rFonts w:eastAsiaTheme="majorEastAsia" w:cs="Arial"/>
        </w:rPr>
        <w:t>Council’s Vision for the Australian Gas Market (</w:t>
      </w:r>
      <w:r w:rsidR="00EF54D1" w:rsidRPr="005D4AE4">
        <w:rPr>
          <w:rFonts w:eastAsiaTheme="majorEastAsia" w:cs="Arial"/>
          <w:i/>
        </w:rPr>
        <w:t>Vision</w:t>
      </w:r>
      <w:r w:rsidR="00EF54D1">
        <w:rPr>
          <w:rFonts w:eastAsiaTheme="majorEastAsia" w:cs="Arial"/>
        </w:rPr>
        <w:t>) (see Box 1.1)</w:t>
      </w:r>
      <w:r w:rsidR="006E75F9">
        <w:rPr>
          <w:rFonts w:eastAsiaTheme="majorEastAsia" w:cs="Arial"/>
        </w:rPr>
        <w:t>.</w:t>
      </w:r>
    </w:p>
    <w:tbl>
      <w:tblPr>
        <w:tblStyle w:val="PullOutBoxTable"/>
        <w:tblW w:w="5000" w:type="pct"/>
        <w:tblLook w:val="0600" w:firstRow="0" w:lastRow="0" w:firstColumn="0" w:lastColumn="0" w:noHBand="1" w:noVBand="1"/>
        <w:tblCaption w:val="Box 1.1: National Gas Objective and Vision for the Australian Gas Market"/>
        <w:tblDescription w:val="National Gas Objective and Vision for the Australian Gas Market"/>
      </w:tblPr>
      <w:tblGrid>
        <w:gridCol w:w="8788"/>
      </w:tblGrid>
      <w:tr w:rsidR="008713F5" w:rsidRPr="004F4D18" w14:paraId="4D0DCD2D" w14:textId="77777777" w:rsidTr="00FE7C1D">
        <w:trPr>
          <w:trHeight w:val="170"/>
          <w:tblHeader/>
        </w:trPr>
        <w:tc>
          <w:tcPr>
            <w:tcW w:w="5000" w:type="pct"/>
            <w:shd w:val="clear" w:color="auto" w:fill="auto"/>
          </w:tcPr>
          <w:p w14:paraId="4FE987DB" w14:textId="20A869EE" w:rsidR="00FB0886" w:rsidRPr="005D4AE4" w:rsidRDefault="00115A93" w:rsidP="00115A93">
            <w:pPr>
              <w:pStyle w:val="BodyText"/>
              <w:keepNext/>
              <w:spacing w:before="0" w:after="60" w:line="252" w:lineRule="auto"/>
              <w:rPr>
                <w:i/>
                <w:iCs/>
                <w:sz w:val="19"/>
                <w:szCs w:val="19"/>
              </w:rPr>
            </w:pPr>
            <w:r w:rsidRPr="004D591C">
              <w:rPr>
                <w:b/>
              </w:rPr>
              <w:t xml:space="preserve">Box </w:t>
            </w:r>
            <w:r>
              <w:rPr>
                <w:b/>
              </w:rPr>
              <w:fldChar w:fldCharType="begin"/>
            </w:r>
            <w:r>
              <w:rPr>
                <w:b/>
              </w:rPr>
              <w:instrText xml:space="preserve"> STYLEREF 1 \s </w:instrText>
            </w:r>
            <w:r>
              <w:rPr>
                <w:b/>
              </w:rPr>
              <w:fldChar w:fldCharType="separate"/>
            </w:r>
            <w:r>
              <w:rPr>
                <w:b/>
                <w:noProof/>
              </w:rPr>
              <w:t>1</w:t>
            </w:r>
            <w:r>
              <w:rPr>
                <w:b/>
              </w:rPr>
              <w:fldChar w:fldCharType="end"/>
            </w:r>
            <w:r>
              <w:rPr>
                <w:b/>
              </w:rPr>
              <w:t>.</w:t>
            </w:r>
            <w:r>
              <w:rPr>
                <w:b/>
              </w:rPr>
              <w:fldChar w:fldCharType="begin"/>
            </w:r>
            <w:r>
              <w:rPr>
                <w:b/>
              </w:rPr>
              <w:instrText xml:space="preserve"> SEQ Box \* ARABIC \s 1 </w:instrText>
            </w:r>
            <w:r>
              <w:rPr>
                <w:b/>
              </w:rPr>
              <w:fldChar w:fldCharType="separate"/>
            </w:r>
            <w:r>
              <w:rPr>
                <w:b/>
                <w:noProof/>
              </w:rPr>
              <w:t>1</w:t>
            </w:r>
            <w:r>
              <w:rPr>
                <w:b/>
              </w:rPr>
              <w:fldChar w:fldCharType="end"/>
            </w:r>
            <w:r w:rsidRPr="004D591C">
              <w:rPr>
                <w:b/>
              </w:rPr>
              <w:t>: National Gas Objective and Vision for the Australian Gas Market</w:t>
            </w:r>
          </w:p>
        </w:tc>
      </w:tr>
      <w:tr w:rsidR="00115A93" w:rsidRPr="004F4D18" w14:paraId="08B0C70D" w14:textId="77777777" w:rsidTr="009C0C21">
        <w:trPr>
          <w:trHeight w:val="3422"/>
        </w:trPr>
        <w:tc>
          <w:tcPr>
            <w:tcW w:w="5000" w:type="pct"/>
          </w:tcPr>
          <w:p w14:paraId="632D6AE8" w14:textId="77777777" w:rsidR="00115A93" w:rsidRPr="004F4D18" w:rsidRDefault="00115A93" w:rsidP="00115A93">
            <w:pPr>
              <w:pStyle w:val="ListBullet"/>
              <w:keepNext/>
              <w:numPr>
                <w:ilvl w:val="0"/>
                <w:numId w:val="0"/>
              </w:numPr>
              <w:spacing w:before="0" w:after="100"/>
              <w:ind w:left="357" w:hanging="357"/>
              <w:rPr>
                <w:b/>
                <w:color w:val="0099CC"/>
                <w:sz w:val="20"/>
                <w:szCs w:val="20"/>
              </w:rPr>
            </w:pPr>
            <w:r w:rsidRPr="004F4D18">
              <w:rPr>
                <w:b/>
                <w:color w:val="0099CC"/>
                <w:sz w:val="20"/>
                <w:szCs w:val="20"/>
              </w:rPr>
              <w:t>National Gas Objective</w:t>
            </w:r>
          </w:p>
          <w:p w14:paraId="606B206B" w14:textId="77777777" w:rsidR="00115A93" w:rsidRPr="004F4D18" w:rsidRDefault="00115A93" w:rsidP="00115A93">
            <w:pPr>
              <w:pStyle w:val="ListBullet"/>
              <w:keepNext/>
              <w:numPr>
                <w:ilvl w:val="0"/>
                <w:numId w:val="0"/>
              </w:numPr>
              <w:spacing w:before="0" w:after="100"/>
              <w:ind w:left="357" w:hanging="357"/>
              <w:rPr>
                <w:sz w:val="20"/>
                <w:szCs w:val="20"/>
              </w:rPr>
            </w:pPr>
            <w:r w:rsidRPr="004F4D18">
              <w:rPr>
                <w:sz w:val="20"/>
                <w:szCs w:val="20"/>
              </w:rPr>
              <w:t>The NGO is set out in section 23 of the NGL and states the following:</w:t>
            </w:r>
          </w:p>
          <w:p w14:paraId="08C7966C" w14:textId="77777777" w:rsidR="00115A93" w:rsidRPr="004F4D18" w:rsidRDefault="00115A93" w:rsidP="00115A93">
            <w:pPr>
              <w:pStyle w:val="BodyText"/>
              <w:keepNext/>
              <w:spacing w:before="0" w:after="100"/>
              <w:ind w:left="567" w:right="567"/>
              <w:rPr>
                <w:i/>
                <w:iCs/>
                <w:sz w:val="19"/>
                <w:szCs w:val="19"/>
              </w:rPr>
            </w:pPr>
            <w:r w:rsidRPr="004F4D18">
              <w:rPr>
                <w:i/>
                <w:iCs/>
                <w:sz w:val="19"/>
                <w:szCs w:val="19"/>
              </w:rPr>
              <w:t>The objective of this law is to promote efficient investment in, and efficient operation and use of, natural gas services for the long term interests of consumers of natural gas with respect to price, quality, safety, reliability and security of supply of natural gas.</w:t>
            </w:r>
          </w:p>
          <w:p w14:paraId="6BE24FC6" w14:textId="77777777" w:rsidR="00115A93" w:rsidRPr="004F4D18" w:rsidRDefault="00115A93" w:rsidP="00115A93">
            <w:pPr>
              <w:pStyle w:val="ListBullet"/>
              <w:keepNext/>
              <w:numPr>
                <w:ilvl w:val="0"/>
                <w:numId w:val="0"/>
              </w:numPr>
              <w:spacing w:before="0" w:after="100"/>
              <w:ind w:left="357" w:hanging="357"/>
              <w:rPr>
                <w:b/>
                <w:color w:val="0099CC"/>
                <w:sz w:val="20"/>
                <w:szCs w:val="20"/>
              </w:rPr>
            </w:pPr>
            <w:r>
              <w:rPr>
                <w:b/>
                <w:color w:val="0099CC"/>
                <w:sz w:val="20"/>
                <w:szCs w:val="20"/>
              </w:rPr>
              <w:t xml:space="preserve">Energy </w:t>
            </w:r>
            <w:r w:rsidRPr="004F4D18">
              <w:rPr>
                <w:b/>
                <w:color w:val="0099CC"/>
                <w:sz w:val="20"/>
                <w:szCs w:val="20"/>
              </w:rPr>
              <w:t>Council’s Vision for the Australian Gas Market</w:t>
            </w:r>
            <w:r>
              <w:rPr>
                <w:rStyle w:val="FootnoteReference"/>
                <w:bCs/>
              </w:rPr>
              <w:footnoteReference w:id="5"/>
            </w:r>
          </w:p>
          <w:p w14:paraId="641B5504" w14:textId="77777777" w:rsidR="00115A93" w:rsidRPr="004F4D18" w:rsidRDefault="00115A93" w:rsidP="00115A93">
            <w:pPr>
              <w:pStyle w:val="ListBullet"/>
              <w:keepNext/>
              <w:numPr>
                <w:ilvl w:val="0"/>
                <w:numId w:val="0"/>
              </w:numPr>
              <w:spacing w:before="0" w:after="100"/>
              <w:ind w:left="357" w:hanging="357"/>
              <w:rPr>
                <w:sz w:val="20"/>
                <w:szCs w:val="20"/>
              </w:rPr>
            </w:pPr>
            <w:r w:rsidRPr="004F4D18">
              <w:rPr>
                <w:sz w:val="20"/>
                <w:szCs w:val="20"/>
              </w:rPr>
              <w:t xml:space="preserve">The </w:t>
            </w:r>
            <w:r>
              <w:rPr>
                <w:sz w:val="20"/>
                <w:szCs w:val="20"/>
              </w:rPr>
              <w:t xml:space="preserve">Energy </w:t>
            </w:r>
            <w:r w:rsidRPr="004F4D18">
              <w:rPr>
                <w:sz w:val="20"/>
                <w:szCs w:val="20"/>
              </w:rPr>
              <w:t xml:space="preserve">Council’s </w:t>
            </w:r>
            <w:r w:rsidRPr="001163C1">
              <w:rPr>
                <w:i/>
                <w:sz w:val="20"/>
                <w:szCs w:val="20"/>
              </w:rPr>
              <w:t>Vision</w:t>
            </w:r>
            <w:r w:rsidRPr="004F4D18">
              <w:rPr>
                <w:sz w:val="20"/>
                <w:szCs w:val="20"/>
              </w:rPr>
              <w:t xml:space="preserve"> is for</w:t>
            </w:r>
            <w:r>
              <w:rPr>
                <w:sz w:val="20"/>
                <w:szCs w:val="20"/>
              </w:rPr>
              <w:t>:</w:t>
            </w:r>
          </w:p>
          <w:p w14:paraId="07995E7C" w14:textId="77777777" w:rsidR="00115A93" w:rsidRDefault="00115A93" w:rsidP="00115A93">
            <w:pPr>
              <w:pStyle w:val="BodyText"/>
              <w:keepNext/>
              <w:spacing w:before="0" w:after="100"/>
              <w:ind w:left="567" w:right="567"/>
              <w:rPr>
                <w:i/>
                <w:iCs/>
                <w:sz w:val="19"/>
                <w:szCs w:val="19"/>
              </w:rPr>
            </w:pPr>
            <w:r w:rsidRPr="004F4D18">
              <w:rPr>
                <w:i/>
                <w:iCs/>
                <w:sz w:val="19"/>
                <w:szCs w:val="19"/>
              </w:rPr>
              <w:t>..the establishment of a liquid wholesale gas market that provides market signals for investment and supply, where responses to those signals are facilitated by a supportive investment and regulatory environment, where trade is focused at a point that best serves the needs of participants, where an efficient reference price is established, and producers, consumers and trading markets are connected to infrastructure that enables participants the opportunity to readily trade between locations and arbitrage trading opportunities.</w:t>
            </w:r>
          </w:p>
          <w:p w14:paraId="21CA8155" w14:textId="77777777" w:rsidR="00115A93" w:rsidRPr="000A7592" w:rsidRDefault="00115A93" w:rsidP="00115A93">
            <w:pPr>
              <w:pStyle w:val="BodyText"/>
              <w:tabs>
                <w:tab w:val="clear" w:pos="2268"/>
                <w:tab w:val="clear" w:pos="4536"/>
                <w:tab w:val="clear" w:pos="6804"/>
                <w:tab w:val="clear" w:pos="9638"/>
                <w:tab w:val="left" w:pos="2018"/>
                <w:tab w:val="left" w:pos="4037"/>
                <w:tab w:val="left" w:pos="6055"/>
                <w:tab w:val="right" w:pos="8577"/>
              </w:tabs>
              <w:spacing w:before="20" w:after="100"/>
              <w:rPr>
                <w:sz w:val="20"/>
                <w:szCs w:val="20"/>
              </w:rPr>
            </w:pPr>
            <w:r w:rsidRPr="000A7592">
              <w:rPr>
                <w:sz w:val="20"/>
                <w:szCs w:val="20"/>
              </w:rPr>
              <w:t xml:space="preserve">At the time it released the </w:t>
            </w:r>
            <w:r w:rsidRPr="001D27D5">
              <w:rPr>
                <w:i/>
                <w:sz w:val="20"/>
                <w:szCs w:val="20"/>
              </w:rPr>
              <w:t>Vision</w:t>
            </w:r>
            <w:r w:rsidRPr="000A7592">
              <w:rPr>
                <w:sz w:val="20"/>
                <w:szCs w:val="20"/>
              </w:rPr>
              <w:t>, the Council also noted that it would pursue the following outcomes in the next phase of gas market reform and development:</w:t>
            </w:r>
          </w:p>
          <w:p w14:paraId="70D05BE3" w14:textId="77777777" w:rsidR="00115A93" w:rsidRPr="0003153C" w:rsidRDefault="00115A93" w:rsidP="00115A93">
            <w:pPr>
              <w:pStyle w:val="ListBullet"/>
              <w:numPr>
                <w:ilvl w:val="0"/>
                <w:numId w:val="0"/>
              </w:numPr>
              <w:spacing w:before="20" w:after="100"/>
              <w:ind w:left="357" w:hanging="357"/>
              <w:rPr>
                <w:b/>
                <w:sz w:val="20"/>
                <w:szCs w:val="20"/>
              </w:rPr>
            </w:pPr>
            <w:r w:rsidRPr="000A7592">
              <w:rPr>
                <w:b/>
                <w:sz w:val="20"/>
                <w:szCs w:val="20"/>
              </w:rPr>
              <w:t>Stream</w:t>
            </w:r>
            <w:r w:rsidRPr="0003153C">
              <w:rPr>
                <w:b/>
                <w:sz w:val="20"/>
                <w:szCs w:val="20"/>
              </w:rPr>
              <w:t xml:space="preserve"> 1: Encouraging competitive gas supply:</w:t>
            </w:r>
          </w:p>
          <w:p w14:paraId="046214A5" w14:textId="77777777" w:rsidR="00115A93" w:rsidRPr="0003153C" w:rsidRDefault="00115A93" w:rsidP="00115A93">
            <w:pPr>
              <w:pStyle w:val="ListNumber2"/>
              <w:numPr>
                <w:ilvl w:val="1"/>
                <w:numId w:val="18"/>
              </w:numPr>
              <w:spacing w:before="20" w:after="100"/>
              <w:rPr>
                <w:sz w:val="20"/>
                <w:szCs w:val="20"/>
              </w:rPr>
            </w:pPr>
            <w:r w:rsidRPr="0003153C">
              <w:rPr>
                <w:sz w:val="20"/>
                <w:szCs w:val="20"/>
              </w:rPr>
              <w:t xml:space="preserve">Improvements to the regulatory and investment environment so that gas supply is able to respond flexibly to changes in market conditions. </w:t>
            </w:r>
          </w:p>
          <w:p w14:paraId="41BEB71D" w14:textId="77777777" w:rsidR="00115A93" w:rsidRPr="0003153C" w:rsidRDefault="00115A93" w:rsidP="00115A93">
            <w:pPr>
              <w:pStyle w:val="ListNumber2"/>
              <w:numPr>
                <w:ilvl w:val="1"/>
                <w:numId w:val="18"/>
              </w:numPr>
              <w:spacing w:before="20" w:after="100"/>
              <w:rPr>
                <w:sz w:val="20"/>
                <w:szCs w:val="20"/>
              </w:rPr>
            </w:pPr>
            <w:r w:rsidRPr="0003153C">
              <w:rPr>
                <w:sz w:val="20"/>
                <w:szCs w:val="20"/>
              </w:rPr>
              <w:t>A "social licence" for onshore natural gas development achieved through inclusion, consultation, improving the availability and accessibility of factual information relating to resources projects, and rigorous science to ensure that communities</w:t>
            </w:r>
            <w:r>
              <w:rPr>
                <w:sz w:val="20"/>
                <w:szCs w:val="20"/>
              </w:rPr>
              <w:t>’</w:t>
            </w:r>
            <w:r w:rsidRPr="0003153C">
              <w:rPr>
                <w:sz w:val="20"/>
                <w:szCs w:val="20"/>
              </w:rPr>
              <w:t xml:space="preserve"> concerns are addressed.</w:t>
            </w:r>
          </w:p>
          <w:p w14:paraId="4C839DB7" w14:textId="77777777" w:rsidR="00115A93" w:rsidRPr="0003153C" w:rsidRDefault="00115A93" w:rsidP="00115A93">
            <w:pPr>
              <w:pStyle w:val="ListBullet"/>
              <w:numPr>
                <w:ilvl w:val="0"/>
                <w:numId w:val="0"/>
              </w:numPr>
              <w:spacing w:before="20" w:after="100"/>
              <w:ind w:left="357" w:hanging="357"/>
              <w:rPr>
                <w:b/>
                <w:sz w:val="20"/>
                <w:szCs w:val="20"/>
              </w:rPr>
            </w:pPr>
            <w:r w:rsidRPr="0003153C">
              <w:rPr>
                <w:b/>
                <w:sz w:val="20"/>
                <w:szCs w:val="20"/>
              </w:rPr>
              <w:t>Stream 2: Enhancing transparency and price discovery:</w:t>
            </w:r>
          </w:p>
          <w:p w14:paraId="70464893" w14:textId="77777777" w:rsidR="00115A93" w:rsidRPr="0003153C" w:rsidRDefault="00115A93" w:rsidP="00115A93">
            <w:pPr>
              <w:pStyle w:val="ListNumber2"/>
              <w:numPr>
                <w:ilvl w:val="1"/>
                <w:numId w:val="16"/>
              </w:numPr>
              <w:spacing w:before="20" w:after="100"/>
              <w:rPr>
                <w:sz w:val="20"/>
                <w:szCs w:val="20"/>
              </w:rPr>
            </w:pPr>
            <w:r w:rsidRPr="0003153C">
              <w:rPr>
                <w:sz w:val="20"/>
                <w:szCs w:val="20"/>
              </w:rPr>
              <w:t>Provision of accurate and transparent market making information on pipeline and large storage facilities operations and capacity, upstream resources, and the actions of producers, export facilities, large consumers and traders.</w:t>
            </w:r>
          </w:p>
          <w:p w14:paraId="535B1A19" w14:textId="77777777" w:rsidR="00115A93" w:rsidRPr="0003153C" w:rsidRDefault="00115A93" w:rsidP="00115A93">
            <w:pPr>
              <w:pStyle w:val="ListNumber2"/>
              <w:numPr>
                <w:ilvl w:val="1"/>
                <w:numId w:val="16"/>
              </w:numPr>
              <w:spacing w:before="20" w:after="100"/>
              <w:rPr>
                <w:sz w:val="20"/>
                <w:szCs w:val="20"/>
              </w:rPr>
            </w:pPr>
            <w:r w:rsidRPr="0003153C">
              <w:rPr>
                <w:sz w:val="20"/>
                <w:szCs w:val="20"/>
              </w:rPr>
              <w:t xml:space="preserve">Increased flexibility and opportunity for trade in pipeline capacity. </w:t>
            </w:r>
          </w:p>
          <w:p w14:paraId="69052418" w14:textId="77777777" w:rsidR="00115A93" w:rsidRPr="0003153C" w:rsidRDefault="00115A93" w:rsidP="00115A93">
            <w:pPr>
              <w:pStyle w:val="ListNumber2"/>
              <w:numPr>
                <w:ilvl w:val="1"/>
                <w:numId w:val="16"/>
              </w:numPr>
              <w:spacing w:before="20" w:after="100"/>
              <w:rPr>
                <w:sz w:val="20"/>
                <w:szCs w:val="20"/>
              </w:rPr>
            </w:pPr>
            <w:r w:rsidRPr="0003153C">
              <w:rPr>
                <w:sz w:val="20"/>
                <w:szCs w:val="20"/>
              </w:rPr>
              <w:t xml:space="preserve">A competitive retail market that will provide customers with greater choice and large users with enhanced options for self-supply and shipment. </w:t>
            </w:r>
          </w:p>
          <w:p w14:paraId="0546A5F5" w14:textId="77777777" w:rsidR="00115A93" w:rsidRPr="0003153C" w:rsidRDefault="00115A93" w:rsidP="00115A93">
            <w:pPr>
              <w:pStyle w:val="ListBullet"/>
              <w:numPr>
                <w:ilvl w:val="0"/>
                <w:numId w:val="0"/>
              </w:numPr>
              <w:spacing w:before="20" w:after="100"/>
              <w:ind w:left="357" w:hanging="357"/>
              <w:rPr>
                <w:b/>
                <w:sz w:val="20"/>
                <w:szCs w:val="20"/>
              </w:rPr>
            </w:pPr>
            <w:r w:rsidRPr="0003153C">
              <w:rPr>
                <w:b/>
                <w:sz w:val="20"/>
                <w:szCs w:val="20"/>
              </w:rPr>
              <w:t>Stream 3: Improving risk management:</w:t>
            </w:r>
          </w:p>
          <w:p w14:paraId="02595770" w14:textId="77777777" w:rsidR="00115A93" w:rsidRPr="0003153C" w:rsidRDefault="00115A93" w:rsidP="00115A93">
            <w:pPr>
              <w:pStyle w:val="ListNumber2"/>
              <w:numPr>
                <w:ilvl w:val="1"/>
                <w:numId w:val="17"/>
              </w:numPr>
              <w:spacing w:before="20" w:after="100"/>
              <w:rPr>
                <w:sz w:val="20"/>
                <w:szCs w:val="20"/>
              </w:rPr>
            </w:pPr>
            <w:r w:rsidRPr="0003153C">
              <w:rPr>
                <w:sz w:val="20"/>
                <w:szCs w:val="20"/>
              </w:rPr>
              <w:t xml:space="preserve">Liquid and competitive wholesale spot and forward markets for gas that provide tools for participants to price and hedge risk. </w:t>
            </w:r>
          </w:p>
          <w:p w14:paraId="387C1657" w14:textId="77777777" w:rsidR="00115A93" w:rsidRPr="0003153C" w:rsidRDefault="00115A93" w:rsidP="00115A93">
            <w:pPr>
              <w:pStyle w:val="ListNumber2"/>
              <w:numPr>
                <w:ilvl w:val="1"/>
                <w:numId w:val="17"/>
              </w:numPr>
              <w:spacing w:before="20" w:after="100"/>
              <w:rPr>
                <w:sz w:val="20"/>
                <w:szCs w:val="20"/>
              </w:rPr>
            </w:pPr>
            <w:r w:rsidRPr="0003153C">
              <w:rPr>
                <w:sz w:val="20"/>
                <w:szCs w:val="20"/>
              </w:rPr>
              <w:t xml:space="preserve">Access to regional demand markets through more harmonised pipeline capacity contracting arrangements which are flexible, comparable, transparent on price, and non-discriminatory in terms of shippers’ rights, in order to accommodate evolving market structures. </w:t>
            </w:r>
          </w:p>
          <w:p w14:paraId="0B71D95C" w14:textId="77777777" w:rsidR="00115A93" w:rsidRPr="0003153C" w:rsidRDefault="00115A93" w:rsidP="00115A93">
            <w:pPr>
              <w:pStyle w:val="ListNumber2"/>
              <w:numPr>
                <w:ilvl w:val="1"/>
                <w:numId w:val="17"/>
              </w:numPr>
              <w:spacing w:before="20" w:after="100"/>
              <w:rPr>
                <w:sz w:val="20"/>
                <w:szCs w:val="20"/>
              </w:rPr>
            </w:pPr>
            <w:r w:rsidRPr="0003153C">
              <w:rPr>
                <w:sz w:val="20"/>
                <w:szCs w:val="20"/>
              </w:rPr>
              <w:t xml:space="preserve">Harmonised market interfaces that enable participants to readily trade between locations and find opportunities for arbitrage and trade. </w:t>
            </w:r>
          </w:p>
          <w:p w14:paraId="29AC490F" w14:textId="77777777" w:rsidR="00115A93" w:rsidRPr="0003153C" w:rsidRDefault="00115A93" w:rsidP="00115A93">
            <w:pPr>
              <w:pStyle w:val="ListNumber2"/>
              <w:numPr>
                <w:ilvl w:val="1"/>
                <w:numId w:val="17"/>
              </w:numPr>
              <w:spacing w:before="20" w:after="100"/>
              <w:rPr>
                <w:sz w:val="20"/>
                <w:szCs w:val="20"/>
              </w:rPr>
            </w:pPr>
            <w:r w:rsidRPr="0003153C">
              <w:rPr>
                <w:sz w:val="20"/>
                <w:szCs w:val="20"/>
              </w:rPr>
              <w:t>Identified development pathways to improve interconnectivity between supply and demand centres, and existing facilitated gas markets, which enable the enhanced trading of gas.</w:t>
            </w:r>
            <w:r>
              <w:rPr>
                <w:sz w:val="20"/>
                <w:szCs w:val="20"/>
              </w:rPr>
              <w:t xml:space="preserve"> </w:t>
            </w:r>
          </w:p>
          <w:p w14:paraId="517B857C" w14:textId="77777777" w:rsidR="00115A93" w:rsidRPr="0003153C" w:rsidRDefault="00115A93" w:rsidP="00115A93">
            <w:pPr>
              <w:pStyle w:val="ListBullet"/>
              <w:numPr>
                <w:ilvl w:val="0"/>
                <w:numId w:val="0"/>
              </w:numPr>
              <w:spacing w:before="20" w:after="100"/>
              <w:ind w:left="357" w:hanging="357"/>
              <w:rPr>
                <w:b/>
                <w:sz w:val="20"/>
                <w:szCs w:val="20"/>
              </w:rPr>
            </w:pPr>
            <w:r w:rsidRPr="0003153C">
              <w:rPr>
                <w:b/>
                <w:sz w:val="20"/>
                <w:szCs w:val="20"/>
              </w:rPr>
              <w:t>Stream 4: Removing unnecessary regulatory barriers:</w:t>
            </w:r>
          </w:p>
          <w:p w14:paraId="0ABCD95D" w14:textId="77777777" w:rsidR="00115A93" w:rsidRPr="0003153C" w:rsidRDefault="00115A93" w:rsidP="00115A93">
            <w:pPr>
              <w:pStyle w:val="ListNumber2"/>
              <w:numPr>
                <w:ilvl w:val="1"/>
                <w:numId w:val="19"/>
              </w:numPr>
              <w:spacing w:before="20" w:after="100"/>
              <w:rPr>
                <w:iCs/>
                <w:sz w:val="20"/>
                <w:szCs w:val="20"/>
              </w:rPr>
            </w:pPr>
            <w:r w:rsidRPr="0003153C">
              <w:rPr>
                <w:sz w:val="20"/>
                <w:szCs w:val="20"/>
              </w:rPr>
              <w:t>Regulation of gas supply and infrastructure is appropriate and enables participants to pursue investment opportunities, in response to market signals, in an efficient and timely manner.</w:t>
            </w:r>
          </w:p>
          <w:p w14:paraId="5FACF145" w14:textId="09EB8D2B" w:rsidR="00115A93" w:rsidRPr="004F4D18" w:rsidRDefault="00115A93" w:rsidP="00115A93">
            <w:pPr>
              <w:pStyle w:val="ListBullet"/>
              <w:keepNext/>
              <w:numPr>
                <w:ilvl w:val="0"/>
                <w:numId w:val="0"/>
              </w:numPr>
              <w:spacing w:before="0" w:after="100"/>
              <w:ind w:left="357" w:hanging="357"/>
              <w:rPr>
                <w:b/>
                <w:color w:val="0099CC"/>
                <w:sz w:val="20"/>
                <w:szCs w:val="20"/>
              </w:rPr>
            </w:pPr>
            <w:r>
              <w:rPr>
                <w:sz w:val="20"/>
                <w:szCs w:val="20"/>
              </w:rPr>
              <w:t>The outcomes that are most relevant to the capacity trading related reforms are Streams 2(b), 3(b), 3(c) and 3(d).</w:t>
            </w:r>
          </w:p>
        </w:tc>
      </w:tr>
    </w:tbl>
    <w:p w14:paraId="2585116A" w14:textId="77777777" w:rsidR="00CA0D69" w:rsidRDefault="007B5A6E" w:rsidP="00207EA2">
      <w:pPr>
        <w:pStyle w:val="Heading2"/>
      </w:pPr>
      <w:bookmarkStart w:id="35" w:name="_Toc495351621"/>
      <w:r>
        <w:t xml:space="preserve">Progression of </w:t>
      </w:r>
      <w:r w:rsidR="008F47EB">
        <w:t xml:space="preserve">the </w:t>
      </w:r>
      <w:r>
        <w:t>capacity trading reform</w:t>
      </w:r>
      <w:r w:rsidR="00D73D6E">
        <w:t xml:space="preserve"> package</w:t>
      </w:r>
      <w:bookmarkEnd w:id="35"/>
      <w:r>
        <w:t xml:space="preserve"> </w:t>
      </w:r>
    </w:p>
    <w:p w14:paraId="7CF9CFB8" w14:textId="77777777" w:rsidR="006F3444" w:rsidRDefault="00E353EB" w:rsidP="00FB0886">
      <w:pPr>
        <w:pStyle w:val="BodyText"/>
        <w:keepNext/>
        <w:spacing w:before="40" w:after="60"/>
      </w:pPr>
      <w:r>
        <w:t xml:space="preserve">To progress </w:t>
      </w:r>
      <w:r w:rsidR="007B5A6E">
        <w:t xml:space="preserve">the capacity trading </w:t>
      </w:r>
      <w:r>
        <w:t>reforms</w:t>
      </w:r>
      <w:r w:rsidR="00476D8D">
        <w:t xml:space="preserve"> outlined above</w:t>
      </w:r>
      <w:r>
        <w:t>, the GMRG has established</w:t>
      </w:r>
      <w:r w:rsidR="006F3444">
        <w:t>:</w:t>
      </w:r>
      <w:r>
        <w:t xml:space="preserve"> </w:t>
      </w:r>
    </w:p>
    <w:p w14:paraId="0D35FFBC" w14:textId="77777777" w:rsidR="004F2A76" w:rsidRDefault="008F47EB" w:rsidP="00C54FDC">
      <w:pPr>
        <w:pStyle w:val="ListBullet"/>
        <w:keepNext/>
      </w:pPr>
      <w:r>
        <w:t>a</w:t>
      </w:r>
      <w:r w:rsidR="006F3444">
        <w:t xml:space="preserve"> number of </w:t>
      </w:r>
      <w:r w:rsidR="00E353EB">
        <w:t>project teams</w:t>
      </w:r>
      <w:r w:rsidR="006F3444">
        <w:t xml:space="preserve"> to carry out the detailed design and development work</w:t>
      </w:r>
      <w:r>
        <w:t xml:space="preserve">, with the teams consisting </w:t>
      </w:r>
      <w:r w:rsidR="006F3444">
        <w:t>of a mix of members drawn from industry, consumer groups</w:t>
      </w:r>
      <w:r>
        <w:t>,</w:t>
      </w:r>
      <w:r w:rsidR="006F3444">
        <w:t xml:space="preserve"> market bodies</w:t>
      </w:r>
      <w:r>
        <w:t xml:space="preserve"> and other industries</w:t>
      </w:r>
      <w:r w:rsidR="00FB0886">
        <w:t xml:space="preserve"> (see Appendix B for a list of members)</w:t>
      </w:r>
      <w:r>
        <w:t>; and</w:t>
      </w:r>
    </w:p>
    <w:p w14:paraId="7BA90225" w14:textId="6BA09979" w:rsidR="00190CD1" w:rsidRDefault="008F47EB" w:rsidP="00C54FDC">
      <w:pPr>
        <w:pStyle w:val="ListBullet"/>
        <w:keepNext/>
      </w:pPr>
      <w:r>
        <w:t>a</w:t>
      </w:r>
      <w:r w:rsidR="00190CD1">
        <w:t xml:space="preserve">n Advisory Panel to provide </w:t>
      </w:r>
      <w:r w:rsidR="00190CD1" w:rsidRPr="00EE6274">
        <w:t xml:space="preserve">strategic perspective and advice to the GMRG on </w:t>
      </w:r>
      <w:r w:rsidR="00190CD1">
        <w:t>key issues</w:t>
      </w:r>
      <w:r>
        <w:t xml:space="preserve">, which is </w:t>
      </w:r>
      <w:r w:rsidR="00190CD1" w:rsidRPr="00EE6274">
        <w:t xml:space="preserve">made up of senior representatives from </w:t>
      </w:r>
      <w:r w:rsidR="00190CD1">
        <w:t xml:space="preserve">all segments of the gas supply chain </w:t>
      </w:r>
      <w:r w:rsidR="009849E3">
        <w:t>as well as</w:t>
      </w:r>
      <w:r w:rsidR="00190CD1">
        <w:t xml:space="preserve"> Energy Consumers Australia</w:t>
      </w:r>
      <w:r w:rsidR="00FB0886">
        <w:t xml:space="preserve"> (see Appendix B for a list of members)</w:t>
      </w:r>
      <w:r w:rsidR="00190CD1">
        <w:t>.</w:t>
      </w:r>
    </w:p>
    <w:p w14:paraId="1B6AFC0D" w14:textId="3F800701" w:rsidR="006F3779" w:rsidRDefault="001460B2" w:rsidP="00BF243C">
      <w:pPr>
        <w:pStyle w:val="BodyText"/>
      </w:pPr>
      <w:r>
        <w:t>Importantly, neither the project teams nor the Advisory Panel</w:t>
      </w:r>
      <w:r w:rsidR="001323B8">
        <w:t xml:space="preserve"> have any decision-making power</w:t>
      </w:r>
      <w:r>
        <w:t xml:space="preserve">. Their role is to inform the GMRG’s consideration of the design options, which will be consulted upon more broadly with other stakeholders before </w:t>
      </w:r>
      <w:r w:rsidR="00740DBD">
        <w:t xml:space="preserve">Dr </w:t>
      </w:r>
      <w:r w:rsidR="00522628">
        <w:t xml:space="preserve">Michael </w:t>
      </w:r>
      <w:r w:rsidR="00740DBD">
        <w:t>Vertigan</w:t>
      </w:r>
      <w:r w:rsidR="00522628">
        <w:t xml:space="preserve"> AC</w:t>
      </w:r>
      <w:r w:rsidR="006F7012">
        <w:t>, as Chair of the GMRG,</w:t>
      </w:r>
      <w:r w:rsidR="00740DBD">
        <w:t xml:space="preserve"> makes </w:t>
      </w:r>
      <w:r w:rsidR="00CC09FD">
        <w:t xml:space="preserve">his final </w:t>
      </w:r>
      <w:r>
        <w:t xml:space="preserve">recommendations to </w:t>
      </w:r>
      <w:r w:rsidR="00476D8D">
        <w:t xml:space="preserve">the </w:t>
      </w:r>
      <w:r w:rsidR="00522628">
        <w:t>Senior</w:t>
      </w:r>
      <w:r w:rsidR="00476D8D">
        <w:t xml:space="preserve"> Committee of Officials (SCO)</w:t>
      </w:r>
      <w:r w:rsidR="00C76541">
        <w:rPr>
          <w:rStyle w:val="FootnoteReference"/>
        </w:rPr>
        <w:footnoteReference w:id="6"/>
      </w:r>
      <w:r w:rsidR="00172C46">
        <w:t xml:space="preserve"> </w:t>
      </w:r>
      <w:r w:rsidR="00476D8D">
        <w:t xml:space="preserve">and </w:t>
      </w:r>
      <w:r w:rsidR="00863FDD">
        <w:t xml:space="preserve">the </w:t>
      </w:r>
      <w:r w:rsidR="00C76541">
        <w:t xml:space="preserve">Energy </w:t>
      </w:r>
      <w:r>
        <w:t xml:space="preserve">Council. </w:t>
      </w:r>
      <w:r w:rsidR="00915822">
        <w:t xml:space="preserve"> </w:t>
      </w:r>
      <w:r w:rsidR="00BF243C">
        <w:t>The GMRG ha</w:t>
      </w:r>
      <w:r w:rsidR="00522628">
        <w:t>s</w:t>
      </w:r>
      <w:r w:rsidR="00BF243C">
        <w:t xml:space="preserve"> nevertheless benefited from, and greatly appreciates, the effort and resources that project team members and the Advisory Panel have put into considering the design options and providing their advice to the GMRG. </w:t>
      </w:r>
      <w:r w:rsidR="006F3779">
        <w:t xml:space="preserve">The GMRG also </w:t>
      </w:r>
      <w:r w:rsidR="00C64740">
        <w:t xml:space="preserve">greatly </w:t>
      </w:r>
      <w:r w:rsidR="006F3779">
        <w:t xml:space="preserve">appreciates the </w:t>
      </w:r>
      <w:r w:rsidR="00C64740">
        <w:t xml:space="preserve">support that </w:t>
      </w:r>
      <w:r w:rsidR="006F3779">
        <w:t>AEMO</w:t>
      </w:r>
      <w:r w:rsidR="00C64740">
        <w:t>, the AEMC and the AER</w:t>
      </w:r>
      <w:r w:rsidR="006F3779">
        <w:t xml:space="preserve"> </w:t>
      </w:r>
      <w:r w:rsidR="00C64740">
        <w:t xml:space="preserve">have provided through this process and the assistance that AEMO has provided on key elements of the reform package. </w:t>
      </w:r>
    </w:p>
    <w:p w14:paraId="09FEE751" w14:textId="1C2131F2" w:rsidR="00A54E31" w:rsidRDefault="00E353EB" w:rsidP="00F16D54">
      <w:pPr>
        <w:pStyle w:val="BodyText"/>
      </w:pPr>
      <w:bookmarkStart w:id="36" w:name="_Hlk481811189"/>
      <w:r>
        <w:t xml:space="preserve">Work on </w:t>
      </w:r>
      <w:r w:rsidR="00675F7A">
        <w:t xml:space="preserve">the </w:t>
      </w:r>
      <w:r w:rsidR="006E4AD4">
        <w:t xml:space="preserve">design of the </w:t>
      </w:r>
      <w:r w:rsidR="00675F7A">
        <w:t>capacity trading</w:t>
      </w:r>
      <w:r>
        <w:t xml:space="preserve"> reforms </w:t>
      </w:r>
      <w:r w:rsidR="007B5A6E">
        <w:t>commenced in</w:t>
      </w:r>
      <w:r w:rsidR="004B1217">
        <w:t xml:space="preserve"> early </w:t>
      </w:r>
      <w:r w:rsidR="007B5A6E">
        <w:t xml:space="preserve">2017 and </w:t>
      </w:r>
      <w:r>
        <w:t xml:space="preserve">was initially </w:t>
      </w:r>
      <w:r w:rsidR="00794880">
        <w:t xml:space="preserve">required </w:t>
      </w:r>
      <w:r>
        <w:t xml:space="preserve">to be completed during 2018, </w:t>
      </w:r>
      <w:r w:rsidR="00794880">
        <w:t xml:space="preserve">to enable </w:t>
      </w:r>
      <w:r>
        <w:t xml:space="preserve">the recommendations to be considered by </w:t>
      </w:r>
      <w:r w:rsidR="00C76541">
        <w:t xml:space="preserve">the Energy </w:t>
      </w:r>
      <w:r>
        <w:t xml:space="preserve">Council </w:t>
      </w:r>
      <w:r w:rsidR="001460B2">
        <w:t xml:space="preserve">at </w:t>
      </w:r>
      <w:r>
        <w:t xml:space="preserve">the end of 2018 </w:t>
      </w:r>
      <w:r w:rsidR="00794880">
        <w:t xml:space="preserve">with </w:t>
      </w:r>
      <w:r>
        <w:t xml:space="preserve">the reforms to be implemented by 2021. </w:t>
      </w:r>
      <w:r w:rsidR="003E05CF">
        <w:t>However, i</w:t>
      </w:r>
      <w:r>
        <w:t xml:space="preserve">n response to </w:t>
      </w:r>
      <w:r w:rsidR="009C0C21">
        <w:t>a</w:t>
      </w:r>
      <w:r>
        <w:t xml:space="preserve"> request from </w:t>
      </w:r>
      <w:r w:rsidR="009E46D8">
        <w:t>the Ho</w:t>
      </w:r>
      <w:r w:rsidR="003E05CF">
        <w:t>n</w:t>
      </w:r>
      <w:r w:rsidR="009E46D8">
        <w:t xml:space="preserve">. Josh </w:t>
      </w:r>
      <w:proofErr w:type="spellStart"/>
      <w:r>
        <w:t>Frydenberg</w:t>
      </w:r>
      <w:proofErr w:type="spellEnd"/>
      <w:r w:rsidR="009E46D8">
        <w:t xml:space="preserve"> MP, Minister for the Environment and Energy</w:t>
      </w:r>
      <w:r>
        <w:t xml:space="preserve">, the GMRG examined the opportunities to accelerate this work and </w:t>
      </w:r>
      <w:r w:rsidR="001B7CE2">
        <w:t xml:space="preserve">agreed </w:t>
      </w:r>
      <w:r>
        <w:t xml:space="preserve">to </w:t>
      </w:r>
      <w:r w:rsidR="003E05CF">
        <w:t xml:space="preserve">make its </w:t>
      </w:r>
      <w:r>
        <w:t>recommendations on</w:t>
      </w:r>
      <w:r w:rsidR="00A54E31">
        <w:t xml:space="preserve"> the capacity trading reforms by the end of 2017. </w:t>
      </w:r>
    </w:p>
    <w:p w14:paraId="12FCB624" w14:textId="77777777" w:rsidR="00E353EB" w:rsidRDefault="00A74F85" w:rsidP="00B543A9">
      <w:pPr>
        <w:pStyle w:val="BodyText"/>
      </w:pPr>
      <w:r>
        <w:t xml:space="preserve">This accelerated timetable is expected to </w:t>
      </w:r>
      <w:r w:rsidR="00E353EB">
        <w:t xml:space="preserve">enable the </w:t>
      </w:r>
      <w:r w:rsidR="00D12D36">
        <w:t xml:space="preserve">capacity trading platform </w:t>
      </w:r>
      <w:r w:rsidR="00B543A9">
        <w:t>and day-ahead auction</w:t>
      </w:r>
      <w:r w:rsidR="00E353EB">
        <w:t xml:space="preserve"> to become operational </w:t>
      </w:r>
      <w:r w:rsidR="00916B98">
        <w:t xml:space="preserve">in </w:t>
      </w:r>
      <w:r w:rsidR="00E353EB">
        <w:t>2018-19</w:t>
      </w:r>
      <w:r w:rsidR="00FB0886">
        <w:t>, subject to the passage of amendments to the National Gas Law (NGL), National Gas Rules (NGR) and subordinate instruments</w:t>
      </w:r>
      <w:r>
        <w:t>.</w:t>
      </w:r>
      <w:bookmarkEnd w:id="36"/>
    </w:p>
    <w:p w14:paraId="03E440E6" w14:textId="77777777" w:rsidR="00863FDD" w:rsidRDefault="001B7CE2" w:rsidP="00863FDD">
      <w:pPr>
        <w:pStyle w:val="BodyText"/>
      </w:pPr>
      <w:r>
        <w:t>The GMRG’s recommendations on the organisation(s) that should operate and administer the capacity trading platform(s) and day</w:t>
      </w:r>
      <w:r w:rsidR="00FB0886">
        <w:t>-</w:t>
      </w:r>
      <w:r>
        <w:t xml:space="preserve">ahead auction were presented to the </w:t>
      </w:r>
      <w:r w:rsidR="00C76541">
        <w:t xml:space="preserve">Energy </w:t>
      </w:r>
      <w:r>
        <w:t xml:space="preserve">Council in July. In short, the GMRG recommended </w:t>
      </w:r>
      <w:r w:rsidR="00FB0886">
        <w:t xml:space="preserve">the development of a single capacity trading platform that will form part of the Gas Supply Hub (GSH) trading exchange and a centralised auction platform, both of which would be operated by </w:t>
      </w:r>
      <w:r w:rsidR="00C76541">
        <w:t>the Australian Energy Market Operator (</w:t>
      </w:r>
      <w:r>
        <w:t>AEMO</w:t>
      </w:r>
      <w:r w:rsidR="00FB0886">
        <w:t>)</w:t>
      </w:r>
      <w:r>
        <w:t xml:space="preserve">. These recommendations were endorsed by </w:t>
      </w:r>
      <w:r w:rsidR="00863FDD">
        <w:t xml:space="preserve">the </w:t>
      </w:r>
      <w:r w:rsidR="00693FAD">
        <w:t xml:space="preserve">Energy </w:t>
      </w:r>
      <w:r w:rsidR="00863FDD">
        <w:t xml:space="preserve">Council at its </w:t>
      </w:r>
      <w:r w:rsidR="00F23E45">
        <w:t>14 July 2017</w:t>
      </w:r>
      <w:r w:rsidR="00863FDD">
        <w:t xml:space="preserve"> meeting.</w:t>
      </w:r>
      <w:r w:rsidR="00F23E45">
        <w:rPr>
          <w:rStyle w:val="FootnoteReference"/>
        </w:rPr>
        <w:footnoteReference w:id="7"/>
      </w:r>
      <w:r w:rsidR="00863FDD">
        <w:t xml:space="preserve"> The design of the capacity trading platform and day-ahead auction has therefore proceeded on this basis. </w:t>
      </w:r>
    </w:p>
    <w:p w14:paraId="2EF3E290" w14:textId="2DCB8454" w:rsidR="003135B3" w:rsidRDefault="00863FDD" w:rsidP="001E28D4">
      <w:pPr>
        <w:pStyle w:val="BodyText"/>
      </w:pPr>
      <w:r>
        <w:t xml:space="preserve">In keeping with the accelerated timetable outlined above, </w:t>
      </w:r>
      <w:r w:rsidR="001E28D4">
        <w:t>the GMRG</w:t>
      </w:r>
      <w:r w:rsidR="003F0DFD">
        <w:t xml:space="preserve"> </w:t>
      </w:r>
      <w:r w:rsidR="001E28D4">
        <w:t xml:space="preserve">published </w:t>
      </w:r>
      <w:r w:rsidR="003F0DFD">
        <w:t xml:space="preserve">the </w:t>
      </w:r>
      <w:r w:rsidR="003F0DFD" w:rsidRPr="003F0DFD">
        <w:rPr>
          <w:i/>
        </w:rPr>
        <w:t>Standardisation Related Reforms and the Capacity Trading Platform Consultation Paper</w:t>
      </w:r>
      <w:r w:rsidR="003F0DFD">
        <w:t xml:space="preserve"> on </w:t>
      </w:r>
      <w:r w:rsidR="003135B3">
        <w:t>7 September 2017</w:t>
      </w:r>
      <w:r w:rsidR="001E28D4">
        <w:t xml:space="preserve"> and provided stakeholders four weeks to provide feedback on the issues raised in the paper</w:t>
      </w:r>
      <w:r w:rsidR="003135B3">
        <w:t xml:space="preserve">. </w:t>
      </w:r>
      <w:r w:rsidR="001E28D4">
        <w:t>A public forum was also held on 14 September 2017</w:t>
      </w:r>
      <w:r w:rsidR="003F0DFD">
        <w:t>, which was attended by a range of market participants across the gas supply chain and representatives from the AEMC, AEMO and Australian Energy Regulator (AER)</w:t>
      </w:r>
      <w:r w:rsidR="001E28D4">
        <w:t xml:space="preserve">. </w:t>
      </w:r>
      <w:r w:rsidR="003135B3">
        <w:t>The consultation period ended on 4</w:t>
      </w:r>
      <w:r w:rsidR="001E28D4">
        <w:t> </w:t>
      </w:r>
      <w:r w:rsidR="003135B3">
        <w:t>October 2017 and the GMRG is now working on its final recommendations</w:t>
      </w:r>
      <w:r w:rsidR="001E28D4">
        <w:t xml:space="preserve"> </w:t>
      </w:r>
      <w:r w:rsidR="00CE64C6">
        <w:t xml:space="preserve">on </w:t>
      </w:r>
      <w:r w:rsidR="001E28D4">
        <w:t>these two elements of the reform package</w:t>
      </w:r>
      <w:r w:rsidR="00CE64C6">
        <w:t>, which will be provided to SCO and the Energy Council in November 2017</w:t>
      </w:r>
      <w:r w:rsidR="003F0DFD">
        <w:t>.</w:t>
      </w:r>
    </w:p>
    <w:p w14:paraId="492125B1" w14:textId="72B46DC0" w:rsidR="00704A07" w:rsidRDefault="00CE64C6" w:rsidP="00704A07">
      <w:pPr>
        <w:pStyle w:val="BodyText"/>
      </w:pPr>
      <w:r>
        <w:t xml:space="preserve">In relation to the day-ahead auction and </w:t>
      </w:r>
      <w:r w:rsidR="00704A07">
        <w:t xml:space="preserve">the </w:t>
      </w:r>
      <w:r>
        <w:t>reporting framework for secondary capacity trades</w:t>
      </w:r>
      <w:r w:rsidR="00704A07">
        <w:t>, the GMRG intends to make its final recommendations to SCO and the Energy Council</w:t>
      </w:r>
      <w:r>
        <w:t xml:space="preserve"> in December 2017.</w:t>
      </w:r>
      <w:r w:rsidR="00704A07">
        <w:t xml:space="preserve"> To this end, the GMRG has prepared the following </w:t>
      </w:r>
      <w:r>
        <w:t>consultation paper</w:t>
      </w:r>
      <w:r w:rsidR="00704A07">
        <w:t>, which focuses on these two elements of the reform package</w:t>
      </w:r>
      <w:r w:rsidR="00F10BE4">
        <w:t>.</w:t>
      </w:r>
      <w:r w:rsidR="006B7AC6">
        <w:t xml:space="preserve"> </w:t>
      </w:r>
      <w:r w:rsidR="00A15A88">
        <w:t>Further detail on the consultation process is provided below.</w:t>
      </w:r>
      <w:r w:rsidR="006B7AC6">
        <w:t xml:space="preserve"> </w:t>
      </w:r>
    </w:p>
    <w:p w14:paraId="11079783" w14:textId="2CF6F579" w:rsidR="00794880" w:rsidRDefault="00794880" w:rsidP="00794880">
      <w:pPr>
        <w:pStyle w:val="BodyText"/>
      </w:pPr>
      <w:r>
        <w:t>The Energy Council’s decision to implement the capacity trading reforms was made in response to a review of the east coast gas market. Although neither the review nor the Energy Council resolution explicitly extended the reforms to the Northern Territory (which is expected to become connected to the east coast market in late 2018) or Western Australia, the GMRG is of the view that there would be merit in implementing the reforms in these jurisdictions and has involved industry participants from these jurisdictions in the project teams.</w:t>
      </w:r>
      <w:r w:rsidR="006B7AC6">
        <w:t xml:space="preserve"> </w:t>
      </w:r>
      <w:r>
        <w:t xml:space="preserve">However, a formal decision on this issue will need to be made by the responsible governments and likely the Energy Council. </w:t>
      </w:r>
    </w:p>
    <w:p w14:paraId="5265516D" w14:textId="373BC91C" w:rsidR="000A47B2" w:rsidRDefault="00A15A88" w:rsidP="001428D1">
      <w:pPr>
        <w:pStyle w:val="Heading2"/>
        <w:spacing w:before="120" w:after="120"/>
      </w:pPr>
      <w:bookmarkStart w:id="37" w:name="_Toc495351622"/>
      <w:r>
        <w:t xml:space="preserve">Consultation </w:t>
      </w:r>
      <w:r w:rsidR="009C3AE6">
        <w:t>process and next steps</w:t>
      </w:r>
      <w:bookmarkEnd w:id="37"/>
    </w:p>
    <w:p w14:paraId="35A26334" w14:textId="1212F209" w:rsidR="00F10BE4" w:rsidRDefault="00F10BE4" w:rsidP="001428D1">
      <w:pPr>
        <w:pStyle w:val="BodyText"/>
        <w:spacing w:before="120"/>
      </w:pPr>
      <w:bookmarkStart w:id="38" w:name="_Hlk487649803"/>
      <w:r>
        <w:t>This consultation paper comprises two parts:</w:t>
      </w:r>
    </w:p>
    <w:p w14:paraId="13F2EFA9" w14:textId="77777777" w:rsidR="004F2A76" w:rsidRDefault="00F10BE4" w:rsidP="000D4194">
      <w:pPr>
        <w:pStyle w:val="ListBullet"/>
      </w:pPr>
      <w:r w:rsidRPr="004F2A76">
        <w:rPr>
          <w:b/>
        </w:rPr>
        <w:t>Part A</w:t>
      </w:r>
      <w:r w:rsidR="00F56A7E" w:rsidRPr="004F2A76">
        <w:rPr>
          <w:b/>
        </w:rPr>
        <w:t xml:space="preserve">: </w:t>
      </w:r>
      <w:r w:rsidR="00704A07" w:rsidRPr="004F2A76">
        <w:rPr>
          <w:b/>
        </w:rPr>
        <w:t xml:space="preserve">Day-ahead auction </w:t>
      </w:r>
      <w:r w:rsidR="00F56A7E">
        <w:t>–</w:t>
      </w:r>
      <w:r w:rsidR="0043556F">
        <w:t xml:space="preserve">This </w:t>
      </w:r>
      <w:r w:rsidR="00F56A7E">
        <w:t xml:space="preserve">part of the consultation paper </w:t>
      </w:r>
      <w:r w:rsidR="0043556F">
        <w:t>focuses on</w:t>
      </w:r>
      <w:r w:rsidR="00E91831">
        <w:t xml:space="preserve"> the product(s) to be sold through the auction, </w:t>
      </w:r>
      <w:r w:rsidR="001428D1">
        <w:t xml:space="preserve">auction </w:t>
      </w:r>
      <w:r w:rsidR="00E91831">
        <w:t xml:space="preserve">design, the coverage of the auction and the </w:t>
      </w:r>
      <w:r w:rsidR="00704A07">
        <w:t>operational, financial</w:t>
      </w:r>
      <w:r w:rsidR="00E91831">
        <w:t>,</w:t>
      </w:r>
      <w:r w:rsidR="00704A07">
        <w:t xml:space="preserve"> contractual </w:t>
      </w:r>
      <w:r w:rsidR="00E91831">
        <w:t xml:space="preserve">and </w:t>
      </w:r>
      <w:r w:rsidR="00704A07">
        <w:t xml:space="preserve">governance arrangements that will </w:t>
      </w:r>
      <w:r w:rsidR="00E91831">
        <w:t xml:space="preserve">be required to </w:t>
      </w:r>
      <w:r w:rsidR="00704A07">
        <w:t>underpin the auction.</w:t>
      </w:r>
      <w:r w:rsidR="00E91831">
        <w:t xml:space="preserve"> </w:t>
      </w:r>
      <w:r w:rsidR="0043556F">
        <w:t xml:space="preserve">The development of this part of the consultation paper has been </w:t>
      </w:r>
      <w:r w:rsidR="00F56A7E">
        <w:t xml:space="preserve">informed by the work carried out by </w:t>
      </w:r>
      <w:r w:rsidR="001C5D5A">
        <w:t xml:space="preserve">AEMO, </w:t>
      </w:r>
      <w:r w:rsidR="00F56A7E">
        <w:t xml:space="preserve">the </w:t>
      </w:r>
      <w:r w:rsidR="00704A07">
        <w:t xml:space="preserve">Day-Ahead Auction </w:t>
      </w:r>
      <w:r w:rsidR="00F56A7E">
        <w:t xml:space="preserve">project team and advice from the GMRG’s </w:t>
      </w:r>
      <w:r w:rsidR="003957AA">
        <w:t xml:space="preserve">independent </w:t>
      </w:r>
      <w:r w:rsidR="00704A07">
        <w:t xml:space="preserve">auction advisor, NERA Economic Consulting (NERA), and its </w:t>
      </w:r>
      <w:r w:rsidR="00F56A7E">
        <w:t xml:space="preserve">legal advisor, </w:t>
      </w:r>
      <w:r w:rsidR="00F56A7E" w:rsidRPr="00896A82">
        <w:t>Johnson Winter &amp; Slattery (JWS)</w:t>
      </w:r>
      <w:r w:rsidR="0043556F">
        <w:t>.</w:t>
      </w:r>
    </w:p>
    <w:p w14:paraId="0E5C7068" w14:textId="69E0DC57" w:rsidR="004F2A76" w:rsidRDefault="00F10BE4" w:rsidP="000D4194">
      <w:pPr>
        <w:pStyle w:val="ListBullet"/>
      </w:pPr>
      <w:r w:rsidRPr="004F2A76">
        <w:rPr>
          <w:b/>
        </w:rPr>
        <w:t>Part B</w:t>
      </w:r>
      <w:r w:rsidR="00BF307E" w:rsidRPr="004F2A76">
        <w:rPr>
          <w:b/>
        </w:rPr>
        <w:t xml:space="preserve">: </w:t>
      </w:r>
      <w:r w:rsidR="00704A07" w:rsidRPr="004F2A76">
        <w:rPr>
          <w:b/>
        </w:rPr>
        <w:t xml:space="preserve">Reporting framework </w:t>
      </w:r>
      <w:r w:rsidR="00F56A7E">
        <w:t xml:space="preserve">– </w:t>
      </w:r>
      <w:r w:rsidR="00B42561">
        <w:t>T</w:t>
      </w:r>
      <w:r w:rsidR="00F56A7E">
        <w:t xml:space="preserve">his part of the consultation paper </w:t>
      </w:r>
      <w:r w:rsidR="00704A07">
        <w:t>focuses on</w:t>
      </w:r>
      <w:r w:rsidR="00E91831">
        <w:t xml:space="preserve"> </w:t>
      </w:r>
      <w:r w:rsidR="005243E4">
        <w:t xml:space="preserve">the </w:t>
      </w:r>
      <w:r w:rsidR="00704A07">
        <w:t>types of trades that could be subject to the reporting framework</w:t>
      </w:r>
      <w:r w:rsidR="00E91831">
        <w:t>,</w:t>
      </w:r>
      <w:r w:rsidR="00704A07">
        <w:t xml:space="preserve"> the information that trading parties could be required to report</w:t>
      </w:r>
      <w:r w:rsidR="00E91831">
        <w:t xml:space="preserve"> and </w:t>
      </w:r>
      <w:r w:rsidR="005243E4">
        <w:t xml:space="preserve">the </w:t>
      </w:r>
      <w:r w:rsidR="00704A07">
        <w:t xml:space="preserve">governance </w:t>
      </w:r>
      <w:r w:rsidR="005243E4">
        <w:t xml:space="preserve">arrangements required to underpin the </w:t>
      </w:r>
      <w:r w:rsidR="00704A07">
        <w:t>reporting framework</w:t>
      </w:r>
      <w:r w:rsidR="005243E4">
        <w:t>.</w:t>
      </w:r>
      <w:r w:rsidR="00E91831">
        <w:t xml:space="preserve"> </w:t>
      </w:r>
      <w:r w:rsidR="0043556F">
        <w:t xml:space="preserve">The development of this part of the paper has been informed by </w:t>
      </w:r>
      <w:r w:rsidR="00F56A7E">
        <w:t xml:space="preserve">work carried out by </w:t>
      </w:r>
      <w:r w:rsidR="00704A07">
        <w:t xml:space="preserve">the Standardisation project team </w:t>
      </w:r>
      <w:r w:rsidR="00B42561">
        <w:t>and JWS</w:t>
      </w:r>
      <w:r>
        <w:t>.</w:t>
      </w:r>
      <w:r w:rsidR="006B7AC6">
        <w:t xml:space="preserve"> </w:t>
      </w:r>
    </w:p>
    <w:p w14:paraId="29F5807C" w14:textId="0B50FE95" w:rsidR="006E75F9" w:rsidRDefault="00505FFB" w:rsidP="004F2A76">
      <w:pPr>
        <w:pStyle w:val="ListBullet"/>
        <w:numPr>
          <w:ilvl w:val="0"/>
          <w:numId w:val="0"/>
        </w:numPr>
      </w:pPr>
      <w:r w:rsidRPr="006E75F9">
        <w:t>The GMRG is seeking written feedback</w:t>
      </w:r>
      <w:r w:rsidR="009C3AE6" w:rsidRPr="006E75F9">
        <w:t xml:space="preserve"> on this consultation paper</w:t>
      </w:r>
      <w:r w:rsidRPr="006E75F9">
        <w:t xml:space="preserve"> by </w:t>
      </w:r>
      <w:r w:rsidRPr="004F2A76">
        <w:rPr>
          <w:b/>
        </w:rPr>
        <w:t xml:space="preserve">5pm (AEST) </w:t>
      </w:r>
      <w:r w:rsidRPr="006E75F9">
        <w:t xml:space="preserve">on </w:t>
      </w:r>
      <w:r w:rsidR="008D2A4A" w:rsidRPr="004F2A76">
        <w:rPr>
          <w:b/>
        </w:rPr>
        <w:t>6</w:t>
      </w:r>
      <w:r w:rsidR="0043556F" w:rsidRPr="004F2A76">
        <w:rPr>
          <w:b/>
        </w:rPr>
        <w:t> </w:t>
      </w:r>
      <w:r w:rsidR="00704A07" w:rsidRPr="004F2A76">
        <w:rPr>
          <w:b/>
        </w:rPr>
        <w:t xml:space="preserve">November </w:t>
      </w:r>
      <w:r w:rsidRPr="004F2A76">
        <w:rPr>
          <w:b/>
        </w:rPr>
        <w:t>2017</w:t>
      </w:r>
      <w:r w:rsidRPr="006E75F9">
        <w:t>.</w:t>
      </w:r>
      <w:r w:rsidR="006B7AC6">
        <w:t xml:space="preserve"> </w:t>
      </w:r>
      <w:r w:rsidRPr="006E75F9">
        <w:t xml:space="preserve">To assist stakeholders in responding to this consultation paper, </w:t>
      </w:r>
      <w:r w:rsidR="009467E3" w:rsidRPr="006E75F9">
        <w:t>Parts A</w:t>
      </w:r>
      <w:r w:rsidR="009467E3">
        <w:t xml:space="preserve"> and B</w:t>
      </w:r>
      <w:r>
        <w:t xml:space="preserve"> include a number of questions that the GMRG would like to obtain further feedback on and provide</w:t>
      </w:r>
      <w:r w:rsidR="00794880">
        <w:t>s</w:t>
      </w:r>
      <w:r>
        <w:t xml:space="preserve"> an indication of the GMRG’s preliminary view</w:t>
      </w:r>
      <w:r w:rsidR="006E4AD4">
        <w:t>s</w:t>
      </w:r>
      <w:r>
        <w:t xml:space="preserve"> on various issues. The inclusion of the GMRG’s preliminary views is designed to facilitate consultation and should not be interpreted as concluded positions of the GMRG.</w:t>
      </w:r>
      <w:r w:rsidR="00237CF3">
        <w:t xml:space="preserve"> </w:t>
      </w:r>
    </w:p>
    <w:p w14:paraId="525AB86C" w14:textId="7990967E" w:rsidR="00505FFB" w:rsidRDefault="00237CF3" w:rsidP="00B57711">
      <w:pPr>
        <w:pStyle w:val="BodyText"/>
        <w:spacing w:line="252" w:lineRule="auto"/>
      </w:pPr>
      <w:r>
        <w:t xml:space="preserve">A template has been </w:t>
      </w:r>
      <w:r w:rsidR="006E75F9">
        <w:t xml:space="preserve">prepared for </w:t>
      </w:r>
      <w:r>
        <w:t xml:space="preserve">stakeholders to </w:t>
      </w:r>
      <w:r w:rsidR="006E75F9">
        <w:t xml:space="preserve">use to </w:t>
      </w:r>
      <w:r>
        <w:t xml:space="preserve">provide their feedback on the questions posed in this paper and </w:t>
      </w:r>
      <w:r w:rsidR="00E33ADB">
        <w:t>any other issues that they would like to provide feedback on</w:t>
      </w:r>
      <w:r w:rsidR="006E75F9">
        <w:t xml:space="preserve"> (see Attachment </w:t>
      </w:r>
      <w:r w:rsidR="00CE7C87">
        <w:t>1</w:t>
      </w:r>
      <w:r w:rsidR="006E75F9">
        <w:t>)</w:t>
      </w:r>
      <w:r w:rsidR="00E33ADB">
        <w:t>. The GMRG strongly encourages stakeholders to use this template, so that it can have due regard to the views expressed by stakeholders on each issue.</w:t>
      </w:r>
      <w:r w:rsidR="009A1444">
        <w:t xml:space="preserve"> </w:t>
      </w:r>
      <w:r w:rsidR="009A1444">
        <w:rPr>
          <w:rFonts w:cs="Arial"/>
        </w:rPr>
        <w:t>Stakeholders should not feel obliged to answer each question, but rather address those issues of particular interest or concern.</w:t>
      </w:r>
    </w:p>
    <w:p w14:paraId="44EB054A" w14:textId="07B5DAF4" w:rsidR="009C3AE6" w:rsidRDefault="009C3AE6" w:rsidP="00B57711">
      <w:pPr>
        <w:pStyle w:val="BodyText"/>
        <w:spacing w:line="252" w:lineRule="auto"/>
      </w:pPr>
      <w:r w:rsidRPr="00144CFC">
        <w:t xml:space="preserve">In addition to providing a written submission, stakeholders will have an opportunity to attend a public forum, which will be held in </w:t>
      </w:r>
      <w:r w:rsidR="00704A07" w:rsidRPr="00144CFC">
        <w:t xml:space="preserve">Melbourne </w:t>
      </w:r>
      <w:r w:rsidRPr="00144CFC">
        <w:t xml:space="preserve">on </w:t>
      </w:r>
      <w:r w:rsidR="00704A07" w:rsidRPr="00144CFC">
        <w:rPr>
          <w:b/>
        </w:rPr>
        <w:t xml:space="preserve">31 October </w:t>
      </w:r>
      <w:r w:rsidRPr="00144CFC">
        <w:rPr>
          <w:b/>
        </w:rPr>
        <w:t>2017</w:t>
      </w:r>
      <w:r w:rsidRPr="00144CFC">
        <w:t xml:space="preserve">. Stakeholders are encouraged to express their interest in attending this forum by emailing </w:t>
      </w:r>
      <w:hyperlink r:id="rId22" w:history="1">
        <w:r w:rsidRPr="00144CFC">
          <w:rPr>
            <w:rStyle w:val="Hyperlink"/>
            <w:rFonts w:cs="Arial"/>
          </w:rPr>
          <w:t>enquiries@gmrg.coagenergycouncil.gov.au</w:t>
        </w:r>
      </w:hyperlink>
      <w:r w:rsidRPr="00144CFC">
        <w:t>.</w:t>
      </w:r>
    </w:p>
    <w:p w14:paraId="0736C53F" w14:textId="7EC7802F" w:rsidR="009C3AE6" w:rsidRDefault="009C3AE6" w:rsidP="00B57711">
      <w:pPr>
        <w:pStyle w:val="BodyText"/>
        <w:spacing w:line="252" w:lineRule="auto"/>
        <w:rPr>
          <w:iCs/>
        </w:rPr>
      </w:pPr>
      <w:r>
        <w:rPr>
          <w:iCs/>
        </w:rPr>
        <w:t>The f</w:t>
      </w:r>
      <w:r w:rsidRPr="000C2607">
        <w:rPr>
          <w:iCs/>
        </w:rPr>
        <w:t xml:space="preserve">eedback received </w:t>
      </w:r>
      <w:r>
        <w:rPr>
          <w:iCs/>
        </w:rPr>
        <w:t xml:space="preserve">through this </w:t>
      </w:r>
      <w:r w:rsidRPr="000C2607">
        <w:rPr>
          <w:iCs/>
        </w:rPr>
        <w:t xml:space="preserve">consultation process will inform the GMRG’s </w:t>
      </w:r>
      <w:r>
        <w:rPr>
          <w:iCs/>
        </w:rPr>
        <w:t xml:space="preserve">final </w:t>
      </w:r>
      <w:r w:rsidRPr="000C2607">
        <w:rPr>
          <w:iCs/>
        </w:rPr>
        <w:t xml:space="preserve">recommendations </w:t>
      </w:r>
      <w:r>
        <w:rPr>
          <w:iCs/>
        </w:rPr>
        <w:t xml:space="preserve">on </w:t>
      </w:r>
      <w:r w:rsidRPr="000C2607">
        <w:rPr>
          <w:iCs/>
        </w:rPr>
        <w:t xml:space="preserve">the </w:t>
      </w:r>
      <w:r>
        <w:rPr>
          <w:iCs/>
        </w:rPr>
        <w:t xml:space="preserve">design of the </w:t>
      </w:r>
      <w:r w:rsidR="00704A07">
        <w:rPr>
          <w:iCs/>
        </w:rPr>
        <w:t>day-ahead auction and reporting framework</w:t>
      </w:r>
      <w:r w:rsidRPr="000C2607">
        <w:rPr>
          <w:iCs/>
        </w:rPr>
        <w:t xml:space="preserve">, which are expected to be </w:t>
      </w:r>
      <w:r>
        <w:rPr>
          <w:iCs/>
        </w:rPr>
        <w:t xml:space="preserve">provided to the </w:t>
      </w:r>
      <w:r w:rsidRPr="000C2607">
        <w:rPr>
          <w:iCs/>
        </w:rPr>
        <w:t xml:space="preserve">Energy Council </w:t>
      </w:r>
      <w:r>
        <w:rPr>
          <w:iCs/>
        </w:rPr>
        <w:t xml:space="preserve">in </w:t>
      </w:r>
      <w:r w:rsidR="00704A07">
        <w:rPr>
          <w:iCs/>
        </w:rPr>
        <w:t xml:space="preserve">December </w:t>
      </w:r>
      <w:r>
        <w:rPr>
          <w:iCs/>
        </w:rPr>
        <w:t xml:space="preserve">2017 for its consideration and approval. </w:t>
      </w:r>
    </w:p>
    <w:p w14:paraId="7ED665B0" w14:textId="345A92C7" w:rsidR="001428D1" w:rsidRDefault="009B3C9F" w:rsidP="00B57711">
      <w:pPr>
        <w:pStyle w:val="BodyText"/>
        <w:spacing w:line="252" w:lineRule="auto"/>
        <w:rPr>
          <w:iCs/>
        </w:rPr>
      </w:pPr>
      <w:bookmarkStart w:id="39" w:name="_Hlk487650011"/>
      <w:bookmarkEnd w:id="38"/>
      <w:r>
        <w:rPr>
          <w:iCs/>
        </w:rPr>
        <w:t xml:space="preserve">If these recommendations are accepted by the Energy Council, then work will commence on drafting the changes that will be required to the NGL, the NGR and other subordinate instruments to give effect to these reforms. </w:t>
      </w:r>
      <w:r w:rsidR="001428D1">
        <w:rPr>
          <w:iCs/>
        </w:rPr>
        <w:t xml:space="preserve">The GMRG is currently working on a detailed implementation plan, which will set out the expected dates for consultation on the governance arrangements and the time that AEMO and service providers will have to implement and test the relevant systems. The GMRG intends to work closely with AEMO and service providers on the development of this implementation plant, which </w:t>
      </w:r>
      <w:r w:rsidR="00CE7C87">
        <w:rPr>
          <w:iCs/>
        </w:rPr>
        <w:t>is expected to</w:t>
      </w:r>
      <w:r w:rsidR="001428D1">
        <w:rPr>
          <w:iCs/>
        </w:rPr>
        <w:t xml:space="preserve"> be provided to the Energy Council in November 2017. </w:t>
      </w:r>
    </w:p>
    <w:p w14:paraId="66851A79" w14:textId="77777777" w:rsidR="00EA5410" w:rsidRDefault="00EA5410" w:rsidP="0000189B">
      <w:pPr>
        <w:pStyle w:val="Heading2"/>
        <w:spacing w:before="240" w:after="120"/>
      </w:pPr>
      <w:bookmarkStart w:id="40" w:name="_Toc495351623"/>
      <w:bookmarkEnd w:id="39"/>
      <w:r>
        <w:t>Structure of this paper</w:t>
      </w:r>
      <w:bookmarkEnd w:id="40"/>
      <w:r>
        <w:t xml:space="preserve"> </w:t>
      </w:r>
    </w:p>
    <w:p w14:paraId="1B55797D" w14:textId="77777777" w:rsidR="000F6CD8" w:rsidRPr="002C7228" w:rsidRDefault="000F6CD8" w:rsidP="00B57711">
      <w:pPr>
        <w:pStyle w:val="BodyText"/>
        <w:spacing w:before="0" w:line="252" w:lineRule="auto"/>
      </w:pPr>
      <w:r w:rsidRPr="002C7228">
        <w:t>The remainder of this consultation paper is structured as follows:</w:t>
      </w:r>
    </w:p>
    <w:p w14:paraId="3922689B" w14:textId="6B0F941A" w:rsidR="007103D3" w:rsidRPr="002C7228" w:rsidRDefault="00F543AE" w:rsidP="00B57711">
      <w:pPr>
        <w:pStyle w:val="ListBullet"/>
        <w:spacing w:line="252" w:lineRule="auto"/>
      </w:pPr>
      <w:bookmarkStart w:id="41" w:name="_Hlk487650023"/>
      <w:r w:rsidRPr="002C7228">
        <w:t xml:space="preserve">Chapter 2 </w:t>
      </w:r>
      <w:r>
        <w:t>provides further detail on the capacity trading reform package</w:t>
      </w:r>
      <w:r w:rsidR="00FD21D1">
        <w:t>,</w:t>
      </w:r>
      <w:r>
        <w:t xml:space="preserve"> </w:t>
      </w:r>
      <w:r w:rsidR="00D73D6E">
        <w:t xml:space="preserve">how </w:t>
      </w:r>
      <w:r w:rsidR="009467E3">
        <w:t xml:space="preserve">trade is expected to occur under the reform package </w:t>
      </w:r>
      <w:r w:rsidR="00FD21D1">
        <w:t xml:space="preserve">and the </w:t>
      </w:r>
      <w:bookmarkEnd w:id="41"/>
      <w:r w:rsidR="007103D3" w:rsidRPr="002C7228">
        <w:t xml:space="preserve">assessment framework </w:t>
      </w:r>
      <w:r w:rsidR="00774992" w:rsidRPr="002C7228">
        <w:t xml:space="preserve">the GMRG intends to use </w:t>
      </w:r>
      <w:r w:rsidR="00CE20FF" w:rsidRPr="002C7228">
        <w:t xml:space="preserve">when </w:t>
      </w:r>
      <w:r w:rsidR="00860AEC">
        <w:t xml:space="preserve">developing </w:t>
      </w:r>
      <w:r w:rsidR="00CE20FF" w:rsidRPr="002C7228">
        <w:t xml:space="preserve">its </w:t>
      </w:r>
      <w:r w:rsidR="0088374E">
        <w:t xml:space="preserve">final </w:t>
      </w:r>
      <w:r w:rsidR="00CE20FF" w:rsidRPr="002C7228">
        <w:t>recommendations</w:t>
      </w:r>
      <w:r w:rsidR="007103D3" w:rsidRPr="002C7228">
        <w:t>;</w:t>
      </w:r>
    </w:p>
    <w:p w14:paraId="66E5527A" w14:textId="1344C853" w:rsidR="009467E3" w:rsidRDefault="009467E3" w:rsidP="00B57711">
      <w:pPr>
        <w:pStyle w:val="ListBullet"/>
        <w:spacing w:line="252" w:lineRule="auto"/>
      </w:pPr>
      <w:r>
        <w:t xml:space="preserve">Part A focuses on the </w:t>
      </w:r>
      <w:r w:rsidR="00704A07">
        <w:t>day-ahead auction</w:t>
      </w:r>
      <w:r>
        <w:t xml:space="preserve">, which is discussed in detail in: </w:t>
      </w:r>
    </w:p>
    <w:p w14:paraId="33130417" w14:textId="6CB5E4FE" w:rsidR="00704A07" w:rsidRDefault="000F6CD8" w:rsidP="00B57711">
      <w:pPr>
        <w:pStyle w:val="ListBullet2"/>
        <w:spacing w:line="252" w:lineRule="auto"/>
      </w:pPr>
      <w:r w:rsidRPr="002C7228">
        <w:t xml:space="preserve">Chapter </w:t>
      </w:r>
      <w:r w:rsidR="00FD21D1">
        <w:t>3</w:t>
      </w:r>
      <w:r w:rsidR="009467E3">
        <w:t>, which</w:t>
      </w:r>
      <w:r w:rsidRPr="002C7228">
        <w:t xml:space="preserve"> </w:t>
      </w:r>
      <w:r w:rsidR="00F63765">
        <w:t xml:space="preserve">focuses on the </w:t>
      </w:r>
      <w:r w:rsidR="00704A07">
        <w:t xml:space="preserve">product(s) </w:t>
      </w:r>
      <w:r w:rsidR="00E91831">
        <w:t xml:space="preserve">that </w:t>
      </w:r>
      <w:r w:rsidR="00F63765">
        <w:t xml:space="preserve">will </w:t>
      </w:r>
      <w:r w:rsidR="00704A07">
        <w:t>be sold through the auction</w:t>
      </w:r>
      <w:r w:rsidR="0088374E">
        <w:t>;</w:t>
      </w:r>
    </w:p>
    <w:p w14:paraId="0879D03F" w14:textId="69406513" w:rsidR="003957AA" w:rsidRDefault="003957AA" w:rsidP="00B57711">
      <w:pPr>
        <w:pStyle w:val="ListBullet2"/>
        <w:spacing w:line="252" w:lineRule="auto"/>
      </w:pPr>
      <w:r w:rsidRPr="002C7228">
        <w:t xml:space="preserve">Chapter </w:t>
      </w:r>
      <w:r>
        <w:t>4, which</w:t>
      </w:r>
      <w:r w:rsidRPr="002C7228">
        <w:t xml:space="preserve"> </w:t>
      </w:r>
      <w:r>
        <w:t xml:space="preserve">focuses on </w:t>
      </w:r>
      <w:r w:rsidR="00634483">
        <w:t>auction design</w:t>
      </w:r>
      <w:r>
        <w:t>;</w:t>
      </w:r>
    </w:p>
    <w:p w14:paraId="2E44A038" w14:textId="1516AC42" w:rsidR="008200C8" w:rsidRPr="00704A07" w:rsidRDefault="000F6CD8" w:rsidP="00B57711">
      <w:pPr>
        <w:pStyle w:val="ListBullet2"/>
        <w:spacing w:line="252" w:lineRule="auto"/>
      </w:pPr>
      <w:r w:rsidRPr="002C7228">
        <w:t xml:space="preserve">Chapter </w:t>
      </w:r>
      <w:r w:rsidR="003957AA">
        <w:t>5</w:t>
      </w:r>
      <w:r w:rsidR="009467E3">
        <w:t xml:space="preserve">, which </w:t>
      </w:r>
      <w:r w:rsidR="00F63765">
        <w:t xml:space="preserve">focuses on </w:t>
      </w:r>
      <w:r w:rsidR="00E91831">
        <w:t xml:space="preserve">the </w:t>
      </w:r>
      <w:r w:rsidR="00634483">
        <w:t>coverage of the auction</w:t>
      </w:r>
      <w:r w:rsidR="008200C8" w:rsidRPr="002C7228">
        <w:t>;</w:t>
      </w:r>
      <w:r w:rsidR="00D73D6E">
        <w:t xml:space="preserve"> </w:t>
      </w:r>
    </w:p>
    <w:p w14:paraId="0CF62061" w14:textId="39C49402" w:rsidR="00F63765" w:rsidRDefault="00145D4A" w:rsidP="00B57711">
      <w:pPr>
        <w:pStyle w:val="ListBullet2"/>
        <w:spacing w:line="252" w:lineRule="auto"/>
      </w:pPr>
      <w:r>
        <w:t xml:space="preserve">Chapter 6, which focuses on the </w:t>
      </w:r>
      <w:r w:rsidR="00F63765">
        <w:t xml:space="preserve">design </w:t>
      </w:r>
      <w:r>
        <w:t xml:space="preserve">and use </w:t>
      </w:r>
      <w:r w:rsidR="00F63765">
        <w:t>of the auction platform</w:t>
      </w:r>
      <w:r w:rsidR="00E91831">
        <w:t xml:space="preserve">; </w:t>
      </w:r>
    </w:p>
    <w:p w14:paraId="405BD332" w14:textId="133A8A4E" w:rsidR="00E91831" w:rsidRDefault="00E91831" w:rsidP="00B57711">
      <w:pPr>
        <w:pStyle w:val="ListBullet2"/>
        <w:spacing w:line="252" w:lineRule="auto"/>
      </w:pPr>
      <w:r>
        <w:t xml:space="preserve">Chapter 7, which </w:t>
      </w:r>
      <w:r w:rsidR="00F63765">
        <w:t xml:space="preserve">focuses on the </w:t>
      </w:r>
      <w:r w:rsidR="00E3255D">
        <w:t xml:space="preserve">legal and </w:t>
      </w:r>
      <w:r>
        <w:t xml:space="preserve">governance </w:t>
      </w:r>
      <w:r w:rsidR="00E3255D">
        <w:t>framework for the auction</w:t>
      </w:r>
      <w:r>
        <w:t>.</w:t>
      </w:r>
    </w:p>
    <w:p w14:paraId="09F0AA30" w14:textId="23F5CDEB" w:rsidR="009467E3" w:rsidRPr="006D73DB" w:rsidRDefault="009467E3" w:rsidP="00B57711">
      <w:pPr>
        <w:pStyle w:val="ListBullet"/>
        <w:spacing w:line="252" w:lineRule="auto"/>
      </w:pPr>
      <w:r w:rsidRPr="006D73DB">
        <w:t xml:space="preserve">Part B focuses on the </w:t>
      </w:r>
      <w:r w:rsidR="00E91831">
        <w:t>reporting framework</w:t>
      </w:r>
      <w:r w:rsidRPr="006D73DB">
        <w:t xml:space="preserve">, which is discussed in detail in: </w:t>
      </w:r>
    </w:p>
    <w:p w14:paraId="115E895E" w14:textId="2DADEA3E" w:rsidR="006D73DB" w:rsidRPr="006D73DB" w:rsidRDefault="009467E3" w:rsidP="00B57711">
      <w:pPr>
        <w:pStyle w:val="ListBullet2"/>
        <w:spacing w:line="252" w:lineRule="auto"/>
      </w:pPr>
      <w:r w:rsidRPr="006D73DB">
        <w:t xml:space="preserve">Chapter </w:t>
      </w:r>
      <w:r w:rsidR="00E91831">
        <w:t>8</w:t>
      </w:r>
      <w:r w:rsidRPr="006D73DB">
        <w:t xml:space="preserve">, which </w:t>
      </w:r>
      <w:r w:rsidR="00E91831">
        <w:t xml:space="preserve">focuses on the </w:t>
      </w:r>
      <w:r w:rsidR="00F63765">
        <w:t>reporting requirements and timeframes</w:t>
      </w:r>
      <w:r w:rsidRPr="006D73DB">
        <w:t>;</w:t>
      </w:r>
      <w:r w:rsidR="00E91831">
        <w:t xml:space="preserve"> and</w:t>
      </w:r>
    </w:p>
    <w:p w14:paraId="22973C8D" w14:textId="15DECEFD" w:rsidR="006D73DB" w:rsidRPr="006D73DB" w:rsidRDefault="009467E3" w:rsidP="00B57711">
      <w:pPr>
        <w:pStyle w:val="ListBullet2"/>
        <w:spacing w:line="252" w:lineRule="auto"/>
      </w:pPr>
      <w:r w:rsidRPr="006D73DB">
        <w:t xml:space="preserve">Chapter </w:t>
      </w:r>
      <w:r w:rsidR="00E91831">
        <w:t>9</w:t>
      </w:r>
      <w:r w:rsidRPr="006D73DB">
        <w:t xml:space="preserve">, which </w:t>
      </w:r>
      <w:r w:rsidR="00F63765">
        <w:t xml:space="preserve">focuses on </w:t>
      </w:r>
      <w:r w:rsidR="00E91831">
        <w:t xml:space="preserve">the governance arrangements that will apply to the reporting framework. </w:t>
      </w:r>
    </w:p>
    <w:p w14:paraId="730D3044" w14:textId="09B40060" w:rsidR="005E08EA" w:rsidRPr="005E08EA" w:rsidRDefault="008200C8" w:rsidP="00B57711">
      <w:pPr>
        <w:pStyle w:val="ListBullet"/>
        <w:spacing w:line="252" w:lineRule="auto"/>
        <w:rPr>
          <w:sz w:val="2"/>
          <w:szCs w:val="2"/>
        </w:rPr>
      </w:pPr>
      <w:r>
        <w:t xml:space="preserve">Appendix A provides </w:t>
      </w:r>
      <w:r w:rsidR="0088374E">
        <w:t xml:space="preserve">a summary </w:t>
      </w:r>
      <w:r>
        <w:t xml:space="preserve">of the AEMC’s </w:t>
      </w:r>
      <w:r w:rsidR="006E4AD4">
        <w:t>recommendations</w:t>
      </w:r>
      <w:r w:rsidR="0000189B">
        <w:t xml:space="preserve"> and the consistency of the GMRG’s preliminary views with these recommendations</w:t>
      </w:r>
      <w:r w:rsidR="002C7228">
        <w:t>;</w:t>
      </w:r>
    </w:p>
    <w:p w14:paraId="5C019943" w14:textId="018BC8B3" w:rsidR="0088374E" w:rsidRDefault="005E08EA" w:rsidP="00B57711">
      <w:pPr>
        <w:pStyle w:val="ListBullet"/>
        <w:spacing w:line="252" w:lineRule="auto"/>
        <w:rPr>
          <w:sz w:val="2"/>
          <w:szCs w:val="2"/>
        </w:rPr>
      </w:pPr>
      <w:r>
        <w:t>Appendix B</w:t>
      </w:r>
      <w:r w:rsidR="002C7228">
        <w:t xml:space="preserve"> </w:t>
      </w:r>
      <w:r>
        <w:t xml:space="preserve">sets out the </w:t>
      </w:r>
      <w:r w:rsidR="001719B2">
        <w:t xml:space="preserve">members of the </w:t>
      </w:r>
      <w:r>
        <w:t>project team</w:t>
      </w:r>
      <w:r w:rsidR="001719B2">
        <w:t>s</w:t>
      </w:r>
      <w:r>
        <w:t xml:space="preserve"> </w:t>
      </w:r>
      <w:r w:rsidR="001719B2">
        <w:t xml:space="preserve">and Advisory Panel; </w:t>
      </w:r>
    </w:p>
    <w:p w14:paraId="44618338" w14:textId="68117DAA" w:rsidR="006E75F9" w:rsidRDefault="00D128A9" w:rsidP="00B57711">
      <w:pPr>
        <w:pStyle w:val="ListBullet"/>
        <w:spacing w:line="252" w:lineRule="auto"/>
      </w:pPr>
      <w:r>
        <w:t xml:space="preserve">Appendix C provides an overview of the </w:t>
      </w:r>
      <w:r w:rsidR="006E75F9">
        <w:t>services offered by pipelines</w:t>
      </w:r>
      <w:r w:rsidR="00B57711">
        <w:t xml:space="preserve">; </w:t>
      </w:r>
    </w:p>
    <w:p w14:paraId="7FB73FC4" w14:textId="3D8BA993" w:rsidR="00B57711" w:rsidRDefault="00B57711" w:rsidP="00B57711">
      <w:pPr>
        <w:pStyle w:val="ListBullet"/>
        <w:spacing w:line="252" w:lineRule="auto"/>
      </w:pPr>
      <w:r>
        <w:t xml:space="preserve">Appendix D contains a summary of analysis carried out </w:t>
      </w:r>
      <w:r w:rsidR="001428D1">
        <w:t xml:space="preserve">by </w:t>
      </w:r>
      <w:proofErr w:type="spellStart"/>
      <w:r w:rsidR="001428D1">
        <w:t>EnergyEdge</w:t>
      </w:r>
      <w:proofErr w:type="spellEnd"/>
      <w:r w:rsidR="001428D1">
        <w:t xml:space="preserve"> </w:t>
      </w:r>
      <w:r>
        <w:t>for the GMRG on auction quantities and the risk of curtailment</w:t>
      </w:r>
      <w:r w:rsidR="00954951">
        <w:t>; and</w:t>
      </w:r>
    </w:p>
    <w:p w14:paraId="46527CA8" w14:textId="637CF22B" w:rsidR="00954951" w:rsidRDefault="00954951" w:rsidP="00B57711">
      <w:pPr>
        <w:pStyle w:val="ListBullet"/>
        <w:spacing w:line="252" w:lineRule="auto"/>
      </w:pPr>
      <w:r>
        <w:t>Appendix E contains a map of the transmission pipelines in Australia.</w:t>
      </w:r>
    </w:p>
    <w:p w14:paraId="6BF3DA0D" w14:textId="3CBAC1C8" w:rsidR="00643282" w:rsidRPr="000463D7" w:rsidRDefault="00643282" w:rsidP="006E75F9">
      <w:pPr>
        <w:pStyle w:val="ListBullet"/>
        <w:numPr>
          <w:ilvl w:val="0"/>
          <w:numId w:val="0"/>
        </w:numPr>
        <w:rPr>
          <w:sz w:val="2"/>
          <w:szCs w:val="2"/>
        </w:rPr>
      </w:pPr>
    </w:p>
    <w:p w14:paraId="159C84BF" w14:textId="0E5FE9E6" w:rsidR="00911EAF" w:rsidRPr="0088374E" w:rsidRDefault="00F63765" w:rsidP="00B57711">
      <w:pPr>
        <w:pStyle w:val="ListBullet"/>
        <w:numPr>
          <w:ilvl w:val="0"/>
          <w:numId w:val="0"/>
        </w:numPr>
        <w:spacing w:line="252" w:lineRule="auto"/>
        <w:rPr>
          <w:sz w:val="2"/>
          <w:szCs w:val="2"/>
        </w:rPr>
      </w:pPr>
      <w:r>
        <w:t>A s</w:t>
      </w:r>
      <w:r w:rsidR="000463D7">
        <w:t xml:space="preserve">eparate attachment </w:t>
      </w:r>
      <w:r>
        <w:t xml:space="preserve">has </w:t>
      </w:r>
      <w:r w:rsidR="006E75F9">
        <w:t xml:space="preserve">also </w:t>
      </w:r>
      <w:r w:rsidR="000463D7">
        <w:t>been prepared</w:t>
      </w:r>
      <w:r w:rsidR="006E75F9">
        <w:t xml:space="preserve">, </w:t>
      </w:r>
      <w:r>
        <w:t xml:space="preserve">which </w:t>
      </w:r>
      <w:r w:rsidR="006E75F9">
        <w:t>c</w:t>
      </w:r>
      <w:r>
        <w:t>ontains</w:t>
      </w:r>
      <w:r w:rsidR="006E75F9">
        <w:t xml:space="preserve"> a template that the GMRG encourages stakeholders to use to provide their feedback</w:t>
      </w:r>
      <w:r>
        <w:t xml:space="preserve"> (Attachment 1)</w:t>
      </w:r>
      <w:r w:rsidR="006E75F9">
        <w:t>.</w:t>
      </w:r>
      <w:r w:rsidR="003957AA">
        <w:t xml:space="preserve"> </w:t>
      </w:r>
      <w:r w:rsidR="00911EAF" w:rsidRPr="0088374E">
        <w:rPr>
          <w:sz w:val="2"/>
          <w:szCs w:val="2"/>
        </w:rPr>
        <w:br w:type="page"/>
      </w:r>
    </w:p>
    <w:p w14:paraId="309D5A92" w14:textId="77777777" w:rsidR="00F23E45" w:rsidRDefault="00D73D6E" w:rsidP="004F2A76">
      <w:pPr>
        <w:pStyle w:val="Heading1"/>
        <w:spacing w:before="0" w:after="60"/>
      </w:pPr>
      <w:bookmarkStart w:id="42" w:name="_Toc495351624"/>
      <w:bookmarkStart w:id="43" w:name="_Hlk487650137"/>
      <w:r>
        <w:t>Capacity Trading Reform Package</w:t>
      </w:r>
      <w:bookmarkEnd w:id="42"/>
    </w:p>
    <w:p w14:paraId="1FA85BF2" w14:textId="77777777" w:rsidR="00344A4A" w:rsidRPr="00344A4A" w:rsidRDefault="001326BD" w:rsidP="00F5362D">
      <w:pPr>
        <w:pStyle w:val="BodyText"/>
        <w:spacing w:before="120" w:line="252" w:lineRule="auto"/>
      </w:pPr>
      <w:r w:rsidRPr="00344A4A">
        <w:t xml:space="preserve">The capacity trading reform package was </w:t>
      </w:r>
      <w:r w:rsidR="00AC3BBB">
        <w:t xml:space="preserve">recommended </w:t>
      </w:r>
      <w:r w:rsidRPr="00344A4A">
        <w:t xml:space="preserve">by the AEMC </w:t>
      </w:r>
      <w:r w:rsidR="00AC3BBB">
        <w:t xml:space="preserve">in the </w:t>
      </w:r>
      <w:r w:rsidR="005E3347" w:rsidRPr="005E3347">
        <w:rPr>
          <w:i/>
        </w:rPr>
        <w:t>East Coast Review</w:t>
      </w:r>
      <w:r w:rsidRPr="00344A4A">
        <w:t xml:space="preserve"> and endorsed by the Energy Council at its 14 August 2016 meeting. </w:t>
      </w:r>
      <w:r w:rsidR="00AC3BBB">
        <w:t>T</w:t>
      </w:r>
      <w:r w:rsidRPr="00344A4A">
        <w:t xml:space="preserve">he objective of </w:t>
      </w:r>
      <w:r w:rsidR="00AC3BBB">
        <w:t>this reform package</w:t>
      </w:r>
      <w:r w:rsidRPr="00344A4A">
        <w:t xml:space="preserve"> is</w:t>
      </w:r>
      <w:r w:rsidR="00AC3BBB">
        <w:t>, as noted in Chapter 1,</w:t>
      </w:r>
      <w:r w:rsidRPr="00344A4A">
        <w:t xml:space="preserve"> to improve the efficiency with which transportation capacity is allocated and utilised on contract carriage transmission pipelines and to foster the development of a more liquid market for secondary capacity.</w:t>
      </w:r>
      <w:r w:rsidRPr="00344A4A">
        <w:rPr>
          <w:rStyle w:val="FootnoteReference"/>
          <w:rFonts w:eastAsiaTheme="majorEastAsia" w:cs="Arial"/>
        </w:rPr>
        <w:footnoteReference w:id="8"/>
      </w:r>
      <w:r w:rsidR="000D271C">
        <w:t xml:space="preserve"> </w:t>
      </w:r>
      <w:r w:rsidR="00344A4A" w:rsidRPr="00344A4A">
        <w:t xml:space="preserve">The remainder of this chapter provides further detail on: </w:t>
      </w:r>
    </w:p>
    <w:p w14:paraId="18DC22A4" w14:textId="77777777" w:rsidR="00344A4A" w:rsidRDefault="00344A4A" w:rsidP="004F2A76">
      <w:pPr>
        <w:pStyle w:val="ListBullet"/>
        <w:ind w:left="426"/>
      </w:pPr>
      <w:r w:rsidRPr="00344A4A">
        <w:t xml:space="preserve">the key elements of the </w:t>
      </w:r>
      <w:r w:rsidR="00AC3BBB">
        <w:t xml:space="preserve">capacity trading </w:t>
      </w:r>
      <w:r w:rsidRPr="00344A4A">
        <w:t>reform package;</w:t>
      </w:r>
    </w:p>
    <w:p w14:paraId="5029AB3E" w14:textId="77777777" w:rsidR="00DA74CB" w:rsidRDefault="00DA74CB" w:rsidP="004F2A76">
      <w:pPr>
        <w:pStyle w:val="ListBullet"/>
        <w:ind w:left="426"/>
      </w:pPr>
      <w:r>
        <w:t>how capacity can be procured under the new capacity trading framework;</w:t>
      </w:r>
    </w:p>
    <w:p w14:paraId="699B562B" w14:textId="77777777" w:rsidR="00344A4A" w:rsidRPr="00344A4A" w:rsidRDefault="007B1EFA" w:rsidP="004F2A76">
      <w:pPr>
        <w:pStyle w:val="ListBullet"/>
        <w:ind w:left="426"/>
      </w:pPr>
      <w:r>
        <w:t xml:space="preserve">the </w:t>
      </w:r>
      <w:r w:rsidR="0083791B">
        <w:t xml:space="preserve">scope and objectives of the </w:t>
      </w:r>
      <w:r>
        <w:t xml:space="preserve">standardisation </w:t>
      </w:r>
      <w:r w:rsidR="00CC30F1">
        <w:t>reforms</w:t>
      </w:r>
      <w:r w:rsidR="00344A4A" w:rsidRPr="00344A4A">
        <w:t>; and</w:t>
      </w:r>
    </w:p>
    <w:p w14:paraId="07459800" w14:textId="77777777" w:rsidR="00717A36" w:rsidRPr="00344A4A" w:rsidRDefault="00344A4A" w:rsidP="004F2A76">
      <w:pPr>
        <w:pStyle w:val="ListBullet"/>
        <w:ind w:left="426"/>
      </w:pPr>
      <w:proofErr w:type="gramStart"/>
      <w:r w:rsidRPr="00344A4A">
        <w:t>the</w:t>
      </w:r>
      <w:proofErr w:type="gramEnd"/>
      <w:r w:rsidRPr="00344A4A">
        <w:t xml:space="preserve"> assessment framework the GMRG intends to use when </w:t>
      </w:r>
      <w:r w:rsidR="00AC3BBB">
        <w:t xml:space="preserve">considering any design options and </w:t>
      </w:r>
      <w:r w:rsidR="00BC0977">
        <w:t xml:space="preserve">developing </w:t>
      </w:r>
      <w:r w:rsidRPr="00344A4A">
        <w:t xml:space="preserve">its final recommendations on </w:t>
      </w:r>
      <w:r w:rsidR="00AC3BBB">
        <w:t xml:space="preserve">the </w:t>
      </w:r>
      <w:r w:rsidRPr="00344A4A">
        <w:t xml:space="preserve">standardisation </w:t>
      </w:r>
      <w:r w:rsidR="00BC0977">
        <w:t>reforms</w:t>
      </w:r>
      <w:r w:rsidRPr="00344A4A">
        <w:t>.</w:t>
      </w:r>
    </w:p>
    <w:p w14:paraId="13E4EC74" w14:textId="77777777" w:rsidR="00717A36" w:rsidRDefault="00717A36" w:rsidP="00F5362D">
      <w:pPr>
        <w:pStyle w:val="Heading2"/>
        <w:spacing w:before="120" w:after="120" w:line="252" w:lineRule="auto"/>
      </w:pPr>
      <w:bookmarkStart w:id="44" w:name="_Toc495351625"/>
      <w:bookmarkEnd w:id="43"/>
      <w:r>
        <w:t>Key elements of the reform package</w:t>
      </w:r>
      <w:bookmarkEnd w:id="44"/>
    </w:p>
    <w:p w14:paraId="504FD74F" w14:textId="6E8C179B" w:rsidR="00344A4A" w:rsidRPr="00DB66D2" w:rsidRDefault="00344A4A" w:rsidP="00F5362D">
      <w:pPr>
        <w:pStyle w:val="BodyText"/>
        <w:spacing w:before="120" w:line="252" w:lineRule="auto"/>
      </w:pPr>
      <w:r w:rsidRPr="00DB66D2">
        <w:t>The capacity trad</w:t>
      </w:r>
      <w:r w:rsidR="00C67227" w:rsidRPr="00DB66D2">
        <w:t xml:space="preserve">ing reform package </w:t>
      </w:r>
      <w:r w:rsidR="00DA74CB">
        <w:t xml:space="preserve">(see </w:t>
      </w:r>
      <w:r w:rsidR="00DA74CB">
        <w:fldChar w:fldCharType="begin"/>
      </w:r>
      <w:r w:rsidR="00DA74CB">
        <w:instrText xml:space="preserve"> REF _Ref489529866 \h </w:instrText>
      </w:r>
      <w:r w:rsidR="00DA74CB">
        <w:fldChar w:fldCharType="separate"/>
      </w:r>
      <w:r w:rsidR="00272B32">
        <w:t xml:space="preserve">Figure </w:t>
      </w:r>
      <w:r w:rsidR="00272B32">
        <w:rPr>
          <w:noProof/>
        </w:rPr>
        <w:t>2</w:t>
      </w:r>
      <w:r w:rsidR="00272B32">
        <w:t>.</w:t>
      </w:r>
      <w:r w:rsidR="00272B32">
        <w:rPr>
          <w:noProof/>
        </w:rPr>
        <w:t>1</w:t>
      </w:r>
      <w:r w:rsidR="00DA74CB">
        <w:fldChar w:fldCharType="end"/>
      </w:r>
      <w:r w:rsidR="00DA74CB">
        <w:t xml:space="preserve">) </w:t>
      </w:r>
      <w:r w:rsidR="00AC3BBB">
        <w:t xml:space="preserve">that the Energy Council </w:t>
      </w:r>
      <w:r w:rsidR="00F030AF">
        <w:t xml:space="preserve">has </w:t>
      </w:r>
      <w:r w:rsidR="00AC3BBB">
        <w:t xml:space="preserve">agreed to implement </w:t>
      </w:r>
      <w:r w:rsidR="00C67227" w:rsidRPr="00DB66D2">
        <w:t>provides for the introduction of:</w:t>
      </w:r>
    </w:p>
    <w:p w14:paraId="2203E23E" w14:textId="77777777" w:rsidR="00344A4A" w:rsidRPr="00DB66D2" w:rsidRDefault="005F64AA" w:rsidP="004F2A76">
      <w:pPr>
        <w:pStyle w:val="ListBullet"/>
        <w:spacing w:before="60" w:after="60" w:line="252" w:lineRule="auto"/>
        <w:ind w:left="426"/>
        <w:rPr>
          <w:rFonts w:cs="Arial"/>
        </w:rPr>
      </w:pPr>
      <w:r>
        <w:rPr>
          <w:rFonts w:cs="Arial"/>
          <w:b/>
        </w:rPr>
        <w:t>A</w:t>
      </w:r>
      <w:r w:rsidR="00450324">
        <w:rPr>
          <w:rFonts w:cs="Arial"/>
          <w:b/>
        </w:rPr>
        <w:t xml:space="preserve"> </w:t>
      </w:r>
      <w:r w:rsidR="00344A4A" w:rsidRPr="00450324">
        <w:rPr>
          <w:rFonts w:cs="Arial"/>
          <w:b/>
        </w:rPr>
        <w:t>capacity trading platform</w:t>
      </w:r>
      <w:r w:rsidR="00344A4A" w:rsidRPr="00DB66D2">
        <w:rPr>
          <w:rFonts w:cs="Arial"/>
        </w:rPr>
        <w:t xml:space="preserve"> that shippers can use to trade secondary transportation capacity </w:t>
      </w:r>
      <w:r w:rsidR="00CA5990">
        <w:rPr>
          <w:rFonts w:cs="Arial"/>
        </w:rPr>
        <w:t xml:space="preserve">prior to </w:t>
      </w:r>
      <w:r w:rsidR="00344A4A" w:rsidRPr="00DB66D2">
        <w:rPr>
          <w:rFonts w:cs="Arial"/>
        </w:rPr>
        <w:t xml:space="preserve">the nomination cut-off time </w:t>
      </w:r>
      <w:r w:rsidR="00CA5990">
        <w:rPr>
          <w:rFonts w:cs="Arial"/>
        </w:rPr>
        <w:t xml:space="preserve">on </w:t>
      </w:r>
      <w:r w:rsidR="00D128A9">
        <w:rPr>
          <w:rFonts w:cs="Arial"/>
        </w:rPr>
        <w:t xml:space="preserve">gas day D-1 (i.e. </w:t>
      </w:r>
      <w:r w:rsidR="006E4AD4">
        <w:rPr>
          <w:rFonts w:cs="Arial"/>
        </w:rPr>
        <w:t xml:space="preserve">the day before the </w:t>
      </w:r>
      <w:r w:rsidR="00CA5990">
        <w:rPr>
          <w:rFonts w:cs="Arial"/>
        </w:rPr>
        <w:t xml:space="preserve">gas </w:t>
      </w:r>
      <w:r w:rsidR="006E4AD4">
        <w:rPr>
          <w:rFonts w:cs="Arial"/>
        </w:rPr>
        <w:t>is due to be transported</w:t>
      </w:r>
      <w:r w:rsidR="00D128A9">
        <w:rPr>
          <w:rFonts w:cs="Arial"/>
        </w:rPr>
        <w:t>)</w:t>
      </w:r>
      <w:r w:rsidR="0014471B">
        <w:rPr>
          <w:rFonts w:cs="Arial"/>
        </w:rPr>
        <w:t xml:space="preserve">, which will consist of </w:t>
      </w:r>
      <w:r w:rsidR="00E86DB2">
        <w:rPr>
          <w:rFonts w:cs="Arial"/>
        </w:rPr>
        <w:t>both</w:t>
      </w:r>
      <w:r w:rsidR="00344A4A" w:rsidRPr="00DB66D2">
        <w:rPr>
          <w:rFonts w:cs="Arial"/>
        </w:rPr>
        <w:t xml:space="preserve">: </w:t>
      </w:r>
    </w:p>
    <w:p w14:paraId="0A0B379F" w14:textId="77777777" w:rsidR="00344A4A" w:rsidRPr="00C06892" w:rsidRDefault="00344A4A" w:rsidP="00F5362D">
      <w:pPr>
        <w:pStyle w:val="ListBullet2"/>
        <w:spacing w:before="60" w:after="60" w:line="252" w:lineRule="auto"/>
      </w:pPr>
      <w:r w:rsidRPr="00DB66D2">
        <w:t>an anonymous exchange mechanism that shippers can use to buy or sell com</w:t>
      </w:r>
      <w:r w:rsidRPr="00C06892">
        <w:t>monly traded transportation products</w:t>
      </w:r>
      <w:r w:rsidR="0014471B" w:rsidRPr="00C06892">
        <w:t xml:space="preserve">, such as firm forward haul services, stand-alone compression services and pipeline storage </w:t>
      </w:r>
      <w:r w:rsidR="00BF243C">
        <w:t xml:space="preserve">(park) </w:t>
      </w:r>
      <w:r w:rsidR="0014471B" w:rsidRPr="00C06892">
        <w:t>services</w:t>
      </w:r>
      <w:r w:rsidR="00D128A9">
        <w:t xml:space="preserve"> (see Appendix </w:t>
      </w:r>
      <w:r w:rsidR="005F64AA">
        <w:t>C</w:t>
      </w:r>
      <w:r w:rsidR="00D128A9">
        <w:t xml:space="preserve"> for more detail on these services)</w:t>
      </w:r>
      <w:r w:rsidRPr="00C06892">
        <w:t xml:space="preserve">; and </w:t>
      </w:r>
    </w:p>
    <w:p w14:paraId="6B619318" w14:textId="77777777" w:rsidR="00344A4A" w:rsidRPr="00C06892" w:rsidRDefault="00344A4A" w:rsidP="00F5362D">
      <w:pPr>
        <w:pStyle w:val="ListBullet2"/>
        <w:spacing w:before="60" w:after="60" w:line="252" w:lineRule="auto"/>
      </w:pPr>
      <w:proofErr w:type="gramStart"/>
      <w:r w:rsidRPr="00C06892">
        <w:t>a</w:t>
      </w:r>
      <w:proofErr w:type="gramEnd"/>
      <w:r w:rsidRPr="00C06892">
        <w:t xml:space="preserve"> listing service that shippers can use to buy or sell more bespoke products</w:t>
      </w:r>
      <w:r w:rsidR="00CA5990" w:rsidRPr="00C06892">
        <w:t>.</w:t>
      </w:r>
      <w:r w:rsidRPr="00C06892">
        <w:t xml:space="preserve"> </w:t>
      </w:r>
    </w:p>
    <w:p w14:paraId="1954F2BD" w14:textId="77777777" w:rsidR="0014471B" w:rsidRPr="00C06892" w:rsidRDefault="0014471B" w:rsidP="00F5362D">
      <w:pPr>
        <w:pStyle w:val="ListBullet"/>
        <w:numPr>
          <w:ilvl w:val="0"/>
          <w:numId w:val="0"/>
        </w:numPr>
        <w:spacing w:line="252" w:lineRule="auto"/>
        <w:ind w:left="357"/>
        <w:rPr>
          <w:rFonts w:cs="Arial"/>
        </w:rPr>
      </w:pPr>
      <w:r w:rsidRPr="00C06892">
        <w:rPr>
          <w:rFonts w:cs="Arial"/>
        </w:rPr>
        <w:t>The trading platform</w:t>
      </w:r>
      <w:r w:rsidR="00F030AF">
        <w:rPr>
          <w:rFonts w:cs="Arial"/>
        </w:rPr>
        <w:t xml:space="preserve">, which will be operated </w:t>
      </w:r>
      <w:r w:rsidR="00BF243C">
        <w:rPr>
          <w:rFonts w:cs="Arial"/>
        </w:rPr>
        <w:t xml:space="preserve">and administered </w:t>
      </w:r>
      <w:r w:rsidR="00F030AF">
        <w:rPr>
          <w:rFonts w:cs="Arial"/>
        </w:rPr>
        <w:t>by AEMO and form part of the GSH trading exchange,</w:t>
      </w:r>
      <w:r w:rsidRPr="00C06892">
        <w:rPr>
          <w:rFonts w:cs="Arial"/>
        </w:rPr>
        <w:t xml:space="preserve"> is intended to reduce the search and transaction costs that shippers may otherwise face when </w:t>
      </w:r>
      <w:r w:rsidR="00176269" w:rsidRPr="00C06892">
        <w:rPr>
          <w:rFonts w:cs="Arial"/>
        </w:rPr>
        <w:t xml:space="preserve">trying to trade secondary capacity. </w:t>
      </w:r>
    </w:p>
    <w:p w14:paraId="6AF0E93D" w14:textId="6FCDB0B2" w:rsidR="00176269" w:rsidRPr="00C06892" w:rsidRDefault="005F64AA" w:rsidP="004F2A76">
      <w:pPr>
        <w:pStyle w:val="ListBullet"/>
        <w:spacing w:before="60" w:after="60" w:line="252" w:lineRule="auto"/>
        <w:ind w:left="426"/>
        <w:rPr>
          <w:rFonts w:cs="Arial"/>
        </w:rPr>
      </w:pPr>
      <w:r>
        <w:rPr>
          <w:rFonts w:cs="Arial"/>
          <w:b/>
        </w:rPr>
        <w:t>A</w:t>
      </w:r>
      <w:r w:rsidR="00344A4A" w:rsidRPr="00450324">
        <w:rPr>
          <w:rFonts w:cs="Arial"/>
          <w:b/>
        </w:rPr>
        <w:t xml:space="preserve"> day-ahead auction of contracted but un-nominated transportation capacity</w:t>
      </w:r>
      <w:r w:rsidR="00C67227" w:rsidRPr="00C06892">
        <w:rPr>
          <w:rFonts w:cs="Arial"/>
        </w:rPr>
        <w:t xml:space="preserve"> that will be </w:t>
      </w:r>
      <w:r w:rsidR="00344A4A" w:rsidRPr="00C06892">
        <w:rPr>
          <w:rFonts w:cs="Arial"/>
        </w:rPr>
        <w:t xml:space="preserve">conducted </w:t>
      </w:r>
      <w:r w:rsidR="00176269" w:rsidRPr="00C06892">
        <w:rPr>
          <w:rFonts w:cs="Arial"/>
        </w:rPr>
        <w:t xml:space="preserve">on designated pipelines </w:t>
      </w:r>
      <w:r w:rsidR="00344A4A" w:rsidRPr="00C06892">
        <w:rPr>
          <w:rFonts w:cs="Arial"/>
        </w:rPr>
        <w:t xml:space="preserve">shortly after nomination cut-off </w:t>
      </w:r>
      <w:r>
        <w:rPr>
          <w:rFonts w:cs="Arial"/>
        </w:rPr>
        <w:t xml:space="preserve">on gas day D-1 </w:t>
      </w:r>
      <w:r w:rsidR="00344A4A" w:rsidRPr="00C06892">
        <w:rPr>
          <w:rFonts w:cs="Arial"/>
        </w:rPr>
        <w:t>and subject to a reserve price of zero (with compressor fuel provided in-kind by shippers)</w:t>
      </w:r>
      <w:r w:rsidR="00CA5990" w:rsidRPr="00C06892">
        <w:rPr>
          <w:rFonts w:cs="Arial"/>
        </w:rPr>
        <w:t>.</w:t>
      </w:r>
      <w:r w:rsidR="006B7AC6">
        <w:rPr>
          <w:rFonts w:cs="Arial"/>
        </w:rPr>
        <w:t xml:space="preserve"> </w:t>
      </w:r>
      <w:r w:rsidR="00176269" w:rsidRPr="00C06892">
        <w:t>The objective of the day-ahead auction is</w:t>
      </w:r>
      <w:r w:rsidR="000B22FB">
        <w:t>, as the AEMC noted,</w:t>
      </w:r>
      <w:r w:rsidR="00C06892">
        <w:t xml:space="preserve"> </w:t>
      </w:r>
      <w:r w:rsidR="00176269" w:rsidRPr="00C06892">
        <w:t>to:</w:t>
      </w:r>
      <w:r w:rsidR="00176269" w:rsidRPr="00C06892">
        <w:rPr>
          <w:rStyle w:val="FootnoteReference"/>
        </w:rPr>
        <w:footnoteReference w:id="9"/>
      </w:r>
      <w:r w:rsidR="00176269" w:rsidRPr="00C06892">
        <w:t xml:space="preserve"> </w:t>
      </w:r>
    </w:p>
    <w:p w14:paraId="3730CC49" w14:textId="4923751C" w:rsidR="00176269" w:rsidRPr="00C06892" w:rsidRDefault="00176269" w:rsidP="00F5362D">
      <w:pPr>
        <w:pStyle w:val="ListBullet2"/>
        <w:spacing w:before="60" w:after="60" w:line="252" w:lineRule="auto"/>
        <w:rPr>
          <w:rFonts w:cs="Arial"/>
        </w:rPr>
      </w:pPr>
      <w:r w:rsidRPr="00C06892">
        <w:t xml:space="preserve">encourage capacity holders to sell any spare capacity they may have on the trading platform prior to the nomination cut-off time by </w:t>
      </w:r>
      <w:r w:rsidR="00794880">
        <w:t xml:space="preserve">providing for </w:t>
      </w:r>
      <w:r w:rsidR="00852D52">
        <w:t>service provider</w:t>
      </w:r>
      <w:r w:rsidR="00055169">
        <w:t>s</w:t>
      </w:r>
      <w:r w:rsidR="00852D52">
        <w:t xml:space="preserve"> </w:t>
      </w:r>
      <w:r w:rsidRPr="00C06892">
        <w:t>to retain the auction proceeds; and</w:t>
      </w:r>
    </w:p>
    <w:p w14:paraId="6619E190" w14:textId="558EEEEB" w:rsidR="00344A4A" w:rsidRPr="00F030AF" w:rsidRDefault="00176269" w:rsidP="00F5362D">
      <w:pPr>
        <w:pStyle w:val="ListBullet2"/>
        <w:spacing w:before="60" w:after="60" w:line="252" w:lineRule="auto"/>
        <w:rPr>
          <w:rFonts w:cs="Arial"/>
        </w:rPr>
      </w:pPr>
      <w:proofErr w:type="gramStart"/>
      <w:r w:rsidRPr="00C06892">
        <w:t>pose</w:t>
      </w:r>
      <w:proofErr w:type="gramEnd"/>
      <w:r w:rsidRPr="00C06892">
        <w:t xml:space="preserve"> a constraint on the ability of </w:t>
      </w:r>
      <w:r w:rsidR="00852D52">
        <w:t xml:space="preserve">service providers </w:t>
      </w:r>
      <w:r w:rsidRPr="00C06892">
        <w:t xml:space="preserve">to sell day-ahead capacity at prices in excess of what would </w:t>
      </w:r>
      <w:r w:rsidR="005F64AA">
        <w:t xml:space="preserve">prevail </w:t>
      </w:r>
      <w:r w:rsidRPr="00C06892">
        <w:t xml:space="preserve">in a workably competitive market by adopting a zero reserve price and allowing the market </w:t>
      </w:r>
      <w:r w:rsidR="005F64AA">
        <w:t xml:space="preserve">to </w:t>
      </w:r>
      <w:r w:rsidRPr="00C06892">
        <w:t xml:space="preserve">determine the value. </w:t>
      </w:r>
    </w:p>
    <w:p w14:paraId="09EF3160" w14:textId="77777777" w:rsidR="00F030AF" w:rsidRDefault="00F030AF" w:rsidP="00F85F7D">
      <w:pPr>
        <w:pStyle w:val="ListBullet2"/>
        <w:numPr>
          <w:ilvl w:val="0"/>
          <w:numId w:val="0"/>
        </w:numPr>
        <w:spacing w:line="252" w:lineRule="auto"/>
        <w:ind w:left="357"/>
      </w:pPr>
      <w:r>
        <w:t>The day-ahead auction</w:t>
      </w:r>
      <w:r w:rsidR="00036C8E">
        <w:t xml:space="preserve"> </w:t>
      </w:r>
      <w:r>
        <w:t xml:space="preserve">will be operated </w:t>
      </w:r>
      <w:r w:rsidR="00036C8E">
        <w:t xml:space="preserve">and administered </w:t>
      </w:r>
      <w:r>
        <w:t>by AEMO</w:t>
      </w:r>
      <w:r w:rsidR="00036C8E">
        <w:t>.</w:t>
      </w:r>
      <w:r>
        <w:t xml:space="preserve"> </w:t>
      </w:r>
    </w:p>
    <w:p w14:paraId="3845DE1B" w14:textId="77777777" w:rsidR="00F5362D" w:rsidRPr="00C06892" w:rsidRDefault="00F5362D" w:rsidP="00F85F7D">
      <w:pPr>
        <w:pStyle w:val="BodyText"/>
        <w:spacing w:before="60" w:after="60" w:line="252" w:lineRule="auto"/>
      </w:pPr>
      <w:r>
        <w:t>T</w:t>
      </w:r>
      <w:r w:rsidRPr="00C06892">
        <w:t xml:space="preserve">he reform package also provides for the </w:t>
      </w:r>
      <w:r>
        <w:t xml:space="preserve">implementation </w:t>
      </w:r>
      <w:r w:rsidRPr="00C06892">
        <w:t>of:</w:t>
      </w:r>
    </w:p>
    <w:p w14:paraId="6B668E6B" w14:textId="77777777" w:rsidR="00F5362D" w:rsidRDefault="00F5362D" w:rsidP="004F2A76">
      <w:pPr>
        <w:pStyle w:val="ListBullet"/>
        <w:spacing w:before="60" w:after="0"/>
        <w:ind w:left="426"/>
      </w:pPr>
      <w:r>
        <w:t>a range of standardisation related reforms, which are intended to facilitate a greater level of secondary capacity trading</w:t>
      </w:r>
      <w:r w:rsidRPr="00C06892">
        <w:t>; and</w:t>
      </w:r>
    </w:p>
    <w:p w14:paraId="58728C31" w14:textId="77777777" w:rsidR="00F5362D" w:rsidRPr="006E4AD4" w:rsidRDefault="00F5362D" w:rsidP="004F2A76">
      <w:pPr>
        <w:pStyle w:val="ListBullet"/>
        <w:spacing w:before="60" w:after="0"/>
        <w:ind w:left="426"/>
      </w:pPr>
      <w:proofErr w:type="gramStart"/>
      <w:r w:rsidRPr="006E4AD4">
        <w:t>a</w:t>
      </w:r>
      <w:proofErr w:type="gramEnd"/>
      <w:r w:rsidRPr="006E4AD4">
        <w:t xml:space="preserve"> reporting framework for secondary capacity trades, which is intended to reduce information asymmetries and aid the price discovery process.</w:t>
      </w:r>
    </w:p>
    <w:p w14:paraId="3D790E3D" w14:textId="77777777" w:rsidR="00F5362D" w:rsidRDefault="00F5362D" w:rsidP="004F2A76">
      <w:pPr>
        <w:pStyle w:val="ListBullet2"/>
        <w:numPr>
          <w:ilvl w:val="0"/>
          <w:numId w:val="0"/>
        </w:numPr>
        <w:spacing w:after="0"/>
        <w:ind w:left="426"/>
        <w:rPr>
          <w:highlight w:val="yellow"/>
        </w:rPr>
        <w:sectPr w:rsidR="00F5362D" w:rsidSect="00CF1252">
          <w:headerReference w:type="default" r:id="rId23"/>
          <w:footerReference w:type="default" r:id="rId24"/>
          <w:pgSz w:w="11907" w:h="16840" w:code="9"/>
          <w:pgMar w:top="714" w:right="1418" w:bottom="992" w:left="1701" w:header="425" w:footer="397" w:gutter="0"/>
          <w:cols w:space="708"/>
          <w:docGrid w:linePitch="360"/>
        </w:sectPr>
      </w:pPr>
    </w:p>
    <w:p w14:paraId="68241D37" w14:textId="418F62DF" w:rsidR="003917DE" w:rsidRDefault="00C57FAE" w:rsidP="008C568B">
      <w:pPr>
        <w:pStyle w:val="Caption"/>
        <w:spacing w:before="0" w:after="0"/>
        <w:ind w:left="851"/>
        <w:rPr>
          <w:noProof/>
        </w:rPr>
      </w:pPr>
      <w:bookmarkStart w:id="45" w:name="_Ref489529866"/>
      <w:r>
        <w:t xml:space="preserve">Figure </w:t>
      </w:r>
      <w:r w:rsidR="00115A93">
        <w:fldChar w:fldCharType="begin"/>
      </w:r>
      <w:r w:rsidR="00115A93">
        <w:instrText xml:space="preserve"> STYLEREF 1 \s </w:instrText>
      </w:r>
      <w:r w:rsidR="00115A93">
        <w:fldChar w:fldCharType="separate"/>
      </w:r>
      <w:r w:rsidR="00272B32">
        <w:rPr>
          <w:noProof/>
        </w:rPr>
        <w:t>2</w:t>
      </w:r>
      <w:r w:rsidR="00115A93">
        <w:rPr>
          <w:noProof/>
        </w:rPr>
        <w:fldChar w:fldCharType="end"/>
      </w:r>
      <w:r w:rsidR="00B57711">
        <w:t>.</w:t>
      </w:r>
      <w:r w:rsidR="00115A93">
        <w:fldChar w:fldCharType="begin"/>
      </w:r>
      <w:r w:rsidR="00115A93">
        <w:instrText xml:space="preserve"> SEQ Figure \* ARABIC \s 1 </w:instrText>
      </w:r>
      <w:r w:rsidR="00115A93">
        <w:fldChar w:fldCharType="separate"/>
      </w:r>
      <w:r w:rsidR="00272B32">
        <w:rPr>
          <w:noProof/>
        </w:rPr>
        <w:t>1</w:t>
      </w:r>
      <w:r w:rsidR="00115A93">
        <w:rPr>
          <w:noProof/>
        </w:rPr>
        <w:fldChar w:fldCharType="end"/>
      </w:r>
      <w:bookmarkEnd w:id="45"/>
      <w:r>
        <w:t>: Capacity trading reform package</w:t>
      </w:r>
    </w:p>
    <w:p w14:paraId="4C81A5C4" w14:textId="77777777" w:rsidR="00F42C15" w:rsidRDefault="00BD4162" w:rsidP="003917DE">
      <w:pPr>
        <w:pStyle w:val="BodyText"/>
        <w:spacing w:before="0" w:after="0" w:line="240" w:lineRule="auto"/>
      </w:pPr>
      <w:r>
        <w:rPr>
          <w:noProof/>
        </w:rPr>
        <w:drawing>
          <wp:inline distT="0" distB="0" distL="0" distR="0" wp14:anchorId="5915A7F8" wp14:editId="1898E4ED">
            <wp:extent cx="8629650" cy="5044871"/>
            <wp:effectExtent l="0" t="0" r="0" b="3810"/>
            <wp:docPr id="4" name="Picture 4" descr="Capacity trading reform package overview" title="Figure 2.1: Capacity trading reform pack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8634626" cy="5047780"/>
                    </a:xfrm>
                    <a:prstGeom prst="rect">
                      <a:avLst/>
                    </a:prstGeom>
                    <a:noFill/>
                  </pic:spPr>
                </pic:pic>
              </a:graphicData>
            </a:graphic>
          </wp:inline>
        </w:drawing>
      </w:r>
    </w:p>
    <w:p w14:paraId="24C1216D" w14:textId="77777777" w:rsidR="007113CC" w:rsidRPr="003917DE" w:rsidRDefault="007113CC" w:rsidP="003917DE">
      <w:pPr>
        <w:pStyle w:val="BodyText"/>
        <w:spacing w:before="0" w:after="0" w:line="240" w:lineRule="auto"/>
        <w:sectPr w:rsidR="007113CC" w:rsidRPr="003917DE" w:rsidSect="00CF1252">
          <w:pgSz w:w="16839" w:h="11907" w:orient="landscape" w:code="9"/>
          <w:pgMar w:top="1361" w:right="1417" w:bottom="851" w:left="2268" w:header="567" w:footer="397" w:gutter="0"/>
          <w:cols w:space="708"/>
          <w:docGrid w:linePitch="360"/>
        </w:sectPr>
      </w:pPr>
    </w:p>
    <w:p w14:paraId="202C288B" w14:textId="02AD5334" w:rsidR="00D12D36" w:rsidRDefault="00D128A9" w:rsidP="006E4AD4">
      <w:pPr>
        <w:pStyle w:val="BodyText"/>
      </w:pPr>
      <w:r>
        <w:t>T</w:t>
      </w:r>
      <w:r w:rsidR="00CB3E76">
        <w:t>he capacity trading reforms will, in effect, result in the implementation of a new access regime for secondary capacity, which will impose new obligations on service providers (i.e. pipeline operators and the operators of compress</w:t>
      </w:r>
      <w:r>
        <w:t xml:space="preserve">ors) as well as </w:t>
      </w:r>
      <w:r w:rsidR="00CB3E76">
        <w:t xml:space="preserve">primary and secondary shippers. </w:t>
      </w:r>
      <w:r>
        <w:t xml:space="preserve">To give effect to these </w:t>
      </w:r>
      <w:r w:rsidR="00326269">
        <w:t>new obligations and the reform package more generally</w:t>
      </w:r>
      <w:r>
        <w:t>, a</w:t>
      </w:r>
      <w:r w:rsidR="00CB3E76">
        <w:t xml:space="preserve">mendments </w:t>
      </w:r>
      <w:r>
        <w:t xml:space="preserve">will need to be made </w:t>
      </w:r>
      <w:r w:rsidR="00CB3E76">
        <w:t xml:space="preserve">to the NGL, NGR, </w:t>
      </w:r>
      <w:r w:rsidR="00522628">
        <w:t>the r</w:t>
      </w:r>
      <w:r w:rsidR="00CB3E76">
        <w:t xml:space="preserve">egulations </w:t>
      </w:r>
      <w:r w:rsidR="00522628">
        <w:t xml:space="preserve">made under the NGL </w:t>
      </w:r>
      <w:r w:rsidR="00CB3E76">
        <w:t>and the GSH Exchange Agreement and a number of new subordinate instruments will need to be developed.</w:t>
      </w:r>
      <w:r w:rsidR="006B7AC6">
        <w:t xml:space="preserve"> </w:t>
      </w:r>
      <w:r w:rsidR="00CB3E76">
        <w:t>The function</w:t>
      </w:r>
      <w:r w:rsidR="00CB3E76" w:rsidRPr="00D12D36">
        <w:t>s and powers of AEMO, the Australian Energy Regulator (AER) and the AEMC will also need to be expanded.</w:t>
      </w:r>
      <w:r w:rsidR="006B7AC6">
        <w:t xml:space="preserve"> </w:t>
      </w:r>
      <w:r w:rsidR="002D30F2" w:rsidRPr="00D12D36">
        <w:t>Subject to the passage of amendments to the NGL, the NGR and subordinate instruments, the capacity trading reforms are expected to be implemented in 2018-19.</w:t>
      </w:r>
    </w:p>
    <w:p w14:paraId="591C1D15" w14:textId="77777777" w:rsidR="00DA74CB" w:rsidRDefault="00DA74CB" w:rsidP="00DA74CB">
      <w:pPr>
        <w:pStyle w:val="Heading2"/>
      </w:pPr>
      <w:bookmarkStart w:id="46" w:name="_Ref494815256"/>
      <w:bookmarkStart w:id="47" w:name="_Ref494815269"/>
      <w:bookmarkStart w:id="48" w:name="_Toc495351626"/>
      <w:r>
        <w:t>How secondary capacity can be procured under the new framework</w:t>
      </w:r>
      <w:bookmarkEnd w:id="46"/>
      <w:bookmarkEnd w:id="47"/>
      <w:bookmarkEnd w:id="48"/>
    </w:p>
    <w:p w14:paraId="26949E80" w14:textId="4861DA38" w:rsidR="00003094" w:rsidRDefault="00D12D36" w:rsidP="00D12D36">
      <w:pPr>
        <w:pStyle w:val="BodyText"/>
      </w:pPr>
      <w:r>
        <w:t xml:space="preserve">Once the </w:t>
      </w:r>
      <w:r w:rsidR="00BD4162">
        <w:t>reform package</w:t>
      </w:r>
      <w:r w:rsidR="00FE74E7">
        <w:t xml:space="preserve"> is implemented</w:t>
      </w:r>
      <w:r w:rsidR="00BD4162">
        <w:t>, shipper</w:t>
      </w:r>
      <w:r w:rsidR="00FE74E7">
        <w:t>s</w:t>
      </w:r>
      <w:r w:rsidR="00BD4162">
        <w:t xml:space="preserve"> </w:t>
      </w:r>
      <w:r w:rsidR="00BF243C">
        <w:t xml:space="preserve">that want to </w:t>
      </w:r>
      <w:r w:rsidR="00F5362D">
        <w:t xml:space="preserve">buy or sell secondary </w:t>
      </w:r>
      <w:r w:rsidR="00BF243C">
        <w:t xml:space="preserve">capacity will be able to </w:t>
      </w:r>
      <w:r w:rsidR="00003094">
        <w:t xml:space="preserve">have recourse to </w:t>
      </w:r>
      <w:r w:rsidR="00BF243C">
        <w:t>either</w:t>
      </w:r>
      <w:r w:rsidR="00003094">
        <w:t>:</w:t>
      </w:r>
      <w:r w:rsidR="00003094">
        <w:rPr>
          <w:rStyle w:val="FootnoteReference"/>
        </w:rPr>
        <w:footnoteReference w:id="10"/>
      </w:r>
      <w:r w:rsidR="00BF243C">
        <w:t xml:space="preserve"> </w:t>
      </w:r>
    </w:p>
    <w:p w14:paraId="2E914F3F" w14:textId="77777777" w:rsidR="00003094" w:rsidRDefault="00BF243C" w:rsidP="00003094">
      <w:pPr>
        <w:pStyle w:val="ListBullet"/>
      </w:pPr>
      <w:r w:rsidRPr="00F5362D">
        <w:rPr>
          <w:b/>
        </w:rPr>
        <w:t xml:space="preserve">the exchange component of </w:t>
      </w:r>
      <w:r w:rsidR="00F5362D" w:rsidRPr="00F5362D">
        <w:rPr>
          <w:b/>
        </w:rPr>
        <w:t>the GSH</w:t>
      </w:r>
      <w:r w:rsidR="00F5362D">
        <w:rPr>
          <w:b/>
        </w:rPr>
        <w:t xml:space="preserve"> </w:t>
      </w:r>
      <w:r w:rsidR="00F5362D">
        <w:t xml:space="preserve">– the exchange </w:t>
      </w:r>
      <w:r w:rsidR="00003094">
        <w:t xml:space="preserve">will be used to facilitate the trade of </w:t>
      </w:r>
      <w:r>
        <w:t xml:space="preserve">standardised </w:t>
      </w:r>
      <w:r w:rsidR="00003094">
        <w:t xml:space="preserve">transportation </w:t>
      </w:r>
      <w:r>
        <w:t>products</w:t>
      </w:r>
      <w:r w:rsidR="00003094">
        <w:t xml:space="preserve"> (e.g. day-ahead, daily, weekly, monthly and quarterly firm forward haul, compression and park products) </w:t>
      </w:r>
      <w:r w:rsidR="00DA74CB">
        <w:t>through either screen trading or the pre-matched trade service</w:t>
      </w:r>
      <w:r w:rsidR="00003094">
        <w:t>;</w:t>
      </w:r>
      <w:r w:rsidR="00ED6275" w:rsidRPr="00ED6275">
        <w:rPr>
          <w:rStyle w:val="FootnoteReference"/>
        </w:rPr>
        <w:t xml:space="preserve"> </w:t>
      </w:r>
      <w:r w:rsidR="00ED6275">
        <w:rPr>
          <w:rStyle w:val="FootnoteReference"/>
        </w:rPr>
        <w:footnoteReference w:id="11"/>
      </w:r>
      <w:r>
        <w:t xml:space="preserve"> or </w:t>
      </w:r>
    </w:p>
    <w:p w14:paraId="1799E6F3" w14:textId="7DA9560A" w:rsidR="00BD4162" w:rsidRDefault="00BF243C" w:rsidP="00003094">
      <w:pPr>
        <w:pStyle w:val="ListBullet"/>
      </w:pPr>
      <w:proofErr w:type="gramStart"/>
      <w:r w:rsidRPr="00F5362D">
        <w:rPr>
          <w:b/>
        </w:rPr>
        <w:t>the</w:t>
      </w:r>
      <w:proofErr w:type="gramEnd"/>
      <w:r w:rsidRPr="00F5362D">
        <w:rPr>
          <w:b/>
        </w:rPr>
        <w:t xml:space="preserve"> listing service </w:t>
      </w:r>
      <w:r w:rsidR="00003094" w:rsidRPr="00F5362D">
        <w:rPr>
          <w:b/>
        </w:rPr>
        <w:t xml:space="preserve">component of the </w:t>
      </w:r>
      <w:r w:rsidR="00CE7A4F" w:rsidRPr="00F5362D">
        <w:rPr>
          <w:b/>
        </w:rPr>
        <w:t>GSH</w:t>
      </w:r>
      <w:r w:rsidR="00F5362D">
        <w:rPr>
          <w:b/>
        </w:rPr>
        <w:t xml:space="preserve"> </w:t>
      </w:r>
      <w:r w:rsidR="00F5362D">
        <w:t xml:space="preserve">– the listing service </w:t>
      </w:r>
      <w:r w:rsidR="00003094">
        <w:t xml:space="preserve">will be used to facilitate the trade of more bespoke transportation products through bilateral (off-market) trades. </w:t>
      </w:r>
    </w:p>
    <w:p w14:paraId="063DC190" w14:textId="50D47E85" w:rsidR="008251A7" w:rsidRDefault="00003094" w:rsidP="00A874AB">
      <w:pPr>
        <w:pStyle w:val="BodyText"/>
      </w:pPr>
      <w:r>
        <w:t xml:space="preserve">Shippers may also be able to procure day-ahead </w:t>
      </w:r>
      <w:r w:rsidR="00CE7A4F">
        <w:t xml:space="preserve">standardised </w:t>
      </w:r>
      <w:r>
        <w:t xml:space="preserve">capacity </w:t>
      </w:r>
      <w:r w:rsidR="00CE7A4F">
        <w:t xml:space="preserve">products </w:t>
      </w:r>
      <w:r>
        <w:t>through the auction on those pipelines and other facilities that will be subject to the auction</w:t>
      </w:r>
      <w:r w:rsidR="00193480">
        <w:t xml:space="preserve"> if there is any contracted but un-nominated capacity available</w:t>
      </w:r>
      <w:r>
        <w:t xml:space="preserve">. </w:t>
      </w:r>
    </w:p>
    <w:p w14:paraId="1107D7FA" w14:textId="73A6176F" w:rsidR="003416C5" w:rsidRDefault="003416C5" w:rsidP="00A874AB">
      <w:pPr>
        <w:pStyle w:val="BodyText"/>
      </w:pPr>
      <w:r>
        <w:t xml:space="preserve">The way in which secondary capacity will be released through these mechanisms is depicted in </w:t>
      </w:r>
      <w:r>
        <w:fldChar w:fldCharType="begin"/>
      </w:r>
      <w:r>
        <w:instrText xml:space="preserve"> REF _Ref491410701 \h </w:instrText>
      </w:r>
      <w:r>
        <w:fldChar w:fldCharType="separate"/>
      </w:r>
      <w:r w:rsidR="00272B32">
        <w:t xml:space="preserve">Figure </w:t>
      </w:r>
      <w:r w:rsidR="00272B32">
        <w:rPr>
          <w:noProof/>
        </w:rPr>
        <w:t>2</w:t>
      </w:r>
      <w:r w:rsidR="00272B32">
        <w:t>.</w:t>
      </w:r>
      <w:r w:rsidR="00272B32">
        <w:rPr>
          <w:noProof/>
        </w:rPr>
        <w:t>2</w:t>
      </w:r>
      <w:r>
        <w:fldChar w:fldCharType="end"/>
      </w:r>
      <w:r>
        <w:t>.</w:t>
      </w:r>
    </w:p>
    <w:p w14:paraId="3A5B81C9" w14:textId="2EBA292D" w:rsidR="009C1501" w:rsidRDefault="009C1501" w:rsidP="009C1501">
      <w:pPr>
        <w:pStyle w:val="BodyText"/>
        <w:spacing w:after="60"/>
      </w:pPr>
      <w:r>
        <w:t xml:space="preserve">Before utilising the capacity trading platform exchange or the day-ahead auction, shippers will need to enter into agreements with AEMO. Secondary shippers will also need to enter into a number of other contractual arrangements to utilise the capacity procured through the GSH or the auction. </w:t>
      </w:r>
      <w:r w:rsidR="003416C5">
        <w:fldChar w:fldCharType="begin"/>
      </w:r>
      <w:r w:rsidR="003416C5">
        <w:instrText xml:space="preserve"> REF _Ref493264025 \h </w:instrText>
      </w:r>
      <w:r w:rsidR="003416C5">
        <w:fldChar w:fldCharType="separate"/>
      </w:r>
      <w:r w:rsidR="00272B32">
        <w:t xml:space="preserve">Figure </w:t>
      </w:r>
      <w:r w:rsidR="00272B32">
        <w:rPr>
          <w:noProof/>
        </w:rPr>
        <w:t>2</w:t>
      </w:r>
      <w:r w:rsidR="00272B32">
        <w:t>.</w:t>
      </w:r>
      <w:r w:rsidR="00272B32">
        <w:rPr>
          <w:noProof/>
        </w:rPr>
        <w:t>3</w:t>
      </w:r>
      <w:r w:rsidR="003416C5">
        <w:fldChar w:fldCharType="end"/>
      </w:r>
      <w:r w:rsidR="003416C5">
        <w:t xml:space="preserve"> </w:t>
      </w:r>
      <w:r>
        <w:t xml:space="preserve">provides an overview of the contractual architecture that will underpin the reforms, while </w:t>
      </w:r>
      <w:r>
        <w:fldChar w:fldCharType="begin"/>
      </w:r>
      <w:r>
        <w:instrText xml:space="preserve"> REF _Ref491414461 \h </w:instrText>
      </w:r>
      <w:r>
        <w:fldChar w:fldCharType="separate"/>
      </w:r>
      <w:r w:rsidR="00272B32">
        <w:t xml:space="preserve">Table </w:t>
      </w:r>
      <w:r w:rsidR="00272B32">
        <w:rPr>
          <w:noProof/>
        </w:rPr>
        <w:t>2</w:t>
      </w:r>
      <w:r w:rsidR="00272B32">
        <w:t>.</w:t>
      </w:r>
      <w:r w:rsidR="00272B32">
        <w:rPr>
          <w:noProof/>
        </w:rPr>
        <w:t>1</w:t>
      </w:r>
      <w:r>
        <w:fldChar w:fldCharType="end"/>
      </w:r>
      <w:r>
        <w:t xml:space="preserve"> provides more detail on the arrangements shippers will need to have in place.</w:t>
      </w:r>
    </w:p>
    <w:p w14:paraId="13768B24" w14:textId="77777777" w:rsidR="009C1501" w:rsidRDefault="009C1501" w:rsidP="002D30F2">
      <w:pPr>
        <w:pStyle w:val="BodyText"/>
      </w:pPr>
    </w:p>
    <w:p w14:paraId="7F62895F" w14:textId="77777777" w:rsidR="002D30F2" w:rsidRDefault="002D30F2" w:rsidP="00A874AB">
      <w:pPr>
        <w:pStyle w:val="BodyText"/>
      </w:pPr>
    </w:p>
    <w:p w14:paraId="240BE0A3" w14:textId="77777777" w:rsidR="00A874AB" w:rsidRDefault="00A874AB" w:rsidP="00036C8E">
      <w:pPr>
        <w:pStyle w:val="BodyText"/>
        <w:spacing w:before="120"/>
        <w:sectPr w:rsidR="00A874AB" w:rsidSect="00CF1252">
          <w:headerReference w:type="default" r:id="rId26"/>
          <w:footerReference w:type="default" r:id="rId27"/>
          <w:pgSz w:w="11907" w:h="16840" w:code="9"/>
          <w:pgMar w:top="714" w:right="1418" w:bottom="992" w:left="1701" w:header="425" w:footer="397" w:gutter="0"/>
          <w:cols w:space="708"/>
          <w:docGrid w:linePitch="360"/>
        </w:sectPr>
      </w:pPr>
    </w:p>
    <w:p w14:paraId="76B580FD" w14:textId="567C4D78" w:rsidR="00A874AB" w:rsidRDefault="00A874AB" w:rsidP="00776D33">
      <w:pPr>
        <w:pStyle w:val="Caption"/>
        <w:spacing w:before="0" w:after="0"/>
        <w:ind w:left="142"/>
        <w:rPr>
          <w:noProof/>
        </w:rPr>
      </w:pPr>
      <w:bookmarkStart w:id="49" w:name="_Ref491410701"/>
      <w:r>
        <w:t xml:space="preserve">Figure </w:t>
      </w:r>
      <w:r w:rsidR="00115A93">
        <w:fldChar w:fldCharType="begin"/>
      </w:r>
      <w:r w:rsidR="00115A93">
        <w:instrText xml:space="preserve"> STYLEREF 1 \s </w:instrText>
      </w:r>
      <w:r w:rsidR="00115A93">
        <w:fldChar w:fldCharType="separate"/>
      </w:r>
      <w:r w:rsidR="00272B32">
        <w:rPr>
          <w:noProof/>
        </w:rPr>
        <w:t>2</w:t>
      </w:r>
      <w:r w:rsidR="00115A93">
        <w:rPr>
          <w:noProof/>
        </w:rPr>
        <w:fldChar w:fldCharType="end"/>
      </w:r>
      <w:r w:rsidR="00B57711">
        <w:t>.</w:t>
      </w:r>
      <w:r w:rsidR="00115A93">
        <w:fldChar w:fldCharType="begin"/>
      </w:r>
      <w:r w:rsidR="00115A93">
        <w:instrText xml:space="preserve"> SEQ Figure \* ARABIC \s 1 </w:instrText>
      </w:r>
      <w:r w:rsidR="00115A93">
        <w:fldChar w:fldCharType="separate"/>
      </w:r>
      <w:r w:rsidR="00272B32">
        <w:rPr>
          <w:noProof/>
        </w:rPr>
        <w:t>2</w:t>
      </w:r>
      <w:r w:rsidR="00115A93">
        <w:rPr>
          <w:noProof/>
        </w:rPr>
        <w:fldChar w:fldCharType="end"/>
      </w:r>
      <w:bookmarkEnd w:id="49"/>
      <w:r>
        <w:t xml:space="preserve">: </w:t>
      </w:r>
      <w:r w:rsidR="003416C5">
        <w:t>How secondary capacity will be released through the capacity trading platform and auction</w:t>
      </w:r>
    </w:p>
    <w:p w14:paraId="05927CE5" w14:textId="468915A6" w:rsidR="003416C5" w:rsidRDefault="003416C5" w:rsidP="00776D33">
      <w:pPr>
        <w:pStyle w:val="BodyText"/>
        <w:spacing w:before="0"/>
        <w:rPr>
          <w:noProof/>
        </w:rPr>
      </w:pPr>
      <w:r>
        <w:rPr>
          <w:noProof/>
        </w:rPr>
        <w:drawing>
          <wp:inline distT="0" distB="0" distL="0" distR="0" wp14:anchorId="28660C14" wp14:editId="694826EB">
            <wp:extent cx="8280000" cy="5101200"/>
            <wp:effectExtent l="0" t="0" r="6985" b="4445"/>
            <wp:docPr id="6" name="Picture 6" descr="The way in which secondary capacity will be released." title="Figure 2.2: How secondary capacity will be released through the capacity trading platform and au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8280000" cy="5101200"/>
                    </a:xfrm>
                    <a:prstGeom prst="rect">
                      <a:avLst/>
                    </a:prstGeom>
                    <a:noFill/>
                  </pic:spPr>
                </pic:pic>
              </a:graphicData>
            </a:graphic>
          </wp:inline>
        </w:drawing>
      </w:r>
    </w:p>
    <w:p w14:paraId="4656EA58" w14:textId="3AB0A633" w:rsidR="003416C5" w:rsidRDefault="003416C5" w:rsidP="003416C5">
      <w:pPr>
        <w:pStyle w:val="Caption"/>
        <w:spacing w:before="0" w:after="0"/>
        <w:ind w:left="142"/>
        <w:rPr>
          <w:noProof/>
        </w:rPr>
      </w:pPr>
      <w:bookmarkStart w:id="50" w:name="_Ref493264025"/>
      <w:r>
        <w:t xml:space="preserve">Figure </w:t>
      </w:r>
      <w:r w:rsidR="00115A93">
        <w:fldChar w:fldCharType="begin"/>
      </w:r>
      <w:r w:rsidR="00115A93">
        <w:instrText xml:space="preserve"> STYLEREF 1 \s </w:instrText>
      </w:r>
      <w:r w:rsidR="00115A93">
        <w:fldChar w:fldCharType="separate"/>
      </w:r>
      <w:r w:rsidR="00272B32">
        <w:rPr>
          <w:noProof/>
        </w:rPr>
        <w:t>2</w:t>
      </w:r>
      <w:r w:rsidR="00115A93">
        <w:rPr>
          <w:noProof/>
        </w:rPr>
        <w:fldChar w:fldCharType="end"/>
      </w:r>
      <w:r w:rsidR="00B57711">
        <w:t>.</w:t>
      </w:r>
      <w:r w:rsidR="00115A93">
        <w:fldChar w:fldCharType="begin"/>
      </w:r>
      <w:r w:rsidR="00115A93">
        <w:instrText xml:space="preserve"> SEQ Figure \* ARABIC \s 1 </w:instrText>
      </w:r>
      <w:r w:rsidR="00115A93">
        <w:fldChar w:fldCharType="separate"/>
      </w:r>
      <w:r w:rsidR="00272B32">
        <w:rPr>
          <w:noProof/>
        </w:rPr>
        <w:t>3</w:t>
      </w:r>
      <w:r w:rsidR="00115A93">
        <w:rPr>
          <w:noProof/>
        </w:rPr>
        <w:fldChar w:fldCharType="end"/>
      </w:r>
      <w:bookmarkEnd w:id="50"/>
      <w:r>
        <w:t>: Contractual architecture that will underpin the capacity trading platform and auction</w:t>
      </w:r>
    </w:p>
    <w:p w14:paraId="2CD3E5F0" w14:textId="200898C2" w:rsidR="003416C5" w:rsidRDefault="003416C5" w:rsidP="00776D33">
      <w:pPr>
        <w:pStyle w:val="BodyText"/>
        <w:spacing w:before="0"/>
        <w:rPr>
          <w:noProof/>
        </w:rPr>
      </w:pPr>
      <w:r>
        <w:rPr>
          <w:noProof/>
        </w:rPr>
        <w:drawing>
          <wp:inline distT="0" distB="0" distL="0" distR="0" wp14:anchorId="7CD025ED" wp14:editId="1D8CF36B">
            <wp:extent cx="8280000" cy="5101200"/>
            <wp:effectExtent l="0" t="0" r="0" b="4445"/>
            <wp:docPr id="7" name="Picture 7" descr="Contractual architecture that will underpin the capacity trading platform and auction" title="Figure 2.3: Contractual architecture that will underpin the capacity trading platform and au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8280000" cy="5101200"/>
                    </a:xfrm>
                    <a:prstGeom prst="rect">
                      <a:avLst/>
                    </a:prstGeom>
                    <a:noFill/>
                  </pic:spPr>
                </pic:pic>
              </a:graphicData>
            </a:graphic>
          </wp:inline>
        </w:drawing>
      </w:r>
    </w:p>
    <w:p w14:paraId="35CA6F23" w14:textId="77777777" w:rsidR="003416C5" w:rsidRDefault="003416C5" w:rsidP="00776D33">
      <w:pPr>
        <w:pStyle w:val="BodyText"/>
        <w:spacing w:before="0"/>
        <w:rPr>
          <w:noProof/>
        </w:rPr>
      </w:pPr>
    </w:p>
    <w:p w14:paraId="6E2390E6" w14:textId="77777777" w:rsidR="0043556F" w:rsidRDefault="0043556F" w:rsidP="00776D33">
      <w:pPr>
        <w:pStyle w:val="BodyText"/>
        <w:spacing w:before="0"/>
        <w:sectPr w:rsidR="0043556F" w:rsidSect="00CF1252">
          <w:pgSz w:w="16839" w:h="11907" w:orient="landscape" w:code="9"/>
          <w:pgMar w:top="1361" w:right="1417" w:bottom="992" w:left="2268" w:header="567" w:footer="397" w:gutter="0"/>
          <w:cols w:space="708"/>
          <w:docGrid w:linePitch="360"/>
        </w:sectPr>
      </w:pPr>
    </w:p>
    <w:tbl>
      <w:tblPr>
        <w:tblStyle w:val="TableGrid"/>
        <w:tblW w:w="5242" w:type="pct"/>
        <w:tblLayout w:type="fixed"/>
        <w:tblLook w:val="0420" w:firstRow="1" w:lastRow="0" w:firstColumn="0" w:lastColumn="0" w:noHBand="0" w:noVBand="1"/>
        <w:tblCaption w:val="Table 2.1: Arrangements shippers will require to access capacity trading measures"/>
        <w:tblDescription w:val="Arrangements shippers will require to access capacity trading measures"/>
      </w:tblPr>
      <w:tblGrid>
        <w:gridCol w:w="1417"/>
        <w:gridCol w:w="7796"/>
      </w:tblGrid>
      <w:tr w:rsidR="003416C5" w:rsidRPr="003416C5" w14:paraId="53B62D96" w14:textId="77777777" w:rsidTr="00D26905">
        <w:trPr>
          <w:cnfStyle w:val="100000000000" w:firstRow="1" w:lastRow="0" w:firstColumn="0" w:lastColumn="0" w:oddVBand="0" w:evenVBand="0" w:oddHBand="0" w:evenHBand="0" w:firstRowFirstColumn="0" w:firstRowLastColumn="0" w:lastRowFirstColumn="0" w:lastRowLastColumn="0"/>
          <w:cantSplit/>
          <w:tblHeader/>
        </w:trPr>
        <w:tc>
          <w:tcPr>
            <w:tcW w:w="5000" w:type="pct"/>
            <w:gridSpan w:val="2"/>
            <w:tcBorders>
              <w:top w:val="nil"/>
              <w:bottom w:val="single" w:sz="4" w:space="0" w:color="auto"/>
            </w:tcBorders>
            <w:shd w:val="clear" w:color="auto" w:fill="auto"/>
          </w:tcPr>
          <w:p w14:paraId="22D4AB23" w14:textId="31E3E8D0" w:rsidR="004C3FE0" w:rsidRPr="003416C5" w:rsidRDefault="00FE7C1D" w:rsidP="00FE7C1D">
            <w:pPr>
              <w:pStyle w:val="TableBodyText"/>
              <w:keepNext/>
              <w:spacing w:before="0" w:after="40" w:line="240" w:lineRule="auto"/>
              <w:rPr>
                <w:color w:val="auto"/>
                <w:lang w:eastAsia="fr-CA"/>
              </w:rPr>
            </w:pPr>
            <w:bookmarkStart w:id="51" w:name="_Ref491414461"/>
            <w:r w:rsidRPr="00FE7C1D">
              <w:rPr>
                <w:color w:val="auto"/>
                <w:sz w:val="20"/>
              </w:rPr>
              <w:t xml:space="preserve">Table </w:t>
            </w:r>
            <w:r w:rsidRPr="00FE7C1D">
              <w:rPr>
                <w:sz w:val="20"/>
              </w:rPr>
              <w:fldChar w:fldCharType="begin"/>
            </w:r>
            <w:r w:rsidRPr="00FE7C1D">
              <w:rPr>
                <w:color w:val="auto"/>
                <w:sz w:val="20"/>
              </w:rPr>
              <w:instrText xml:space="preserve"> STYLEREF 1 \s </w:instrText>
            </w:r>
            <w:r w:rsidRPr="00FE7C1D">
              <w:rPr>
                <w:sz w:val="20"/>
              </w:rPr>
              <w:fldChar w:fldCharType="separate"/>
            </w:r>
            <w:r w:rsidRPr="00FE7C1D">
              <w:rPr>
                <w:noProof/>
                <w:color w:val="auto"/>
                <w:sz w:val="20"/>
              </w:rPr>
              <w:t>2</w:t>
            </w:r>
            <w:r w:rsidRPr="00FE7C1D">
              <w:rPr>
                <w:noProof/>
                <w:sz w:val="20"/>
              </w:rPr>
              <w:fldChar w:fldCharType="end"/>
            </w:r>
            <w:r w:rsidRPr="00FE7C1D">
              <w:rPr>
                <w:color w:val="auto"/>
                <w:sz w:val="20"/>
              </w:rPr>
              <w:t>.</w:t>
            </w:r>
            <w:r w:rsidRPr="00FE7C1D">
              <w:rPr>
                <w:sz w:val="20"/>
              </w:rPr>
              <w:fldChar w:fldCharType="begin"/>
            </w:r>
            <w:r w:rsidRPr="00FE7C1D">
              <w:rPr>
                <w:color w:val="auto"/>
                <w:sz w:val="20"/>
              </w:rPr>
              <w:instrText xml:space="preserve"> SEQ Table \* ARABIC \s 1 </w:instrText>
            </w:r>
            <w:r w:rsidRPr="00FE7C1D">
              <w:rPr>
                <w:sz w:val="20"/>
              </w:rPr>
              <w:fldChar w:fldCharType="separate"/>
            </w:r>
            <w:r w:rsidRPr="00FE7C1D">
              <w:rPr>
                <w:noProof/>
                <w:color w:val="auto"/>
                <w:sz w:val="20"/>
              </w:rPr>
              <w:t>1</w:t>
            </w:r>
            <w:r w:rsidRPr="00FE7C1D">
              <w:rPr>
                <w:noProof/>
                <w:sz w:val="20"/>
              </w:rPr>
              <w:fldChar w:fldCharType="end"/>
            </w:r>
            <w:bookmarkEnd w:id="51"/>
            <w:r w:rsidRPr="00FE7C1D">
              <w:rPr>
                <w:color w:val="auto"/>
                <w:sz w:val="20"/>
              </w:rPr>
              <w:t>: Arrangements shippers will require to access capacity trading measures</w:t>
            </w:r>
          </w:p>
        </w:tc>
      </w:tr>
      <w:tr w:rsidR="00FE7C1D" w:rsidRPr="003416C5" w14:paraId="23E73D7B" w14:textId="77777777" w:rsidTr="00FE7C1D">
        <w:trPr>
          <w:cantSplit/>
        </w:trPr>
        <w:tc>
          <w:tcPr>
            <w:tcW w:w="5000" w:type="pct"/>
            <w:gridSpan w:val="2"/>
            <w:tcBorders>
              <w:top w:val="single" w:sz="4" w:space="0" w:color="auto"/>
            </w:tcBorders>
            <w:shd w:val="clear" w:color="auto" w:fill="E1E2E7" w:themeFill="background2"/>
          </w:tcPr>
          <w:p w14:paraId="4A4A6A92" w14:textId="348B7AB7" w:rsidR="00FE7C1D" w:rsidRPr="00FE7C1D" w:rsidRDefault="00FE7C1D" w:rsidP="004C3FE0">
            <w:pPr>
              <w:pStyle w:val="TableBodyText"/>
              <w:keepNext/>
              <w:spacing w:before="40" w:after="40"/>
              <w:jc w:val="center"/>
              <w:rPr>
                <w:b/>
                <w:lang w:eastAsia="fr-CA"/>
              </w:rPr>
            </w:pPr>
            <w:r w:rsidRPr="00FE7C1D">
              <w:rPr>
                <w:b/>
                <w:lang w:eastAsia="fr-CA"/>
              </w:rPr>
              <w:t>Participation in the day-ahead auction</w:t>
            </w:r>
          </w:p>
        </w:tc>
      </w:tr>
      <w:tr w:rsidR="004C3FE0" w14:paraId="5FA1E78D" w14:textId="77777777" w:rsidTr="00FE7C1D">
        <w:trPr>
          <w:cnfStyle w:val="000000010000" w:firstRow="0" w:lastRow="0" w:firstColumn="0" w:lastColumn="0" w:oddVBand="0" w:evenVBand="0" w:oddHBand="0" w:evenHBand="1" w:firstRowFirstColumn="0" w:firstRowLastColumn="0" w:lastRowFirstColumn="0" w:lastRowLastColumn="0"/>
          <w:cantSplit/>
        </w:trPr>
        <w:tc>
          <w:tcPr>
            <w:tcW w:w="769" w:type="pct"/>
            <w:shd w:val="clear" w:color="auto" w:fill="auto"/>
          </w:tcPr>
          <w:p w14:paraId="0EFFC576" w14:textId="77777777" w:rsidR="004C3FE0" w:rsidRPr="00D128A9" w:rsidRDefault="004C3FE0" w:rsidP="004C3FE0">
            <w:pPr>
              <w:pStyle w:val="TableBodyText"/>
              <w:spacing w:before="40" w:after="40"/>
              <w:rPr>
                <w:b/>
                <w:lang w:eastAsia="fr-CA"/>
              </w:rPr>
            </w:pPr>
            <w:r w:rsidRPr="00D128A9">
              <w:rPr>
                <w:b/>
                <w:lang w:eastAsia="fr-CA"/>
              </w:rPr>
              <w:t>Membership and contractual obligations</w:t>
            </w:r>
          </w:p>
        </w:tc>
        <w:tc>
          <w:tcPr>
            <w:tcW w:w="4231" w:type="pct"/>
            <w:shd w:val="clear" w:color="auto" w:fill="auto"/>
          </w:tcPr>
          <w:p w14:paraId="0546FDE9" w14:textId="792D9488" w:rsidR="004C3FE0" w:rsidRDefault="004C3FE0" w:rsidP="004C3FE0">
            <w:pPr>
              <w:pStyle w:val="TableBodyText"/>
              <w:spacing w:before="40" w:after="40"/>
              <w:rPr>
                <w:lang w:eastAsia="fr-CA"/>
              </w:rPr>
            </w:pPr>
            <w:r>
              <w:rPr>
                <w:lang w:eastAsia="fr-CA"/>
              </w:rPr>
              <w:t>While the participation arrangements for the day-ahead auction have not yet been finalised, they are expected to operate in a similar manner to the GSH</w:t>
            </w:r>
            <w:r w:rsidR="00E340A7">
              <w:rPr>
                <w:lang w:eastAsia="fr-CA"/>
              </w:rPr>
              <w:t xml:space="preserve"> (see Chapter 7)</w:t>
            </w:r>
            <w:r>
              <w:rPr>
                <w:lang w:eastAsia="fr-CA"/>
              </w:rPr>
              <w:t xml:space="preserve">. </w:t>
            </w:r>
          </w:p>
          <w:p w14:paraId="0F879669" w14:textId="5101B0D0" w:rsidR="004C3FE0" w:rsidRDefault="004C3FE0" w:rsidP="004C3FE0">
            <w:pPr>
              <w:pStyle w:val="TableBodyText"/>
              <w:spacing w:before="40" w:after="40"/>
              <w:rPr>
                <w:lang w:eastAsia="fr-CA"/>
              </w:rPr>
            </w:pPr>
            <w:r>
              <w:rPr>
                <w:lang w:eastAsia="fr-CA"/>
              </w:rPr>
              <w:t xml:space="preserve">Specifically, it is envisaged that shippers that want to purchase capacity through the day-ahead auction will execute an Auction Agreement with AEMO. The Auction </w:t>
            </w:r>
            <w:r w:rsidR="00522628">
              <w:rPr>
                <w:lang w:eastAsia="fr-CA"/>
              </w:rPr>
              <w:t>A</w:t>
            </w:r>
            <w:r>
              <w:rPr>
                <w:lang w:eastAsia="fr-CA"/>
              </w:rPr>
              <w:t xml:space="preserve">greement will set out the terms of participation in the auction and the terms governing purchases of capacity through the auction, including the prudential and settlement obligations. </w:t>
            </w:r>
          </w:p>
        </w:tc>
      </w:tr>
      <w:tr w:rsidR="003416C5" w:rsidRPr="003416C5" w14:paraId="42111E8E" w14:textId="77777777" w:rsidTr="00FE7C1D">
        <w:trPr>
          <w:cantSplit/>
        </w:trPr>
        <w:tc>
          <w:tcPr>
            <w:tcW w:w="5000" w:type="pct"/>
            <w:gridSpan w:val="2"/>
            <w:shd w:val="clear" w:color="auto" w:fill="E1E2E7" w:themeFill="background2"/>
          </w:tcPr>
          <w:p w14:paraId="50E025A5" w14:textId="77777777" w:rsidR="003416C5" w:rsidRPr="003416C5" w:rsidRDefault="003416C5" w:rsidP="003416C5">
            <w:pPr>
              <w:pStyle w:val="TableBodyText"/>
              <w:keepNext/>
              <w:spacing w:before="40" w:after="40"/>
              <w:jc w:val="center"/>
              <w:rPr>
                <w:b/>
                <w:lang w:eastAsia="fr-CA"/>
              </w:rPr>
            </w:pPr>
            <w:r w:rsidRPr="003416C5">
              <w:rPr>
                <w:b/>
                <w:lang w:eastAsia="fr-CA"/>
              </w:rPr>
              <w:t>Participation in the GSH capacity trading platform</w:t>
            </w:r>
          </w:p>
        </w:tc>
      </w:tr>
      <w:tr w:rsidR="003416C5" w14:paraId="57FA29FA" w14:textId="77777777" w:rsidTr="00FE7C1D">
        <w:trPr>
          <w:cnfStyle w:val="000000010000" w:firstRow="0" w:lastRow="0" w:firstColumn="0" w:lastColumn="0" w:oddVBand="0" w:evenVBand="0" w:oddHBand="0" w:evenHBand="1" w:firstRowFirstColumn="0" w:firstRowLastColumn="0" w:lastRowFirstColumn="0" w:lastRowLastColumn="0"/>
          <w:cantSplit/>
        </w:trPr>
        <w:tc>
          <w:tcPr>
            <w:tcW w:w="769" w:type="pct"/>
            <w:shd w:val="clear" w:color="auto" w:fill="auto"/>
          </w:tcPr>
          <w:p w14:paraId="25CE11D8" w14:textId="77777777" w:rsidR="003416C5" w:rsidRPr="00D128A9" w:rsidRDefault="003416C5" w:rsidP="003416C5">
            <w:pPr>
              <w:pStyle w:val="TableBodyText"/>
              <w:keepNext/>
              <w:spacing w:before="40" w:after="40"/>
              <w:rPr>
                <w:b/>
                <w:lang w:eastAsia="fr-CA"/>
              </w:rPr>
            </w:pPr>
            <w:r w:rsidRPr="00D128A9">
              <w:rPr>
                <w:b/>
                <w:lang w:eastAsia="fr-CA"/>
              </w:rPr>
              <w:t>Membership and contractual obligations</w:t>
            </w:r>
          </w:p>
        </w:tc>
        <w:tc>
          <w:tcPr>
            <w:tcW w:w="4231" w:type="pct"/>
            <w:shd w:val="clear" w:color="auto" w:fill="auto"/>
          </w:tcPr>
          <w:p w14:paraId="6D8F404A" w14:textId="77777777" w:rsidR="003416C5" w:rsidRDefault="003416C5" w:rsidP="003416C5">
            <w:pPr>
              <w:pStyle w:val="TableBodyText"/>
              <w:keepNext/>
              <w:spacing w:before="40" w:after="40"/>
              <w:rPr>
                <w:lang w:eastAsia="fr-CA"/>
              </w:rPr>
            </w:pPr>
            <w:r>
              <w:rPr>
                <w:lang w:eastAsia="fr-CA"/>
              </w:rPr>
              <w:t>Primary and secondary shippers that want to use the GSH will need to become members of the GSH exchange and be registered as trading participants.</w:t>
            </w:r>
          </w:p>
          <w:p w14:paraId="2BA25942" w14:textId="77777777" w:rsidR="003416C5" w:rsidRDefault="003416C5" w:rsidP="003416C5">
            <w:pPr>
              <w:pStyle w:val="TableBodyText"/>
              <w:keepNext/>
              <w:spacing w:before="40" w:after="40"/>
              <w:rPr>
                <w:lang w:eastAsia="fr-CA"/>
              </w:rPr>
            </w:pPr>
            <w:r>
              <w:rPr>
                <w:lang w:eastAsia="fr-CA"/>
              </w:rPr>
              <w:t>Shippers can become a trading participant by executing a Membership Agreement with AEMO and then registering as a trading participant. Through the Membership Agreement, shippers will become a party to the Exchange Agreement.</w:t>
            </w:r>
          </w:p>
          <w:p w14:paraId="0E4714EB" w14:textId="77777777" w:rsidR="003416C5" w:rsidRDefault="003416C5" w:rsidP="003416C5">
            <w:pPr>
              <w:pStyle w:val="TableBodyText"/>
              <w:keepNext/>
              <w:spacing w:before="40" w:after="40"/>
              <w:rPr>
                <w:lang w:eastAsia="fr-CA"/>
              </w:rPr>
            </w:pPr>
            <w:r>
              <w:rPr>
                <w:lang w:eastAsia="fr-CA"/>
              </w:rPr>
              <w:t>The Exchange Agreement is a multilateral agreement that sets out the terms of participation in the GSH and the terms governing transaction entered into through the exchange. The body of this agreement contains the trading, delivery, prudential and settlement obligations, while the product specifications are set out in schedules.</w:t>
            </w:r>
          </w:p>
        </w:tc>
      </w:tr>
      <w:tr w:rsidR="004C3FE0" w14:paraId="78C00091" w14:textId="77777777" w:rsidTr="00FE7C1D">
        <w:trPr>
          <w:cantSplit/>
        </w:trPr>
        <w:tc>
          <w:tcPr>
            <w:tcW w:w="5000" w:type="pct"/>
            <w:gridSpan w:val="2"/>
            <w:shd w:val="clear" w:color="auto" w:fill="E1E2E7" w:themeFill="background2"/>
          </w:tcPr>
          <w:p w14:paraId="613CE8E8" w14:textId="77777777" w:rsidR="004C3FE0" w:rsidRPr="009065AC" w:rsidRDefault="004C3FE0" w:rsidP="004C3FE0">
            <w:pPr>
              <w:pStyle w:val="TableBodyText"/>
              <w:keepNext/>
              <w:spacing w:before="40" w:after="40"/>
              <w:jc w:val="center"/>
              <w:rPr>
                <w:b/>
                <w:lang w:eastAsia="fr-CA"/>
              </w:rPr>
            </w:pPr>
            <w:r w:rsidRPr="009065AC">
              <w:rPr>
                <w:b/>
                <w:lang w:eastAsia="fr-CA"/>
              </w:rPr>
              <w:t xml:space="preserve">Use of </w:t>
            </w:r>
            <w:r>
              <w:rPr>
                <w:b/>
                <w:lang w:eastAsia="fr-CA"/>
              </w:rPr>
              <w:t xml:space="preserve">secondary </w:t>
            </w:r>
            <w:r w:rsidRPr="009065AC">
              <w:rPr>
                <w:b/>
                <w:lang w:eastAsia="fr-CA"/>
              </w:rPr>
              <w:t>capacity procured through the trading platform or auction</w:t>
            </w:r>
          </w:p>
        </w:tc>
      </w:tr>
      <w:tr w:rsidR="004C3FE0" w:rsidRPr="003416C5" w14:paraId="3807EA06" w14:textId="77777777" w:rsidTr="00FE7C1D">
        <w:trPr>
          <w:cnfStyle w:val="000000010000" w:firstRow="0" w:lastRow="0" w:firstColumn="0" w:lastColumn="0" w:oddVBand="0" w:evenVBand="0" w:oddHBand="0" w:evenHBand="1" w:firstRowFirstColumn="0" w:firstRowLastColumn="0" w:lastRowFirstColumn="0" w:lastRowLastColumn="0"/>
          <w:cantSplit/>
        </w:trPr>
        <w:tc>
          <w:tcPr>
            <w:tcW w:w="769" w:type="pct"/>
            <w:tcBorders>
              <w:bottom w:val="single" w:sz="4" w:space="0" w:color="auto"/>
            </w:tcBorders>
            <w:shd w:val="clear" w:color="auto" w:fill="auto"/>
          </w:tcPr>
          <w:p w14:paraId="78E2B747" w14:textId="3FB24882" w:rsidR="004C3FE0" w:rsidRPr="003416C5" w:rsidRDefault="004C3FE0" w:rsidP="004C3FE0">
            <w:pPr>
              <w:pStyle w:val="TableBodyText"/>
              <w:spacing w:before="40" w:after="40"/>
              <w:rPr>
                <w:b/>
                <w:szCs w:val="18"/>
                <w:lang w:eastAsia="fr-CA"/>
              </w:rPr>
            </w:pPr>
            <w:r w:rsidRPr="003416C5">
              <w:rPr>
                <w:b/>
                <w:szCs w:val="18"/>
                <w:lang w:eastAsia="fr-CA"/>
              </w:rPr>
              <w:t>Operational transfers</w:t>
            </w:r>
            <w:r w:rsidR="003416C5" w:rsidRPr="003416C5">
              <w:rPr>
                <w:rStyle w:val="FootnoteReference"/>
                <w:b/>
                <w:szCs w:val="18"/>
                <w:lang w:eastAsia="fr-CA"/>
              </w:rPr>
              <w:footnoteReference w:id="12"/>
            </w:r>
          </w:p>
        </w:tc>
        <w:tc>
          <w:tcPr>
            <w:tcW w:w="4231" w:type="pct"/>
            <w:tcBorders>
              <w:bottom w:val="single" w:sz="4" w:space="0" w:color="auto"/>
            </w:tcBorders>
            <w:shd w:val="clear" w:color="auto" w:fill="auto"/>
          </w:tcPr>
          <w:p w14:paraId="2C9E21B2" w14:textId="2FD59714" w:rsidR="004C3FE0" w:rsidRPr="003416C5" w:rsidRDefault="004C3FE0" w:rsidP="003416C5">
            <w:pPr>
              <w:pStyle w:val="TableBodyText"/>
              <w:spacing w:before="80" w:after="80"/>
              <w:rPr>
                <w:szCs w:val="18"/>
                <w:lang w:eastAsia="fr-CA"/>
              </w:rPr>
            </w:pPr>
            <w:r w:rsidRPr="003416C5">
              <w:rPr>
                <w:szCs w:val="18"/>
                <w:lang w:eastAsia="fr-CA"/>
              </w:rPr>
              <w:t xml:space="preserve">If a shipper procures capacity through the exchange or day-ahead auction, the trade will be given </w:t>
            </w:r>
            <w:r w:rsidR="00193480">
              <w:rPr>
                <w:szCs w:val="18"/>
                <w:lang w:eastAsia="fr-CA"/>
              </w:rPr>
              <w:t xml:space="preserve">physical </w:t>
            </w:r>
            <w:r w:rsidRPr="003416C5">
              <w:rPr>
                <w:szCs w:val="18"/>
                <w:lang w:eastAsia="fr-CA"/>
              </w:rPr>
              <w:t xml:space="preserve">effect through an operational transfer. Secondary shippers will also have the option to utilise an operational transfer if they enter into a bilateral trade through the listing service or other means. A secondary shipper will therefore need to have entered into an operational </w:t>
            </w:r>
            <w:r w:rsidR="00133C38">
              <w:rPr>
                <w:szCs w:val="18"/>
                <w:lang w:eastAsia="fr-CA"/>
              </w:rPr>
              <w:t>Gas Transportation Agreement (</w:t>
            </w:r>
            <w:r w:rsidRPr="003416C5">
              <w:rPr>
                <w:szCs w:val="18"/>
                <w:lang w:eastAsia="fr-CA"/>
              </w:rPr>
              <w:t>GTA</w:t>
            </w:r>
            <w:r w:rsidR="00133C38">
              <w:rPr>
                <w:szCs w:val="18"/>
                <w:lang w:eastAsia="fr-CA"/>
              </w:rPr>
              <w:t>)</w:t>
            </w:r>
            <w:r w:rsidRPr="003416C5">
              <w:rPr>
                <w:szCs w:val="18"/>
                <w:lang w:eastAsia="fr-CA"/>
              </w:rPr>
              <w:t xml:space="preserve"> with the relevant service provider, or otherwise agreed with the service provider to include an operational transfer mechanism into its primary GTA. </w:t>
            </w:r>
          </w:p>
          <w:p w14:paraId="01080628" w14:textId="0F08DB84" w:rsidR="00D70728" w:rsidRPr="003416C5" w:rsidRDefault="004C3FE0" w:rsidP="003416C5">
            <w:pPr>
              <w:pStyle w:val="TableBodyText"/>
              <w:spacing w:before="80" w:after="80"/>
              <w:rPr>
                <w:rFonts w:asciiTheme="majorHAnsi" w:hAnsiTheme="majorHAnsi" w:cstheme="majorHAnsi"/>
                <w:szCs w:val="18"/>
              </w:rPr>
            </w:pPr>
            <w:r w:rsidRPr="003416C5">
              <w:rPr>
                <w:rFonts w:asciiTheme="majorHAnsi" w:hAnsiTheme="majorHAnsi" w:cstheme="majorHAnsi"/>
                <w:szCs w:val="18"/>
              </w:rPr>
              <w:t>Operational GTAs, which are sometimes referred to as ‘zero MDQ’ contracts, operate like a master agreement between the service provider and secondary shipper, with the operational capacity (measured on a Maximum Daily Quantity (MDQ) basis) set at zero until the shipper purchases capacity. The operational GTA set</w:t>
            </w:r>
            <w:r w:rsidR="00794880">
              <w:rPr>
                <w:rFonts w:asciiTheme="majorHAnsi" w:hAnsiTheme="majorHAnsi" w:cstheme="majorHAnsi"/>
                <w:szCs w:val="18"/>
              </w:rPr>
              <w:t>s</w:t>
            </w:r>
            <w:r w:rsidRPr="003416C5">
              <w:rPr>
                <w:rFonts w:asciiTheme="majorHAnsi" w:hAnsiTheme="majorHAnsi" w:cstheme="majorHAnsi"/>
                <w:szCs w:val="18"/>
              </w:rPr>
              <w:t xml:space="preserve"> out the terms on which the secondary shipper can utilise the service provider’s assets if it procures secondary capacity via an operational transfer, including the operational, prudential and other terms governing the relationship between the service provider and secondary shipper. If capacity is purchased then the MDQ in the shipper’s operational GTA will be increased for the duration of the trade and it will be entitled to make nominations directly to the service provider and liable to pay the service provider for any </w:t>
            </w:r>
            <w:r w:rsidR="00983BA9" w:rsidRPr="003416C5">
              <w:rPr>
                <w:rFonts w:asciiTheme="majorHAnsi" w:hAnsiTheme="majorHAnsi" w:cstheme="majorHAnsi"/>
                <w:szCs w:val="18"/>
              </w:rPr>
              <w:t xml:space="preserve">specified charges (i.e. </w:t>
            </w:r>
            <w:r w:rsidRPr="003416C5">
              <w:rPr>
                <w:rFonts w:asciiTheme="majorHAnsi" w:hAnsiTheme="majorHAnsi" w:cstheme="majorHAnsi"/>
                <w:szCs w:val="18"/>
              </w:rPr>
              <w:t>imbalance or overrun charges</w:t>
            </w:r>
            <w:r w:rsidR="00983BA9" w:rsidRPr="003416C5">
              <w:rPr>
                <w:rFonts w:asciiTheme="majorHAnsi" w:hAnsiTheme="majorHAnsi" w:cstheme="majorHAnsi"/>
                <w:szCs w:val="18"/>
              </w:rPr>
              <w:t>)</w:t>
            </w:r>
            <w:r w:rsidRPr="003416C5">
              <w:rPr>
                <w:rFonts w:asciiTheme="majorHAnsi" w:hAnsiTheme="majorHAnsi" w:cstheme="majorHAnsi"/>
                <w:szCs w:val="18"/>
              </w:rPr>
              <w:t xml:space="preserve"> set out in the operational GTA. The primary shipper, on the other hand, will remain liable to pay the service provider for the capacity sold to the secondary shipper.</w:t>
            </w:r>
            <w:r w:rsidR="00333567" w:rsidRPr="003416C5">
              <w:rPr>
                <w:rFonts w:asciiTheme="majorHAnsi" w:hAnsiTheme="majorHAnsi" w:cstheme="majorHAnsi"/>
                <w:szCs w:val="18"/>
              </w:rPr>
              <w:t xml:space="preserve"> </w:t>
            </w:r>
          </w:p>
          <w:p w14:paraId="497F69BA" w14:textId="46FAB140" w:rsidR="003416C5" w:rsidRPr="003416C5" w:rsidRDefault="003416C5" w:rsidP="003416C5">
            <w:pPr>
              <w:pStyle w:val="BodyText"/>
              <w:spacing w:before="80" w:after="80"/>
              <w:rPr>
                <w:rFonts w:asciiTheme="majorHAnsi" w:hAnsiTheme="majorHAnsi" w:cstheme="majorHAnsi"/>
                <w:szCs w:val="18"/>
              </w:rPr>
            </w:pPr>
            <w:r w:rsidRPr="003416C5">
              <w:rPr>
                <w:rFonts w:asciiTheme="majorHAnsi" w:hAnsiTheme="majorHAnsi" w:cstheme="majorHAnsi"/>
                <w:szCs w:val="18"/>
              </w:rPr>
              <w:t>It is worth noting in this context that while the term ‘transfer’ in operational transfer implies that capacity is being transferred from one shipper to another, this will not occur in relation to the day-ahead auction. In the day-ahead auction, any contracted but un-nominated capacity sold through the auction will be allocated to the auction winners, but there will not be a corresponding reduction in the capacity holdings of primary shippers that have contracted but un-nominated capacity.</w:t>
            </w:r>
          </w:p>
        </w:tc>
      </w:tr>
      <w:tr w:rsidR="004C3FE0" w14:paraId="4FD62B14" w14:textId="77777777" w:rsidTr="004C3FE0">
        <w:trPr>
          <w:cantSplit/>
        </w:trPr>
        <w:tc>
          <w:tcPr>
            <w:tcW w:w="769" w:type="pct"/>
            <w:shd w:val="clear" w:color="auto" w:fill="auto"/>
          </w:tcPr>
          <w:p w14:paraId="22A9BFC6" w14:textId="77777777" w:rsidR="004C3FE0" w:rsidRPr="00D128A9" w:rsidRDefault="004C3FE0" w:rsidP="004C3FE0">
            <w:pPr>
              <w:pStyle w:val="TableBodyText"/>
              <w:spacing w:before="40" w:after="40"/>
              <w:rPr>
                <w:b/>
                <w:lang w:eastAsia="fr-CA"/>
              </w:rPr>
            </w:pPr>
            <w:r w:rsidRPr="00D128A9">
              <w:rPr>
                <w:b/>
                <w:lang w:eastAsia="fr-CA"/>
              </w:rPr>
              <w:t>Allocation agreements</w:t>
            </w:r>
          </w:p>
        </w:tc>
        <w:tc>
          <w:tcPr>
            <w:tcW w:w="4231" w:type="pct"/>
            <w:shd w:val="clear" w:color="auto" w:fill="auto"/>
          </w:tcPr>
          <w:p w14:paraId="652ECF5E" w14:textId="0868BE46" w:rsidR="004C3FE0" w:rsidRDefault="004C3FE0" w:rsidP="004C3FE0">
            <w:pPr>
              <w:pStyle w:val="TableBodyText"/>
              <w:spacing w:before="40" w:after="40"/>
              <w:rPr>
                <w:lang w:eastAsia="fr-CA"/>
              </w:rPr>
            </w:pPr>
            <w:r>
              <w:rPr>
                <w:lang w:eastAsia="fr-CA"/>
              </w:rPr>
              <w:t xml:space="preserve">If a secondary shipper procures capacity through the exchange or day-ahead auction and wants to use a multi-user receipt or delivery point, it will need to become a party to the allocation agreement at that point(s). This agreement sets out the </w:t>
            </w:r>
            <w:r>
              <w:t>rules the allocation agent is required to use to allocate gas metered as having been supplied between shippers.</w:t>
            </w:r>
          </w:p>
        </w:tc>
      </w:tr>
      <w:tr w:rsidR="004C3FE0" w14:paraId="18665F20" w14:textId="77777777" w:rsidTr="00FE7C1D">
        <w:tblPrEx>
          <w:tblLook w:val="04A0" w:firstRow="1" w:lastRow="0" w:firstColumn="1" w:lastColumn="0" w:noHBand="0" w:noVBand="1"/>
        </w:tblPrEx>
        <w:trPr>
          <w:cnfStyle w:val="000000010000" w:firstRow="0" w:lastRow="0" w:firstColumn="0" w:lastColumn="0" w:oddVBand="0" w:evenVBand="0" w:oddHBand="0" w:evenHBand="1" w:firstRowFirstColumn="0" w:firstRowLastColumn="0" w:lastRowFirstColumn="0" w:lastRowLastColumn="0"/>
        </w:trPr>
        <w:tc>
          <w:tcPr>
            <w:tcW w:w="769" w:type="pct"/>
            <w:shd w:val="clear" w:color="auto" w:fill="auto"/>
          </w:tcPr>
          <w:p w14:paraId="663F879D" w14:textId="77777777" w:rsidR="004C3FE0" w:rsidRPr="00D128A9" w:rsidRDefault="004C3FE0" w:rsidP="004C3FE0">
            <w:pPr>
              <w:pStyle w:val="TableBodyText"/>
              <w:spacing w:before="40" w:after="40"/>
              <w:rPr>
                <w:b/>
                <w:lang w:eastAsia="fr-CA"/>
              </w:rPr>
            </w:pPr>
            <w:r w:rsidRPr="00D128A9">
              <w:rPr>
                <w:b/>
                <w:lang w:eastAsia="fr-CA"/>
              </w:rPr>
              <w:t>Other services and arrangements</w:t>
            </w:r>
          </w:p>
        </w:tc>
        <w:tc>
          <w:tcPr>
            <w:tcW w:w="4231" w:type="pct"/>
            <w:shd w:val="clear" w:color="auto" w:fill="auto"/>
          </w:tcPr>
          <w:p w14:paraId="2E427AB6" w14:textId="77777777" w:rsidR="004C3FE0" w:rsidRDefault="004C3FE0" w:rsidP="004C3FE0">
            <w:pPr>
              <w:pStyle w:val="TableBodyText"/>
              <w:spacing w:before="40" w:after="40"/>
              <w:rPr>
                <w:lang w:eastAsia="fr-CA"/>
              </w:rPr>
            </w:pPr>
            <w:r>
              <w:rPr>
                <w:lang w:eastAsia="fr-CA"/>
              </w:rPr>
              <w:t xml:space="preserve">In some cases, a secondary shipper that procures capacity through the exchange or day-ahead auction may also require: </w:t>
            </w:r>
          </w:p>
          <w:p w14:paraId="476A6871" w14:textId="77777777" w:rsidR="004C3FE0" w:rsidRDefault="004C3FE0" w:rsidP="004C3FE0">
            <w:pPr>
              <w:pStyle w:val="TableBullet1"/>
              <w:spacing w:before="40" w:after="40"/>
              <w:rPr>
                <w:lang w:eastAsia="fr-CA"/>
              </w:rPr>
            </w:pPr>
            <w:r>
              <w:rPr>
                <w:lang w:eastAsia="fr-CA"/>
              </w:rPr>
              <w:t>access to other transportation related services that are not available on the exchange or through the auction (for example, in some locations a shipper will require redirection services and compression services) and will need to enter into arrangements with the relevant service provider for the provision of that service; and</w:t>
            </w:r>
          </w:p>
          <w:p w14:paraId="58358619" w14:textId="77777777" w:rsidR="004C3FE0" w:rsidRDefault="004C3FE0" w:rsidP="004C3FE0">
            <w:pPr>
              <w:pStyle w:val="TableBullet1"/>
              <w:spacing w:before="40" w:after="40"/>
              <w:rPr>
                <w:lang w:eastAsia="fr-CA"/>
              </w:rPr>
            </w:pPr>
            <w:proofErr w:type="gramStart"/>
            <w:r>
              <w:rPr>
                <w:lang w:eastAsia="fr-CA"/>
              </w:rPr>
              <w:t>access</w:t>
            </w:r>
            <w:proofErr w:type="gramEnd"/>
            <w:r>
              <w:rPr>
                <w:lang w:eastAsia="fr-CA"/>
              </w:rPr>
              <w:t xml:space="preserve"> to a receipt or delivery point that is controlled by a third party and will need to enter into arrangements with that party to ensure they can utilise those points.</w:t>
            </w:r>
          </w:p>
        </w:tc>
      </w:tr>
    </w:tbl>
    <w:p w14:paraId="63097575" w14:textId="50725DDF" w:rsidR="00A45719" w:rsidRDefault="00A45719" w:rsidP="006F21A5">
      <w:pPr>
        <w:pStyle w:val="Heading2"/>
        <w:spacing w:after="120"/>
      </w:pPr>
      <w:bookmarkStart w:id="52" w:name="_Ref490565600"/>
      <w:bookmarkStart w:id="53" w:name="_Ref491754432"/>
      <w:bookmarkStart w:id="54" w:name="_Ref491756890"/>
      <w:bookmarkStart w:id="55" w:name="_Ref494266111"/>
      <w:bookmarkStart w:id="56" w:name="_Ref494266123"/>
      <w:bookmarkStart w:id="57" w:name="_Toc495351627"/>
      <w:bookmarkStart w:id="58" w:name="_Hlk490588821"/>
      <w:r>
        <w:t xml:space="preserve">Assessment </w:t>
      </w:r>
      <w:r w:rsidR="00717A36">
        <w:t>f</w:t>
      </w:r>
      <w:r>
        <w:t>ramework</w:t>
      </w:r>
      <w:bookmarkEnd w:id="52"/>
      <w:r w:rsidR="00C203FF">
        <w:t xml:space="preserve"> for the reform</w:t>
      </w:r>
      <w:bookmarkEnd w:id="53"/>
      <w:bookmarkEnd w:id="54"/>
      <w:r w:rsidR="003604E5">
        <w:t xml:space="preserve"> package</w:t>
      </w:r>
      <w:bookmarkEnd w:id="55"/>
      <w:bookmarkEnd w:id="56"/>
      <w:bookmarkEnd w:id="57"/>
      <w:r w:rsidR="00C203FF">
        <w:t xml:space="preserve"> </w:t>
      </w:r>
    </w:p>
    <w:p w14:paraId="7CEBFC5E" w14:textId="66626B84" w:rsidR="00B92A32" w:rsidRDefault="0083791B" w:rsidP="00B92A32">
      <w:pPr>
        <w:pStyle w:val="BodyText"/>
      </w:pPr>
      <w:r>
        <w:t>There are</w:t>
      </w:r>
      <w:r w:rsidR="00CF7960">
        <w:t xml:space="preserve"> </w:t>
      </w:r>
      <w:r>
        <w:t xml:space="preserve">a number of different ways in which the </w:t>
      </w:r>
      <w:r w:rsidR="00794880">
        <w:t xml:space="preserve">capacity trading </w:t>
      </w:r>
      <w:r>
        <w:t xml:space="preserve">reforms could be designed and implemented. </w:t>
      </w:r>
      <w:r w:rsidR="00D626B8">
        <w:t>When</w:t>
      </w:r>
      <w:r w:rsidR="00D22507">
        <w:t xml:space="preserve"> assess</w:t>
      </w:r>
      <w:r w:rsidR="00D626B8">
        <w:t>ing</w:t>
      </w:r>
      <w:r w:rsidR="00D22507">
        <w:t xml:space="preserve"> these options</w:t>
      </w:r>
      <w:r w:rsidR="00D626B8">
        <w:t xml:space="preserve"> and developing its final recommendations for </w:t>
      </w:r>
      <w:r w:rsidR="00036C8E">
        <w:t xml:space="preserve">the </w:t>
      </w:r>
      <w:r w:rsidR="00D626B8">
        <w:t>SCO and the Energy Council</w:t>
      </w:r>
      <w:r w:rsidR="00D22507">
        <w:t xml:space="preserve">, the </w:t>
      </w:r>
      <w:r w:rsidR="00A83FAB">
        <w:t xml:space="preserve">GMRG </w:t>
      </w:r>
      <w:r w:rsidR="00036C8E">
        <w:t xml:space="preserve">intends to </w:t>
      </w:r>
      <w:r w:rsidR="00D22507">
        <w:t xml:space="preserve">use the </w:t>
      </w:r>
      <w:r w:rsidR="00CE20FF">
        <w:t>rule making test that the AEMC is required to consider when exercising its rule making functions</w:t>
      </w:r>
      <w:r w:rsidR="00D626B8">
        <w:t>.</w:t>
      </w:r>
      <w:r w:rsidR="00CE20FF">
        <w:rPr>
          <w:rStyle w:val="FootnoteReference"/>
        </w:rPr>
        <w:footnoteReference w:id="13"/>
      </w:r>
      <w:r w:rsidR="00326E4B">
        <w:t xml:space="preserve"> </w:t>
      </w:r>
      <w:r w:rsidR="00D626B8">
        <w:t xml:space="preserve">This test </w:t>
      </w:r>
      <w:r w:rsidR="00B92A32">
        <w:t>states that:</w:t>
      </w:r>
      <w:r w:rsidR="00B92A32">
        <w:rPr>
          <w:rStyle w:val="FootnoteReference"/>
        </w:rPr>
        <w:footnoteReference w:id="14"/>
      </w:r>
    </w:p>
    <w:p w14:paraId="043D8D73" w14:textId="77777777" w:rsidR="00B92A32" w:rsidRPr="00F25A6F" w:rsidRDefault="00B92A32" w:rsidP="001068FB">
      <w:pPr>
        <w:pStyle w:val="ListBullet"/>
        <w:numPr>
          <w:ilvl w:val="0"/>
          <w:numId w:val="14"/>
        </w:numPr>
        <w:rPr>
          <w:bCs/>
          <w:i/>
          <w:sz w:val="20"/>
          <w:szCs w:val="20"/>
        </w:rPr>
      </w:pPr>
      <w:r w:rsidRPr="00465134">
        <w:rPr>
          <w:bCs/>
        </w:rPr>
        <w:t>the AEMC may only make a rule if it is satisfied it will, or is likely to, contribute to the achievement of the NGO</w:t>
      </w:r>
      <w:r>
        <w:rPr>
          <w:bCs/>
        </w:rPr>
        <w:t>; and</w:t>
      </w:r>
    </w:p>
    <w:p w14:paraId="48682C73" w14:textId="77777777" w:rsidR="00B92A32" w:rsidRDefault="00B92A32" w:rsidP="001068FB">
      <w:pPr>
        <w:pStyle w:val="ListBullet"/>
        <w:numPr>
          <w:ilvl w:val="0"/>
          <w:numId w:val="14"/>
        </w:numPr>
      </w:pPr>
      <w:r w:rsidRPr="00465134">
        <w:rPr>
          <w:bCs/>
        </w:rPr>
        <w:t>the AEMC may give such weight to any aspect of the NGO as it considers appropriate, having regard to any relevant Council statement of policy principles.</w:t>
      </w:r>
      <w:r>
        <w:t xml:space="preserve"> </w:t>
      </w:r>
    </w:p>
    <w:p w14:paraId="160075AE" w14:textId="627A6855" w:rsidR="00525115" w:rsidRDefault="00B92A32" w:rsidP="00525115">
      <w:pPr>
        <w:pStyle w:val="BodyText"/>
        <w:rPr>
          <w:bCs/>
        </w:rPr>
      </w:pPr>
      <w:r w:rsidRPr="00643282">
        <w:t xml:space="preserve">In keeping with this test, the GMRG </w:t>
      </w:r>
      <w:r w:rsidR="00D73D6E" w:rsidRPr="00643282">
        <w:t xml:space="preserve">will </w:t>
      </w:r>
      <w:r w:rsidR="00D83ABC" w:rsidRPr="00643282">
        <w:t xml:space="preserve">have regard to the </w:t>
      </w:r>
      <w:r w:rsidRPr="00643282">
        <w:rPr>
          <w:bCs/>
        </w:rPr>
        <w:t>NGO</w:t>
      </w:r>
      <w:r w:rsidR="00525115">
        <w:rPr>
          <w:bCs/>
        </w:rPr>
        <w:t xml:space="preserve">, which as noted in </w:t>
      </w:r>
      <w:r w:rsidR="00525115" w:rsidRPr="00643282">
        <w:rPr>
          <w:bCs/>
        </w:rPr>
        <w:fldChar w:fldCharType="begin"/>
      </w:r>
      <w:r w:rsidR="00525115" w:rsidRPr="00643282">
        <w:rPr>
          <w:bCs/>
        </w:rPr>
        <w:instrText xml:space="preserve"> REF _Ref482330736 \h  \* MERGEFORMAT </w:instrText>
      </w:r>
      <w:r w:rsidR="00525115" w:rsidRPr="00643282">
        <w:rPr>
          <w:bCs/>
        </w:rPr>
      </w:r>
      <w:r w:rsidR="00525115" w:rsidRPr="00643282">
        <w:rPr>
          <w:bCs/>
        </w:rPr>
        <w:fldChar w:fldCharType="separate"/>
      </w:r>
      <w:r w:rsidR="00272B32" w:rsidRPr="00272B32">
        <w:t xml:space="preserve">Box </w:t>
      </w:r>
      <w:r w:rsidR="00272B32" w:rsidRPr="00272B32">
        <w:rPr>
          <w:noProof/>
        </w:rPr>
        <w:t>1.1</w:t>
      </w:r>
      <w:r w:rsidR="00525115" w:rsidRPr="00643282">
        <w:rPr>
          <w:bCs/>
        </w:rPr>
        <w:fldChar w:fldCharType="end"/>
      </w:r>
      <w:r w:rsidR="00525115">
        <w:rPr>
          <w:bCs/>
        </w:rPr>
        <w:t xml:space="preserve"> is to promote efficiency for the long-term interests of natural gas consumers (see </w:t>
      </w:r>
      <w:r w:rsidR="00525115">
        <w:rPr>
          <w:bCs/>
        </w:rPr>
        <w:fldChar w:fldCharType="begin"/>
      </w:r>
      <w:r w:rsidR="00525115">
        <w:rPr>
          <w:bCs/>
        </w:rPr>
        <w:instrText xml:space="preserve"> REF _Ref495348312 \h </w:instrText>
      </w:r>
      <w:r w:rsidR="00525115">
        <w:rPr>
          <w:bCs/>
        </w:rPr>
      </w:r>
      <w:r w:rsidR="00525115">
        <w:rPr>
          <w:bCs/>
        </w:rPr>
        <w:fldChar w:fldCharType="separate"/>
      </w:r>
      <w:r w:rsidR="00272B32">
        <w:t xml:space="preserve">Box </w:t>
      </w:r>
      <w:r w:rsidR="00272B32">
        <w:rPr>
          <w:noProof/>
        </w:rPr>
        <w:t>2</w:t>
      </w:r>
      <w:r w:rsidR="00272B32">
        <w:t>.</w:t>
      </w:r>
      <w:r w:rsidR="00272B32">
        <w:rPr>
          <w:noProof/>
        </w:rPr>
        <w:t>1</w:t>
      </w:r>
      <w:r w:rsidR="00525115">
        <w:rPr>
          <w:bCs/>
        </w:rPr>
        <w:fldChar w:fldCharType="end"/>
      </w:r>
      <w:r w:rsidR="00525115">
        <w:rPr>
          <w:bCs/>
        </w:rPr>
        <w:t xml:space="preserve"> for more detail on economic efficiency). </w:t>
      </w:r>
    </w:p>
    <w:tbl>
      <w:tblPr>
        <w:tblStyle w:val="PullOutBoxTable"/>
        <w:tblW w:w="5000" w:type="pct"/>
        <w:tblCellMar>
          <w:top w:w="113" w:type="dxa"/>
          <w:bottom w:w="113" w:type="dxa"/>
        </w:tblCellMar>
        <w:tblLook w:val="0620" w:firstRow="1" w:lastRow="0" w:firstColumn="0" w:lastColumn="0" w:noHBand="1" w:noVBand="1"/>
        <w:tblCaption w:val="Box 2.1: Economic efficiency concepts"/>
        <w:tblDescription w:val="Economic efficiency concepts"/>
      </w:tblPr>
      <w:tblGrid>
        <w:gridCol w:w="8788"/>
      </w:tblGrid>
      <w:tr w:rsidR="00525115" w:rsidRPr="00525115" w14:paraId="308E3B86" w14:textId="77777777" w:rsidTr="004F2A76">
        <w:trPr>
          <w:trHeight w:val="227"/>
          <w:tblHeader/>
        </w:trPr>
        <w:tc>
          <w:tcPr>
            <w:tcW w:w="5000" w:type="pct"/>
            <w:shd w:val="clear" w:color="auto" w:fill="auto"/>
          </w:tcPr>
          <w:p w14:paraId="7E80DC3E" w14:textId="2599F3D6" w:rsidR="007C2F20" w:rsidRPr="005635CA" w:rsidRDefault="005635CA" w:rsidP="005635CA">
            <w:pPr>
              <w:pStyle w:val="PullOutBoxBodyText"/>
              <w:spacing w:before="0"/>
              <w:rPr>
                <w:rFonts w:asciiTheme="majorHAnsi" w:hAnsiTheme="majorHAnsi" w:cstheme="majorHAnsi"/>
                <w:b/>
                <w:sz w:val="16"/>
                <w:szCs w:val="16"/>
              </w:rPr>
            </w:pPr>
            <w:bookmarkStart w:id="59" w:name="_Ref495348312"/>
            <w:r w:rsidRPr="005635CA">
              <w:rPr>
                <w:b/>
              </w:rPr>
              <w:t xml:space="preserve">Box </w:t>
            </w:r>
            <w:r w:rsidRPr="005635CA">
              <w:rPr>
                <w:b/>
              </w:rPr>
              <w:fldChar w:fldCharType="begin"/>
            </w:r>
            <w:r w:rsidRPr="005635CA">
              <w:rPr>
                <w:b/>
              </w:rPr>
              <w:instrText xml:space="preserve"> STYLEREF 1 \s </w:instrText>
            </w:r>
            <w:r w:rsidRPr="005635CA">
              <w:rPr>
                <w:b/>
              </w:rPr>
              <w:fldChar w:fldCharType="separate"/>
            </w:r>
            <w:r w:rsidRPr="005635CA">
              <w:rPr>
                <w:b/>
                <w:noProof/>
              </w:rPr>
              <w:t>2</w:t>
            </w:r>
            <w:r w:rsidRPr="005635CA">
              <w:rPr>
                <w:b/>
                <w:noProof/>
              </w:rPr>
              <w:fldChar w:fldCharType="end"/>
            </w:r>
            <w:r w:rsidRPr="005635CA">
              <w:rPr>
                <w:b/>
              </w:rPr>
              <w:t>.</w:t>
            </w:r>
            <w:r w:rsidRPr="005635CA">
              <w:rPr>
                <w:b/>
              </w:rPr>
              <w:fldChar w:fldCharType="begin"/>
            </w:r>
            <w:r w:rsidRPr="005635CA">
              <w:rPr>
                <w:b/>
              </w:rPr>
              <w:instrText xml:space="preserve"> SEQ Box \* ARABIC \s 1 </w:instrText>
            </w:r>
            <w:r w:rsidRPr="005635CA">
              <w:rPr>
                <w:b/>
              </w:rPr>
              <w:fldChar w:fldCharType="separate"/>
            </w:r>
            <w:r w:rsidRPr="005635CA">
              <w:rPr>
                <w:b/>
                <w:noProof/>
              </w:rPr>
              <w:t>1</w:t>
            </w:r>
            <w:r w:rsidRPr="005635CA">
              <w:rPr>
                <w:b/>
                <w:noProof/>
              </w:rPr>
              <w:fldChar w:fldCharType="end"/>
            </w:r>
            <w:bookmarkEnd w:id="59"/>
            <w:r w:rsidRPr="005635CA">
              <w:rPr>
                <w:b/>
              </w:rPr>
              <w:t>: Economic efficiency concepts</w:t>
            </w:r>
          </w:p>
        </w:tc>
      </w:tr>
      <w:tr w:rsidR="005635CA" w:rsidRPr="00525115" w14:paraId="314B778D" w14:textId="77777777" w:rsidTr="004F2A76">
        <w:trPr>
          <w:trHeight w:val="2648"/>
        </w:trPr>
        <w:tc>
          <w:tcPr>
            <w:tcW w:w="5000" w:type="pct"/>
          </w:tcPr>
          <w:p w14:paraId="50DAC400" w14:textId="77777777" w:rsidR="005635CA" w:rsidRPr="00525115" w:rsidRDefault="005635CA" w:rsidP="005635CA">
            <w:pPr>
              <w:spacing w:after="120"/>
              <w:rPr>
                <w:rFonts w:asciiTheme="majorHAnsi" w:hAnsiTheme="majorHAnsi" w:cstheme="majorHAnsi"/>
                <w:sz w:val="20"/>
                <w:szCs w:val="20"/>
              </w:rPr>
            </w:pPr>
            <w:r w:rsidRPr="00525115">
              <w:rPr>
                <w:rFonts w:asciiTheme="majorHAnsi" w:hAnsiTheme="majorHAnsi" w:cstheme="majorHAnsi"/>
                <w:sz w:val="20"/>
                <w:szCs w:val="20"/>
              </w:rPr>
              <w:t>Economists generally recognise the following types of efficiency:</w:t>
            </w:r>
          </w:p>
          <w:p w14:paraId="739E176D" w14:textId="77777777" w:rsidR="005635CA" w:rsidRDefault="005635CA" w:rsidP="005635CA">
            <w:pPr>
              <w:pStyle w:val="ListBullets"/>
              <w:spacing w:after="120"/>
              <w:rPr>
                <w:rFonts w:asciiTheme="majorHAnsi" w:hAnsiTheme="majorHAnsi" w:cstheme="majorHAnsi"/>
                <w:sz w:val="20"/>
                <w:szCs w:val="20"/>
              </w:rPr>
            </w:pPr>
            <w:r w:rsidRPr="00525115">
              <w:rPr>
                <w:rFonts w:asciiTheme="majorHAnsi" w:hAnsiTheme="majorHAnsi" w:cstheme="majorHAnsi"/>
                <w:sz w:val="20"/>
                <w:szCs w:val="20"/>
                <w:lang w:eastAsia="en-AU"/>
              </w:rPr>
              <w:t xml:space="preserve">Allocative efficiency – this term is used to refer to the situation in which society’s resources are allocated </w:t>
            </w:r>
            <w:r w:rsidRPr="00525115">
              <w:rPr>
                <w:rFonts w:asciiTheme="majorHAnsi" w:hAnsiTheme="majorHAnsi" w:cstheme="majorHAnsi"/>
                <w:sz w:val="20"/>
                <w:szCs w:val="20"/>
              </w:rPr>
              <w:t xml:space="preserve">between end uses in an optimal way </w:t>
            </w:r>
            <w:r>
              <w:rPr>
                <w:rFonts w:asciiTheme="majorHAnsi" w:hAnsiTheme="majorHAnsi" w:cstheme="majorHAnsi"/>
                <w:sz w:val="20"/>
                <w:szCs w:val="20"/>
              </w:rPr>
              <w:t>to those that value them most</w:t>
            </w:r>
            <w:r w:rsidRPr="00525115">
              <w:rPr>
                <w:rFonts w:asciiTheme="majorHAnsi" w:hAnsiTheme="majorHAnsi" w:cstheme="majorHAnsi"/>
                <w:sz w:val="20"/>
                <w:szCs w:val="20"/>
              </w:rPr>
              <w:t xml:space="preserve">.  This efficiency concept requires prices that are cost reflective and is consistent with the ‘efficient use of’ </w:t>
            </w:r>
            <w:r w:rsidRPr="00525115">
              <w:rPr>
                <w:rFonts w:asciiTheme="majorHAnsi" w:hAnsiTheme="majorHAnsi" w:cstheme="majorHAnsi"/>
                <w:sz w:val="20"/>
                <w:szCs w:val="20"/>
                <w:lang w:eastAsia="en-AU"/>
              </w:rPr>
              <w:t xml:space="preserve">element </w:t>
            </w:r>
            <w:r w:rsidRPr="00525115">
              <w:rPr>
                <w:rFonts w:asciiTheme="majorHAnsi" w:hAnsiTheme="majorHAnsi" w:cstheme="majorHAnsi"/>
                <w:sz w:val="20"/>
                <w:szCs w:val="20"/>
              </w:rPr>
              <w:t>of the NGO.</w:t>
            </w:r>
            <w:r>
              <w:rPr>
                <w:rFonts w:asciiTheme="majorHAnsi" w:hAnsiTheme="majorHAnsi" w:cstheme="majorHAnsi"/>
                <w:sz w:val="20"/>
                <w:szCs w:val="20"/>
              </w:rPr>
              <w:t xml:space="preserve"> </w:t>
            </w:r>
          </w:p>
          <w:p w14:paraId="12F5B23A" w14:textId="77777777" w:rsidR="005635CA" w:rsidRPr="00525115" w:rsidRDefault="005635CA" w:rsidP="005635CA">
            <w:pPr>
              <w:pStyle w:val="ListBullets"/>
              <w:spacing w:after="120"/>
              <w:ind w:left="357" w:hanging="357"/>
              <w:rPr>
                <w:rFonts w:asciiTheme="majorHAnsi" w:hAnsiTheme="majorHAnsi" w:cstheme="majorHAnsi"/>
                <w:sz w:val="20"/>
                <w:szCs w:val="20"/>
                <w:lang w:eastAsia="en-AU"/>
              </w:rPr>
            </w:pPr>
            <w:r w:rsidRPr="00525115">
              <w:rPr>
                <w:rFonts w:asciiTheme="majorHAnsi" w:hAnsiTheme="majorHAnsi" w:cstheme="majorHAnsi"/>
                <w:sz w:val="20"/>
                <w:szCs w:val="20"/>
              </w:rPr>
              <w:t>Productive (or technical) efficiency – this term is used to refer to goods and services being produced at the lowest possible cost, using the least-cost combination of inputs</w:t>
            </w:r>
            <w:r w:rsidRPr="00525115">
              <w:rPr>
                <w:rFonts w:asciiTheme="majorHAnsi" w:hAnsiTheme="majorHAnsi" w:cstheme="majorHAnsi"/>
                <w:sz w:val="20"/>
                <w:szCs w:val="20"/>
                <w:lang w:eastAsia="en-AU"/>
              </w:rPr>
              <w:t>.  This concept is consistent with the ‘efficient operation of’ element of the NGO.</w:t>
            </w:r>
          </w:p>
          <w:p w14:paraId="76C317D6" w14:textId="77777777" w:rsidR="005635CA" w:rsidRPr="00525115" w:rsidRDefault="005635CA" w:rsidP="005635CA">
            <w:pPr>
              <w:pStyle w:val="ListBullets"/>
              <w:spacing w:after="120"/>
              <w:rPr>
                <w:rFonts w:asciiTheme="majorHAnsi" w:hAnsiTheme="majorHAnsi" w:cstheme="majorHAnsi"/>
                <w:sz w:val="20"/>
                <w:szCs w:val="20"/>
              </w:rPr>
            </w:pPr>
            <w:r w:rsidRPr="00525115">
              <w:rPr>
                <w:rFonts w:asciiTheme="majorHAnsi" w:hAnsiTheme="majorHAnsi" w:cstheme="majorHAnsi"/>
                <w:sz w:val="20"/>
                <w:szCs w:val="20"/>
              </w:rPr>
              <w:t>Dynamic efficiency – this term is used to refer to a market outcome in which society’s resources are deployed efficiently between present and future uses, so that the welfare of society is maximised over time (i</w:t>
            </w:r>
            <w:r>
              <w:rPr>
                <w:rFonts w:asciiTheme="majorHAnsi" w:hAnsiTheme="majorHAnsi" w:cstheme="majorHAnsi"/>
                <w:sz w:val="20"/>
                <w:szCs w:val="20"/>
              </w:rPr>
              <w:t>.</w:t>
            </w:r>
            <w:r w:rsidRPr="00525115">
              <w:rPr>
                <w:rFonts w:asciiTheme="majorHAnsi" w:hAnsiTheme="majorHAnsi" w:cstheme="majorHAnsi"/>
                <w:sz w:val="20"/>
                <w:szCs w:val="20"/>
              </w:rPr>
              <w:t>e</w:t>
            </w:r>
            <w:r>
              <w:rPr>
                <w:rFonts w:asciiTheme="majorHAnsi" w:hAnsiTheme="majorHAnsi" w:cstheme="majorHAnsi"/>
                <w:sz w:val="20"/>
                <w:szCs w:val="20"/>
              </w:rPr>
              <w:t>.</w:t>
            </w:r>
            <w:r w:rsidRPr="00525115">
              <w:rPr>
                <w:rFonts w:asciiTheme="majorHAnsi" w:hAnsiTheme="majorHAnsi" w:cstheme="majorHAnsi"/>
                <w:sz w:val="20"/>
                <w:szCs w:val="20"/>
              </w:rPr>
              <w:t xml:space="preserve"> allocative and productive efficiency are achieved jointly over time).</w:t>
            </w:r>
            <w:r w:rsidRPr="00525115">
              <w:rPr>
                <w:rStyle w:val="FootnoteReference"/>
                <w:rFonts w:asciiTheme="majorHAnsi" w:eastAsiaTheme="minorEastAsia" w:hAnsiTheme="majorHAnsi" w:cstheme="majorHAnsi"/>
                <w:sz w:val="20"/>
                <w:szCs w:val="20"/>
              </w:rPr>
              <w:t xml:space="preserve"> </w:t>
            </w:r>
            <w:r w:rsidRPr="00525115">
              <w:rPr>
                <w:rFonts w:asciiTheme="majorHAnsi" w:hAnsiTheme="majorHAnsi" w:cstheme="majorHAnsi"/>
                <w:sz w:val="20"/>
                <w:szCs w:val="20"/>
              </w:rPr>
              <w:t xml:space="preserve">This term is also used to refer to the ability of firms and markets to adapt over time in response to changes in consumer preferences and/or technology by implementing measures that result in a reduction in costs, improvements in product quality and/or the development new products.  This is consistent with the </w:t>
            </w:r>
            <w:r w:rsidRPr="00525115">
              <w:rPr>
                <w:rFonts w:asciiTheme="majorHAnsi" w:hAnsiTheme="majorHAnsi" w:cstheme="majorHAnsi"/>
                <w:i/>
                <w:sz w:val="20"/>
                <w:szCs w:val="20"/>
              </w:rPr>
              <w:t>long run</w:t>
            </w:r>
            <w:r w:rsidRPr="00525115">
              <w:rPr>
                <w:rFonts w:asciiTheme="majorHAnsi" w:hAnsiTheme="majorHAnsi" w:cstheme="majorHAnsi"/>
                <w:sz w:val="20"/>
                <w:szCs w:val="20"/>
              </w:rPr>
              <w:t xml:space="preserve"> ‘efficient investment in’, ‘efficient operation of’ and ‘efficient use of’ elements. </w:t>
            </w:r>
          </w:p>
          <w:p w14:paraId="3576527F" w14:textId="77777777" w:rsidR="005635CA" w:rsidRPr="00525115" w:rsidRDefault="005635CA" w:rsidP="005635CA">
            <w:pPr>
              <w:spacing w:after="120"/>
              <w:rPr>
                <w:rFonts w:asciiTheme="majorHAnsi" w:hAnsiTheme="majorHAnsi" w:cstheme="majorHAnsi"/>
                <w:sz w:val="20"/>
                <w:szCs w:val="20"/>
              </w:rPr>
            </w:pPr>
            <w:r w:rsidRPr="00525115">
              <w:rPr>
                <w:rFonts w:asciiTheme="majorHAnsi" w:hAnsiTheme="majorHAnsi" w:cstheme="majorHAnsi"/>
                <w:sz w:val="20"/>
                <w:szCs w:val="20"/>
              </w:rPr>
              <w:t>These three dimensions of economic efficiency are illustrated in</w:t>
            </w:r>
            <w:r>
              <w:rPr>
                <w:rFonts w:asciiTheme="majorHAnsi" w:hAnsiTheme="majorHAnsi" w:cstheme="majorHAnsi"/>
                <w:sz w:val="20"/>
                <w:szCs w:val="20"/>
              </w:rPr>
              <w:t xml:space="preserve"> the following diagram</w:t>
            </w:r>
            <w:r w:rsidRPr="00525115">
              <w:rPr>
                <w:rFonts w:asciiTheme="majorHAnsi" w:hAnsiTheme="majorHAnsi" w:cstheme="majorHAnsi"/>
                <w:sz w:val="20"/>
                <w:szCs w:val="20"/>
              </w:rPr>
              <w:t xml:space="preserve"> developed by the Productivity Commission.</w:t>
            </w:r>
          </w:p>
          <w:p w14:paraId="45F3B3F4" w14:textId="6640BC43" w:rsidR="005635CA" w:rsidRPr="00525115" w:rsidRDefault="005635CA" w:rsidP="004F2A76">
            <w:pPr>
              <w:pStyle w:val="ListBullets"/>
              <w:numPr>
                <w:ilvl w:val="0"/>
                <w:numId w:val="0"/>
              </w:numPr>
              <w:spacing w:after="0" w:line="276" w:lineRule="auto"/>
              <w:ind w:left="357" w:hanging="357"/>
              <w:rPr>
                <w:rFonts w:asciiTheme="majorHAnsi" w:hAnsiTheme="majorHAnsi" w:cstheme="majorHAnsi"/>
                <w:sz w:val="20"/>
                <w:szCs w:val="20"/>
              </w:rPr>
            </w:pPr>
            <w:r w:rsidRPr="00525115">
              <w:rPr>
                <w:rFonts w:asciiTheme="majorHAnsi" w:hAnsiTheme="majorHAnsi" w:cstheme="majorHAnsi"/>
                <w:noProof/>
                <w:sz w:val="20"/>
                <w:szCs w:val="20"/>
                <w:lang w:eastAsia="en-AU"/>
              </w:rPr>
              <w:drawing>
                <wp:inline distT="0" distB="0" distL="0" distR="0" wp14:anchorId="5A62A888" wp14:editId="15E8456C">
                  <wp:extent cx="4827600" cy="1645920"/>
                  <wp:effectExtent l="0" t="0" r="0" b="0"/>
                  <wp:docPr id="33" name="Picture 33" descr="These three dimensions of economic efficiency are illustrated in the following diagram developed by the Productivity Commission." title="Three dimensions of economic efficien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835779" cy="1648709"/>
                          </a:xfrm>
                          <a:prstGeom prst="rect">
                            <a:avLst/>
                          </a:prstGeom>
                          <a:noFill/>
                          <a:ln>
                            <a:noFill/>
                          </a:ln>
                        </pic:spPr>
                      </pic:pic>
                    </a:graphicData>
                  </a:graphic>
                </wp:inline>
              </w:drawing>
            </w:r>
          </w:p>
        </w:tc>
      </w:tr>
    </w:tbl>
    <w:p w14:paraId="245DC3EC" w14:textId="77777777" w:rsidR="004F2A76" w:rsidRDefault="004F2A76" w:rsidP="004F2A76">
      <w:pPr>
        <w:pStyle w:val="BodyText"/>
        <w:spacing w:before="0" w:line="240" w:lineRule="auto"/>
        <w:rPr>
          <w:rFonts w:asciiTheme="majorHAnsi" w:hAnsiTheme="majorHAnsi" w:cstheme="majorHAnsi"/>
          <w:sz w:val="16"/>
          <w:szCs w:val="16"/>
        </w:rPr>
      </w:pPr>
      <w:bookmarkStart w:id="60" w:name="ReturnHere"/>
      <w:bookmarkStart w:id="61" w:name="_Hlk494276747"/>
      <w:bookmarkEnd w:id="60"/>
      <w:r w:rsidRPr="007C2F20">
        <w:rPr>
          <w:rFonts w:asciiTheme="majorHAnsi" w:hAnsiTheme="majorHAnsi" w:cstheme="majorHAnsi"/>
          <w:sz w:val="16"/>
          <w:szCs w:val="16"/>
        </w:rPr>
        <w:t>Source: Productivity Commission, Staff Research Note – On Efficiency and Effectiveness: some definitions, May 2013, p.3.</w:t>
      </w:r>
    </w:p>
    <w:p w14:paraId="023A4ECA" w14:textId="3C3206EE" w:rsidR="00F475B1" w:rsidRDefault="00087AE7" w:rsidP="005C6C6C">
      <w:pPr>
        <w:pStyle w:val="BodyText"/>
        <w:spacing w:before="120"/>
      </w:pPr>
      <w:r>
        <w:t>As the AEMC has previously observed, q</w:t>
      </w:r>
      <w:r w:rsidRPr="006270F8">
        <w:t xml:space="preserve">uantifying </w:t>
      </w:r>
      <w:r>
        <w:t xml:space="preserve">the </w:t>
      </w:r>
      <w:r w:rsidRPr="006270F8">
        <w:t>costs</w:t>
      </w:r>
      <w:r w:rsidR="00C65C60">
        <w:t>,</w:t>
      </w:r>
      <w:r w:rsidRPr="006270F8">
        <w:t xml:space="preserve"> benefits </w:t>
      </w:r>
      <w:r w:rsidR="00C65C60">
        <w:t xml:space="preserve">and efficiency improvements </w:t>
      </w:r>
      <w:r>
        <w:t>associated with these types of reforms can be difficult.</w:t>
      </w:r>
      <w:r>
        <w:rPr>
          <w:rStyle w:val="FootnoteReference"/>
        </w:rPr>
        <w:footnoteReference w:id="15"/>
      </w:r>
      <w:r>
        <w:t xml:space="preserve"> The GMRG’s assessment </w:t>
      </w:r>
      <w:r w:rsidR="00036C8E">
        <w:t>of whether the proposed design of the reforms will, or is likely to</w:t>
      </w:r>
      <w:r w:rsidR="00D128A9">
        <w:t>,</w:t>
      </w:r>
      <w:r w:rsidR="00036C8E">
        <w:t xml:space="preserve"> contribute to the NGO, </w:t>
      </w:r>
      <w:r>
        <w:t xml:space="preserve">will therefore be carried out qualitatively having regard to whether the </w:t>
      </w:r>
      <w:r w:rsidR="00D626B8">
        <w:t xml:space="preserve">reforms </w:t>
      </w:r>
      <w:r w:rsidR="000542A1">
        <w:t xml:space="preserve">are </w:t>
      </w:r>
      <w:r w:rsidR="00ED315B">
        <w:t>consistent with</w:t>
      </w:r>
      <w:r w:rsidR="00F475B1">
        <w:t xml:space="preserve">: </w:t>
      </w:r>
    </w:p>
    <w:p w14:paraId="52D5A6CD" w14:textId="77777777" w:rsidR="004F2A76" w:rsidRPr="004F2A76" w:rsidRDefault="000542A1" w:rsidP="00A734EB">
      <w:pPr>
        <w:pStyle w:val="ListBullet"/>
        <w:rPr>
          <w:bCs/>
          <w:sz w:val="20"/>
          <w:szCs w:val="20"/>
        </w:rPr>
      </w:pPr>
      <w:r w:rsidRPr="000542A1">
        <w:t>t</w:t>
      </w:r>
      <w:r w:rsidR="00ED315B" w:rsidRPr="000542A1">
        <w:t xml:space="preserve">he AEMC’s </w:t>
      </w:r>
      <w:r w:rsidR="00D22507" w:rsidRPr="000542A1">
        <w:t xml:space="preserve">required and preferred outcomes for the </w:t>
      </w:r>
      <w:r w:rsidR="00D36F45">
        <w:t xml:space="preserve">capacity trading </w:t>
      </w:r>
      <w:r w:rsidR="00D22507" w:rsidRPr="000542A1">
        <w:t xml:space="preserve">reforms </w:t>
      </w:r>
      <w:r w:rsidR="00147EA6" w:rsidRPr="000542A1">
        <w:t>(</w:t>
      </w:r>
      <w:r w:rsidR="00D36F45">
        <w:t>Appendix A</w:t>
      </w:r>
      <w:r w:rsidR="00147EA6" w:rsidRPr="000542A1">
        <w:t xml:space="preserve">) </w:t>
      </w:r>
      <w:r w:rsidR="000A5C39" w:rsidRPr="000542A1">
        <w:t xml:space="preserve">and </w:t>
      </w:r>
      <w:r w:rsidRPr="000542A1">
        <w:t>will facilitate more trade in secondary capacity by</w:t>
      </w:r>
      <w:r>
        <w:t xml:space="preserve"> </w:t>
      </w:r>
      <w:r w:rsidRPr="000542A1">
        <w:t xml:space="preserve">making </w:t>
      </w:r>
      <w:r w:rsidRPr="00CA246F">
        <w:t>capacity products more fungible</w:t>
      </w:r>
      <w:r>
        <w:t>, reducing search and transaction costs, removing unnecessary impediments to trade across pipelines and increasing the pool of buyers and sellers</w:t>
      </w:r>
      <w:r w:rsidR="00567180">
        <w:t>;</w:t>
      </w:r>
    </w:p>
    <w:p w14:paraId="595E6F6E" w14:textId="696CE88D" w:rsidR="00147EA6" w:rsidRPr="004F2A76" w:rsidRDefault="000542A1" w:rsidP="00A734EB">
      <w:pPr>
        <w:pStyle w:val="ListBullet"/>
        <w:rPr>
          <w:bCs/>
          <w:sz w:val="20"/>
          <w:szCs w:val="20"/>
        </w:rPr>
      </w:pPr>
      <w:r>
        <w:t>t</w:t>
      </w:r>
      <w:r w:rsidR="000A5C39">
        <w:t xml:space="preserve">he </w:t>
      </w:r>
      <w:r w:rsidR="00147EA6">
        <w:t xml:space="preserve">broader objectives </w:t>
      </w:r>
      <w:r w:rsidR="00D128A9">
        <w:t xml:space="preserve">of </w:t>
      </w:r>
      <w:r w:rsidR="00147EA6">
        <w:t>the capacity trading reform package</w:t>
      </w:r>
      <w:r w:rsidR="00ED315B">
        <w:t xml:space="preserve">, which were described </w:t>
      </w:r>
      <w:r w:rsidR="00D22507">
        <w:t xml:space="preserve">by the AEMC </w:t>
      </w:r>
      <w:r w:rsidR="00ED315B" w:rsidRPr="00F475B1">
        <w:t>as</w:t>
      </w:r>
      <w:r w:rsidR="00ED315B">
        <w:t xml:space="preserve"> being to improve the efficiency with which transportation capacity is allocated and utilised and foster the development of a more liquid market for secondary capacity</w:t>
      </w:r>
      <w:r w:rsidR="000A5C39">
        <w:t>;</w:t>
      </w:r>
      <w:r w:rsidR="00147EA6">
        <w:rPr>
          <w:rStyle w:val="FootnoteReference"/>
        </w:rPr>
        <w:footnoteReference w:id="16"/>
      </w:r>
      <w:r w:rsidR="000A5C39">
        <w:t xml:space="preserve"> and</w:t>
      </w:r>
    </w:p>
    <w:p w14:paraId="16E5AEF2" w14:textId="61C53B1D" w:rsidR="00B92A32" w:rsidRPr="00220B2D" w:rsidRDefault="000542A1" w:rsidP="005635CA">
      <w:pPr>
        <w:pStyle w:val="ListBullet"/>
        <w:spacing w:after="60"/>
        <w:rPr>
          <w:bCs/>
        </w:rPr>
      </w:pPr>
      <w:proofErr w:type="gramStart"/>
      <w:r>
        <w:t>t</w:t>
      </w:r>
      <w:r w:rsidR="00B92A32" w:rsidRPr="00BF56B3">
        <w:t>he</w:t>
      </w:r>
      <w:proofErr w:type="gramEnd"/>
      <w:r w:rsidR="00B92A32" w:rsidRPr="00BF56B3">
        <w:t xml:space="preserve"> </w:t>
      </w:r>
      <w:r w:rsidR="00F475B1">
        <w:t xml:space="preserve">Energy </w:t>
      </w:r>
      <w:r w:rsidR="00B92A32" w:rsidRPr="00BF56B3">
        <w:t xml:space="preserve">Council’s </w:t>
      </w:r>
      <w:r w:rsidR="00B92A32" w:rsidRPr="00F475B1">
        <w:t>Vision</w:t>
      </w:r>
      <w:r w:rsidR="00916B98">
        <w:t xml:space="preserve"> of the </w:t>
      </w:r>
      <w:r w:rsidR="00D22507" w:rsidRPr="00465134">
        <w:t>direction gas market developme</w:t>
      </w:r>
      <w:r w:rsidR="00D22507">
        <w:t>nt should take to meet the NGO</w:t>
      </w:r>
      <w:r w:rsidR="004151CC" w:rsidRPr="004151CC">
        <w:rPr>
          <w:rStyle w:val="FootnoteReference"/>
          <w:bCs/>
        </w:rPr>
        <w:t xml:space="preserve"> </w:t>
      </w:r>
      <w:r w:rsidR="004151CC">
        <w:rPr>
          <w:bCs/>
        </w:rPr>
        <w:t xml:space="preserve">and </w:t>
      </w:r>
      <w:r w:rsidR="00D22507">
        <w:rPr>
          <w:bCs/>
        </w:rPr>
        <w:t xml:space="preserve">the </w:t>
      </w:r>
      <w:r w:rsidR="00B92A32">
        <w:t xml:space="preserve">outcomes </w:t>
      </w:r>
      <w:r w:rsidR="00D22507">
        <w:t xml:space="preserve">the Energy Council </w:t>
      </w:r>
      <w:r w:rsidR="004151CC">
        <w:t xml:space="preserve">agreed to </w:t>
      </w:r>
      <w:r w:rsidR="00B92A32">
        <w:t>pursue in the next phase of gas market reform</w:t>
      </w:r>
      <w:r w:rsidR="00D22507">
        <w:t xml:space="preserve"> </w:t>
      </w:r>
      <w:r w:rsidR="00D22507" w:rsidRPr="00BF56B3">
        <w:t xml:space="preserve">(see </w:t>
      </w:r>
      <w:r w:rsidR="00D22507" w:rsidRPr="00BF56B3">
        <w:rPr>
          <w:bCs/>
        </w:rPr>
        <w:fldChar w:fldCharType="begin"/>
      </w:r>
      <w:r w:rsidR="00D22507" w:rsidRPr="00BF56B3">
        <w:rPr>
          <w:bCs/>
        </w:rPr>
        <w:instrText xml:space="preserve"> REF _Ref482330736 \h  \* MERGEFORMAT </w:instrText>
      </w:r>
      <w:r w:rsidR="00D22507" w:rsidRPr="00BF56B3">
        <w:rPr>
          <w:bCs/>
        </w:rPr>
      </w:r>
      <w:r w:rsidR="00D22507" w:rsidRPr="00BF56B3">
        <w:rPr>
          <w:bCs/>
        </w:rPr>
        <w:fldChar w:fldCharType="separate"/>
      </w:r>
      <w:r w:rsidR="00272B32" w:rsidRPr="00272B32">
        <w:t xml:space="preserve">Box </w:t>
      </w:r>
      <w:r w:rsidR="00272B32" w:rsidRPr="00272B32">
        <w:rPr>
          <w:noProof/>
        </w:rPr>
        <w:t>1.1</w:t>
      </w:r>
      <w:r w:rsidR="00D22507" w:rsidRPr="00BF56B3">
        <w:rPr>
          <w:bCs/>
        </w:rPr>
        <w:fldChar w:fldCharType="end"/>
      </w:r>
      <w:r w:rsidR="00D22507" w:rsidRPr="00BF56B3">
        <w:rPr>
          <w:bCs/>
        </w:rPr>
        <w:t>)</w:t>
      </w:r>
      <w:r w:rsidR="00D22507">
        <w:rPr>
          <w:bCs/>
        </w:rPr>
        <w:t>.</w:t>
      </w:r>
      <w:r w:rsidR="004151CC">
        <w:rPr>
          <w:rStyle w:val="FootnoteReference"/>
          <w:bCs/>
        </w:rPr>
        <w:footnoteReference w:id="17"/>
      </w:r>
    </w:p>
    <w:p w14:paraId="0475478B" w14:textId="77777777" w:rsidR="000A5C39" w:rsidRPr="009050CE" w:rsidRDefault="008A6399" w:rsidP="005C6C6C">
      <w:pPr>
        <w:pStyle w:val="BodyText"/>
        <w:spacing w:before="120"/>
        <w:rPr>
          <w:rFonts w:asciiTheme="majorHAnsi" w:hAnsiTheme="majorHAnsi" w:cstheme="majorHAnsi"/>
          <w:color w:val="000000"/>
        </w:rPr>
      </w:pPr>
      <w:r>
        <w:t>T</w:t>
      </w:r>
      <w:r w:rsidR="00EF39D4">
        <w:t xml:space="preserve">he </w:t>
      </w:r>
      <w:r w:rsidR="000A5C39">
        <w:t>GMRG</w:t>
      </w:r>
      <w:r>
        <w:t>’s assessment</w:t>
      </w:r>
      <w:r w:rsidR="00087AE7">
        <w:t xml:space="preserve"> </w:t>
      </w:r>
      <w:r w:rsidR="00EF39D4">
        <w:t xml:space="preserve">will </w:t>
      </w:r>
      <w:r>
        <w:t xml:space="preserve">also be guided by </w:t>
      </w:r>
      <w:r w:rsidR="00EF39D4">
        <w:t xml:space="preserve">the </w:t>
      </w:r>
      <w:r w:rsidR="000A5C39" w:rsidRPr="009050CE">
        <w:t xml:space="preserve">following principles that the AEMC usually employs when </w:t>
      </w:r>
      <w:r w:rsidR="000A5C39">
        <w:t>applying the NGO</w:t>
      </w:r>
      <w:r w:rsidR="000A5C39" w:rsidRPr="009050CE">
        <w:rPr>
          <w:rFonts w:asciiTheme="majorHAnsi" w:hAnsiTheme="majorHAnsi" w:cstheme="majorHAnsi"/>
          <w:color w:val="000000"/>
        </w:rPr>
        <w:t>:</w:t>
      </w:r>
      <w:r w:rsidR="000A5C39">
        <w:rPr>
          <w:rStyle w:val="FootnoteReference"/>
          <w:rFonts w:asciiTheme="majorHAnsi" w:hAnsiTheme="majorHAnsi" w:cstheme="majorHAnsi"/>
          <w:color w:val="000000"/>
        </w:rPr>
        <w:footnoteReference w:id="18"/>
      </w:r>
      <w:r w:rsidR="000A5C39" w:rsidRPr="009050CE">
        <w:rPr>
          <w:rFonts w:asciiTheme="majorHAnsi" w:hAnsiTheme="majorHAnsi" w:cstheme="majorHAnsi"/>
          <w:color w:val="000000"/>
        </w:rPr>
        <w:t xml:space="preserve"> </w:t>
      </w:r>
    </w:p>
    <w:p w14:paraId="224659DE" w14:textId="77777777" w:rsidR="000A5C39" w:rsidRDefault="000A5C39" w:rsidP="001068FB">
      <w:pPr>
        <w:pStyle w:val="ListBullet"/>
        <w:numPr>
          <w:ilvl w:val="0"/>
          <w:numId w:val="15"/>
        </w:numPr>
        <w:spacing w:before="80" w:after="80"/>
        <w:ind w:left="357" w:hanging="357"/>
      </w:pPr>
      <w:r>
        <w:t>Competition and market signals will generally lead to better outcomes than centralised planning and regulation, as competing energy businesses have an incentive to meet consumers’ needs efficiently.</w:t>
      </w:r>
    </w:p>
    <w:p w14:paraId="7FF2603A" w14:textId="3A95BD3A" w:rsidR="000A5C39" w:rsidRPr="00960021" w:rsidRDefault="000A5C39" w:rsidP="001068FB">
      <w:pPr>
        <w:pStyle w:val="ListBullet"/>
        <w:numPr>
          <w:ilvl w:val="0"/>
          <w:numId w:val="15"/>
        </w:numPr>
        <w:spacing w:before="80" w:after="80"/>
        <w:ind w:left="357" w:hanging="357"/>
      </w:pPr>
      <w:r>
        <w:t>W</w:t>
      </w:r>
      <w:r w:rsidRPr="00960021">
        <w:t xml:space="preserve">here it is required, regulation should be targeted, fit-for-purpose, provide incentives that imitate the outcomes of a workably competitive market, and involve regulatory costs proportionate to the materiality of </w:t>
      </w:r>
      <w:r w:rsidR="00CE0F95">
        <w:t xml:space="preserve">the </w:t>
      </w:r>
      <w:r w:rsidRPr="00960021">
        <w:t>issue</w:t>
      </w:r>
      <w:r>
        <w:t>.</w:t>
      </w:r>
    </w:p>
    <w:p w14:paraId="10629552" w14:textId="77777777" w:rsidR="000A5C39" w:rsidRPr="00960021" w:rsidRDefault="000A5C39" w:rsidP="001068FB">
      <w:pPr>
        <w:pStyle w:val="ListBullet"/>
        <w:numPr>
          <w:ilvl w:val="0"/>
          <w:numId w:val="15"/>
        </w:numPr>
        <w:spacing w:before="80" w:after="80"/>
        <w:ind w:left="357" w:hanging="357"/>
      </w:pPr>
      <w:r>
        <w:t>R</w:t>
      </w:r>
      <w:r w:rsidRPr="00960021">
        <w:t>isk allocation and the accountability for investment decisions should rest with those parties best placed to manage them</w:t>
      </w:r>
      <w:r>
        <w:t>.</w:t>
      </w:r>
    </w:p>
    <w:p w14:paraId="31073532" w14:textId="77777777" w:rsidR="000A5C39" w:rsidRDefault="000A5C39" w:rsidP="001068FB">
      <w:pPr>
        <w:pStyle w:val="ListBullet"/>
        <w:numPr>
          <w:ilvl w:val="0"/>
          <w:numId w:val="15"/>
        </w:numPr>
        <w:spacing w:before="80" w:after="80"/>
        <w:ind w:left="357" w:hanging="357"/>
      </w:pPr>
      <w:r>
        <w:t>Market and r</w:t>
      </w:r>
      <w:r w:rsidRPr="00960021">
        <w:t>egulatory frameworks should be flexible and provide firms with a clear and consistent set of rules that allow them to independently develop strategies and adjust to changes in the market.</w:t>
      </w:r>
      <w:r>
        <w:t xml:space="preserve"> These frameworks should also be resilient to changing supply and demand conditions, and patterns of flow, over the longer term.</w:t>
      </w:r>
    </w:p>
    <w:p w14:paraId="7C9080CC" w14:textId="0E8F0462" w:rsidR="008A6399" w:rsidRDefault="008A6399" w:rsidP="008A6399">
      <w:pPr>
        <w:pStyle w:val="BodyText"/>
      </w:pPr>
      <w:r>
        <w:t>Given the nature of the reforms</w:t>
      </w:r>
      <w:r w:rsidR="00430035">
        <w:t>,</w:t>
      </w:r>
      <w:r w:rsidR="00FE4986">
        <w:t xml:space="preserve"> </w:t>
      </w:r>
      <w:r>
        <w:t xml:space="preserve">the GMRG will also </w:t>
      </w:r>
      <w:r w:rsidR="00F85769">
        <w:t>consider the extent to which the proposed reforms</w:t>
      </w:r>
      <w:r>
        <w:t>:</w:t>
      </w:r>
    </w:p>
    <w:p w14:paraId="6A9B4BF1" w14:textId="292C2225" w:rsidR="00C836E4" w:rsidRDefault="00C836E4" w:rsidP="0022152C">
      <w:pPr>
        <w:pStyle w:val="ListBullet"/>
        <w:spacing w:before="80" w:after="80"/>
      </w:pPr>
      <w:r>
        <w:t>allow capacity in the short-term to be allocated to those that value it most;</w:t>
      </w:r>
    </w:p>
    <w:p w14:paraId="4EAA16CF" w14:textId="780172BA" w:rsidR="008A6399" w:rsidRDefault="00F85769" w:rsidP="0022152C">
      <w:pPr>
        <w:pStyle w:val="ListBullet"/>
        <w:spacing w:before="80" w:after="80"/>
      </w:pPr>
      <w:r>
        <w:t>provide s</w:t>
      </w:r>
      <w:r w:rsidR="008A6399">
        <w:t xml:space="preserve">econdary shippers with access to </w:t>
      </w:r>
      <w:r w:rsidR="00FE4986">
        <w:t xml:space="preserve">secondary capacity </w:t>
      </w:r>
      <w:r w:rsidR="008A6399">
        <w:t>on reasonable terms</w:t>
      </w:r>
      <w:r w:rsidR="006008A5">
        <w:t xml:space="preserve"> (i.e. </w:t>
      </w:r>
      <w:r w:rsidR="008A6399">
        <w:t>at prices and on other terms and conditions that, so far as practical, reflect the outcomes of a workably competitive market</w:t>
      </w:r>
      <w:r w:rsidR="006008A5">
        <w:t>)</w:t>
      </w:r>
      <w:r>
        <w:t>;</w:t>
      </w:r>
      <w:r w:rsidR="008A6399">
        <w:t xml:space="preserve"> </w:t>
      </w:r>
    </w:p>
    <w:p w14:paraId="6E39D10C" w14:textId="3D690AAF" w:rsidR="008A6399" w:rsidRDefault="006008A5" w:rsidP="0022152C">
      <w:pPr>
        <w:pStyle w:val="ListBullet"/>
        <w:spacing w:before="80" w:after="80"/>
      </w:pPr>
      <w:r>
        <w:t xml:space="preserve">appropriately reflect the </w:t>
      </w:r>
      <w:r w:rsidR="008A6399">
        <w:t xml:space="preserve">legitimate business interests of </w:t>
      </w:r>
      <w:r w:rsidR="009C3484">
        <w:t>service</w:t>
      </w:r>
      <w:r w:rsidR="008A6399">
        <w:t xml:space="preserve"> </w:t>
      </w:r>
      <w:r w:rsidR="009C3484">
        <w:t xml:space="preserve">providers </w:t>
      </w:r>
      <w:r>
        <w:t xml:space="preserve">and other parties that </w:t>
      </w:r>
      <w:r w:rsidR="008A6399">
        <w:t>have rights to use the transportation services</w:t>
      </w:r>
      <w:r w:rsidR="007F3CDA">
        <w:t xml:space="preserve">, including </w:t>
      </w:r>
      <w:r w:rsidR="008A6399">
        <w:t>primary and secondary capacity</w:t>
      </w:r>
      <w:r w:rsidR="00FE4986">
        <w:t xml:space="preserve"> holders</w:t>
      </w:r>
      <w:r w:rsidR="00F85769">
        <w:t>;</w:t>
      </w:r>
    </w:p>
    <w:p w14:paraId="3B15AEFF" w14:textId="77777777" w:rsidR="00FE4986" w:rsidRDefault="00F85769" w:rsidP="0022152C">
      <w:pPr>
        <w:pStyle w:val="ListBullet"/>
        <w:spacing w:before="80" w:after="80"/>
      </w:pPr>
      <w:r>
        <w:t xml:space="preserve">are </w:t>
      </w:r>
      <w:r w:rsidR="00FE4986">
        <w:t xml:space="preserve">operationally feasible and recognise the operational and technical requirements necessary for the safe and reliable operation of </w:t>
      </w:r>
      <w:r w:rsidR="00245558">
        <w:t>the assets used in the provision of transportation services</w:t>
      </w:r>
      <w:r>
        <w:t xml:space="preserve">; </w:t>
      </w:r>
    </w:p>
    <w:bookmarkEnd w:id="58"/>
    <w:p w14:paraId="68E5DDFA" w14:textId="77777777" w:rsidR="00C836E4" w:rsidRDefault="005C3BB7" w:rsidP="0022152C">
      <w:pPr>
        <w:pStyle w:val="ListBullet"/>
        <w:spacing w:before="80" w:after="80"/>
      </w:pPr>
      <w:r>
        <w:t xml:space="preserve">facilitate the efficient operation and use of the capacity trading platform and day-ahead auction; </w:t>
      </w:r>
    </w:p>
    <w:p w14:paraId="49E74D5E" w14:textId="2B8D2251" w:rsidR="005C3BB7" w:rsidRDefault="00C836E4" w:rsidP="0022152C">
      <w:pPr>
        <w:pStyle w:val="ListBullet"/>
        <w:spacing w:before="80" w:after="80"/>
      </w:pPr>
      <w:r>
        <w:t xml:space="preserve">reduce barriers to entry in upstream and downstream markets; </w:t>
      </w:r>
      <w:r w:rsidR="005C3BB7">
        <w:t xml:space="preserve">and </w:t>
      </w:r>
    </w:p>
    <w:p w14:paraId="498FFC18" w14:textId="1C791AA5" w:rsidR="005C3BB7" w:rsidRDefault="005C3BB7" w:rsidP="0022152C">
      <w:pPr>
        <w:pStyle w:val="ListBullet"/>
        <w:spacing w:before="80" w:after="80"/>
      </w:pPr>
      <w:proofErr w:type="gramStart"/>
      <w:r>
        <w:t>more</w:t>
      </w:r>
      <w:proofErr w:type="gramEnd"/>
      <w:r>
        <w:t xml:space="preserve"> generally promote efficient investment in, and efficient operation and use of, natural gas services. </w:t>
      </w:r>
    </w:p>
    <w:bookmarkEnd w:id="61"/>
    <w:p w14:paraId="1662F0C7" w14:textId="24014D73" w:rsidR="00430035" w:rsidRDefault="00430035" w:rsidP="00430035">
      <w:pPr>
        <w:pStyle w:val="BodyText"/>
      </w:pPr>
      <w:r w:rsidRPr="003D2F88">
        <w:t>When evaluating the design of the capacity trading platform</w:t>
      </w:r>
      <w:r w:rsidR="003416C5">
        <w:t xml:space="preserve"> and day-ahead auction</w:t>
      </w:r>
      <w:r w:rsidRPr="003D2F88">
        <w:t xml:space="preserve">, </w:t>
      </w:r>
      <w:r w:rsidR="00FF5365">
        <w:t xml:space="preserve">the </w:t>
      </w:r>
      <w:r w:rsidRPr="003D2F88">
        <w:t xml:space="preserve">GMRG </w:t>
      </w:r>
      <w:r>
        <w:t xml:space="preserve">will </w:t>
      </w:r>
      <w:r w:rsidRPr="003D2F88">
        <w:t xml:space="preserve">also </w:t>
      </w:r>
      <w:r>
        <w:t xml:space="preserve">have </w:t>
      </w:r>
      <w:r w:rsidRPr="003D2F88">
        <w:t xml:space="preserve">regard to the attributes that the </w:t>
      </w:r>
      <w:r w:rsidR="00FF5365">
        <w:t xml:space="preserve">Capacity Trading Platform and Day-Ahead Auction </w:t>
      </w:r>
      <w:r w:rsidRPr="003D2F88">
        <w:t xml:space="preserve">project teams thought the capacity trading </w:t>
      </w:r>
      <w:r w:rsidR="00917A06">
        <w:t xml:space="preserve">and auction </w:t>
      </w:r>
      <w:r w:rsidRPr="003D2F88">
        <w:t>platform</w:t>
      </w:r>
      <w:r w:rsidR="00917A06">
        <w:t>s</w:t>
      </w:r>
      <w:r w:rsidRPr="003D2F88">
        <w:t xml:space="preserve"> would need to emulate if </w:t>
      </w:r>
      <w:r w:rsidR="00917A06">
        <w:t>they were</w:t>
      </w:r>
      <w:r w:rsidRPr="003D2F88">
        <w:t xml:space="preserve"> to become ‘platforms of choice’ for market participant</w:t>
      </w:r>
      <w:r w:rsidR="00055169">
        <w:t>s</w:t>
      </w:r>
      <w:r w:rsidRPr="003D2F88">
        <w:t>. Thes</w:t>
      </w:r>
      <w:r>
        <w:t xml:space="preserve">e attributes are set out </w:t>
      </w:r>
      <w:r w:rsidR="00FF5365">
        <w:t xml:space="preserve">the table </w:t>
      </w:r>
      <w:r w:rsidRPr="003D2F88">
        <w:t xml:space="preserve">below. </w:t>
      </w:r>
    </w:p>
    <w:p w14:paraId="6CBBCC52" w14:textId="0C4EB6BD" w:rsidR="00430035" w:rsidRDefault="00FF5365" w:rsidP="003416C5">
      <w:pPr>
        <w:pStyle w:val="Caption"/>
        <w:spacing w:after="0"/>
      </w:pPr>
      <w:r>
        <w:t xml:space="preserve">Table </w:t>
      </w:r>
      <w:r w:rsidR="00115A93">
        <w:fldChar w:fldCharType="begin"/>
      </w:r>
      <w:r w:rsidR="00115A93">
        <w:instrText xml:space="preserve"> STYLEREF 1 \s </w:instrText>
      </w:r>
      <w:r w:rsidR="00115A93">
        <w:fldChar w:fldCharType="separate"/>
      </w:r>
      <w:r w:rsidR="00272B32">
        <w:rPr>
          <w:noProof/>
        </w:rPr>
        <w:t>2</w:t>
      </w:r>
      <w:r w:rsidR="00115A93">
        <w:rPr>
          <w:noProof/>
        </w:rPr>
        <w:fldChar w:fldCharType="end"/>
      </w:r>
      <w:r w:rsidR="009A057E">
        <w:t>.</w:t>
      </w:r>
      <w:r w:rsidR="00115A93">
        <w:fldChar w:fldCharType="begin"/>
      </w:r>
      <w:r w:rsidR="00115A93">
        <w:instrText xml:space="preserve"> SEQ Table \* ARABIC \s 1 </w:instrText>
      </w:r>
      <w:r w:rsidR="00115A93">
        <w:fldChar w:fldCharType="separate"/>
      </w:r>
      <w:r w:rsidR="00272B32">
        <w:rPr>
          <w:noProof/>
        </w:rPr>
        <w:t>2</w:t>
      </w:r>
      <w:r w:rsidR="00115A93">
        <w:rPr>
          <w:noProof/>
        </w:rPr>
        <w:fldChar w:fldCharType="end"/>
      </w:r>
      <w:r w:rsidR="00430035">
        <w:t>: ‘Platform of Choice’ evaluation criteria</w:t>
      </w:r>
    </w:p>
    <w:tbl>
      <w:tblPr>
        <w:tblStyle w:val="TableGrid"/>
        <w:tblW w:w="5162" w:type="pct"/>
        <w:tblLook w:val="04A0" w:firstRow="1" w:lastRow="0" w:firstColumn="1" w:lastColumn="0" w:noHBand="0" w:noVBand="1"/>
        <w:tblCaption w:val="Table 2.2: ‘Platform of Choice’ evaluation criteria"/>
        <w:tblDescription w:val="‘Platform of Choice’ evaluation criteria"/>
      </w:tblPr>
      <w:tblGrid>
        <w:gridCol w:w="1701"/>
        <w:gridCol w:w="7372"/>
      </w:tblGrid>
      <w:tr w:rsidR="00430035" w:rsidRPr="0088707A" w14:paraId="6A2E36B6" w14:textId="77777777" w:rsidTr="00D26905">
        <w:trPr>
          <w:cnfStyle w:val="100000000000" w:firstRow="1" w:lastRow="0" w:firstColumn="0" w:lastColumn="0" w:oddVBand="0" w:evenVBand="0" w:oddHBand="0" w:evenHBand="0" w:firstRowFirstColumn="0" w:firstRowLastColumn="0" w:lastRowFirstColumn="0" w:lastRowLastColumn="0"/>
          <w:trHeight w:val="168"/>
          <w:tblHeader/>
        </w:trPr>
        <w:tc>
          <w:tcPr>
            <w:tcW w:w="9072" w:type="dxa"/>
            <w:gridSpan w:val="2"/>
            <w:shd w:val="clear" w:color="auto" w:fill="0099CC"/>
            <w:vAlign w:val="bottom"/>
          </w:tcPr>
          <w:p w14:paraId="7B9A514F" w14:textId="77777777" w:rsidR="00430035" w:rsidRPr="0088707A" w:rsidRDefault="00430035" w:rsidP="00430035">
            <w:pPr>
              <w:pStyle w:val="BodyText"/>
              <w:keepNext/>
              <w:spacing w:before="20" w:after="20"/>
              <w:rPr>
                <w:szCs w:val="18"/>
              </w:rPr>
            </w:pPr>
            <w:r w:rsidRPr="0088707A">
              <w:rPr>
                <w:szCs w:val="18"/>
              </w:rPr>
              <w:t>Evaluation criteria</w:t>
            </w:r>
          </w:p>
        </w:tc>
      </w:tr>
      <w:tr w:rsidR="00430035" w:rsidRPr="0088707A" w14:paraId="03554D52" w14:textId="77777777" w:rsidTr="00430035">
        <w:trPr>
          <w:trHeight w:val="60"/>
        </w:trPr>
        <w:tc>
          <w:tcPr>
            <w:tcW w:w="1701" w:type="dxa"/>
            <w:vMerge w:val="restart"/>
            <w:shd w:val="clear" w:color="auto" w:fill="auto"/>
            <w:vAlign w:val="center"/>
          </w:tcPr>
          <w:p w14:paraId="09F5DD6E" w14:textId="77777777" w:rsidR="00430035" w:rsidRPr="0088707A" w:rsidRDefault="00430035" w:rsidP="00430035">
            <w:pPr>
              <w:pStyle w:val="BodyText"/>
              <w:keepNext/>
              <w:spacing w:before="20" w:after="20"/>
              <w:rPr>
                <w:b/>
                <w:szCs w:val="18"/>
              </w:rPr>
            </w:pPr>
            <w:r w:rsidRPr="0088707A">
              <w:rPr>
                <w:b/>
                <w:szCs w:val="18"/>
              </w:rPr>
              <w:t xml:space="preserve">Operation of </w:t>
            </w:r>
            <w:r>
              <w:rPr>
                <w:b/>
                <w:szCs w:val="18"/>
              </w:rPr>
              <w:t xml:space="preserve">the </w:t>
            </w:r>
            <w:r w:rsidRPr="0088707A">
              <w:rPr>
                <w:b/>
                <w:szCs w:val="18"/>
              </w:rPr>
              <w:t>platform:</w:t>
            </w:r>
          </w:p>
        </w:tc>
        <w:tc>
          <w:tcPr>
            <w:tcW w:w="7371" w:type="dxa"/>
            <w:shd w:val="clear" w:color="auto" w:fill="auto"/>
            <w:vAlign w:val="center"/>
          </w:tcPr>
          <w:p w14:paraId="383C7B5C" w14:textId="7AF20648" w:rsidR="00430035" w:rsidRPr="0088707A" w:rsidRDefault="00430035" w:rsidP="00430035">
            <w:pPr>
              <w:pStyle w:val="BodyText"/>
              <w:keepNext/>
              <w:spacing w:before="20" w:after="20"/>
              <w:rPr>
                <w:szCs w:val="18"/>
              </w:rPr>
            </w:pPr>
            <w:r w:rsidRPr="0088707A">
              <w:rPr>
                <w:szCs w:val="18"/>
              </w:rPr>
              <w:t xml:space="preserve">Operated by </w:t>
            </w:r>
            <w:r w:rsidR="00CE7C87">
              <w:rPr>
                <w:szCs w:val="18"/>
              </w:rPr>
              <w:t xml:space="preserve">an </w:t>
            </w:r>
            <w:r w:rsidRPr="0088707A">
              <w:rPr>
                <w:szCs w:val="18"/>
              </w:rPr>
              <w:t xml:space="preserve">independent </w:t>
            </w:r>
            <w:r>
              <w:rPr>
                <w:szCs w:val="18"/>
              </w:rPr>
              <w:t xml:space="preserve">(i.e. a party that has no commercial interests in the outcome of the trades) </w:t>
            </w:r>
            <w:r w:rsidRPr="0088707A">
              <w:rPr>
                <w:szCs w:val="18"/>
              </w:rPr>
              <w:t xml:space="preserve">and experienced operator </w:t>
            </w:r>
          </w:p>
        </w:tc>
      </w:tr>
      <w:tr w:rsidR="00430035" w:rsidRPr="0088707A" w14:paraId="26A89888" w14:textId="77777777" w:rsidTr="00430035">
        <w:trPr>
          <w:cnfStyle w:val="000000010000" w:firstRow="0" w:lastRow="0" w:firstColumn="0" w:lastColumn="0" w:oddVBand="0" w:evenVBand="0" w:oddHBand="0" w:evenHBand="1" w:firstRowFirstColumn="0" w:firstRowLastColumn="0" w:lastRowFirstColumn="0" w:lastRowLastColumn="0"/>
          <w:trHeight w:val="265"/>
        </w:trPr>
        <w:tc>
          <w:tcPr>
            <w:tcW w:w="1701" w:type="dxa"/>
            <w:vMerge/>
            <w:shd w:val="clear" w:color="auto" w:fill="auto"/>
          </w:tcPr>
          <w:p w14:paraId="7A83EE8B" w14:textId="77777777" w:rsidR="00430035" w:rsidRPr="0088707A" w:rsidRDefault="00430035" w:rsidP="00430035">
            <w:pPr>
              <w:pStyle w:val="BodyText"/>
              <w:keepNext/>
              <w:spacing w:before="20" w:after="20"/>
              <w:rPr>
                <w:szCs w:val="18"/>
              </w:rPr>
            </w:pPr>
          </w:p>
        </w:tc>
        <w:tc>
          <w:tcPr>
            <w:tcW w:w="7371" w:type="dxa"/>
            <w:shd w:val="clear" w:color="auto" w:fill="auto"/>
            <w:vAlign w:val="center"/>
          </w:tcPr>
          <w:p w14:paraId="32634DB3" w14:textId="77777777" w:rsidR="00430035" w:rsidRPr="0088707A" w:rsidRDefault="00430035" w:rsidP="00430035">
            <w:pPr>
              <w:pStyle w:val="BodyText"/>
              <w:keepNext/>
              <w:spacing w:before="20" w:after="20"/>
              <w:rPr>
                <w:szCs w:val="18"/>
              </w:rPr>
            </w:pPr>
            <w:r w:rsidRPr="0088707A">
              <w:rPr>
                <w:szCs w:val="18"/>
              </w:rPr>
              <w:t>Operated in a predictable and reliable manner</w:t>
            </w:r>
          </w:p>
        </w:tc>
      </w:tr>
      <w:tr w:rsidR="00430035" w:rsidRPr="0088707A" w14:paraId="2BF824D8" w14:textId="77777777" w:rsidTr="00430035">
        <w:trPr>
          <w:trHeight w:val="98"/>
        </w:trPr>
        <w:tc>
          <w:tcPr>
            <w:tcW w:w="1701" w:type="dxa"/>
            <w:vMerge/>
            <w:shd w:val="clear" w:color="auto" w:fill="auto"/>
          </w:tcPr>
          <w:p w14:paraId="2CF05E57" w14:textId="77777777" w:rsidR="00430035" w:rsidRPr="0088707A" w:rsidRDefault="00430035" w:rsidP="00430035">
            <w:pPr>
              <w:pStyle w:val="BodyText"/>
              <w:keepNext/>
              <w:spacing w:before="20" w:after="20"/>
              <w:rPr>
                <w:szCs w:val="18"/>
              </w:rPr>
            </w:pPr>
          </w:p>
        </w:tc>
        <w:tc>
          <w:tcPr>
            <w:tcW w:w="7371" w:type="dxa"/>
            <w:shd w:val="clear" w:color="auto" w:fill="auto"/>
            <w:vAlign w:val="center"/>
          </w:tcPr>
          <w:p w14:paraId="1C600DA5" w14:textId="77777777" w:rsidR="00430035" w:rsidRPr="0088707A" w:rsidRDefault="00430035" w:rsidP="00430035">
            <w:pPr>
              <w:pStyle w:val="BodyText"/>
              <w:keepNext/>
              <w:spacing w:before="20" w:after="20"/>
              <w:rPr>
                <w:szCs w:val="18"/>
              </w:rPr>
            </w:pPr>
            <w:r w:rsidRPr="0088707A">
              <w:rPr>
                <w:szCs w:val="18"/>
              </w:rPr>
              <w:t>Operation of platform underpinned by a robust governance framework</w:t>
            </w:r>
          </w:p>
        </w:tc>
      </w:tr>
      <w:tr w:rsidR="00430035" w:rsidRPr="0088707A" w14:paraId="78F7FF6E" w14:textId="77777777" w:rsidTr="00430035">
        <w:trPr>
          <w:cnfStyle w:val="000000010000" w:firstRow="0" w:lastRow="0" w:firstColumn="0" w:lastColumn="0" w:oddVBand="0" w:evenVBand="0" w:oddHBand="0" w:evenHBand="1" w:firstRowFirstColumn="0" w:firstRowLastColumn="0" w:lastRowFirstColumn="0" w:lastRowLastColumn="0"/>
          <w:trHeight w:val="217"/>
        </w:trPr>
        <w:tc>
          <w:tcPr>
            <w:tcW w:w="1701" w:type="dxa"/>
            <w:vMerge/>
            <w:shd w:val="clear" w:color="auto" w:fill="auto"/>
          </w:tcPr>
          <w:p w14:paraId="69AA4B42" w14:textId="77777777" w:rsidR="00430035" w:rsidRPr="0088707A" w:rsidRDefault="00430035" w:rsidP="00430035">
            <w:pPr>
              <w:pStyle w:val="BodyText"/>
              <w:keepNext/>
              <w:spacing w:before="20" w:after="20"/>
              <w:rPr>
                <w:szCs w:val="18"/>
              </w:rPr>
            </w:pPr>
          </w:p>
        </w:tc>
        <w:tc>
          <w:tcPr>
            <w:tcW w:w="7371" w:type="dxa"/>
            <w:shd w:val="clear" w:color="auto" w:fill="auto"/>
            <w:vAlign w:val="center"/>
          </w:tcPr>
          <w:p w14:paraId="4516062E" w14:textId="77777777" w:rsidR="00430035" w:rsidRPr="0088707A" w:rsidRDefault="00430035" w:rsidP="00430035">
            <w:pPr>
              <w:pStyle w:val="BodyText"/>
              <w:keepNext/>
              <w:spacing w:before="20" w:after="20"/>
              <w:rPr>
                <w:szCs w:val="18"/>
              </w:rPr>
            </w:pPr>
            <w:r w:rsidRPr="0088707A">
              <w:rPr>
                <w:szCs w:val="18"/>
              </w:rPr>
              <w:t>Transparency in costs and operation of platform</w:t>
            </w:r>
          </w:p>
        </w:tc>
      </w:tr>
      <w:tr w:rsidR="00430035" w:rsidRPr="0088707A" w14:paraId="372EB532" w14:textId="77777777" w:rsidTr="00430035">
        <w:trPr>
          <w:trHeight w:val="386"/>
        </w:trPr>
        <w:tc>
          <w:tcPr>
            <w:tcW w:w="1701" w:type="dxa"/>
            <w:vMerge w:val="restart"/>
            <w:shd w:val="clear" w:color="auto" w:fill="auto"/>
            <w:vAlign w:val="center"/>
          </w:tcPr>
          <w:p w14:paraId="5D0F0E4E" w14:textId="66C68DF9" w:rsidR="00430035" w:rsidRPr="0088707A" w:rsidRDefault="00430035" w:rsidP="00430035">
            <w:pPr>
              <w:pStyle w:val="BodyText"/>
              <w:keepNext/>
              <w:spacing w:before="20" w:after="20"/>
              <w:rPr>
                <w:b/>
                <w:szCs w:val="18"/>
              </w:rPr>
            </w:pPr>
            <w:r w:rsidRPr="0088707A">
              <w:rPr>
                <w:b/>
                <w:szCs w:val="18"/>
              </w:rPr>
              <w:t xml:space="preserve">Trading Platform </w:t>
            </w:r>
            <w:r>
              <w:rPr>
                <w:b/>
                <w:szCs w:val="18"/>
              </w:rPr>
              <w:t>f</w:t>
            </w:r>
            <w:r w:rsidRPr="0088707A">
              <w:rPr>
                <w:b/>
                <w:szCs w:val="18"/>
              </w:rPr>
              <w:t>eatures:</w:t>
            </w:r>
          </w:p>
        </w:tc>
        <w:tc>
          <w:tcPr>
            <w:tcW w:w="7371" w:type="dxa"/>
            <w:shd w:val="clear" w:color="auto" w:fill="auto"/>
            <w:vAlign w:val="center"/>
          </w:tcPr>
          <w:p w14:paraId="25A49D2E" w14:textId="77777777" w:rsidR="00430035" w:rsidRPr="0088707A" w:rsidRDefault="00430035" w:rsidP="00430035">
            <w:pPr>
              <w:pStyle w:val="BodyText"/>
              <w:keepNext/>
              <w:spacing w:before="20" w:after="20"/>
              <w:rPr>
                <w:szCs w:val="18"/>
              </w:rPr>
            </w:pPr>
            <w:r w:rsidRPr="0088707A">
              <w:rPr>
                <w:szCs w:val="18"/>
              </w:rPr>
              <w:t>Provides for low transaction costs and quick and effective execution of trades</w:t>
            </w:r>
          </w:p>
        </w:tc>
      </w:tr>
      <w:tr w:rsidR="00430035" w:rsidRPr="0088707A" w14:paraId="632B87AD" w14:textId="77777777" w:rsidTr="00430035">
        <w:trPr>
          <w:cnfStyle w:val="000000010000" w:firstRow="0" w:lastRow="0" w:firstColumn="0" w:lastColumn="0" w:oddVBand="0" w:evenVBand="0" w:oddHBand="0" w:evenHBand="1" w:firstRowFirstColumn="0" w:firstRowLastColumn="0" w:lastRowFirstColumn="0" w:lastRowLastColumn="0"/>
        </w:trPr>
        <w:tc>
          <w:tcPr>
            <w:tcW w:w="1701" w:type="dxa"/>
            <w:vMerge/>
            <w:shd w:val="clear" w:color="auto" w:fill="auto"/>
          </w:tcPr>
          <w:p w14:paraId="15E9FD95" w14:textId="77777777" w:rsidR="00430035" w:rsidRPr="0088707A" w:rsidRDefault="00430035" w:rsidP="00430035">
            <w:pPr>
              <w:pStyle w:val="BodyText"/>
              <w:keepNext/>
              <w:spacing w:before="20" w:after="20"/>
              <w:rPr>
                <w:szCs w:val="18"/>
              </w:rPr>
            </w:pPr>
          </w:p>
        </w:tc>
        <w:tc>
          <w:tcPr>
            <w:tcW w:w="7371" w:type="dxa"/>
            <w:shd w:val="clear" w:color="auto" w:fill="auto"/>
            <w:vAlign w:val="center"/>
          </w:tcPr>
          <w:p w14:paraId="4CB1FC5E" w14:textId="23444562" w:rsidR="00430035" w:rsidRPr="0088707A" w:rsidRDefault="00430035" w:rsidP="00430035">
            <w:pPr>
              <w:pStyle w:val="BodyText"/>
              <w:keepNext/>
              <w:spacing w:before="20" w:after="20"/>
              <w:rPr>
                <w:szCs w:val="18"/>
              </w:rPr>
            </w:pPr>
            <w:r w:rsidRPr="0088707A">
              <w:rPr>
                <w:szCs w:val="18"/>
              </w:rPr>
              <w:t xml:space="preserve">Readily integrated with </w:t>
            </w:r>
            <w:r w:rsidR="00852D52">
              <w:rPr>
                <w:szCs w:val="18"/>
              </w:rPr>
              <w:t>service providers</w:t>
            </w:r>
            <w:r w:rsidRPr="0088707A">
              <w:rPr>
                <w:szCs w:val="18"/>
              </w:rPr>
              <w:t xml:space="preserve">’ nominations and scheduling processes </w:t>
            </w:r>
          </w:p>
        </w:tc>
      </w:tr>
      <w:tr w:rsidR="00430035" w:rsidRPr="0088707A" w14:paraId="4EEC2F2C" w14:textId="77777777" w:rsidTr="00430035">
        <w:trPr>
          <w:trHeight w:val="253"/>
        </w:trPr>
        <w:tc>
          <w:tcPr>
            <w:tcW w:w="1701" w:type="dxa"/>
            <w:vMerge w:val="restart"/>
            <w:shd w:val="clear" w:color="auto" w:fill="auto"/>
            <w:vAlign w:val="center"/>
          </w:tcPr>
          <w:p w14:paraId="1800D669" w14:textId="77777777" w:rsidR="00430035" w:rsidRPr="0088707A" w:rsidRDefault="00430035" w:rsidP="00430035">
            <w:pPr>
              <w:pStyle w:val="BodyText"/>
              <w:keepNext/>
              <w:spacing w:before="20" w:after="20"/>
              <w:rPr>
                <w:b/>
                <w:szCs w:val="18"/>
              </w:rPr>
            </w:pPr>
            <w:r w:rsidRPr="0088707A">
              <w:rPr>
                <w:b/>
                <w:szCs w:val="18"/>
              </w:rPr>
              <w:t xml:space="preserve">Co-ordination benefits: </w:t>
            </w:r>
          </w:p>
        </w:tc>
        <w:tc>
          <w:tcPr>
            <w:tcW w:w="7371" w:type="dxa"/>
            <w:shd w:val="clear" w:color="auto" w:fill="auto"/>
            <w:vAlign w:val="center"/>
          </w:tcPr>
          <w:p w14:paraId="732E3676" w14:textId="77777777" w:rsidR="00430035" w:rsidRPr="0088707A" w:rsidRDefault="00430035" w:rsidP="00430035">
            <w:pPr>
              <w:pStyle w:val="BodyText"/>
              <w:keepNext/>
              <w:spacing w:before="20" w:after="20"/>
              <w:rPr>
                <w:szCs w:val="18"/>
              </w:rPr>
            </w:pPr>
            <w:r w:rsidRPr="0088707A">
              <w:rPr>
                <w:szCs w:val="18"/>
              </w:rPr>
              <w:t>Shippers can readily co-ordinate trades across pipelines</w:t>
            </w:r>
          </w:p>
        </w:tc>
      </w:tr>
      <w:tr w:rsidR="00430035" w:rsidRPr="0088707A" w14:paraId="36E5CC0C" w14:textId="77777777" w:rsidTr="00430035">
        <w:trPr>
          <w:cnfStyle w:val="000000010000" w:firstRow="0" w:lastRow="0" w:firstColumn="0" w:lastColumn="0" w:oddVBand="0" w:evenVBand="0" w:oddHBand="0" w:evenHBand="1" w:firstRowFirstColumn="0" w:firstRowLastColumn="0" w:lastRowFirstColumn="0" w:lastRowLastColumn="0"/>
          <w:trHeight w:val="253"/>
        </w:trPr>
        <w:tc>
          <w:tcPr>
            <w:tcW w:w="1701" w:type="dxa"/>
            <w:vMerge/>
            <w:shd w:val="clear" w:color="auto" w:fill="auto"/>
          </w:tcPr>
          <w:p w14:paraId="55DA90D0" w14:textId="77777777" w:rsidR="00430035" w:rsidRPr="0088707A" w:rsidRDefault="00430035" w:rsidP="00430035">
            <w:pPr>
              <w:pStyle w:val="BodyText"/>
              <w:keepNext/>
              <w:spacing w:before="20" w:after="20"/>
              <w:rPr>
                <w:b/>
                <w:szCs w:val="18"/>
              </w:rPr>
            </w:pPr>
          </w:p>
        </w:tc>
        <w:tc>
          <w:tcPr>
            <w:tcW w:w="7371" w:type="dxa"/>
            <w:shd w:val="clear" w:color="auto" w:fill="auto"/>
            <w:vAlign w:val="center"/>
          </w:tcPr>
          <w:p w14:paraId="3CF24FA2" w14:textId="77777777" w:rsidR="00430035" w:rsidRPr="0088707A" w:rsidRDefault="00430035" w:rsidP="00430035">
            <w:pPr>
              <w:pStyle w:val="BodyText"/>
              <w:keepNext/>
              <w:spacing w:before="20" w:after="20"/>
              <w:rPr>
                <w:szCs w:val="18"/>
              </w:rPr>
            </w:pPr>
            <w:r w:rsidRPr="0088707A">
              <w:rPr>
                <w:szCs w:val="18"/>
              </w:rPr>
              <w:t>Shippers can readily co-ordinate trades through the capacity trading platform and the day-ahead auction</w:t>
            </w:r>
          </w:p>
        </w:tc>
      </w:tr>
      <w:tr w:rsidR="00430035" w:rsidRPr="0088707A" w14:paraId="6C87B15F" w14:textId="77777777" w:rsidTr="00430035">
        <w:trPr>
          <w:trHeight w:val="375"/>
        </w:trPr>
        <w:tc>
          <w:tcPr>
            <w:tcW w:w="1701" w:type="dxa"/>
            <w:vMerge/>
            <w:shd w:val="clear" w:color="auto" w:fill="auto"/>
          </w:tcPr>
          <w:p w14:paraId="28D1CC2A" w14:textId="77777777" w:rsidR="00430035" w:rsidRPr="0088707A" w:rsidRDefault="00430035" w:rsidP="00430035">
            <w:pPr>
              <w:pStyle w:val="BodyText"/>
              <w:keepNext/>
              <w:spacing w:before="20" w:after="20"/>
              <w:rPr>
                <w:szCs w:val="18"/>
              </w:rPr>
            </w:pPr>
          </w:p>
        </w:tc>
        <w:tc>
          <w:tcPr>
            <w:tcW w:w="7371" w:type="dxa"/>
            <w:shd w:val="clear" w:color="auto" w:fill="auto"/>
            <w:vAlign w:val="center"/>
          </w:tcPr>
          <w:p w14:paraId="13923F00" w14:textId="528B2BE5" w:rsidR="00430035" w:rsidRPr="0088707A" w:rsidRDefault="00430035" w:rsidP="00430035">
            <w:pPr>
              <w:pStyle w:val="BodyText"/>
              <w:keepNext/>
              <w:spacing w:before="20" w:after="20"/>
              <w:rPr>
                <w:szCs w:val="18"/>
              </w:rPr>
            </w:pPr>
            <w:r w:rsidRPr="0088707A">
              <w:rPr>
                <w:szCs w:val="18"/>
              </w:rPr>
              <w:t xml:space="preserve">Shippers can readily co-ordinate trades with other gas services on the </w:t>
            </w:r>
            <w:r>
              <w:rPr>
                <w:szCs w:val="18"/>
              </w:rPr>
              <w:t>GSH</w:t>
            </w:r>
            <w:r w:rsidR="006B7AC6">
              <w:rPr>
                <w:szCs w:val="18"/>
              </w:rPr>
              <w:t xml:space="preserve"> </w:t>
            </w:r>
          </w:p>
        </w:tc>
      </w:tr>
      <w:tr w:rsidR="00430035" w:rsidRPr="0088707A" w14:paraId="40F7D4A6" w14:textId="77777777" w:rsidTr="00430035">
        <w:trPr>
          <w:cnfStyle w:val="000000010000" w:firstRow="0" w:lastRow="0" w:firstColumn="0" w:lastColumn="0" w:oddVBand="0" w:evenVBand="0" w:oddHBand="0" w:evenHBand="1" w:firstRowFirstColumn="0" w:firstRowLastColumn="0" w:lastRowFirstColumn="0" w:lastRowLastColumn="0"/>
        </w:trPr>
        <w:tc>
          <w:tcPr>
            <w:tcW w:w="1701" w:type="dxa"/>
            <w:vMerge w:val="restart"/>
            <w:shd w:val="clear" w:color="auto" w:fill="auto"/>
            <w:vAlign w:val="center"/>
          </w:tcPr>
          <w:p w14:paraId="2CAC8991" w14:textId="77777777" w:rsidR="00430035" w:rsidRPr="0088707A" w:rsidRDefault="00430035" w:rsidP="00430035">
            <w:pPr>
              <w:pStyle w:val="BodyText"/>
              <w:keepNext/>
              <w:spacing w:before="20" w:after="20"/>
              <w:rPr>
                <w:b/>
                <w:szCs w:val="18"/>
              </w:rPr>
            </w:pPr>
            <w:r w:rsidRPr="0088707A">
              <w:rPr>
                <w:b/>
                <w:szCs w:val="18"/>
              </w:rPr>
              <w:t>Scale and scope benefits and adaptability:</w:t>
            </w:r>
          </w:p>
        </w:tc>
        <w:tc>
          <w:tcPr>
            <w:tcW w:w="7371" w:type="dxa"/>
            <w:shd w:val="clear" w:color="auto" w:fill="auto"/>
            <w:vAlign w:val="center"/>
          </w:tcPr>
          <w:p w14:paraId="7226437C" w14:textId="77777777" w:rsidR="00430035" w:rsidRPr="0088707A" w:rsidRDefault="00430035" w:rsidP="00430035">
            <w:pPr>
              <w:pStyle w:val="BodyText"/>
              <w:keepNext/>
              <w:spacing w:before="20" w:after="20"/>
              <w:rPr>
                <w:szCs w:val="18"/>
              </w:rPr>
            </w:pPr>
            <w:r w:rsidRPr="0088707A">
              <w:rPr>
                <w:szCs w:val="18"/>
              </w:rPr>
              <w:t>Capable of capturing scale and scope benefits</w:t>
            </w:r>
          </w:p>
        </w:tc>
      </w:tr>
      <w:tr w:rsidR="00430035" w:rsidRPr="0088707A" w14:paraId="75702920" w14:textId="77777777" w:rsidTr="00430035">
        <w:tc>
          <w:tcPr>
            <w:tcW w:w="1701" w:type="dxa"/>
            <w:vMerge/>
            <w:shd w:val="clear" w:color="auto" w:fill="auto"/>
          </w:tcPr>
          <w:p w14:paraId="7EA5ADA8" w14:textId="77777777" w:rsidR="00430035" w:rsidRPr="0088707A" w:rsidRDefault="00430035" w:rsidP="00430035">
            <w:pPr>
              <w:pStyle w:val="BodyText"/>
              <w:keepNext/>
              <w:spacing w:before="20" w:after="20"/>
              <w:rPr>
                <w:szCs w:val="18"/>
              </w:rPr>
            </w:pPr>
          </w:p>
        </w:tc>
        <w:tc>
          <w:tcPr>
            <w:tcW w:w="7371" w:type="dxa"/>
            <w:shd w:val="clear" w:color="auto" w:fill="auto"/>
            <w:vAlign w:val="center"/>
          </w:tcPr>
          <w:p w14:paraId="3503FF91" w14:textId="77777777" w:rsidR="00430035" w:rsidRPr="0088707A" w:rsidRDefault="00430035" w:rsidP="00430035">
            <w:pPr>
              <w:pStyle w:val="BodyText"/>
              <w:keepNext/>
              <w:spacing w:before="20" w:after="20"/>
              <w:rPr>
                <w:szCs w:val="18"/>
              </w:rPr>
            </w:pPr>
            <w:r w:rsidRPr="0088707A">
              <w:rPr>
                <w:szCs w:val="18"/>
              </w:rPr>
              <w:t>Future proof, scalable and adaptable</w:t>
            </w:r>
          </w:p>
        </w:tc>
      </w:tr>
    </w:tbl>
    <w:p w14:paraId="2F555D41" w14:textId="77777777" w:rsidR="00430035" w:rsidRDefault="00430035" w:rsidP="00430035">
      <w:pPr>
        <w:pStyle w:val="ListBullet"/>
        <w:numPr>
          <w:ilvl w:val="0"/>
          <w:numId w:val="0"/>
        </w:numPr>
        <w:spacing w:before="80" w:after="80"/>
        <w:ind w:left="357" w:hanging="357"/>
      </w:pPr>
    </w:p>
    <w:p w14:paraId="33C7029B" w14:textId="77777777" w:rsidR="00A45719" w:rsidRPr="00777F22" w:rsidRDefault="00A45719" w:rsidP="00777F22">
      <w:pPr>
        <w:pStyle w:val="ListBullet"/>
        <w:numPr>
          <w:ilvl w:val="0"/>
          <w:numId w:val="0"/>
        </w:numPr>
        <w:spacing w:before="0" w:after="0"/>
        <w:ind w:left="357" w:hanging="357"/>
        <w:rPr>
          <w:sz w:val="2"/>
          <w:szCs w:val="2"/>
        </w:rPr>
      </w:pPr>
      <w:r w:rsidRPr="00777F22">
        <w:rPr>
          <w:sz w:val="2"/>
          <w:szCs w:val="2"/>
        </w:rPr>
        <w:br w:type="page"/>
      </w:r>
    </w:p>
    <w:p w14:paraId="0970D283" w14:textId="3A0B4B0F" w:rsidR="009467E3" w:rsidRPr="00951BE8" w:rsidRDefault="009467E3" w:rsidP="006B3497">
      <w:pPr>
        <w:pStyle w:val="ExecSummHeading1"/>
        <w:spacing w:after="0"/>
        <w:ind w:left="1134" w:hanging="1134"/>
      </w:pPr>
      <w:bookmarkStart w:id="62" w:name="_Toc495351628"/>
      <w:r w:rsidRPr="00951BE8">
        <w:t xml:space="preserve">Part A: </w:t>
      </w:r>
      <w:r w:rsidR="003416C5" w:rsidRPr="00951BE8">
        <w:t>Day-</w:t>
      </w:r>
      <w:r w:rsidR="00A07059" w:rsidRPr="00951BE8">
        <w:t>A</w:t>
      </w:r>
      <w:r w:rsidR="003416C5" w:rsidRPr="00951BE8">
        <w:t xml:space="preserve">head </w:t>
      </w:r>
      <w:r w:rsidR="00A07059" w:rsidRPr="00951BE8">
        <w:t>A</w:t>
      </w:r>
      <w:r w:rsidR="003416C5" w:rsidRPr="00951BE8">
        <w:t>uction</w:t>
      </w:r>
      <w:r w:rsidRPr="00951BE8">
        <w:t xml:space="preserve"> </w:t>
      </w:r>
      <w:r w:rsidR="00A07059" w:rsidRPr="00951BE8">
        <w:t xml:space="preserve">of Contracted but </w:t>
      </w:r>
      <w:r w:rsidR="006B3497">
        <w:br/>
      </w:r>
      <w:r w:rsidR="00A07059" w:rsidRPr="00951BE8">
        <w:t>Un-Nominated Capacity</w:t>
      </w:r>
      <w:bookmarkEnd w:id="62"/>
    </w:p>
    <w:p w14:paraId="0887D5FA" w14:textId="097B5E59" w:rsidR="00912811" w:rsidRDefault="00D417C3" w:rsidP="00B520FF">
      <w:pPr>
        <w:pStyle w:val="BodyText"/>
        <w:rPr>
          <w:rFonts w:asciiTheme="majorHAnsi" w:eastAsiaTheme="minorEastAsia" w:hAnsiTheme="majorHAnsi" w:cstheme="majorHAnsi"/>
        </w:rPr>
      </w:pPr>
      <w:r w:rsidRPr="00951BE8">
        <w:t xml:space="preserve">In the </w:t>
      </w:r>
      <w:r w:rsidRPr="00951BE8">
        <w:rPr>
          <w:i/>
        </w:rPr>
        <w:t>East Coast Review</w:t>
      </w:r>
      <w:r w:rsidRPr="00951BE8">
        <w:t xml:space="preserve">, </w:t>
      </w:r>
      <w:r w:rsidR="00A07059" w:rsidRPr="00951BE8">
        <w:t>the AEMC recommended the introduction of a day-ahead</w:t>
      </w:r>
      <w:r w:rsidR="00A07059">
        <w:t xml:space="preserve"> auction of contracted but un-nominated </w:t>
      </w:r>
      <w:r w:rsidR="00E90435">
        <w:t xml:space="preserve">transportation </w:t>
      </w:r>
      <w:r w:rsidR="00A07059">
        <w:t>capacity that would be carried out shortly after nomination cut-off time</w:t>
      </w:r>
      <w:r w:rsidR="007B50BF">
        <w:t xml:space="preserve"> on gas day D-1</w:t>
      </w:r>
      <w:r w:rsidR="00A07059">
        <w:t xml:space="preserve"> and subject to a zero reserve price (with compressor fuel provided in-kind by shippers). </w:t>
      </w:r>
      <w:r w:rsidR="00F9660E">
        <w:rPr>
          <w:rFonts w:asciiTheme="majorHAnsi" w:eastAsiaTheme="minorEastAsia" w:hAnsiTheme="majorHAnsi" w:cstheme="majorHAnsi"/>
        </w:rPr>
        <w:t>In doing so, the AEMC noted that the day-ahead auction would</w:t>
      </w:r>
      <w:r w:rsidR="00B520FF">
        <w:rPr>
          <w:rFonts w:asciiTheme="majorHAnsi" w:eastAsiaTheme="minorEastAsia" w:hAnsiTheme="majorHAnsi" w:cstheme="majorHAnsi"/>
        </w:rPr>
        <w:t xml:space="preserve"> i</w:t>
      </w:r>
      <w:r w:rsidR="00A07059" w:rsidRPr="001A5176">
        <w:rPr>
          <w:rFonts w:asciiTheme="majorHAnsi" w:eastAsiaTheme="minorEastAsia" w:hAnsiTheme="majorHAnsi" w:cstheme="majorHAnsi"/>
        </w:rPr>
        <w:t xml:space="preserve">mprove the incentives shippers have to trade capacity and </w:t>
      </w:r>
      <w:r w:rsidR="00F9660E">
        <w:rPr>
          <w:rFonts w:asciiTheme="majorHAnsi" w:eastAsiaTheme="minorEastAsia" w:hAnsiTheme="majorHAnsi" w:cstheme="majorHAnsi"/>
        </w:rPr>
        <w:t>allow the market</w:t>
      </w:r>
      <w:r w:rsidR="00B520FF">
        <w:rPr>
          <w:rFonts w:asciiTheme="majorHAnsi" w:eastAsiaTheme="minorEastAsia" w:hAnsiTheme="majorHAnsi" w:cstheme="majorHAnsi"/>
        </w:rPr>
        <w:t>, rather than service providers,</w:t>
      </w:r>
      <w:r w:rsidR="00F9660E">
        <w:rPr>
          <w:rFonts w:asciiTheme="majorHAnsi" w:eastAsiaTheme="minorEastAsia" w:hAnsiTheme="majorHAnsi" w:cstheme="majorHAnsi"/>
        </w:rPr>
        <w:t xml:space="preserve"> </w:t>
      </w:r>
      <w:r w:rsidR="00E90435">
        <w:rPr>
          <w:rFonts w:asciiTheme="majorHAnsi" w:eastAsiaTheme="minorEastAsia" w:hAnsiTheme="majorHAnsi" w:cstheme="majorHAnsi"/>
        </w:rPr>
        <w:t xml:space="preserve">to </w:t>
      </w:r>
      <w:r w:rsidR="00F9660E">
        <w:rPr>
          <w:rFonts w:asciiTheme="majorHAnsi" w:eastAsiaTheme="minorEastAsia" w:hAnsiTheme="majorHAnsi" w:cstheme="majorHAnsi"/>
        </w:rPr>
        <w:t xml:space="preserve">determine the price of contracted but un-nominated </w:t>
      </w:r>
      <w:r w:rsidR="00A07059" w:rsidRPr="001A5176">
        <w:rPr>
          <w:rFonts w:asciiTheme="majorHAnsi" w:eastAsiaTheme="minorEastAsia" w:hAnsiTheme="majorHAnsi" w:cstheme="majorHAnsi"/>
        </w:rPr>
        <w:t>capacity</w:t>
      </w:r>
      <w:r w:rsidR="00B520FF">
        <w:rPr>
          <w:rFonts w:asciiTheme="majorHAnsi" w:eastAsiaTheme="minorEastAsia" w:hAnsiTheme="majorHAnsi" w:cstheme="majorHAnsi"/>
        </w:rPr>
        <w:t xml:space="preserve"> and allocate </w:t>
      </w:r>
      <w:r w:rsidR="00E90435">
        <w:rPr>
          <w:rFonts w:asciiTheme="majorHAnsi" w:eastAsiaTheme="minorEastAsia" w:hAnsiTheme="majorHAnsi" w:cstheme="majorHAnsi"/>
        </w:rPr>
        <w:t xml:space="preserve">this </w:t>
      </w:r>
      <w:r w:rsidR="00B520FF">
        <w:rPr>
          <w:rFonts w:asciiTheme="majorHAnsi" w:eastAsiaTheme="minorEastAsia" w:hAnsiTheme="majorHAnsi" w:cstheme="majorHAnsi"/>
        </w:rPr>
        <w:t>capacity in a non-discriminatory manner to those that value it most</w:t>
      </w:r>
      <w:r w:rsidR="00F9660E">
        <w:rPr>
          <w:rFonts w:asciiTheme="majorHAnsi" w:eastAsiaTheme="minorEastAsia" w:hAnsiTheme="majorHAnsi" w:cstheme="majorHAnsi"/>
        </w:rPr>
        <w:t xml:space="preserve">. </w:t>
      </w:r>
    </w:p>
    <w:p w14:paraId="77DAC3D8" w14:textId="4247308E" w:rsidR="00A07059" w:rsidRDefault="00B520FF" w:rsidP="00B520FF">
      <w:pPr>
        <w:pStyle w:val="BodyText"/>
        <w:rPr>
          <w:rFonts w:asciiTheme="majorHAnsi" w:eastAsiaTheme="minorEastAsia" w:hAnsiTheme="majorHAnsi" w:cstheme="majorHAnsi"/>
        </w:rPr>
      </w:pPr>
      <w:r>
        <w:rPr>
          <w:rFonts w:asciiTheme="majorHAnsi" w:eastAsiaTheme="minorEastAsia" w:hAnsiTheme="majorHAnsi" w:cstheme="majorHAnsi"/>
        </w:rPr>
        <w:t>Elaborating further</w:t>
      </w:r>
      <w:r w:rsidR="00E90435">
        <w:rPr>
          <w:rFonts w:asciiTheme="majorHAnsi" w:eastAsiaTheme="minorEastAsia" w:hAnsiTheme="majorHAnsi" w:cstheme="majorHAnsi"/>
        </w:rPr>
        <w:t xml:space="preserve"> on this recommendation</w:t>
      </w:r>
      <w:r>
        <w:rPr>
          <w:rFonts w:asciiTheme="majorHAnsi" w:eastAsiaTheme="minorEastAsia" w:hAnsiTheme="majorHAnsi" w:cstheme="majorHAnsi"/>
        </w:rPr>
        <w:t xml:space="preserve">, the </w:t>
      </w:r>
      <w:r w:rsidR="00A07059" w:rsidRPr="001A5176">
        <w:rPr>
          <w:rFonts w:asciiTheme="majorHAnsi" w:eastAsiaTheme="minorEastAsia" w:hAnsiTheme="majorHAnsi" w:cstheme="majorHAnsi"/>
        </w:rPr>
        <w:t>AEMC noted that:</w:t>
      </w:r>
      <w:r>
        <w:rPr>
          <w:rStyle w:val="FootnoteReference"/>
          <w:rFonts w:asciiTheme="majorHAnsi" w:eastAsiaTheme="minorEastAsia" w:hAnsiTheme="majorHAnsi" w:cstheme="majorHAnsi"/>
        </w:rPr>
        <w:footnoteReference w:id="19"/>
      </w:r>
    </w:p>
    <w:p w14:paraId="1E98208B" w14:textId="20780612" w:rsidR="00A07059" w:rsidRPr="001A5176" w:rsidRDefault="00A07059" w:rsidP="00B520FF">
      <w:pPr>
        <w:pStyle w:val="ListBullet"/>
        <w:rPr>
          <w:rFonts w:eastAsiaTheme="minorEastAsia"/>
        </w:rPr>
      </w:pPr>
      <w:r w:rsidRPr="001A5176">
        <w:rPr>
          <w:rFonts w:eastAsiaTheme="minorEastAsia"/>
        </w:rPr>
        <w:t>shippers may not have a strong incentive to sell spare capacity because the cost</w:t>
      </w:r>
      <w:r w:rsidR="00F9660E">
        <w:rPr>
          <w:rFonts w:eastAsiaTheme="minorEastAsia"/>
        </w:rPr>
        <w:t xml:space="preserve"> and</w:t>
      </w:r>
      <w:r w:rsidRPr="001A5176">
        <w:rPr>
          <w:rFonts w:eastAsiaTheme="minorEastAsia"/>
        </w:rPr>
        <w:t xml:space="preserve"> effort </w:t>
      </w:r>
      <w:r w:rsidR="00F9660E">
        <w:rPr>
          <w:rFonts w:eastAsiaTheme="minorEastAsia"/>
        </w:rPr>
        <w:t>of doing so</w:t>
      </w:r>
      <w:r w:rsidR="00E90435">
        <w:rPr>
          <w:rFonts w:eastAsiaTheme="minorEastAsia"/>
        </w:rPr>
        <w:t>,</w:t>
      </w:r>
      <w:r w:rsidR="00F9660E">
        <w:rPr>
          <w:rFonts w:eastAsiaTheme="minorEastAsia"/>
        </w:rPr>
        <w:t xml:space="preserve"> </w:t>
      </w:r>
      <w:r w:rsidRPr="001A5176">
        <w:rPr>
          <w:rFonts w:eastAsiaTheme="minorEastAsia"/>
        </w:rPr>
        <w:t xml:space="preserve">and </w:t>
      </w:r>
      <w:r w:rsidR="00F9660E">
        <w:rPr>
          <w:rFonts w:eastAsiaTheme="minorEastAsia"/>
        </w:rPr>
        <w:t xml:space="preserve">the </w:t>
      </w:r>
      <w:r w:rsidRPr="001A5176">
        <w:rPr>
          <w:rFonts w:eastAsiaTheme="minorEastAsia"/>
        </w:rPr>
        <w:t xml:space="preserve">risk </w:t>
      </w:r>
      <w:r w:rsidR="00F9660E">
        <w:rPr>
          <w:rFonts w:eastAsiaTheme="minorEastAsia"/>
        </w:rPr>
        <w:t>of being short capacity if the sale occurs a long time before the nomination cut-off time</w:t>
      </w:r>
      <w:r w:rsidR="00E90435">
        <w:rPr>
          <w:rFonts w:eastAsiaTheme="minorEastAsia"/>
        </w:rPr>
        <w:t>,</w:t>
      </w:r>
      <w:r w:rsidR="00F9660E">
        <w:rPr>
          <w:rFonts w:eastAsiaTheme="minorEastAsia"/>
        </w:rPr>
        <w:t xml:space="preserve"> </w:t>
      </w:r>
      <w:r w:rsidRPr="001A5176">
        <w:rPr>
          <w:rFonts w:eastAsiaTheme="minorEastAsia"/>
        </w:rPr>
        <w:t xml:space="preserve">may exceed the revenue generated; </w:t>
      </w:r>
    </w:p>
    <w:p w14:paraId="4D253DB3" w14:textId="3A97C7B9" w:rsidR="00A07059" w:rsidRDefault="00A07059" w:rsidP="00B520FF">
      <w:pPr>
        <w:pStyle w:val="ListBullet"/>
        <w:rPr>
          <w:rFonts w:eastAsiaTheme="minorEastAsia"/>
        </w:rPr>
      </w:pPr>
      <w:r w:rsidRPr="001A5176">
        <w:rPr>
          <w:rFonts w:eastAsiaTheme="minorEastAsia"/>
        </w:rPr>
        <w:t xml:space="preserve">the </w:t>
      </w:r>
      <w:r w:rsidR="00F9660E">
        <w:rPr>
          <w:rFonts w:eastAsiaTheme="minorEastAsia"/>
        </w:rPr>
        <w:t>service provider</w:t>
      </w:r>
      <w:r w:rsidRPr="001A5176">
        <w:rPr>
          <w:rFonts w:eastAsiaTheme="minorEastAsia"/>
        </w:rPr>
        <w:t xml:space="preserve">, as the only seller of </w:t>
      </w:r>
      <w:r w:rsidR="00912811">
        <w:rPr>
          <w:rFonts w:eastAsiaTheme="minorEastAsia"/>
        </w:rPr>
        <w:t xml:space="preserve">day-ahead </w:t>
      </w:r>
      <w:r w:rsidRPr="001A5176">
        <w:rPr>
          <w:rFonts w:eastAsiaTheme="minorEastAsia"/>
        </w:rPr>
        <w:t xml:space="preserve">capacity </w:t>
      </w:r>
      <w:r w:rsidR="00F9660E">
        <w:rPr>
          <w:rFonts w:eastAsiaTheme="minorEastAsia"/>
        </w:rPr>
        <w:t xml:space="preserve">after </w:t>
      </w:r>
      <w:r w:rsidRPr="001A5176">
        <w:rPr>
          <w:rFonts w:eastAsiaTheme="minorEastAsia"/>
        </w:rPr>
        <w:t>nomination cut-off time, has the ability and incentive to price contracted but un-nominated capacity above the levels that would be expected in a workably competitive market</w:t>
      </w:r>
      <w:r w:rsidR="00912811">
        <w:rPr>
          <w:rFonts w:eastAsiaTheme="minorEastAsia"/>
        </w:rPr>
        <w:t>;</w:t>
      </w:r>
      <w:r w:rsidR="00B520FF">
        <w:rPr>
          <w:rStyle w:val="FootnoteReference"/>
          <w:rFonts w:asciiTheme="majorHAnsi" w:eastAsiaTheme="minorEastAsia" w:hAnsiTheme="majorHAnsi" w:cstheme="majorHAnsi"/>
        </w:rPr>
        <w:footnoteReference w:id="20"/>
      </w:r>
      <w:r w:rsidR="00912811">
        <w:rPr>
          <w:rFonts w:eastAsiaTheme="minorEastAsia"/>
        </w:rPr>
        <w:t xml:space="preserve"> and</w:t>
      </w:r>
    </w:p>
    <w:p w14:paraId="6BD5D7D3" w14:textId="51DBA87F" w:rsidR="00912811" w:rsidRPr="001A5176" w:rsidRDefault="00912811" w:rsidP="00B520FF">
      <w:pPr>
        <w:pStyle w:val="ListBullet"/>
        <w:rPr>
          <w:rFonts w:eastAsiaTheme="minorEastAsia"/>
        </w:rPr>
      </w:pPr>
      <w:proofErr w:type="gramStart"/>
      <w:r>
        <w:rPr>
          <w:rFonts w:eastAsiaTheme="minorEastAsia"/>
        </w:rPr>
        <w:t>the</w:t>
      </w:r>
      <w:proofErr w:type="gramEnd"/>
      <w:r>
        <w:rPr>
          <w:rFonts w:eastAsiaTheme="minorEastAsia"/>
        </w:rPr>
        <w:t xml:space="preserve"> market for contracted but un-nominated capacity is complex </w:t>
      </w:r>
      <w:r w:rsidR="007D1A12">
        <w:rPr>
          <w:rFonts w:eastAsiaTheme="minorEastAsia"/>
        </w:rPr>
        <w:t xml:space="preserve">and subject to co-ordination failure, </w:t>
      </w:r>
      <w:r>
        <w:rPr>
          <w:rFonts w:eastAsiaTheme="minorEastAsia"/>
        </w:rPr>
        <w:t>because multiple buyers need to transact with multiple sellers</w:t>
      </w:r>
      <w:r w:rsidR="007D1A12">
        <w:rPr>
          <w:rFonts w:eastAsiaTheme="minorEastAsia"/>
        </w:rPr>
        <w:t xml:space="preserve"> </w:t>
      </w:r>
      <w:r>
        <w:rPr>
          <w:rFonts w:eastAsiaTheme="minorEastAsia"/>
        </w:rPr>
        <w:t>to reach the welfare-maximising allocation</w:t>
      </w:r>
      <w:r w:rsidR="007D1A12">
        <w:rPr>
          <w:rFonts w:eastAsiaTheme="minorEastAsia"/>
        </w:rPr>
        <w:t xml:space="preserve"> and the only way this can currently occur is through bilateral negotiations, which can be lengthy, complex and expensive.</w:t>
      </w:r>
      <w:r w:rsidR="006B7AC6">
        <w:rPr>
          <w:rFonts w:eastAsiaTheme="minorEastAsia"/>
        </w:rPr>
        <w:t xml:space="preserve"> </w:t>
      </w:r>
    </w:p>
    <w:p w14:paraId="28BCE7A0" w14:textId="29FA8388" w:rsidR="00A07059" w:rsidRDefault="00A07059" w:rsidP="003110AA">
      <w:pPr>
        <w:pStyle w:val="BodyText"/>
        <w:rPr>
          <w:rFonts w:eastAsiaTheme="minorEastAsia"/>
        </w:rPr>
      </w:pPr>
      <w:r w:rsidRPr="001A5176">
        <w:rPr>
          <w:rFonts w:eastAsiaTheme="minorEastAsia"/>
        </w:rPr>
        <w:t xml:space="preserve">The AEMC </w:t>
      </w:r>
      <w:r w:rsidR="00912811">
        <w:rPr>
          <w:rFonts w:eastAsiaTheme="minorEastAsia"/>
        </w:rPr>
        <w:t xml:space="preserve">went on to add </w:t>
      </w:r>
      <w:r w:rsidRPr="001A5176">
        <w:rPr>
          <w:rFonts w:eastAsiaTheme="minorEastAsia"/>
        </w:rPr>
        <w:t xml:space="preserve">that high prices for </w:t>
      </w:r>
      <w:r w:rsidR="00912811">
        <w:rPr>
          <w:rFonts w:eastAsiaTheme="minorEastAsia"/>
        </w:rPr>
        <w:t xml:space="preserve">contracted but un-nominated </w:t>
      </w:r>
      <w:r w:rsidRPr="001A5176">
        <w:rPr>
          <w:rFonts w:eastAsiaTheme="minorEastAsia"/>
        </w:rPr>
        <w:t xml:space="preserve">capacity, in </w:t>
      </w:r>
      <w:r w:rsidR="007D1A12">
        <w:rPr>
          <w:rFonts w:eastAsiaTheme="minorEastAsia"/>
        </w:rPr>
        <w:t>conjunction</w:t>
      </w:r>
      <w:r w:rsidRPr="001A5176">
        <w:rPr>
          <w:rFonts w:eastAsiaTheme="minorEastAsia"/>
        </w:rPr>
        <w:t xml:space="preserve"> with the limited incentive shippers have to trade</w:t>
      </w:r>
      <w:r w:rsidR="007D1A12">
        <w:rPr>
          <w:rFonts w:eastAsiaTheme="minorEastAsia"/>
        </w:rPr>
        <w:t xml:space="preserve"> capacity and the co-ordination failure described above</w:t>
      </w:r>
      <w:r w:rsidRPr="001A5176">
        <w:rPr>
          <w:rFonts w:eastAsiaTheme="minorEastAsia"/>
        </w:rPr>
        <w:t>, may result in inefficient outcomes and price prospective shippers out of the market.</w:t>
      </w:r>
      <w:r w:rsidR="00912811">
        <w:rPr>
          <w:rStyle w:val="FootnoteReference"/>
          <w:rFonts w:asciiTheme="majorHAnsi" w:eastAsiaTheme="minorEastAsia" w:hAnsiTheme="majorHAnsi" w:cstheme="majorHAnsi"/>
        </w:rPr>
        <w:footnoteReference w:id="21"/>
      </w:r>
      <w:r w:rsidRPr="001A5176">
        <w:rPr>
          <w:rFonts w:eastAsiaTheme="minorEastAsia"/>
        </w:rPr>
        <w:t xml:space="preserve"> </w:t>
      </w:r>
    </w:p>
    <w:p w14:paraId="41F41A61" w14:textId="06F514A1" w:rsidR="00912811" w:rsidRDefault="007D1A12" w:rsidP="007D1A12">
      <w:pPr>
        <w:pStyle w:val="BodyText"/>
        <w:rPr>
          <w:rFonts w:eastAsiaTheme="minorEastAsia"/>
        </w:rPr>
      </w:pPr>
      <w:r>
        <w:rPr>
          <w:rFonts w:eastAsiaTheme="minorEastAsia"/>
        </w:rPr>
        <w:t xml:space="preserve">The way in which the AEMC expected the day-ahead auction to address these </w:t>
      </w:r>
      <w:r w:rsidR="00E90435">
        <w:rPr>
          <w:rFonts w:eastAsiaTheme="minorEastAsia"/>
        </w:rPr>
        <w:t>shortcomings</w:t>
      </w:r>
      <w:r>
        <w:rPr>
          <w:rFonts w:eastAsiaTheme="minorEastAsia"/>
        </w:rPr>
        <w:t xml:space="preserve"> is </w:t>
      </w:r>
      <w:r w:rsidR="003110AA">
        <w:rPr>
          <w:rFonts w:eastAsiaTheme="minorEastAsia"/>
        </w:rPr>
        <w:t>reflected</w:t>
      </w:r>
      <w:r w:rsidR="00045AEF">
        <w:rPr>
          <w:rFonts w:eastAsiaTheme="minorEastAsia"/>
        </w:rPr>
        <w:t xml:space="preserve"> in the following extract</w:t>
      </w:r>
      <w:r>
        <w:rPr>
          <w:rFonts w:eastAsiaTheme="minorEastAsia"/>
        </w:rPr>
        <w:t>:</w:t>
      </w:r>
      <w:r>
        <w:rPr>
          <w:rStyle w:val="FootnoteReference"/>
          <w:rFonts w:eastAsiaTheme="minorEastAsia"/>
        </w:rPr>
        <w:footnoteReference w:id="22"/>
      </w:r>
      <w:r>
        <w:rPr>
          <w:rFonts w:eastAsiaTheme="minorEastAsia"/>
        </w:rPr>
        <w:t xml:space="preserve"> </w:t>
      </w:r>
    </w:p>
    <w:p w14:paraId="6E68FBB7" w14:textId="4A1BD500" w:rsidR="007D1A12" w:rsidRPr="007D1A12" w:rsidRDefault="007D1A12" w:rsidP="007D1A12">
      <w:pPr>
        <w:pStyle w:val="Quote"/>
      </w:pPr>
      <w:r>
        <w:t>“</w:t>
      </w:r>
      <w:r w:rsidRPr="007D1A12">
        <w:t xml:space="preserve">Firstly, in instances where shippers simply forego the opportunity to sell capacity because it is not core-business, a prospective shipper's alternative is to purchase contracted but un-nominated capacity from the pipeline owner. However, high prices for this capacity may be pricing prospective shippers out of the market. The auction would provide prospective shippers the opportunity to purchase competitively priced capacity. In the limited cases identified by the ACCC where an incumbent shipper is deliberately withholding capacity, the auction would also improve the shipper's incentive to sell the capacity prior to the nomination cut off, given that the auction will limit the incumbent shippers' ability to block access to a competitor. </w:t>
      </w:r>
    </w:p>
    <w:p w14:paraId="6CD528F7" w14:textId="4A37EB2F" w:rsidR="007D1A12" w:rsidRPr="001A5176" w:rsidRDefault="007D1A12" w:rsidP="007D1A12">
      <w:pPr>
        <w:pStyle w:val="Quote"/>
        <w:rPr>
          <w:rFonts w:asciiTheme="majorHAnsi" w:eastAsiaTheme="minorEastAsia" w:hAnsiTheme="majorHAnsi" w:cstheme="majorHAnsi"/>
        </w:rPr>
      </w:pPr>
      <w:r w:rsidRPr="007D1A12">
        <w:t>The auction provides a pricing and allocation mechanism that is less costly for participants, and, depending on its design, the auction may provide a platform to simultaneously coordinate trades - allocating capacity in an efficient manner to the combination of shippers that value it highest as indicated through their bids.</w:t>
      </w:r>
      <w:r>
        <w:t>”</w:t>
      </w:r>
    </w:p>
    <w:p w14:paraId="095039C5" w14:textId="5A8BC02D" w:rsidR="00045AEF" w:rsidRDefault="00042278" w:rsidP="0032168C">
      <w:pPr>
        <w:pStyle w:val="BodyText"/>
        <w:rPr>
          <w:rFonts w:asciiTheme="majorHAnsi" w:eastAsiaTheme="minorEastAsia" w:hAnsiTheme="majorHAnsi" w:cstheme="majorHAnsi"/>
        </w:rPr>
      </w:pPr>
      <w:r>
        <w:rPr>
          <w:rFonts w:asciiTheme="majorHAnsi" w:eastAsiaTheme="minorEastAsia" w:hAnsiTheme="majorHAnsi" w:cstheme="majorHAnsi"/>
        </w:rPr>
        <w:t>T</w:t>
      </w:r>
      <w:r w:rsidR="00045AEF">
        <w:rPr>
          <w:rFonts w:asciiTheme="majorHAnsi" w:eastAsiaTheme="minorEastAsia" w:hAnsiTheme="majorHAnsi" w:cstheme="majorHAnsi"/>
        </w:rPr>
        <w:t>he AEMC consider</w:t>
      </w:r>
      <w:r>
        <w:rPr>
          <w:rFonts w:asciiTheme="majorHAnsi" w:eastAsiaTheme="minorEastAsia" w:hAnsiTheme="majorHAnsi" w:cstheme="majorHAnsi"/>
        </w:rPr>
        <w:t>ed</w:t>
      </w:r>
      <w:r w:rsidR="00045AEF">
        <w:rPr>
          <w:rFonts w:asciiTheme="majorHAnsi" w:eastAsiaTheme="minorEastAsia" w:hAnsiTheme="majorHAnsi" w:cstheme="majorHAnsi"/>
        </w:rPr>
        <w:t xml:space="preserve"> the effect that the day-ahead auction could have on investment in pipelines </w:t>
      </w:r>
      <w:r w:rsidR="0032168C">
        <w:rPr>
          <w:rFonts w:asciiTheme="majorHAnsi" w:eastAsiaTheme="minorEastAsia" w:hAnsiTheme="majorHAnsi" w:cstheme="majorHAnsi"/>
        </w:rPr>
        <w:t xml:space="preserve">and while it recognised the potential for the </w:t>
      </w:r>
      <w:r w:rsidR="00045AEF">
        <w:rPr>
          <w:rFonts w:asciiTheme="majorHAnsi" w:eastAsiaTheme="minorEastAsia" w:hAnsiTheme="majorHAnsi" w:cstheme="majorHAnsi"/>
        </w:rPr>
        <w:t xml:space="preserve">auction </w:t>
      </w:r>
      <w:r w:rsidR="0032168C">
        <w:rPr>
          <w:rFonts w:asciiTheme="majorHAnsi" w:eastAsiaTheme="minorEastAsia" w:hAnsiTheme="majorHAnsi" w:cstheme="majorHAnsi"/>
        </w:rPr>
        <w:t xml:space="preserve">to </w:t>
      </w:r>
      <w:r w:rsidR="00045AEF">
        <w:rPr>
          <w:rFonts w:asciiTheme="majorHAnsi" w:eastAsiaTheme="minorEastAsia" w:hAnsiTheme="majorHAnsi" w:cstheme="majorHAnsi"/>
        </w:rPr>
        <w:t>give rise to a free-rider effect</w:t>
      </w:r>
      <w:r w:rsidR="0032168C">
        <w:rPr>
          <w:rFonts w:asciiTheme="majorHAnsi" w:eastAsiaTheme="minorEastAsia" w:hAnsiTheme="majorHAnsi" w:cstheme="majorHAnsi"/>
        </w:rPr>
        <w:t xml:space="preserve">, it did not consider this to be a material issue </w:t>
      </w:r>
      <w:r w:rsidR="0032168C">
        <w:t>given the nature of the product being auctioned:</w:t>
      </w:r>
      <w:r w:rsidR="0032168C">
        <w:rPr>
          <w:rStyle w:val="FootnoteReference"/>
        </w:rPr>
        <w:footnoteReference w:id="23"/>
      </w:r>
      <w:r w:rsidR="0032168C">
        <w:rPr>
          <w:rFonts w:asciiTheme="majorHAnsi" w:eastAsiaTheme="minorEastAsia" w:hAnsiTheme="majorHAnsi" w:cstheme="majorHAnsi"/>
        </w:rPr>
        <w:t xml:space="preserve"> </w:t>
      </w:r>
    </w:p>
    <w:p w14:paraId="156035C2" w14:textId="61E6F0F2" w:rsidR="00045AEF" w:rsidRPr="00045AEF" w:rsidRDefault="00045AEF" w:rsidP="00045AEF">
      <w:pPr>
        <w:pStyle w:val="Quote"/>
        <w:rPr>
          <w:rFonts w:asciiTheme="majorHAnsi" w:hAnsiTheme="majorHAnsi" w:cstheme="majorHAnsi"/>
        </w:rPr>
      </w:pPr>
      <w:r>
        <w:t>“The Commission acknowledges that on some occasions, shippers would be able to access very-short term capacity at a potentially low price (</w:t>
      </w:r>
      <w:proofErr w:type="spellStart"/>
      <w:r>
        <w:t>ie</w:t>
      </w:r>
      <w:proofErr w:type="spellEnd"/>
      <w:r>
        <w:t xml:space="preserve">, at or just above the reserve price) on the occasions that they require it, without the long term commitment of a take-or-pay contract used to underwrite investment. This could, theoretically, create a free-rider effect, whereby shippers do not underwrite capacity because they are able to buy cheaper </w:t>
      </w:r>
      <w:r w:rsidRPr="00045AEF">
        <w:rPr>
          <w:rFonts w:asciiTheme="majorHAnsi" w:hAnsiTheme="majorHAnsi" w:cstheme="majorHAnsi"/>
        </w:rPr>
        <w:t>capacity underwritten by another shipper.</w:t>
      </w:r>
    </w:p>
    <w:p w14:paraId="0CAA3150" w14:textId="77777777" w:rsidR="00045AEF" w:rsidRPr="00045AEF" w:rsidRDefault="00045AEF" w:rsidP="00045AEF">
      <w:pPr>
        <w:pStyle w:val="Quote"/>
        <w:rPr>
          <w:rFonts w:asciiTheme="majorHAnsi" w:hAnsiTheme="majorHAnsi" w:cstheme="majorHAnsi"/>
          <w:color w:val="000000"/>
        </w:rPr>
      </w:pPr>
      <w:r w:rsidRPr="00045AEF">
        <w:rPr>
          <w:rFonts w:asciiTheme="majorHAnsi" w:hAnsiTheme="majorHAnsi" w:cstheme="majorHAnsi"/>
          <w:color w:val="000000"/>
        </w:rPr>
        <w:t xml:space="preserve">However, the Commission does not consider that this is likely to be a material issue in practice for day ahead auctions of contracted but un-nominated capacity. Very few, if any, shippers would be able to rely solely on day-ahead capacity to manage their gas needs, or the gas needs of their customers, over any medium to long term period. The majority of gas users are either relatively inflexible in their usage (for example, residential gas customers) or require a relatively consistent supply of gas to justify sunk investment in immovable assets (for example, a factory). </w:t>
      </w:r>
    </w:p>
    <w:p w14:paraId="78327DAF" w14:textId="77777777" w:rsidR="00045AEF" w:rsidRPr="00045AEF" w:rsidRDefault="00045AEF" w:rsidP="00045AEF">
      <w:pPr>
        <w:pStyle w:val="Quote"/>
        <w:rPr>
          <w:rFonts w:asciiTheme="majorHAnsi" w:hAnsiTheme="majorHAnsi" w:cstheme="majorHAnsi"/>
          <w:color w:val="000000"/>
        </w:rPr>
      </w:pPr>
      <w:r w:rsidRPr="00045AEF">
        <w:rPr>
          <w:rFonts w:asciiTheme="majorHAnsi" w:hAnsiTheme="majorHAnsi" w:cstheme="majorHAnsi"/>
          <w:color w:val="000000"/>
        </w:rPr>
        <w:t xml:space="preserve">Relying on capacity purchased through the auction would entail both price and volume risk. While prices could be low at some times (at or just above the reserve price), at other times, when the demand for capacity is high, the auction would be expected to clear at a high price. When demand is high enough, all contracted capacity will be nominated – leaving no capacity available for sale at the auction. </w:t>
      </w:r>
    </w:p>
    <w:p w14:paraId="458DC0AF" w14:textId="7F9430CF" w:rsidR="00045AEF" w:rsidRPr="00045AEF" w:rsidRDefault="00045AEF" w:rsidP="00045AEF">
      <w:pPr>
        <w:pStyle w:val="Quote"/>
        <w:rPr>
          <w:rFonts w:asciiTheme="majorHAnsi" w:hAnsiTheme="majorHAnsi" w:cstheme="majorHAnsi"/>
        </w:rPr>
      </w:pPr>
      <w:r w:rsidRPr="00045AEF">
        <w:rPr>
          <w:rFonts w:asciiTheme="majorHAnsi" w:hAnsiTheme="majorHAnsi" w:cstheme="majorHAnsi"/>
          <w:color w:val="000000"/>
        </w:rPr>
        <w:t>Most shippers will therefore require long term contracts (used to underwrite capacity), with the ability to fine-tune capacity requirements on an ongoing basis. The recommended auction serves to improve the ability of all shippers to fine-tune their capacity requirements without affecting the requirement for long term contracts that underwrite new investment.</w:t>
      </w:r>
      <w:r>
        <w:rPr>
          <w:rFonts w:asciiTheme="majorHAnsi" w:hAnsiTheme="majorHAnsi" w:cstheme="majorHAnsi"/>
          <w:color w:val="000000"/>
        </w:rPr>
        <w:t>”</w:t>
      </w:r>
    </w:p>
    <w:p w14:paraId="4B9A7F94" w14:textId="77687C3B" w:rsidR="006F21A5" w:rsidRDefault="006F21A5" w:rsidP="003110AA">
      <w:pPr>
        <w:pStyle w:val="BodyText"/>
      </w:pPr>
      <w:r>
        <w:t xml:space="preserve">The </w:t>
      </w:r>
      <w:r w:rsidR="003957AA">
        <w:t xml:space="preserve">conclusion </w:t>
      </w:r>
      <w:r>
        <w:t xml:space="preserve">the AEMC </w:t>
      </w:r>
      <w:r w:rsidR="003957AA">
        <w:t xml:space="preserve">reached </w:t>
      </w:r>
      <w:r>
        <w:t xml:space="preserve">on this issue is consistent with </w:t>
      </w:r>
      <w:r w:rsidR="003957AA">
        <w:t>the findings of an independent report prepared by NERA</w:t>
      </w:r>
      <w:r w:rsidR="00E90435">
        <w:t xml:space="preserve"> for </w:t>
      </w:r>
      <w:r>
        <w:t>the GMRG</w:t>
      </w:r>
      <w:r w:rsidR="00E90435">
        <w:t xml:space="preserve">. This report was </w:t>
      </w:r>
      <w:r w:rsidR="003957AA">
        <w:t xml:space="preserve">commissioned </w:t>
      </w:r>
      <w:r w:rsidR="00E90435">
        <w:t xml:space="preserve">by the GMRG </w:t>
      </w:r>
      <w:r w:rsidR="003957AA">
        <w:t xml:space="preserve">in response to a request from the Advisory Panel that further work be carried out to understand the interactions between the auction and the primary and secondary capacity markets. </w:t>
      </w:r>
      <w:r w:rsidR="00144CFC">
        <w:t xml:space="preserve">This </w:t>
      </w:r>
      <w:r w:rsidR="003957AA">
        <w:t>report</w:t>
      </w:r>
      <w:r w:rsidR="00144CFC">
        <w:t xml:space="preserve"> </w:t>
      </w:r>
      <w:r w:rsidR="003957AA">
        <w:t xml:space="preserve">is expected to be published </w:t>
      </w:r>
      <w:r w:rsidR="00907A3A">
        <w:t>on the GMRG’s website and to be circulated to stakeholders by Monday 23 October 2017</w:t>
      </w:r>
      <w:r w:rsidR="00E90435">
        <w:t xml:space="preserve">. </w:t>
      </w:r>
    </w:p>
    <w:p w14:paraId="5740A160" w14:textId="714A19E5" w:rsidR="00722010" w:rsidRDefault="00722010" w:rsidP="003110AA">
      <w:pPr>
        <w:pStyle w:val="BodyText"/>
      </w:pPr>
      <w:r>
        <w:t>Table A.1 provides further detail on the AEMC’s recommendations, which were categorised as:</w:t>
      </w:r>
    </w:p>
    <w:p w14:paraId="657BD270" w14:textId="1A66DBB2" w:rsidR="00722010" w:rsidRDefault="00722010" w:rsidP="00722010">
      <w:pPr>
        <w:pStyle w:val="ListBullet"/>
        <w:spacing w:after="60"/>
      </w:pPr>
      <w:r w:rsidRPr="72697DF9">
        <w:rPr>
          <w:b/>
          <w:bCs/>
        </w:rPr>
        <w:t xml:space="preserve">required outcomes </w:t>
      </w:r>
      <w:r>
        <w:t xml:space="preserve">– these recommendations were described by the AEMC as outcomes that must be progressed by the GMRG and are necessary to the implementation of the reforms; </w:t>
      </w:r>
    </w:p>
    <w:p w14:paraId="5A450879" w14:textId="734920A8" w:rsidR="00722010" w:rsidRDefault="00722010" w:rsidP="00722010">
      <w:pPr>
        <w:pStyle w:val="ListBullet"/>
      </w:pPr>
      <w:r w:rsidRPr="72697DF9">
        <w:rPr>
          <w:b/>
          <w:bCs/>
        </w:rPr>
        <w:t xml:space="preserve">preferred outcomes </w:t>
      </w:r>
      <w:r>
        <w:t>– these recommendations were described by the AEMC as outcomes that should be pursued by the GMRG unless it is clear there are greater benefits in alternative approaches; or</w:t>
      </w:r>
    </w:p>
    <w:p w14:paraId="71B82F39" w14:textId="77777777" w:rsidR="00722010" w:rsidRDefault="00722010" w:rsidP="00D26905">
      <w:pPr>
        <w:pStyle w:val="ListBullet"/>
        <w:tabs>
          <w:tab w:val="num" w:pos="357"/>
        </w:tabs>
        <w:spacing w:after="360" w:line="252" w:lineRule="auto"/>
      </w:pPr>
      <w:proofErr w:type="gramStart"/>
      <w:r>
        <w:rPr>
          <w:b/>
          <w:bCs/>
        </w:rPr>
        <w:t>suggested</w:t>
      </w:r>
      <w:proofErr w:type="gramEnd"/>
      <w:r>
        <w:rPr>
          <w:b/>
          <w:bCs/>
        </w:rPr>
        <w:t xml:space="preserve"> outcomes </w:t>
      </w:r>
      <w:r>
        <w:t>– these recommendations were described by the AEMC as outcomes that have in-principle benefits but need to be considered further by the GMRG.</w:t>
      </w:r>
    </w:p>
    <w:tbl>
      <w:tblPr>
        <w:tblStyle w:val="TableGrid"/>
        <w:tblW w:w="4920" w:type="pct"/>
        <w:tblLayout w:type="fixed"/>
        <w:tblLook w:val="0480" w:firstRow="0" w:lastRow="0" w:firstColumn="1" w:lastColumn="0" w:noHBand="0" w:noVBand="1"/>
        <w:tblCaption w:val="Table A.1: AEMC’s Recommendations: Day-ahead auction"/>
        <w:tblDescription w:val="AEMC’s Recommendations for the Day-ahead auction"/>
      </w:tblPr>
      <w:tblGrid>
        <w:gridCol w:w="8647"/>
      </w:tblGrid>
      <w:tr w:rsidR="00A07059" w:rsidRPr="00722010" w14:paraId="66FB5EC7" w14:textId="77777777" w:rsidTr="00D26905">
        <w:trPr>
          <w:cnfStyle w:val="000000010000" w:firstRow="0" w:lastRow="0" w:firstColumn="0" w:lastColumn="0" w:oddVBand="0" w:evenVBand="0" w:oddHBand="0" w:evenHBand="1" w:firstRowFirstColumn="0" w:firstRowLastColumn="0" w:lastRowFirstColumn="0" w:lastRowLastColumn="0"/>
          <w:tblHeader/>
        </w:trPr>
        <w:tc>
          <w:tcPr>
            <w:tcW w:w="8647" w:type="dxa"/>
            <w:tcBorders>
              <w:top w:val="nil"/>
              <w:bottom w:val="single" w:sz="4" w:space="0" w:color="auto"/>
            </w:tcBorders>
            <w:shd w:val="clear" w:color="auto" w:fill="auto"/>
          </w:tcPr>
          <w:p w14:paraId="028FF01E" w14:textId="7A4E6579" w:rsidR="00A07059" w:rsidRPr="00D26905" w:rsidRDefault="00D26905" w:rsidP="00D26905">
            <w:pPr>
              <w:pStyle w:val="TableBodyText"/>
              <w:keepNext/>
              <w:spacing w:before="20" w:after="20"/>
              <w:rPr>
                <w:b/>
                <w:color w:val="FFFFFF" w:themeColor="background1"/>
                <w:sz w:val="20"/>
                <w:szCs w:val="20"/>
              </w:rPr>
            </w:pPr>
            <w:r w:rsidRPr="00D26905">
              <w:rPr>
                <w:b/>
                <w:sz w:val="22"/>
              </w:rPr>
              <w:t>Table A.1: AEMC’s Recommendations: Day-ahead auction</w:t>
            </w:r>
          </w:p>
        </w:tc>
      </w:tr>
      <w:tr w:rsidR="00D26905" w:rsidRPr="00722010" w14:paraId="3FDB078D" w14:textId="77777777" w:rsidTr="00D26905">
        <w:tc>
          <w:tcPr>
            <w:tcW w:w="8647" w:type="dxa"/>
            <w:tcBorders>
              <w:top w:val="single" w:sz="4" w:space="0" w:color="auto"/>
              <w:bottom w:val="single" w:sz="4" w:space="0" w:color="auto"/>
            </w:tcBorders>
            <w:shd w:val="clear" w:color="auto" w:fill="0099CC"/>
          </w:tcPr>
          <w:p w14:paraId="37187205" w14:textId="021FA413" w:rsidR="00D26905" w:rsidRPr="00722010" w:rsidRDefault="00D26905" w:rsidP="00722010">
            <w:pPr>
              <w:pStyle w:val="TableBodyText"/>
              <w:keepNext/>
              <w:spacing w:before="20" w:after="20"/>
              <w:jc w:val="center"/>
              <w:rPr>
                <w:b/>
                <w:color w:val="FFFFFF" w:themeColor="background1"/>
                <w:sz w:val="20"/>
                <w:szCs w:val="20"/>
              </w:rPr>
            </w:pPr>
            <w:r w:rsidRPr="00722010">
              <w:rPr>
                <w:b/>
                <w:color w:val="FFFFFF" w:themeColor="background1"/>
                <w:sz w:val="20"/>
                <w:szCs w:val="20"/>
              </w:rPr>
              <w:t>Required Outcomes</w:t>
            </w:r>
          </w:p>
        </w:tc>
      </w:tr>
      <w:tr w:rsidR="00A07059" w:rsidRPr="00722010" w14:paraId="3834960A" w14:textId="77777777" w:rsidTr="00B520FF">
        <w:trPr>
          <w:cnfStyle w:val="000000010000" w:firstRow="0" w:lastRow="0" w:firstColumn="0" w:lastColumn="0" w:oddVBand="0" w:evenVBand="0" w:oddHBand="0" w:evenHBand="1" w:firstRowFirstColumn="0" w:firstRowLastColumn="0" w:lastRowFirstColumn="0" w:lastRowLastColumn="0"/>
        </w:trPr>
        <w:tc>
          <w:tcPr>
            <w:tcW w:w="8647" w:type="dxa"/>
            <w:tcBorders>
              <w:bottom w:val="single" w:sz="4" w:space="0" w:color="auto"/>
            </w:tcBorders>
            <w:shd w:val="clear" w:color="auto" w:fill="auto"/>
          </w:tcPr>
          <w:p w14:paraId="50D13578" w14:textId="69C36639" w:rsidR="00722010" w:rsidRPr="00722010" w:rsidRDefault="00722010" w:rsidP="00722010">
            <w:pPr>
              <w:pStyle w:val="TableBullet1"/>
              <w:spacing w:before="20" w:after="20" w:line="240" w:lineRule="auto"/>
              <w:rPr>
                <w:b/>
                <w:sz w:val="20"/>
                <w:szCs w:val="20"/>
              </w:rPr>
            </w:pPr>
            <w:r w:rsidRPr="00722010">
              <w:rPr>
                <w:b/>
                <w:sz w:val="20"/>
                <w:szCs w:val="20"/>
              </w:rPr>
              <w:t>Auction design:</w:t>
            </w:r>
          </w:p>
          <w:p w14:paraId="57DC2DBC" w14:textId="2287DA5F" w:rsidR="00A07059" w:rsidRPr="00722010" w:rsidRDefault="00A07059" w:rsidP="00722010">
            <w:pPr>
              <w:pStyle w:val="TableBullet2"/>
              <w:spacing w:before="20" w:after="20"/>
              <w:rPr>
                <w:sz w:val="20"/>
                <w:szCs w:val="20"/>
              </w:rPr>
            </w:pPr>
            <w:r w:rsidRPr="00722010">
              <w:rPr>
                <w:sz w:val="20"/>
                <w:szCs w:val="20"/>
              </w:rPr>
              <w:t xml:space="preserve">A daily, day-ahead capacity auction for contracted but un-nominated pipeline capacity and hub (compression) services. </w:t>
            </w:r>
          </w:p>
          <w:p w14:paraId="34D367E7" w14:textId="77777777" w:rsidR="00A07059" w:rsidRPr="00722010" w:rsidRDefault="00A07059" w:rsidP="00722010">
            <w:pPr>
              <w:pStyle w:val="TableBullet2"/>
              <w:spacing w:before="20" w:after="20"/>
              <w:rPr>
                <w:sz w:val="20"/>
                <w:szCs w:val="20"/>
              </w:rPr>
            </w:pPr>
            <w:r w:rsidRPr="00722010">
              <w:rPr>
                <w:sz w:val="20"/>
                <w:szCs w:val="20"/>
              </w:rPr>
              <w:t xml:space="preserve">Auction happens shortly after nomination cut-off time. </w:t>
            </w:r>
          </w:p>
          <w:p w14:paraId="01C8E9A5" w14:textId="77777777" w:rsidR="00722010" w:rsidRPr="00722010" w:rsidRDefault="00A07059" w:rsidP="00722010">
            <w:pPr>
              <w:pStyle w:val="TableBullet2"/>
              <w:spacing w:before="20" w:after="20"/>
              <w:rPr>
                <w:sz w:val="20"/>
                <w:szCs w:val="20"/>
              </w:rPr>
            </w:pPr>
            <w:r w:rsidRPr="00722010">
              <w:rPr>
                <w:sz w:val="20"/>
                <w:szCs w:val="20"/>
              </w:rPr>
              <w:t xml:space="preserve">Reserve price of zero dollars, with compressor fuel provided by shippers in-kind. </w:t>
            </w:r>
          </w:p>
          <w:p w14:paraId="6D527B8F" w14:textId="4F1C0A6D" w:rsidR="00A07059" w:rsidRPr="00722010" w:rsidRDefault="00A07059" w:rsidP="00722010">
            <w:pPr>
              <w:pStyle w:val="TableBullet2"/>
              <w:spacing w:before="20" w:after="20"/>
              <w:rPr>
                <w:sz w:val="20"/>
                <w:szCs w:val="20"/>
              </w:rPr>
            </w:pPr>
            <w:r w:rsidRPr="00722010">
              <w:rPr>
                <w:sz w:val="20"/>
                <w:szCs w:val="20"/>
              </w:rPr>
              <w:t xml:space="preserve">At least all contracted but un-nominated capacity placed for sale through auction. </w:t>
            </w:r>
          </w:p>
          <w:p w14:paraId="6141E680" w14:textId="11CE76C7" w:rsidR="00A07059" w:rsidRPr="00722010" w:rsidRDefault="00722010" w:rsidP="00722010">
            <w:pPr>
              <w:pStyle w:val="TableBullet1"/>
              <w:keepNext/>
              <w:spacing w:before="20" w:after="20"/>
              <w:rPr>
                <w:sz w:val="20"/>
                <w:szCs w:val="20"/>
              </w:rPr>
            </w:pPr>
            <w:r w:rsidRPr="00722010">
              <w:rPr>
                <w:b/>
                <w:sz w:val="20"/>
                <w:szCs w:val="20"/>
              </w:rPr>
              <w:t xml:space="preserve">Product design: </w:t>
            </w:r>
            <w:r w:rsidR="00A07059" w:rsidRPr="00722010">
              <w:rPr>
                <w:sz w:val="20"/>
                <w:szCs w:val="20"/>
              </w:rPr>
              <w:t>Accommodate nominations or renominations by incumbent shippers after the auction is conducted.</w:t>
            </w:r>
          </w:p>
        </w:tc>
      </w:tr>
      <w:tr w:rsidR="00A07059" w:rsidRPr="00722010" w14:paraId="6EEC2A9E" w14:textId="77777777" w:rsidTr="00B520FF">
        <w:tblPrEx>
          <w:tblLook w:val="04A0" w:firstRow="1" w:lastRow="0" w:firstColumn="1" w:lastColumn="0" w:noHBand="0" w:noVBand="1"/>
        </w:tblPrEx>
        <w:tc>
          <w:tcPr>
            <w:tcW w:w="8647" w:type="dxa"/>
            <w:tcBorders>
              <w:bottom w:val="single" w:sz="4" w:space="0" w:color="auto"/>
            </w:tcBorders>
            <w:shd w:val="clear" w:color="auto" w:fill="0099CC"/>
          </w:tcPr>
          <w:p w14:paraId="546CD9CB" w14:textId="77777777" w:rsidR="00A07059" w:rsidRPr="00722010" w:rsidRDefault="00A07059" w:rsidP="00722010">
            <w:pPr>
              <w:pStyle w:val="TableBodyText"/>
              <w:keepNext/>
              <w:spacing w:before="20" w:after="20"/>
              <w:jc w:val="center"/>
              <w:rPr>
                <w:b/>
                <w:color w:val="FFFFFF" w:themeColor="background1"/>
                <w:sz w:val="20"/>
                <w:szCs w:val="20"/>
              </w:rPr>
            </w:pPr>
            <w:r w:rsidRPr="00722010">
              <w:rPr>
                <w:b/>
                <w:color w:val="FFFFFF" w:themeColor="background1"/>
                <w:sz w:val="20"/>
                <w:szCs w:val="20"/>
              </w:rPr>
              <w:t>Preferred outcomes</w:t>
            </w:r>
          </w:p>
        </w:tc>
      </w:tr>
      <w:tr w:rsidR="00A07059" w:rsidRPr="00722010" w14:paraId="65FF45FE" w14:textId="77777777" w:rsidTr="00A07059">
        <w:tblPrEx>
          <w:tblLook w:val="04A0" w:firstRow="1" w:lastRow="0" w:firstColumn="1" w:lastColumn="0" w:noHBand="0" w:noVBand="1"/>
        </w:tblPrEx>
        <w:trPr>
          <w:cnfStyle w:val="000000010000" w:firstRow="0" w:lastRow="0" w:firstColumn="0" w:lastColumn="0" w:oddVBand="0" w:evenVBand="0" w:oddHBand="0" w:evenHBand="1" w:firstRowFirstColumn="0" w:firstRowLastColumn="0" w:lastRowFirstColumn="0" w:lastRowLastColumn="0"/>
        </w:trPr>
        <w:tc>
          <w:tcPr>
            <w:tcW w:w="8647" w:type="dxa"/>
            <w:tcBorders>
              <w:bottom w:val="single" w:sz="4" w:space="0" w:color="auto"/>
            </w:tcBorders>
            <w:shd w:val="clear" w:color="auto" w:fill="auto"/>
          </w:tcPr>
          <w:p w14:paraId="14A985A7" w14:textId="77777777" w:rsidR="00722010" w:rsidRPr="00722010" w:rsidRDefault="00722010" w:rsidP="00722010">
            <w:pPr>
              <w:pStyle w:val="TableBullet1"/>
              <w:spacing w:before="20" w:after="20" w:line="240" w:lineRule="auto"/>
              <w:rPr>
                <w:sz w:val="20"/>
                <w:szCs w:val="20"/>
              </w:rPr>
            </w:pPr>
            <w:r w:rsidRPr="00722010">
              <w:rPr>
                <w:b/>
                <w:sz w:val="20"/>
                <w:szCs w:val="20"/>
              </w:rPr>
              <w:t>Geographic scope</w:t>
            </w:r>
            <w:r w:rsidRPr="00722010">
              <w:rPr>
                <w:sz w:val="20"/>
                <w:szCs w:val="20"/>
              </w:rPr>
              <w:t xml:space="preserve">: Single auction across the east coast market, in order to optimise allocation across as many products as possible. </w:t>
            </w:r>
          </w:p>
          <w:p w14:paraId="639F42A2" w14:textId="77777777" w:rsidR="00722010" w:rsidRPr="00722010" w:rsidRDefault="00722010" w:rsidP="00722010">
            <w:pPr>
              <w:pStyle w:val="TableBullet1"/>
              <w:spacing w:before="20" w:after="20" w:line="240" w:lineRule="auto"/>
              <w:rPr>
                <w:b/>
                <w:sz w:val="20"/>
                <w:szCs w:val="20"/>
              </w:rPr>
            </w:pPr>
            <w:r w:rsidRPr="00722010">
              <w:rPr>
                <w:b/>
                <w:sz w:val="20"/>
                <w:szCs w:val="20"/>
              </w:rPr>
              <w:t>Auction design:</w:t>
            </w:r>
          </w:p>
          <w:p w14:paraId="695D8032" w14:textId="39E00EA9" w:rsidR="00A07059" w:rsidRPr="00722010" w:rsidRDefault="00A07059" w:rsidP="00722010">
            <w:pPr>
              <w:pStyle w:val="TableBullet2"/>
              <w:spacing w:before="20" w:after="20"/>
              <w:rPr>
                <w:sz w:val="20"/>
                <w:szCs w:val="20"/>
              </w:rPr>
            </w:pPr>
            <w:r w:rsidRPr="00722010">
              <w:rPr>
                <w:sz w:val="20"/>
                <w:szCs w:val="20"/>
              </w:rPr>
              <w:t xml:space="preserve">Combinatorial auction where multiple buyers and sellers can simultaneously coordinate trades, managing the complementarities between different pipeline segments. </w:t>
            </w:r>
          </w:p>
          <w:p w14:paraId="430BDA53" w14:textId="77777777" w:rsidR="00A07059" w:rsidRPr="00722010" w:rsidRDefault="00A07059" w:rsidP="00722010">
            <w:pPr>
              <w:pStyle w:val="TableBullet2"/>
              <w:spacing w:before="20" w:after="20"/>
              <w:rPr>
                <w:sz w:val="20"/>
                <w:szCs w:val="20"/>
              </w:rPr>
            </w:pPr>
            <w:r w:rsidRPr="00722010">
              <w:rPr>
                <w:sz w:val="20"/>
                <w:szCs w:val="20"/>
              </w:rPr>
              <w:t xml:space="preserve">Single round auction to reduce complexity and opportunities for anti-competitive behaviour between participants. </w:t>
            </w:r>
          </w:p>
          <w:p w14:paraId="38C38C07" w14:textId="77777777" w:rsidR="00A07059" w:rsidRPr="00722010" w:rsidRDefault="00A07059" w:rsidP="00722010">
            <w:pPr>
              <w:pStyle w:val="TableBullet2"/>
              <w:spacing w:before="20" w:after="20"/>
              <w:rPr>
                <w:sz w:val="20"/>
                <w:szCs w:val="20"/>
              </w:rPr>
            </w:pPr>
            <w:r w:rsidRPr="00722010">
              <w:rPr>
                <w:sz w:val="20"/>
                <w:szCs w:val="20"/>
              </w:rPr>
              <w:t xml:space="preserve">Bidders pay the value of their winning bids ("first-price" rule) to reduce complexity. </w:t>
            </w:r>
          </w:p>
          <w:p w14:paraId="40DFB545" w14:textId="496B4F5B" w:rsidR="00A07059" w:rsidRPr="00722010" w:rsidRDefault="00722010" w:rsidP="00722010">
            <w:pPr>
              <w:pStyle w:val="TableBullet2"/>
              <w:spacing w:before="20" w:after="20"/>
              <w:rPr>
                <w:sz w:val="20"/>
                <w:szCs w:val="20"/>
              </w:rPr>
            </w:pPr>
            <w:r w:rsidRPr="00722010">
              <w:rPr>
                <w:sz w:val="20"/>
                <w:szCs w:val="20"/>
              </w:rPr>
              <w:t>Winning combination of bids to be determined using a profit maximisation a</w:t>
            </w:r>
            <w:r w:rsidR="00A07059" w:rsidRPr="00722010">
              <w:rPr>
                <w:sz w:val="20"/>
                <w:szCs w:val="20"/>
              </w:rPr>
              <w:t xml:space="preserve">lgorithm (constrained by requirement that at least all contracted but un-nominated capacity is put on sale in auction). </w:t>
            </w:r>
          </w:p>
          <w:p w14:paraId="6139F1E7" w14:textId="37F42D71" w:rsidR="00A07059" w:rsidRPr="00722010" w:rsidRDefault="00722010" w:rsidP="00722010">
            <w:pPr>
              <w:pStyle w:val="TableBullet1"/>
              <w:spacing w:before="20" w:after="20" w:line="240" w:lineRule="auto"/>
              <w:rPr>
                <w:sz w:val="20"/>
                <w:szCs w:val="20"/>
              </w:rPr>
            </w:pPr>
            <w:r w:rsidRPr="00722010">
              <w:rPr>
                <w:b/>
                <w:sz w:val="20"/>
                <w:szCs w:val="20"/>
              </w:rPr>
              <w:t xml:space="preserve">Product design: </w:t>
            </w:r>
            <w:r w:rsidR="00A07059" w:rsidRPr="00722010">
              <w:rPr>
                <w:sz w:val="20"/>
                <w:szCs w:val="20"/>
              </w:rPr>
              <w:t xml:space="preserve">Capacity purchased in auction curtailed before firm capacity. </w:t>
            </w:r>
          </w:p>
          <w:p w14:paraId="28FBFC00" w14:textId="71BFED11" w:rsidR="00A07059" w:rsidRPr="00722010" w:rsidRDefault="00722010" w:rsidP="00722010">
            <w:pPr>
              <w:pStyle w:val="TableBullet1"/>
              <w:keepNext/>
              <w:spacing w:before="20" w:after="20"/>
              <w:rPr>
                <w:sz w:val="20"/>
                <w:szCs w:val="20"/>
              </w:rPr>
            </w:pPr>
            <w:r w:rsidRPr="00722010">
              <w:rPr>
                <w:b/>
                <w:sz w:val="20"/>
                <w:szCs w:val="20"/>
              </w:rPr>
              <w:t>Exemptions:</w:t>
            </w:r>
            <w:r w:rsidRPr="00722010">
              <w:rPr>
                <w:sz w:val="20"/>
                <w:szCs w:val="20"/>
              </w:rPr>
              <w:t xml:space="preserve"> </w:t>
            </w:r>
            <w:r w:rsidR="00A07059" w:rsidRPr="00722010">
              <w:rPr>
                <w:sz w:val="20"/>
                <w:szCs w:val="20"/>
              </w:rPr>
              <w:t>Exemption from the auction for pipelines serving a single user.</w:t>
            </w:r>
          </w:p>
        </w:tc>
      </w:tr>
      <w:tr w:rsidR="00A07059" w:rsidRPr="00722010" w14:paraId="76F6B47D" w14:textId="77777777" w:rsidTr="00A07059">
        <w:tblPrEx>
          <w:tblLook w:val="04A0" w:firstRow="1" w:lastRow="0" w:firstColumn="1" w:lastColumn="0" w:noHBand="0" w:noVBand="1"/>
        </w:tblPrEx>
        <w:tc>
          <w:tcPr>
            <w:tcW w:w="8647" w:type="dxa"/>
            <w:tcBorders>
              <w:bottom w:val="single" w:sz="4" w:space="0" w:color="auto"/>
            </w:tcBorders>
            <w:shd w:val="clear" w:color="auto" w:fill="0099CC"/>
          </w:tcPr>
          <w:p w14:paraId="4D98B8CF" w14:textId="248B37AD" w:rsidR="00A07059" w:rsidRPr="00722010" w:rsidRDefault="00A07059" w:rsidP="00722010">
            <w:pPr>
              <w:pStyle w:val="TableBodyText"/>
              <w:keepNext/>
              <w:spacing w:before="20" w:after="20"/>
              <w:jc w:val="center"/>
              <w:rPr>
                <w:b/>
                <w:color w:val="FFFFFF" w:themeColor="background1"/>
                <w:sz w:val="20"/>
                <w:szCs w:val="20"/>
              </w:rPr>
            </w:pPr>
            <w:r w:rsidRPr="00722010">
              <w:rPr>
                <w:b/>
                <w:color w:val="FFFFFF" w:themeColor="background1"/>
                <w:sz w:val="20"/>
                <w:szCs w:val="20"/>
              </w:rPr>
              <w:t>Suggested outcomes</w:t>
            </w:r>
          </w:p>
        </w:tc>
      </w:tr>
      <w:tr w:rsidR="00A07059" w:rsidRPr="00722010" w14:paraId="315E9A84" w14:textId="77777777" w:rsidTr="00A07059">
        <w:tblPrEx>
          <w:tblLook w:val="04A0" w:firstRow="1" w:lastRow="0" w:firstColumn="1" w:lastColumn="0" w:noHBand="0" w:noVBand="1"/>
        </w:tblPrEx>
        <w:trPr>
          <w:cnfStyle w:val="000000010000" w:firstRow="0" w:lastRow="0" w:firstColumn="0" w:lastColumn="0" w:oddVBand="0" w:evenVBand="0" w:oddHBand="0" w:evenHBand="1" w:firstRowFirstColumn="0" w:firstRowLastColumn="0" w:lastRowFirstColumn="0" w:lastRowLastColumn="0"/>
        </w:trPr>
        <w:tc>
          <w:tcPr>
            <w:tcW w:w="8647" w:type="dxa"/>
            <w:shd w:val="clear" w:color="auto" w:fill="auto"/>
          </w:tcPr>
          <w:p w14:paraId="120F3A5A" w14:textId="60503331" w:rsidR="00A07059" w:rsidRPr="00722010" w:rsidRDefault="00722010" w:rsidP="00722010">
            <w:pPr>
              <w:pStyle w:val="TableBullet1"/>
              <w:spacing w:before="20" w:after="20" w:line="240" w:lineRule="auto"/>
              <w:rPr>
                <w:sz w:val="20"/>
                <w:szCs w:val="20"/>
              </w:rPr>
            </w:pPr>
            <w:r w:rsidRPr="00722010">
              <w:rPr>
                <w:b/>
                <w:sz w:val="20"/>
                <w:szCs w:val="20"/>
              </w:rPr>
              <w:t xml:space="preserve">Exemptions: </w:t>
            </w:r>
            <w:r w:rsidR="00A07059" w:rsidRPr="00722010">
              <w:rPr>
                <w:sz w:val="20"/>
                <w:szCs w:val="20"/>
              </w:rPr>
              <w:t xml:space="preserve">Exempting on a case-by-case basis pipelines that are not fully contracted from needing to conduct the auction. </w:t>
            </w:r>
          </w:p>
          <w:p w14:paraId="502AAB8C" w14:textId="3438D4A5" w:rsidR="00A07059" w:rsidRPr="00722010" w:rsidRDefault="00722010" w:rsidP="00722010">
            <w:pPr>
              <w:pStyle w:val="TableBullet1"/>
              <w:keepNext/>
              <w:spacing w:before="20" w:after="20"/>
              <w:rPr>
                <w:sz w:val="20"/>
                <w:szCs w:val="20"/>
              </w:rPr>
            </w:pPr>
            <w:r w:rsidRPr="00722010">
              <w:rPr>
                <w:b/>
                <w:sz w:val="20"/>
                <w:szCs w:val="20"/>
              </w:rPr>
              <w:t>Operat</w:t>
            </w:r>
            <w:r w:rsidR="006B3497">
              <w:rPr>
                <w:b/>
                <w:sz w:val="20"/>
                <w:szCs w:val="20"/>
              </w:rPr>
              <w:t>or</w:t>
            </w:r>
            <w:r w:rsidRPr="00722010">
              <w:rPr>
                <w:b/>
                <w:sz w:val="20"/>
                <w:szCs w:val="20"/>
              </w:rPr>
              <w:t xml:space="preserve"> of the auction:</w:t>
            </w:r>
            <w:r w:rsidRPr="00722010">
              <w:rPr>
                <w:sz w:val="20"/>
                <w:szCs w:val="20"/>
              </w:rPr>
              <w:t xml:space="preserve"> </w:t>
            </w:r>
            <w:r w:rsidR="00A07059" w:rsidRPr="00722010">
              <w:rPr>
                <w:sz w:val="20"/>
                <w:szCs w:val="20"/>
              </w:rPr>
              <w:t>The auction to be run by the same institution(s) which run the capacity trading platform.</w:t>
            </w:r>
          </w:p>
          <w:p w14:paraId="6F87373A" w14:textId="11615390" w:rsidR="00722010" w:rsidRPr="00722010" w:rsidRDefault="00722010" w:rsidP="00722010">
            <w:pPr>
              <w:pStyle w:val="TableBullet1"/>
              <w:spacing w:before="20" w:after="20" w:line="240" w:lineRule="auto"/>
              <w:rPr>
                <w:sz w:val="20"/>
                <w:szCs w:val="20"/>
              </w:rPr>
            </w:pPr>
            <w:r w:rsidRPr="00722010">
              <w:rPr>
                <w:b/>
                <w:sz w:val="20"/>
                <w:szCs w:val="20"/>
              </w:rPr>
              <w:t>Other:</w:t>
            </w:r>
            <w:r w:rsidRPr="00722010">
              <w:rPr>
                <w:sz w:val="20"/>
                <w:szCs w:val="20"/>
              </w:rPr>
              <w:t xml:space="preserve"> As available rights in current gas transportation agreements (GTAs) to be phased out to avoid them competing with rights allocated in the auction. </w:t>
            </w:r>
          </w:p>
        </w:tc>
      </w:tr>
    </w:tbl>
    <w:p w14:paraId="0D2D11BF" w14:textId="3110EFFA" w:rsidR="00A07059" w:rsidRDefault="00A07059" w:rsidP="00A07059">
      <w:pPr>
        <w:pStyle w:val="BodyText"/>
        <w:widowControl w:val="0"/>
        <w:spacing w:before="0" w:after="0"/>
        <w:rPr>
          <w:sz w:val="18"/>
          <w:szCs w:val="18"/>
        </w:rPr>
      </w:pPr>
      <w:r w:rsidRPr="00095979">
        <w:rPr>
          <w:sz w:val="18"/>
          <w:szCs w:val="18"/>
        </w:rPr>
        <w:t xml:space="preserve">Source: AEMC, Stage 2 Final Report: </w:t>
      </w:r>
      <w:r w:rsidRPr="005E3347">
        <w:rPr>
          <w:rFonts w:cs="Arial"/>
          <w:i/>
          <w:iCs/>
          <w:sz w:val="18"/>
          <w:szCs w:val="18"/>
        </w:rPr>
        <w:t>East Coast Review</w:t>
      </w:r>
      <w:r w:rsidRPr="00095979">
        <w:rPr>
          <w:rFonts w:cs="Arial"/>
          <w:iCs/>
          <w:sz w:val="18"/>
          <w:szCs w:val="18"/>
        </w:rPr>
        <w:t>, 23 May 2016,</w:t>
      </w:r>
      <w:r w:rsidRPr="00095979">
        <w:rPr>
          <w:sz w:val="18"/>
          <w:szCs w:val="18"/>
        </w:rPr>
        <w:t xml:space="preserve"> p. 1</w:t>
      </w:r>
      <w:r>
        <w:rPr>
          <w:sz w:val="18"/>
          <w:szCs w:val="18"/>
        </w:rPr>
        <w:t>6</w:t>
      </w:r>
      <w:r w:rsidRPr="00095979">
        <w:rPr>
          <w:sz w:val="18"/>
          <w:szCs w:val="18"/>
        </w:rPr>
        <w:t>.</w:t>
      </w:r>
      <w:r>
        <w:rPr>
          <w:sz w:val="18"/>
          <w:szCs w:val="18"/>
        </w:rPr>
        <w:t xml:space="preserve"> </w:t>
      </w:r>
    </w:p>
    <w:p w14:paraId="0CDC87A3" w14:textId="18452734" w:rsidR="00A07059" w:rsidRDefault="00722010" w:rsidP="009C10FD">
      <w:pPr>
        <w:pStyle w:val="BodyText"/>
      </w:pPr>
      <w:r>
        <w:t xml:space="preserve">In the </w:t>
      </w:r>
      <w:r>
        <w:rPr>
          <w:i/>
        </w:rPr>
        <w:t xml:space="preserve">East Coast Review, </w:t>
      </w:r>
      <w:r>
        <w:t>the AEMC identified a number of organisations that could operate and administer the day-ahead auction, but did not reach a concluded position on this issue. It instead recommended the GMRG consider the options in further detail.</w:t>
      </w:r>
      <w:r w:rsidR="006B7AC6">
        <w:t xml:space="preserve"> </w:t>
      </w:r>
      <w:r>
        <w:t>The GMRG’s recommendations on this issue were presented to the Energy Council in July 2017. In short, the GMRG recommended that AEMO be accorded responsibility for the operation of both the capacity trading platform and the day-ahead auction.</w:t>
      </w:r>
      <w:r w:rsidR="00E90435">
        <w:rPr>
          <w:rStyle w:val="FootnoteReference"/>
        </w:rPr>
        <w:footnoteReference w:id="24"/>
      </w:r>
      <w:r>
        <w:t xml:space="preserve"> This recommendation was endorsed by the Energy Council at its 14 July 2017 meeting.</w:t>
      </w:r>
      <w:r>
        <w:rPr>
          <w:rStyle w:val="FootnoteReference"/>
        </w:rPr>
        <w:footnoteReference w:id="25"/>
      </w:r>
    </w:p>
    <w:p w14:paraId="00B15B72" w14:textId="4B6E96D4" w:rsidR="00722010" w:rsidRDefault="001C5D5A" w:rsidP="009C10FD">
      <w:pPr>
        <w:pStyle w:val="BodyText"/>
      </w:pPr>
      <w:r>
        <w:t>Following the Energy Council’s decision, the GMRG has worked closely with AEMO, the Day-Ahead Auction project team, NERA and JWS on the development of the end-to-end design of the day-ahead auction</w:t>
      </w:r>
      <w:r w:rsidR="00E90435">
        <w:t xml:space="preserve">. This </w:t>
      </w:r>
      <w:r>
        <w:t>has required consideration to be given to:</w:t>
      </w:r>
    </w:p>
    <w:p w14:paraId="4F996D17" w14:textId="6B10B181" w:rsidR="001C5D5A" w:rsidRDefault="001C5D5A" w:rsidP="003957AA">
      <w:pPr>
        <w:pStyle w:val="ListBullet"/>
      </w:pPr>
      <w:r>
        <w:t>the product(s) that could be sold through the auction;</w:t>
      </w:r>
    </w:p>
    <w:p w14:paraId="3275BA35" w14:textId="44D76E76" w:rsidR="003957AA" w:rsidRPr="00704A07" w:rsidRDefault="003957AA" w:rsidP="003957AA">
      <w:pPr>
        <w:pStyle w:val="ListBullet"/>
      </w:pPr>
      <w:r>
        <w:t>the auction design</w:t>
      </w:r>
      <w:r w:rsidRPr="002C7228">
        <w:t>;</w:t>
      </w:r>
      <w:r>
        <w:t xml:space="preserve"> </w:t>
      </w:r>
    </w:p>
    <w:p w14:paraId="19485116" w14:textId="77777777" w:rsidR="00634483" w:rsidRDefault="00634483" w:rsidP="00634483">
      <w:pPr>
        <w:pStyle w:val="ListBullet"/>
      </w:pPr>
      <w:r>
        <w:t xml:space="preserve">the pipelines and compression facilities that should be subject to the auction and the exemptions that should be available; </w:t>
      </w:r>
    </w:p>
    <w:p w14:paraId="4E52FA6E" w14:textId="4443E9E0" w:rsidR="003957AA" w:rsidRDefault="001C5D5A" w:rsidP="003957AA">
      <w:pPr>
        <w:pStyle w:val="ListBullet"/>
      </w:pPr>
      <w:r>
        <w:t xml:space="preserve">the </w:t>
      </w:r>
      <w:r w:rsidR="003110AA">
        <w:t xml:space="preserve">design </w:t>
      </w:r>
      <w:r w:rsidR="003957AA">
        <w:t xml:space="preserve">of </w:t>
      </w:r>
      <w:r w:rsidR="003110AA">
        <w:t xml:space="preserve">the </w:t>
      </w:r>
      <w:r>
        <w:t>auction</w:t>
      </w:r>
      <w:r w:rsidR="003110AA">
        <w:t xml:space="preserve"> platform</w:t>
      </w:r>
      <w:r w:rsidR="003957AA">
        <w:t xml:space="preserve"> and the arrangements shippers will need to have in place to use the platform; and </w:t>
      </w:r>
    </w:p>
    <w:p w14:paraId="463140C9" w14:textId="0BE1FA52" w:rsidR="001C5D5A" w:rsidRDefault="001C5D5A" w:rsidP="003957AA">
      <w:pPr>
        <w:pStyle w:val="ListBullet"/>
      </w:pPr>
      <w:proofErr w:type="gramStart"/>
      <w:r>
        <w:t>the</w:t>
      </w:r>
      <w:proofErr w:type="gramEnd"/>
      <w:r>
        <w:t xml:space="preserve"> </w:t>
      </w:r>
      <w:r w:rsidR="00E3255D">
        <w:t xml:space="preserve">legal and </w:t>
      </w:r>
      <w:r>
        <w:t xml:space="preserve">governance </w:t>
      </w:r>
      <w:r w:rsidR="00E3255D">
        <w:t xml:space="preserve">framework </w:t>
      </w:r>
      <w:r>
        <w:t>that will underpin the auction.</w:t>
      </w:r>
    </w:p>
    <w:p w14:paraId="7F159306" w14:textId="095DFCA1" w:rsidR="001C5D5A" w:rsidRDefault="001C5D5A" w:rsidP="009C10FD">
      <w:pPr>
        <w:pStyle w:val="BodyText"/>
      </w:pPr>
      <w:r>
        <w:t xml:space="preserve">These issues are discussed in </w:t>
      </w:r>
      <w:r w:rsidR="003110AA">
        <w:t xml:space="preserve">turn </w:t>
      </w:r>
      <w:r>
        <w:t>in the remainder of this part of the consultation paper</w:t>
      </w:r>
      <w:r w:rsidR="00133C38">
        <w:t>, which also sets out</w:t>
      </w:r>
      <w:r w:rsidR="00CE7C87">
        <w:t xml:space="preserve"> the GMRG’s preliminary view</w:t>
      </w:r>
      <w:r w:rsidR="00133C38">
        <w:t xml:space="preserve"> on these issues</w:t>
      </w:r>
      <w:r>
        <w:t xml:space="preserve">. </w:t>
      </w:r>
      <w:r w:rsidR="00133C38">
        <w:t>As noted in Chapter 1, the inclusion of the GMRG’s preliminary view in this consultation paper is intended to facilitate consultation and elicit feedback from stakeholders. It should not therefore be interpreted as a concluded position of the GMRG.</w:t>
      </w:r>
    </w:p>
    <w:p w14:paraId="03D36530" w14:textId="498EC9C0" w:rsidR="009467E3" w:rsidRDefault="009467E3" w:rsidP="009C10FD">
      <w:pPr>
        <w:pStyle w:val="BodyText"/>
      </w:pPr>
      <w:r>
        <w:br w:type="page"/>
      </w:r>
    </w:p>
    <w:p w14:paraId="74BBBEA2" w14:textId="5BDA2FCF" w:rsidR="00A74F85" w:rsidRDefault="003416C5" w:rsidP="00DE1291">
      <w:pPr>
        <w:pStyle w:val="Heading1"/>
        <w:spacing w:before="240" w:after="120"/>
      </w:pPr>
      <w:bookmarkStart w:id="63" w:name="_Toc495351629"/>
      <w:r>
        <w:t>Product</w:t>
      </w:r>
      <w:r w:rsidR="00DE1291">
        <w:t>s</w:t>
      </w:r>
      <w:r>
        <w:t xml:space="preserve"> </w:t>
      </w:r>
      <w:r w:rsidR="006F21A5">
        <w:t xml:space="preserve">to be </w:t>
      </w:r>
      <w:proofErr w:type="gramStart"/>
      <w:r w:rsidR="006F21A5">
        <w:t>Auctioned</w:t>
      </w:r>
      <w:bookmarkEnd w:id="63"/>
      <w:proofErr w:type="gramEnd"/>
      <w:r w:rsidR="006F21A5">
        <w:t xml:space="preserve"> </w:t>
      </w:r>
    </w:p>
    <w:p w14:paraId="4AAB142D" w14:textId="4F0D81A2" w:rsidR="00893E06" w:rsidRDefault="003077BC" w:rsidP="00DE1291">
      <w:pPr>
        <w:pStyle w:val="BodyText"/>
        <w:spacing w:before="120"/>
      </w:pPr>
      <w:r>
        <w:t xml:space="preserve">As noted in the preceding section, the AEMC has recommended the introduction of </w:t>
      </w:r>
      <w:r w:rsidRPr="00951BE8">
        <w:t>a day-ahead</w:t>
      </w:r>
      <w:r>
        <w:t xml:space="preserve"> auction of contracted but un</w:t>
      </w:r>
      <w:r w:rsidR="00F52224">
        <w:t xml:space="preserve">-nominated </w:t>
      </w:r>
      <w:r w:rsidR="00DE1291">
        <w:t>transportation</w:t>
      </w:r>
      <w:r w:rsidR="00F52224">
        <w:t xml:space="preserve"> capacity</w:t>
      </w:r>
      <w:r w:rsidR="00E340A7">
        <w:t xml:space="preserve">. </w:t>
      </w:r>
      <w:r>
        <w:t>The AEMC also recommended that</w:t>
      </w:r>
      <w:r w:rsidR="00893E06">
        <w:t>:</w:t>
      </w:r>
      <w:r>
        <w:t xml:space="preserve"> </w:t>
      </w:r>
    </w:p>
    <w:p w14:paraId="72912FB7" w14:textId="77777777" w:rsidR="00893E06" w:rsidRDefault="003077BC" w:rsidP="00893E06">
      <w:pPr>
        <w:pStyle w:val="ListBullet"/>
      </w:pPr>
      <w:r>
        <w:t xml:space="preserve">nominations or renominations </w:t>
      </w:r>
      <w:r w:rsidR="007E02FB">
        <w:t xml:space="preserve">by incumbent shippers </w:t>
      </w:r>
      <w:r>
        <w:t>that occur after the auction be accommodated</w:t>
      </w:r>
      <w:r w:rsidR="00893E06">
        <w:t xml:space="preserve"> (required outcome);</w:t>
      </w:r>
    </w:p>
    <w:p w14:paraId="5A6D84C8" w14:textId="77777777" w:rsidR="00893E06" w:rsidRDefault="00C67B8D" w:rsidP="00893E06">
      <w:pPr>
        <w:pStyle w:val="ListBullet"/>
      </w:pPr>
      <w:r>
        <w:t xml:space="preserve">the auction product </w:t>
      </w:r>
      <w:r w:rsidR="00893E06">
        <w:t xml:space="preserve">be </w:t>
      </w:r>
      <w:r>
        <w:t>curtailed prior to firm capacity</w:t>
      </w:r>
      <w:r w:rsidR="00893E06">
        <w:t xml:space="preserve"> (preferred outcome); and</w:t>
      </w:r>
    </w:p>
    <w:p w14:paraId="484E2A87" w14:textId="21E688B8" w:rsidR="00DE1291" w:rsidRDefault="00893E06" w:rsidP="00893E06">
      <w:pPr>
        <w:pStyle w:val="ListBullet"/>
      </w:pPr>
      <w:proofErr w:type="gramStart"/>
      <w:r>
        <w:t>as</w:t>
      </w:r>
      <w:proofErr w:type="gramEnd"/>
      <w:r>
        <w:t xml:space="preserve"> available and interruptible</w:t>
      </w:r>
      <w:r w:rsidRPr="00893E06">
        <w:t xml:space="preserve"> </w:t>
      </w:r>
      <w:r>
        <w:t xml:space="preserve">rights in current </w:t>
      </w:r>
      <w:r w:rsidR="00133C38">
        <w:t>gas transportation agreements (</w:t>
      </w:r>
      <w:r>
        <w:t>GTAs</w:t>
      </w:r>
      <w:r w:rsidR="00133C38">
        <w:t>)</w:t>
      </w:r>
      <w:r>
        <w:t xml:space="preserve"> be phased out to avoid them competing with rights allocated in the auction (suggested outcome)</w:t>
      </w:r>
      <w:r w:rsidR="007E43D2">
        <w:t xml:space="preserve">. </w:t>
      </w:r>
    </w:p>
    <w:p w14:paraId="259A0A42" w14:textId="2A9A6179" w:rsidR="00DE1291" w:rsidRDefault="00DE1291" w:rsidP="00DE1291">
      <w:pPr>
        <w:pStyle w:val="BodyText"/>
      </w:pPr>
      <w:r>
        <w:t xml:space="preserve">These </w:t>
      </w:r>
      <w:r w:rsidR="007E02FB">
        <w:t xml:space="preserve">product design related </w:t>
      </w:r>
      <w:r>
        <w:t>recommendations have been considered by the Day-Ahead Auction project team</w:t>
      </w:r>
      <w:r w:rsidR="007E02FB">
        <w:t xml:space="preserve"> and the GMRG. In </w:t>
      </w:r>
      <w:r>
        <w:t xml:space="preserve">doing so, </w:t>
      </w:r>
      <w:r w:rsidR="007E02FB">
        <w:t>consideration has been given to</w:t>
      </w:r>
      <w:r>
        <w:t xml:space="preserve">: </w:t>
      </w:r>
    </w:p>
    <w:p w14:paraId="1162F452" w14:textId="579F0824" w:rsidR="00DE1291" w:rsidRDefault="00DE1291" w:rsidP="00DE1291">
      <w:pPr>
        <w:pStyle w:val="ListBullet"/>
      </w:pPr>
      <w:r>
        <w:t>the types of transportation products that should be subject to the day-ahead auction;</w:t>
      </w:r>
    </w:p>
    <w:p w14:paraId="288F30E6" w14:textId="4654414D" w:rsidR="00DE1291" w:rsidRDefault="00DE1291" w:rsidP="00DE1291">
      <w:pPr>
        <w:pStyle w:val="ListBullet"/>
      </w:pPr>
      <w:r>
        <w:t xml:space="preserve">the </w:t>
      </w:r>
      <w:r w:rsidR="008976DC">
        <w:t xml:space="preserve">priority </w:t>
      </w:r>
      <w:r>
        <w:t>of the auction products</w:t>
      </w:r>
      <w:r w:rsidR="00E66806">
        <w:t>,</w:t>
      </w:r>
      <w:r>
        <w:t xml:space="preserve"> </w:t>
      </w:r>
      <w:r w:rsidR="00E66806">
        <w:t>which depends</w:t>
      </w:r>
      <w:r w:rsidR="008976DC">
        <w:t>, in part,</w:t>
      </w:r>
      <w:r w:rsidR="00E66806">
        <w:t xml:space="preserve"> on the </w:t>
      </w:r>
      <w:r>
        <w:t xml:space="preserve">way in which nominations and renominations </w:t>
      </w:r>
      <w:r w:rsidR="00E66806">
        <w:t>by incumbent shippers</w:t>
      </w:r>
      <w:r w:rsidR="007E02FB">
        <w:t xml:space="preserve"> </w:t>
      </w:r>
      <w:r w:rsidR="00E66806">
        <w:t xml:space="preserve">are </w:t>
      </w:r>
      <w:r>
        <w:t>accommodated;</w:t>
      </w:r>
    </w:p>
    <w:p w14:paraId="1C43A6E3" w14:textId="3D16F9C7" w:rsidR="00DE1291" w:rsidRDefault="00DE1291" w:rsidP="00DE1291">
      <w:pPr>
        <w:pStyle w:val="ListBullet"/>
      </w:pPr>
      <w:r>
        <w:t>whether the auction products should be sold on a zonal or point-to-point basis; and</w:t>
      </w:r>
    </w:p>
    <w:p w14:paraId="6A6615AC" w14:textId="7906EEF8" w:rsidR="00DE1291" w:rsidRDefault="00DE1291" w:rsidP="00DE1291">
      <w:pPr>
        <w:pStyle w:val="ListBullet"/>
      </w:pPr>
      <w:proofErr w:type="gramStart"/>
      <w:r>
        <w:t>other</w:t>
      </w:r>
      <w:proofErr w:type="gramEnd"/>
      <w:r>
        <w:t xml:space="preserve"> features of the auction products.</w:t>
      </w:r>
    </w:p>
    <w:p w14:paraId="6385AD68" w14:textId="7D918DF3" w:rsidR="003A798C" w:rsidRDefault="00DE1291" w:rsidP="00A12895">
      <w:pPr>
        <w:pStyle w:val="BodyText"/>
      </w:pPr>
      <w:r>
        <w:t>These issues are discussed in further detail in the remainder of this chapter</w:t>
      </w:r>
      <w:r w:rsidR="003A798C">
        <w:t xml:space="preserve">, which also contains the GMRG’s preliminary views on various issues. </w:t>
      </w:r>
    </w:p>
    <w:p w14:paraId="563DEFFA" w14:textId="653423B5" w:rsidR="00414FB3" w:rsidRDefault="00AA265D" w:rsidP="00DA008E">
      <w:pPr>
        <w:pStyle w:val="Heading2"/>
        <w:spacing w:before="120" w:after="60"/>
      </w:pPr>
      <w:bookmarkStart w:id="64" w:name="_Ref494710601"/>
      <w:bookmarkStart w:id="65" w:name="_Toc495351630"/>
      <w:r>
        <w:t xml:space="preserve">Transportation products </w:t>
      </w:r>
      <w:r w:rsidR="00414FB3">
        <w:t xml:space="preserve">to be </w:t>
      </w:r>
      <w:r w:rsidR="00DE1291">
        <w:t xml:space="preserve">subject to the </w:t>
      </w:r>
      <w:r w:rsidR="00414FB3">
        <w:t>auction</w:t>
      </w:r>
      <w:bookmarkEnd w:id="64"/>
      <w:bookmarkEnd w:id="65"/>
    </w:p>
    <w:p w14:paraId="4DA65392" w14:textId="76463F47" w:rsidR="004F7B9E" w:rsidRDefault="004F7B9E" w:rsidP="00414FB3">
      <w:pPr>
        <w:pStyle w:val="BodyText"/>
      </w:pPr>
      <w:r>
        <w:t xml:space="preserve">In the </w:t>
      </w:r>
      <w:r w:rsidRPr="004F7B9E">
        <w:rPr>
          <w:i/>
        </w:rPr>
        <w:t>East Coast Review</w:t>
      </w:r>
      <w:r>
        <w:rPr>
          <w:i/>
        </w:rPr>
        <w:t>,</w:t>
      </w:r>
      <w:r>
        <w:t xml:space="preserve"> the AEMC recommended that the day-ahead auction apply to pipeline and hub services</w:t>
      </w:r>
      <w:r w:rsidR="00DE1291">
        <w:t xml:space="preserve">, but the </w:t>
      </w:r>
      <w:r>
        <w:t xml:space="preserve">specific </w:t>
      </w:r>
      <w:r w:rsidR="007E02FB">
        <w:t>products</w:t>
      </w:r>
      <w:r>
        <w:t xml:space="preserve"> </w:t>
      </w:r>
      <w:r w:rsidR="00DE1291">
        <w:t xml:space="preserve">it </w:t>
      </w:r>
      <w:r>
        <w:t xml:space="preserve">expected to be released through the auction were not specified. </w:t>
      </w:r>
      <w:r w:rsidR="00DE1291">
        <w:t xml:space="preserve">This issue was discussed with the Day-Ahead Auction </w:t>
      </w:r>
      <w:r>
        <w:t>project team</w:t>
      </w:r>
      <w:r w:rsidR="00DE1291">
        <w:t>, which agreed</w:t>
      </w:r>
      <w:r>
        <w:t xml:space="preserve"> that </w:t>
      </w:r>
      <w:r w:rsidR="00DE1291">
        <w:t xml:space="preserve">the </w:t>
      </w:r>
      <w:r>
        <w:t>products to be auctioned should include:</w:t>
      </w:r>
    </w:p>
    <w:p w14:paraId="3D345D08" w14:textId="120102F5" w:rsidR="004F7B9E" w:rsidRDefault="004F7B9E" w:rsidP="004F7B9E">
      <w:pPr>
        <w:pStyle w:val="ListBullet"/>
      </w:pPr>
      <w:r>
        <w:t xml:space="preserve">forward haul transportation </w:t>
      </w:r>
      <w:r w:rsidR="007E02FB">
        <w:t>products</w:t>
      </w:r>
      <w:r>
        <w:t xml:space="preserve">, which on bi-directional pipelines </w:t>
      </w:r>
      <w:r w:rsidR="003C634C">
        <w:t xml:space="preserve">would </w:t>
      </w:r>
      <w:r w:rsidR="00AF294B">
        <w:t>include</w:t>
      </w:r>
      <w:r w:rsidR="005D6AE7">
        <w:t xml:space="preserve"> </w:t>
      </w:r>
      <w:r w:rsidR="003C634C">
        <w:t xml:space="preserve">separate </w:t>
      </w:r>
      <w:r w:rsidR="00AF294B">
        <w:t xml:space="preserve">forward haul </w:t>
      </w:r>
      <w:r w:rsidR="003C634C">
        <w:t xml:space="preserve">products </w:t>
      </w:r>
      <w:r w:rsidR="00AF294B">
        <w:t xml:space="preserve">in </w:t>
      </w:r>
      <w:r w:rsidR="003C634C">
        <w:t>each direction</w:t>
      </w:r>
      <w:r>
        <w:t>;</w:t>
      </w:r>
      <w:r w:rsidR="007E02FB">
        <w:rPr>
          <w:rStyle w:val="FootnoteReference"/>
        </w:rPr>
        <w:footnoteReference w:id="26"/>
      </w:r>
      <w:r>
        <w:t xml:space="preserve"> and</w:t>
      </w:r>
    </w:p>
    <w:p w14:paraId="4ADE203F" w14:textId="602FB390" w:rsidR="004F7B9E" w:rsidRDefault="004F7B9E" w:rsidP="004F7B9E">
      <w:pPr>
        <w:pStyle w:val="ListBullet"/>
      </w:pPr>
      <w:proofErr w:type="gramStart"/>
      <w:r>
        <w:t>compression</w:t>
      </w:r>
      <w:proofErr w:type="gramEnd"/>
      <w:r>
        <w:t xml:space="preserve"> services.</w:t>
      </w:r>
    </w:p>
    <w:p w14:paraId="6447B167" w14:textId="01950446" w:rsidR="0079054B" w:rsidRDefault="00DE1291" w:rsidP="0079054B">
      <w:pPr>
        <w:pStyle w:val="BodyText"/>
      </w:pPr>
      <w:r>
        <w:t xml:space="preserve">Some </w:t>
      </w:r>
      <w:r w:rsidR="00D81C8A">
        <w:t xml:space="preserve">project team members </w:t>
      </w:r>
      <w:r>
        <w:t xml:space="preserve">also suggested the auction should provide for the release of </w:t>
      </w:r>
      <w:r w:rsidR="004F7B9E">
        <w:t xml:space="preserve">backhaul </w:t>
      </w:r>
      <w:r>
        <w:t xml:space="preserve">capacity </w:t>
      </w:r>
      <w:r w:rsidR="004F7B9E">
        <w:t xml:space="preserve">on pipelines </w:t>
      </w:r>
      <w:r w:rsidR="003C634C">
        <w:t xml:space="preserve">that only operate in a single direction </w:t>
      </w:r>
      <w:r w:rsidR="00D81C8A">
        <w:t xml:space="preserve">(see </w:t>
      </w:r>
      <w:r w:rsidR="00D81C8A">
        <w:rPr>
          <w:highlight w:val="yellow"/>
        </w:rPr>
        <w:fldChar w:fldCharType="begin"/>
      </w:r>
      <w:r w:rsidR="00D81C8A">
        <w:instrText xml:space="preserve"> REF _Ref494608930 \h </w:instrText>
      </w:r>
      <w:r w:rsidR="00D81C8A">
        <w:rPr>
          <w:highlight w:val="yellow"/>
        </w:rPr>
      </w:r>
      <w:r w:rsidR="00D81C8A">
        <w:rPr>
          <w:highlight w:val="yellow"/>
        </w:rPr>
        <w:fldChar w:fldCharType="separate"/>
      </w:r>
      <w:r w:rsidR="00272B32">
        <w:t xml:space="preserve">Box </w:t>
      </w:r>
      <w:r w:rsidR="00272B32">
        <w:rPr>
          <w:noProof/>
        </w:rPr>
        <w:t>3</w:t>
      </w:r>
      <w:r w:rsidR="00272B32">
        <w:t>.</w:t>
      </w:r>
      <w:r w:rsidR="00272B32">
        <w:rPr>
          <w:noProof/>
        </w:rPr>
        <w:t>1</w:t>
      </w:r>
      <w:r w:rsidR="00D81C8A">
        <w:rPr>
          <w:highlight w:val="yellow"/>
        </w:rPr>
        <w:fldChar w:fldCharType="end"/>
      </w:r>
      <w:r w:rsidR="00133C38">
        <w:t xml:space="preserve"> for more detail on backhaul services</w:t>
      </w:r>
      <w:r w:rsidR="00D81C8A">
        <w:t>)</w:t>
      </w:r>
      <w:r>
        <w:t>,</w:t>
      </w:r>
      <w:r w:rsidR="004F7B9E">
        <w:rPr>
          <w:rStyle w:val="FootnoteReference"/>
        </w:rPr>
        <w:footnoteReference w:id="27"/>
      </w:r>
      <w:r w:rsidR="004F7B9E">
        <w:t xml:space="preserve"> </w:t>
      </w:r>
      <w:r>
        <w:t xml:space="preserve">but this </w:t>
      </w:r>
      <w:r w:rsidR="00CE7C87">
        <w:t xml:space="preserve">view </w:t>
      </w:r>
      <w:r>
        <w:t>was not endorsed by all project team members</w:t>
      </w:r>
      <w:r w:rsidR="00AF294B">
        <w:t xml:space="preserve">. </w:t>
      </w:r>
    </w:p>
    <w:p w14:paraId="30234B81" w14:textId="77777777" w:rsidR="00705190" w:rsidRDefault="00AF294B" w:rsidP="00AF294B">
      <w:pPr>
        <w:pStyle w:val="BodyText"/>
      </w:pPr>
      <w:r>
        <w:t>Those project team members that advocated the inclusion of backhaul capacity in the auction claimed that it would</w:t>
      </w:r>
      <w:r w:rsidR="00E66806">
        <w:t xml:space="preserve"> </w:t>
      </w:r>
      <w:r w:rsidR="00705190">
        <w:t xml:space="preserve">benefit: </w:t>
      </w:r>
    </w:p>
    <w:p w14:paraId="019F6867" w14:textId="19BB72E4" w:rsidR="00705190" w:rsidRPr="00705190" w:rsidRDefault="00E66806" w:rsidP="00705190">
      <w:pPr>
        <w:pStyle w:val="ListBullet"/>
      </w:pPr>
      <w:r w:rsidRPr="00705190">
        <w:t xml:space="preserve">shippers </w:t>
      </w:r>
      <w:r w:rsidR="00705190" w:rsidRPr="00705190">
        <w:t xml:space="preserve">because it would provide them </w:t>
      </w:r>
      <w:r w:rsidRPr="00705190">
        <w:t xml:space="preserve">with more flexibility to ‘transport’ gas </w:t>
      </w:r>
      <w:r w:rsidR="00705190" w:rsidRPr="00705190">
        <w:t>and allow the market to determine the price of this service; and</w:t>
      </w:r>
    </w:p>
    <w:p w14:paraId="66C70051" w14:textId="1E31ECE8" w:rsidR="00705190" w:rsidRDefault="00705190" w:rsidP="00705190">
      <w:pPr>
        <w:pStyle w:val="ListBullet"/>
      </w:pPr>
      <w:proofErr w:type="gramStart"/>
      <w:r w:rsidRPr="00705190">
        <w:t>service</w:t>
      </w:r>
      <w:proofErr w:type="gramEnd"/>
      <w:r w:rsidRPr="00705190">
        <w:t xml:space="preserve"> providers because it would result in less gas having to be physically transported on the pipeline</w:t>
      </w:r>
      <w:r>
        <w:t xml:space="preserve"> and therefore </w:t>
      </w:r>
      <w:r w:rsidRPr="00705190">
        <w:t>reduce the pipeline’s operating costs.</w:t>
      </w:r>
      <w:r w:rsidR="006B7AC6">
        <w:t xml:space="preserve"> </w:t>
      </w:r>
    </w:p>
    <w:p w14:paraId="2C5D6F3A" w14:textId="5221D75F" w:rsidR="00AF294B" w:rsidRDefault="00AF294B" w:rsidP="00705190">
      <w:pPr>
        <w:pStyle w:val="BodyText"/>
      </w:pPr>
      <w:r>
        <w:t>Those that were opposed to its inclusion, on the other hand, claimed it went beyond the scop</w:t>
      </w:r>
      <w:r w:rsidR="0035688B">
        <w:t xml:space="preserve">e of the AEMC’s recommendation for an auction of contracted but un-nominated capacity </w:t>
      </w:r>
      <w:r>
        <w:t xml:space="preserve">(i.e. because backhaul capacity is not contracted on a firm basis and </w:t>
      </w:r>
      <w:r w:rsidR="00705190">
        <w:t xml:space="preserve">so </w:t>
      </w:r>
      <w:r>
        <w:t xml:space="preserve">cannot be released </w:t>
      </w:r>
      <w:r w:rsidR="00705190">
        <w:t>‘</w:t>
      </w:r>
      <w:r>
        <w:t>as contracted but un-nominated capacity</w:t>
      </w:r>
      <w:r w:rsidR="00705190">
        <w:t>’</w:t>
      </w:r>
      <w:r w:rsidR="00133C38">
        <w:t>)</w:t>
      </w:r>
      <w:r>
        <w:t xml:space="preserve">. </w:t>
      </w:r>
    </w:p>
    <w:tbl>
      <w:tblPr>
        <w:tblStyle w:val="PullOutBoxTable"/>
        <w:tblW w:w="5000" w:type="pct"/>
        <w:tblLook w:val="0600" w:firstRow="0" w:lastRow="0" w:firstColumn="0" w:lastColumn="0" w:noHBand="1" w:noVBand="1"/>
        <w:tblCaption w:val="Box 3.1: Backhaul services"/>
        <w:tblDescription w:val="Backhaul services"/>
      </w:tblPr>
      <w:tblGrid>
        <w:gridCol w:w="8788"/>
      </w:tblGrid>
      <w:tr w:rsidR="00D81C8A" w:rsidRPr="00D81C8A" w14:paraId="6CC0B5C6" w14:textId="77777777" w:rsidTr="00D26905">
        <w:trPr>
          <w:trHeight w:val="216"/>
          <w:tblHeader/>
        </w:trPr>
        <w:tc>
          <w:tcPr>
            <w:tcW w:w="5000" w:type="pct"/>
            <w:shd w:val="clear" w:color="auto" w:fill="auto"/>
          </w:tcPr>
          <w:p w14:paraId="1C57BB7F" w14:textId="0F7547C6" w:rsidR="00AF294B" w:rsidRPr="00D26905" w:rsidRDefault="00D26905" w:rsidP="00D26905">
            <w:pPr>
              <w:pStyle w:val="ListBullet"/>
              <w:keepNext/>
              <w:numPr>
                <w:ilvl w:val="0"/>
                <w:numId w:val="0"/>
              </w:numPr>
              <w:spacing w:before="0" w:after="0"/>
              <w:ind w:left="357" w:hanging="357"/>
              <w:rPr>
                <w:b/>
              </w:rPr>
            </w:pPr>
            <w:bookmarkStart w:id="66" w:name="_Ref494608930"/>
            <w:r w:rsidRPr="00D26905">
              <w:rPr>
                <w:b/>
              </w:rPr>
              <w:t xml:space="preserve">Box </w:t>
            </w:r>
            <w:r w:rsidRPr="00D26905">
              <w:rPr>
                <w:b/>
              </w:rPr>
              <w:fldChar w:fldCharType="begin"/>
            </w:r>
            <w:r w:rsidRPr="00D26905">
              <w:rPr>
                <w:b/>
              </w:rPr>
              <w:instrText xml:space="preserve"> STYLEREF 1 \s </w:instrText>
            </w:r>
            <w:r w:rsidRPr="00D26905">
              <w:rPr>
                <w:b/>
              </w:rPr>
              <w:fldChar w:fldCharType="separate"/>
            </w:r>
            <w:r w:rsidRPr="00D26905">
              <w:rPr>
                <w:b/>
                <w:noProof/>
              </w:rPr>
              <w:t>3</w:t>
            </w:r>
            <w:r w:rsidRPr="00D26905">
              <w:rPr>
                <w:b/>
                <w:noProof/>
              </w:rPr>
              <w:fldChar w:fldCharType="end"/>
            </w:r>
            <w:r w:rsidRPr="00D26905">
              <w:rPr>
                <w:b/>
              </w:rPr>
              <w:t>.</w:t>
            </w:r>
            <w:r w:rsidRPr="00D26905">
              <w:rPr>
                <w:b/>
              </w:rPr>
              <w:fldChar w:fldCharType="begin"/>
            </w:r>
            <w:r w:rsidRPr="00D26905">
              <w:rPr>
                <w:b/>
              </w:rPr>
              <w:instrText xml:space="preserve"> SEQ Box \* ARABIC \s 1 </w:instrText>
            </w:r>
            <w:r w:rsidRPr="00D26905">
              <w:rPr>
                <w:b/>
              </w:rPr>
              <w:fldChar w:fldCharType="separate"/>
            </w:r>
            <w:r w:rsidRPr="00D26905">
              <w:rPr>
                <w:b/>
                <w:noProof/>
              </w:rPr>
              <w:t>1</w:t>
            </w:r>
            <w:r w:rsidRPr="00D26905">
              <w:rPr>
                <w:b/>
                <w:noProof/>
              </w:rPr>
              <w:fldChar w:fldCharType="end"/>
            </w:r>
            <w:bookmarkEnd w:id="66"/>
            <w:r w:rsidRPr="00D26905">
              <w:rPr>
                <w:b/>
              </w:rPr>
              <w:t>: Backhaul services</w:t>
            </w:r>
          </w:p>
        </w:tc>
      </w:tr>
      <w:tr w:rsidR="00D26905" w:rsidRPr="00D81C8A" w14:paraId="4937F87F" w14:textId="77777777" w:rsidTr="00D81C8A">
        <w:tc>
          <w:tcPr>
            <w:tcW w:w="5000" w:type="pct"/>
          </w:tcPr>
          <w:p w14:paraId="352C6ACB" w14:textId="77777777" w:rsidR="00D26905" w:rsidRDefault="00D26905" w:rsidP="00D26905">
            <w:pPr>
              <w:pStyle w:val="PullOutBoxBodyText"/>
              <w:keepNext/>
              <w:spacing w:before="0" w:line="264" w:lineRule="auto"/>
              <w:rPr>
                <w:rFonts w:asciiTheme="majorHAnsi" w:hAnsiTheme="majorHAnsi" w:cstheme="majorHAnsi"/>
                <w:color w:val="000000"/>
                <w:sz w:val="20"/>
                <w:szCs w:val="20"/>
              </w:rPr>
            </w:pPr>
            <w:r w:rsidRPr="00D81C8A">
              <w:rPr>
                <w:rFonts w:asciiTheme="majorHAnsi" w:hAnsiTheme="majorHAnsi" w:cstheme="majorHAnsi"/>
                <w:sz w:val="20"/>
                <w:szCs w:val="20"/>
              </w:rPr>
              <w:t xml:space="preserve">A backhaul service </w:t>
            </w:r>
            <w:r w:rsidRPr="00D81C8A">
              <w:rPr>
                <w:rFonts w:asciiTheme="majorHAnsi" w:eastAsia="Times New Roman" w:hAnsiTheme="majorHAnsi" w:cstheme="majorHAnsi"/>
                <w:sz w:val="20"/>
                <w:szCs w:val="20"/>
              </w:rPr>
              <w:t>involves the ‘notional transportation’ of gas in the opposite direction to the predominant flow of gas. T</w:t>
            </w:r>
            <w:r w:rsidRPr="00D81C8A">
              <w:rPr>
                <w:rFonts w:asciiTheme="majorHAnsi" w:hAnsiTheme="majorHAnsi" w:cstheme="majorHAnsi"/>
                <w:color w:val="000000"/>
                <w:sz w:val="20"/>
                <w:szCs w:val="20"/>
              </w:rPr>
              <w:t xml:space="preserve">he </w:t>
            </w:r>
            <w:r w:rsidRPr="00D81C8A">
              <w:rPr>
                <w:rFonts w:asciiTheme="majorHAnsi" w:hAnsiTheme="majorHAnsi" w:cstheme="majorHAnsi"/>
                <w:sz w:val="20"/>
                <w:szCs w:val="20"/>
              </w:rPr>
              <w:t xml:space="preserve">term ‘notional </w:t>
            </w:r>
            <w:r w:rsidRPr="00D81C8A">
              <w:rPr>
                <w:rFonts w:asciiTheme="majorHAnsi" w:hAnsiTheme="majorHAnsi" w:cstheme="majorHAnsi"/>
                <w:color w:val="000000"/>
                <w:sz w:val="20"/>
                <w:szCs w:val="20"/>
              </w:rPr>
              <w:t>transportation</w:t>
            </w:r>
            <w:r w:rsidRPr="00D81C8A">
              <w:rPr>
                <w:rFonts w:asciiTheme="majorHAnsi" w:hAnsiTheme="majorHAnsi" w:cstheme="majorHAnsi"/>
                <w:sz w:val="20"/>
                <w:szCs w:val="20"/>
              </w:rPr>
              <w:t>’</w:t>
            </w:r>
            <w:r w:rsidRPr="00D81C8A">
              <w:rPr>
                <w:rFonts w:asciiTheme="majorHAnsi" w:hAnsiTheme="majorHAnsi" w:cstheme="majorHAnsi"/>
                <w:color w:val="000000"/>
                <w:sz w:val="20"/>
                <w:szCs w:val="20"/>
              </w:rPr>
              <w:t xml:space="preserve"> is </w:t>
            </w:r>
            <w:r w:rsidRPr="00D81C8A">
              <w:rPr>
                <w:rFonts w:asciiTheme="majorHAnsi" w:hAnsiTheme="majorHAnsi" w:cstheme="majorHAnsi"/>
                <w:sz w:val="20"/>
                <w:szCs w:val="20"/>
              </w:rPr>
              <w:t xml:space="preserve">used in this context </w:t>
            </w:r>
            <w:r w:rsidRPr="00D81C8A">
              <w:rPr>
                <w:rFonts w:asciiTheme="majorHAnsi" w:hAnsiTheme="majorHAnsi" w:cstheme="majorHAnsi"/>
                <w:color w:val="000000"/>
                <w:sz w:val="20"/>
                <w:szCs w:val="20"/>
              </w:rPr>
              <w:t>because the service does not actually result in the physical transportation of gas in the opposite direction. Rather the service involves a swap</w:t>
            </w:r>
            <w:r w:rsidRPr="00D81C8A">
              <w:rPr>
                <w:rFonts w:asciiTheme="majorHAnsi" w:hAnsiTheme="majorHAnsi" w:cstheme="majorHAnsi"/>
                <w:sz w:val="20"/>
                <w:szCs w:val="20"/>
              </w:rPr>
              <w:t>,</w:t>
            </w:r>
            <w:r w:rsidRPr="00D81C8A">
              <w:rPr>
                <w:rFonts w:asciiTheme="majorHAnsi" w:hAnsiTheme="majorHAnsi" w:cstheme="majorHAnsi"/>
                <w:color w:val="000000"/>
                <w:sz w:val="20"/>
                <w:szCs w:val="20"/>
              </w:rPr>
              <w:t xml:space="preserve"> with gas ‘exchanged’ at the point at which it is intended to enter the pipeline for an equivalent amount of gas at the backhaul delivery point. T</w:t>
            </w:r>
            <w:r w:rsidRPr="00D81C8A">
              <w:rPr>
                <w:rFonts w:asciiTheme="majorHAnsi" w:hAnsiTheme="majorHAnsi" w:cstheme="majorHAnsi"/>
                <w:sz w:val="20"/>
                <w:szCs w:val="20"/>
              </w:rPr>
              <w:t xml:space="preserve">he practical effect of this </w:t>
            </w:r>
            <w:r w:rsidRPr="00D81C8A">
              <w:rPr>
                <w:rFonts w:asciiTheme="majorHAnsi" w:hAnsiTheme="majorHAnsi" w:cstheme="majorHAnsi"/>
                <w:color w:val="000000"/>
                <w:sz w:val="20"/>
                <w:szCs w:val="20"/>
              </w:rPr>
              <w:t>service is that the net forward haul flow is offset by the volumes of gas nominated for backhaul.</w:t>
            </w:r>
            <w:r w:rsidRPr="00D81C8A">
              <w:rPr>
                <w:rStyle w:val="FootnoteReference"/>
                <w:rFonts w:asciiTheme="majorHAnsi" w:hAnsiTheme="majorHAnsi" w:cstheme="majorHAnsi"/>
                <w:sz w:val="20"/>
                <w:szCs w:val="20"/>
              </w:rPr>
              <w:t xml:space="preserve"> </w:t>
            </w:r>
            <w:r w:rsidRPr="00D81C8A">
              <w:rPr>
                <w:rStyle w:val="FootnoteReference"/>
                <w:rFonts w:asciiTheme="majorHAnsi" w:eastAsia="Times New Roman" w:hAnsiTheme="majorHAnsi" w:cstheme="majorHAnsi"/>
                <w:sz w:val="20"/>
                <w:szCs w:val="20"/>
              </w:rPr>
              <w:footnoteReference w:id="28"/>
            </w:r>
            <w:r w:rsidRPr="00D81C8A">
              <w:rPr>
                <w:rFonts w:asciiTheme="majorHAnsi" w:hAnsiTheme="majorHAnsi" w:cstheme="majorHAnsi"/>
                <w:color w:val="000000"/>
                <w:sz w:val="20"/>
                <w:szCs w:val="20"/>
              </w:rPr>
              <w:t xml:space="preserve"> If there is an insufficient volume of gas being transported on a f</w:t>
            </w:r>
            <w:r w:rsidRPr="00D81C8A">
              <w:rPr>
                <w:rFonts w:asciiTheme="majorHAnsi" w:hAnsiTheme="majorHAnsi" w:cstheme="majorHAnsi"/>
                <w:sz w:val="20"/>
                <w:szCs w:val="20"/>
              </w:rPr>
              <w:t>orward haul basis then the back</w:t>
            </w:r>
            <w:r w:rsidRPr="00D81C8A">
              <w:rPr>
                <w:rFonts w:asciiTheme="majorHAnsi" w:hAnsiTheme="majorHAnsi" w:cstheme="majorHAnsi"/>
                <w:color w:val="000000"/>
                <w:sz w:val="20"/>
                <w:szCs w:val="20"/>
              </w:rPr>
              <w:t>haul service will be interrupted, which is why this service is usually only sold on an interruptible basis</w:t>
            </w:r>
            <w:r w:rsidRPr="00D81C8A">
              <w:rPr>
                <w:rFonts w:asciiTheme="majorHAnsi" w:hAnsiTheme="majorHAnsi" w:cstheme="majorHAnsi"/>
                <w:sz w:val="20"/>
                <w:szCs w:val="20"/>
              </w:rPr>
              <w:t>.</w:t>
            </w:r>
            <w:r w:rsidRPr="00D81C8A">
              <w:rPr>
                <w:rFonts w:asciiTheme="majorHAnsi" w:hAnsiTheme="majorHAnsi" w:cstheme="majorHAnsi"/>
                <w:color w:val="000000"/>
                <w:sz w:val="20"/>
                <w:szCs w:val="20"/>
              </w:rPr>
              <w:t xml:space="preserve"> </w:t>
            </w:r>
          </w:p>
          <w:p w14:paraId="0409AF16" w14:textId="77777777" w:rsidR="00D26905" w:rsidRDefault="00D26905" w:rsidP="00D26905">
            <w:pPr>
              <w:pStyle w:val="PullOutBoxBodyText"/>
              <w:keepNext/>
              <w:spacing w:before="0" w:line="264" w:lineRule="auto"/>
              <w:rPr>
                <w:rFonts w:asciiTheme="majorHAnsi" w:hAnsiTheme="majorHAnsi" w:cstheme="majorHAnsi"/>
                <w:color w:val="000000"/>
                <w:sz w:val="20"/>
                <w:szCs w:val="20"/>
              </w:rPr>
            </w:pPr>
          </w:p>
          <w:p w14:paraId="028EA175" w14:textId="77777777" w:rsidR="00D26905" w:rsidRPr="00AF294B" w:rsidRDefault="00D26905" w:rsidP="00D26905">
            <w:pPr>
              <w:pStyle w:val="PullOutBoxBodyText"/>
              <w:keepNext/>
              <w:spacing w:before="0" w:line="264" w:lineRule="auto"/>
              <w:rPr>
                <w:sz w:val="20"/>
                <w:szCs w:val="20"/>
              </w:rPr>
            </w:pPr>
            <w:r>
              <w:rPr>
                <w:rFonts w:asciiTheme="majorHAnsi" w:hAnsiTheme="majorHAnsi" w:cstheme="majorHAnsi"/>
                <w:color w:val="000000"/>
                <w:sz w:val="20"/>
                <w:szCs w:val="20"/>
              </w:rPr>
              <w:t xml:space="preserve">From </w:t>
            </w:r>
            <w:r w:rsidRPr="00AF294B">
              <w:rPr>
                <w:rFonts w:asciiTheme="majorHAnsi" w:hAnsiTheme="majorHAnsi" w:cstheme="majorHAnsi"/>
                <w:color w:val="000000"/>
                <w:sz w:val="20"/>
                <w:szCs w:val="20"/>
              </w:rPr>
              <w:t xml:space="preserve">a service provider’s perspective, </w:t>
            </w:r>
            <w:r>
              <w:rPr>
                <w:rFonts w:asciiTheme="majorHAnsi" w:hAnsiTheme="majorHAnsi" w:cstheme="majorHAnsi"/>
                <w:color w:val="000000"/>
                <w:sz w:val="20"/>
                <w:szCs w:val="20"/>
              </w:rPr>
              <w:t>the incremental cost of providing backhaul services is relatively low and administrative in nature.</w:t>
            </w:r>
            <w:r>
              <w:rPr>
                <w:rStyle w:val="FootnoteReference"/>
              </w:rPr>
              <w:footnoteReference w:id="29"/>
            </w:r>
            <w:r>
              <w:rPr>
                <w:rFonts w:asciiTheme="majorHAnsi" w:hAnsiTheme="majorHAnsi" w:cstheme="majorHAnsi"/>
                <w:color w:val="000000"/>
                <w:sz w:val="20"/>
                <w:szCs w:val="20"/>
              </w:rPr>
              <w:t xml:space="preserve"> T</w:t>
            </w:r>
            <w:r w:rsidRPr="00AF294B">
              <w:rPr>
                <w:rFonts w:asciiTheme="majorHAnsi" w:hAnsiTheme="majorHAnsi" w:cstheme="majorHAnsi"/>
                <w:color w:val="000000"/>
                <w:sz w:val="20"/>
                <w:szCs w:val="20"/>
              </w:rPr>
              <w:t xml:space="preserve">here are </w:t>
            </w:r>
            <w:r>
              <w:rPr>
                <w:rFonts w:asciiTheme="majorHAnsi" w:hAnsiTheme="majorHAnsi" w:cstheme="majorHAnsi"/>
                <w:color w:val="000000"/>
                <w:sz w:val="20"/>
                <w:szCs w:val="20"/>
              </w:rPr>
              <w:t xml:space="preserve">also </w:t>
            </w:r>
            <w:r w:rsidRPr="00AF294B">
              <w:rPr>
                <w:rFonts w:asciiTheme="majorHAnsi" w:hAnsiTheme="majorHAnsi" w:cstheme="majorHAnsi"/>
                <w:color w:val="000000"/>
                <w:sz w:val="20"/>
                <w:szCs w:val="20"/>
              </w:rPr>
              <w:t>a number of benefits associated with backhaul services. For example, the reduction in physical flows on the pipeline can</w:t>
            </w:r>
            <w:r w:rsidRPr="00AF294B">
              <w:rPr>
                <w:sz w:val="20"/>
                <w:szCs w:val="20"/>
              </w:rPr>
              <w:t>:</w:t>
            </w:r>
          </w:p>
          <w:p w14:paraId="34D4BD67" w14:textId="77777777" w:rsidR="00D26905" w:rsidRPr="00AF294B" w:rsidRDefault="00D26905" w:rsidP="00D26905">
            <w:pPr>
              <w:pStyle w:val="ListBullet"/>
              <w:keepNext/>
              <w:rPr>
                <w:sz w:val="20"/>
                <w:szCs w:val="20"/>
              </w:rPr>
            </w:pPr>
            <w:r w:rsidRPr="00AF294B">
              <w:rPr>
                <w:sz w:val="20"/>
                <w:szCs w:val="20"/>
              </w:rPr>
              <w:t xml:space="preserve">reduce the pipeline’s compressor fuel and maintenance requirements; </w:t>
            </w:r>
          </w:p>
          <w:p w14:paraId="6072DF3A" w14:textId="77777777" w:rsidR="00D26905" w:rsidRPr="00AF294B" w:rsidRDefault="00D26905" w:rsidP="00D26905">
            <w:pPr>
              <w:pStyle w:val="ListBullet"/>
              <w:keepNext/>
              <w:rPr>
                <w:sz w:val="20"/>
                <w:szCs w:val="20"/>
              </w:rPr>
            </w:pPr>
            <w:r w:rsidRPr="00AF294B">
              <w:rPr>
                <w:sz w:val="20"/>
                <w:szCs w:val="20"/>
              </w:rPr>
              <w:t xml:space="preserve">help to alleviate physical constraints on a pipeline; and </w:t>
            </w:r>
          </w:p>
          <w:p w14:paraId="0674C862" w14:textId="31EA9780" w:rsidR="00D26905" w:rsidRPr="00D81C8A" w:rsidRDefault="00D26905" w:rsidP="00D26905">
            <w:pPr>
              <w:pStyle w:val="PullOutBoxBodyText"/>
              <w:keepNext/>
              <w:spacing w:before="0"/>
              <w:rPr>
                <w:rFonts w:asciiTheme="majorHAnsi" w:hAnsiTheme="majorHAnsi" w:cstheme="majorHAnsi"/>
                <w:sz w:val="20"/>
                <w:szCs w:val="20"/>
              </w:rPr>
            </w:pPr>
            <w:proofErr w:type="gramStart"/>
            <w:r w:rsidRPr="00AF294B">
              <w:rPr>
                <w:sz w:val="20"/>
                <w:szCs w:val="20"/>
              </w:rPr>
              <w:t>provide</w:t>
            </w:r>
            <w:proofErr w:type="gramEnd"/>
            <w:r w:rsidRPr="00AF294B">
              <w:rPr>
                <w:sz w:val="20"/>
                <w:szCs w:val="20"/>
              </w:rPr>
              <w:t xml:space="preserve"> service providers with more capacity to sell on a forward haul basis.</w:t>
            </w:r>
          </w:p>
        </w:tc>
      </w:tr>
    </w:tbl>
    <w:p w14:paraId="2CB786A2" w14:textId="7D287029" w:rsidR="00E01043" w:rsidRDefault="00E01043" w:rsidP="0079054B">
      <w:pPr>
        <w:pStyle w:val="BodyText"/>
      </w:pPr>
      <w:r>
        <w:t xml:space="preserve">The GMRG has considered the arguments raised by </w:t>
      </w:r>
      <w:r w:rsidR="00CE7C87">
        <w:t xml:space="preserve">project team members and </w:t>
      </w:r>
      <w:r>
        <w:t>its preliminary view is that there would be value</w:t>
      </w:r>
      <w:r w:rsidR="00AF294B">
        <w:t xml:space="preserve"> in</w:t>
      </w:r>
      <w:r>
        <w:t xml:space="preserve"> including </w:t>
      </w:r>
      <w:r w:rsidR="009807EC">
        <w:t xml:space="preserve">interruptible backhaul capacity </w:t>
      </w:r>
      <w:r>
        <w:t>in the auction</w:t>
      </w:r>
      <w:r w:rsidR="008006C6">
        <w:t xml:space="preserve">. The reasons for this are </w:t>
      </w:r>
      <w:r w:rsidR="007E02FB">
        <w:t>three-fold</w:t>
      </w:r>
      <w:r w:rsidR="00266A5E">
        <w:t>.</w:t>
      </w:r>
    </w:p>
    <w:p w14:paraId="1F495CB7" w14:textId="678B18DE" w:rsidR="001C783E" w:rsidRDefault="00266A5E" w:rsidP="00266A5E">
      <w:pPr>
        <w:pStyle w:val="BodyText"/>
      </w:pPr>
      <w:r>
        <w:t>First,</w:t>
      </w:r>
      <w:r w:rsidR="00C45D2C">
        <w:t xml:space="preserve"> the inclusion of backhaul </w:t>
      </w:r>
      <w:r w:rsidR="00C43516">
        <w:t>capacity</w:t>
      </w:r>
      <w:r w:rsidR="00C45D2C">
        <w:t xml:space="preserve"> in the auction </w:t>
      </w:r>
      <w:r w:rsidR="00AA2EA4">
        <w:t xml:space="preserve">could </w:t>
      </w:r>
      <w:r w:rsidR="00C45D2C">
        <w:t xml:space="preserve">result in </w:t>
      </w:r>
      <w:r w:rsidR="00AA2EA4">
        <w:t xml:space="preserve">a range of </w:t>
      </w:r>
      <w:r w:rsidR="00C43516">
        <w:t xml:space="preserve">efficiency </w:t>
      </w:r>
      <w:r w:rsidR="00C45D2C">
        <w:t xml:space="preserve">gains </w:t>
      </w:r>
      <w:r w:rsidR="008E2F43">
        <w:t>across the gas supply chain</w:t>
      </w:r>
      <w:r w:rsidR="00C43516">
        <w:t>,</w:t>
      </w:r>
      <w:r w:rsidR="008E2F43">
        <w:t xml:space="preserve"> because it </w:t>
      </w:r>
      <w:r w:rsidR="00AF294B">
        <w:t xml:space="preserve">will </w:t>
      </w:r>
      <w:r w:rsidR="00C43516">
        <w:t xml:space="preserve">improve the efficiency with which </w:t>
      </w:r>
      <w:r w:rsidR="008E2F43">
        <w:t>capacity on single directional pipelines</w:t>
      </w:r>
      <w:r w:rsidR="00C43516">
        <w:t xml:space="preserve"> is </w:t>
      </w:r>
      <w:r w:rsidR="00AA2EA4">
        <w:t xml:space="preserve">allocated and </w:t>
      </w:r>
      <w:r w:rsidR="00C43516">
        <w:t>used</w:t>
      </w:r>
      <w:r w:rsidR="00133C38">
        <w:t xml:space="preserve">. This </w:t>
      </w:r>
      <w:r w:rsidR="001C783E">
        <w:t>will, in turn:</w:t>
      </w:r>
    </w:p>
    <w:p w14:paraId="07312BF9" w14:textId="4C95D69B" w:rsidR="001C783E" w:rsidRDefault="001C783E" w:rsidP="001C783E">
      <w:pPr>
        <w:pStyle w:val="ListBullet"/>
      </w:pPr>
      <w:r>
        <w:t>facilitate the ‘transportation’ of gas to where it is valued most highly; and</w:t>
      </w:r>
    </w:p>
    <w:p w14:paraId="23BF334A" w14:textId="02724399" w:rsidR="001C783E" w:rsidRDefault="001C783E" w:rsidP="001C783E">
      <w:pPr>
        <w:pStyle w:val="ListBullet"/>
      </w:pPr>
      <w:proofErr w:type="gramStart"/>
      <w:r>
        <w:t>promote</w:t>
      </w:r>
      <w:proofErr w:type="gramEnd"/>
      <w:r>
        <w:t xml:space="preserve"> the efficient operation of, and investment in, these pipelines, which will benefit users of these pipelines and consumers of natural gas service.</w:t>
      </w:r>
    </w:p>
    <w:p w14:paraId="1502A907" w14:textId="6DB45472" w:rsidR="00C43516" w:rsidRDefault="004D063E" w:rsidP="004D063E">
      <w:pPr>
        <w:pStyle w:val="ListBullet"/>
        <w:numPr>
          <w:ilvl w:val="0"/>
          <w:numId w:val="0"/>
        </w:numPr>
        <w:rPr>
          <w:rFonts w:eastAsiaTheme="minorEastAsia"/>
        </w:rPr>
      </w:pPr>
      <w:r>
        <w:rPr>
          <w:rFonts w:eastAsiaTheme="minorEastAsia"/>
        </w:rPr>
        <w:t xml:space="preserve">The inclusion of backhaul </w:t>
      </w:r>
      <w:r w:rsidR="00C43516">
        <w:rPr>
          <w:rFonts w:eastAsiaTheme="minorEastAsia"/>
        </w:rPr>
        <w:t>capacity</w:t>
      </w:r>
      <w:r>
        <w:rPr>
          <w:rFonts w:eastAsiaTheme="minorEastAsia"/>
        </w:rPr>
        <w:t xml:space="preserve"> in the auction </w:t>
      </w:r>
      <w:r w:rsidR="00C43516">
        <w:rPr>
          <w:rFonts w:eastAsiaTheme="minorEastAsia"/>
        </w:rPr>
        <w:t>c</w:t>
      </w:r>
      <w:r w:rsidR="00DE1804">
        <w:rPr>
          <w:rFonts w:eastAsiaTheme="minorEastAsia"/>
        </w:rPr>
        <w:t>ould also</w:t>
      </w:r>
      <w:r w:rsidR="00C43516">
        <w:rPr>
          <w:rFonts w:eastAsiaTheme="minorEastAsia"/>
        </w:rPr>
        <w:t>:</w:t>
      </w:r>
      <w:r w:rsidR="00DE1804">
        <w:rPr>
          <w:rFonts w:eastAsiaTheme="minorEastAsia"/>
        </w:rPr>
        <w:t xml:space="preserve"> </w:t>
      </w:r>
    </w:p>
    <w:p w14:paraId="659EBB90" w14:textId="07132D7D" w:rsidR="00C43516" w:rsidRDefault="00DE1804" w:rsidP="009807EC">
      <w:pPr>
        <w:pStyle w:val="ListBullet"/>
        <w:rPr>
          <w:rFonts w:eastAsiaTheme="minorEastAsia"/>
        </w:rPr>
      </w:pPr>
      <w:r>
        <w:rPr>
          <w:rFonts w:eastAsiaTheme="minorEastAsia"/>
        </w:rPr>
        <w:t>provide shippers with more flexibility to procure and deliver gas to their end location</w:t>
      </w:r>
      <w:r w:rsidR="00C43516">
        <w:rPr>
          <w:rFonts w:eastAsiaTheme="minorEastAsia"/>
        </w:rPr>
        <w:t xml:space="preserve"> </w:t>
      </w:r>
      <w:r w:rsidR="00133C38">
        <w:rPr>
          <w:rFonts w:eastAsiaTheme="minorEastAsia"/>
        </w:rPr>
        <w:t>(</w:t>
      </w:r>
      <w:r w:rsidR="00C43516">
        <w:rPr>
          <w:rFonts w:eastAsiaTheme="minorEastAsia"/>
        </w:rPr>
        <w:t>for example, a shipper located outside an STTM could use backhaul capacity to procure gas from the STTM and ‘deliver’ it to its end location</w:t>
      </w:r>
      <w:r w:rsidR="00133C38">
        <w:rPr>
          <w:rFonts w:eastAsiaTheme="minorEastAsia"/>
        </w:rPr>
        <w:t>)</w:t>
      </w:r>
      <w:r w:rsidR="00C43516">
        <w:rPr>
          <w:rFonts w:eastAsiaTheme="minorEastAsia"/>
        </w:rPr>
        <w:t>;</w:t>
      </w:r>
      <w:r>
        <w:rPr>
          <w:rFonts w:eastAsiaTheme="minorEastAsia"/>
        </w:rPr>
        <w:t xml:space="preserve"> and </w:t>
      </w:r>
    </w:p>
    <w:p w14:paraId="1676FC97" w14:textId="77777777" w:rsidR="009807EC" w:rsidRDefault="004D063E" w:rsidP="009807EC">
      <w:pPr>
        <w:pStyle w:val="ListBullet"/>
        <w:rPr>
          <w:rFonts w:eastAsiaTheme="minorEastAsia"/>
        </w:rPr>
      </w:pPr>
      <w:proofErr w:type="gramStart"/>
      <w:r>
        <w:rPr>
          <w:rFonts w:eastAsiaTheme="minorEastAsia"/>
        </w:rPr>
        <w:t>result</w:t>
      </w:r>
      <w:proofErr w:type="gramEnd"/>
      <w:r>
        <w:rPr>
          <w:rFonts w:eastAsiaTheme="minorEastAsia"/>
        </w:rPr>
        <w:t xml:space="preserve"> in</w:t>
      </w:r>
      <w:r w:rsidR="00DE1804">
        <w:rPr>
          <w:rFonts w:eastAsiaTheme="minorEastAsia"/>
        </w:rPr>
        <w:t xml:space="preserve"> more gas being </w:t>
      </w:r>
      <w:r>
        <w:rPr>
          <w:rFonts w:eastAsiaTheme="minorEastAsia"/>
        </w:rPr>
        <w:t>suppl</w:t>
      </w:r>
      <w:r w:rsidR="00DE1804">
        <w:rPr>
          <w:rFonts w:eastAsiaTheme="minorEastAsia"/>
        </w:rPr>
        <w:t>ied</w:t>
      </w:r>
      <w:r>
        <w:rPr>
          <w:rFonts w:eastAsiaTheme="minorEastAsia"/>
        </w:rPr>
        <w:t xml:space="preserve"> </w:t>
      </w:r>
      <w:r w:rsidR="00DE1804">
        <w:rPr>
          <w:rFonts w:eastAsiaTheme="minorEastAsia"/>
        </w:rPr>
        <w:t xml:space="preserve">into the </w:t>
      </w:r>
      <w:r w:rsidR="009807EC">
        <w:rPr>
          <w:rFonts w:eastAsiaTheme="minorEastAsia"/>
        </w:rPr>
        <w:t xml:space="preserve">domestic </w:t>
      </w:r>
      <w:r w:rsidR="00DE1804">
        <w:rPr>
          <w:rFonts w:eastAsiaTheme="minorEastAsia"/>
        </w:rPr>
        <w:t>market</w:t>
      </w:r>
      <w:r w:rsidR="009807EC">
        <w:rPr>
          <w:rFonts w:eastAsiaTheme="minorEastAsia"/>
        </w:rPr>
        <w:t xml:space="preserve"> </w:t>
      </w:r>
      <w:r w:rsidR="009807EC">
        <w:t xml:space="preserve">if it reduces </w:t>
      </w:r>
      <w:r w:rsidR="009807EC">
        <w:rPr>
          <w:rFonts w:eastAsiaTheme="minorEastAsia"/>
        </w:rPr>
        <w:t>the cost of transportation and makes gas that would otherwise have been considered uncommercial to develop or to supply into the domestic market becoming commercially viable to do so.</w:t>
      </w:r>
      <w:r w:rsidR="00DE1804">
        <w:rPr>
          <w:rStyle w:val="FootnoteReference"/>
          <w:rFonts w:eastAsiaTheme="minorEastAsia"/>
        </w:rPr>
        <w:footnoteReference w:id="30"/>
      </w:r>
      <w:r w:rsidR="00DE1804">
        <w:rPr>
          <w:rFonts w:eastAsiaTheme="minorEastAsia"/>
        </w:rPr>
        <w:t xml:space="preserve"> </w:t>
      </w:r>
    </w:p>
    <w:p w14:paraId="6F7ED0DE" w14:textId="0299D1F3" w:rsidR="00DE1804" w:rsidRDefault="00AA2EA4" w:rsidP="004D063E">
      <w:pPr>
        <w:pStyle w:val="ListBullet"/>
        <w:numPr>
          <w:ilvl w:val="0"/>
          <w:numId w:val="0"/>
        </w:numPr>
        <w:rPr>
          <w:rFonts w:eastAsiaTheme="minorEastAsia"/>
        </w:rPr>
      </w:pPr>
      <w:r>
        <w:rPr>
          <w:rFonts w:eastAsiaTheme="minorEastAsia"/>
        </w:rPr>
        <w:t>T</w:t>
      </w:r>
      <w:r w:rsidR="00DE1804">
        <w:rPr>
          <w:rFonts w:eastAsiaTheme="minorEastAsia"/>
        </w:rPr>
        <w:t xml:space="preserve">he importance of </w:t>
      </w:r>
      <w:r w:rsidR="009807EC">
        <w:rPr>
          <w:rFonts w:eastAsiaTheme="minorEastAsia"/>
        </w:rPr>
        <w:t xml:space="preserve">these benefits </w:t>
      </w:r>
      <w:r w:rsidR="00DE1804">
        <w:rPr>
          <w:rFonts w:eastAsiaTheme="minorEastAsia"/>
        </w:rPr>
        <w:t>cannot</w:t>
      </w:r>
      <w:r w:rsidR="00133C38">
        <w:rPr>
          <w:rFonts w:eastAsiaTheme="minorEastAsia"/>
        </w:rPr>
        <w:t>, in the GMRG’s view,</w:t>
      </w:r>
      <w:r w:rsidR="00DE1804">
        <w:rPr>
          <w:rFonts w:eastAsiaTheme="minorEastAsia"/>
        </w:rPr>
        <w:t xml:space="preserve"> be understated given the conditions currently prevailing in the </w:t>
      </w:r>
      <w:r>
        <w:rPr>
          <w:rFonts w:eastAsiaTheme="minorEastAsia"/>
        </w:rPr>
        <w:t xml:space="preserve">east coast </w:t>
      </w:r>
      <w:r w:rsidR="009807EC">
        <w:rPr>
          <w:rFonts w:eastAsiaTheme="minorEastAsia"/>
        </w:rPr>
        <w:t>market</w:t>
      </w:r>
      <w:r w:rsidR="00DE1804">
        <w:rPr>
          <w:rFonts w:eastAsiaTheme="minorEastAsia"/>
        </w:rPr>
        <w:t>.</w:t>
      </w:r>
    </w:p>
    <w:p w14:paraId="1DF367F3" w14:textId="15094CED" w:rsidR="00E01043" w:rsidRDefault="002B2F0D" w:rsidP="00266A5E">
      <w:pPr>
        <w:pStyle w:val="BodyText"/>
      </w:pPr>
      <w:r>
        <w:t xml:space="preserve">Second, there </w:t>
      </w:r>
      <w:r w:rsidR="00BD1A46">
        <w:t xml:space="preserve">appear to be </w:t>
      </w:r>
      <w:r>
        <w:t>a number of parallels between the factors the AEMC cited in support of its decision to recommend the day-ahead auction and the following features of the market for backhaul services:</w:t>
      </w:r>
    </w:p>
    <w:p w14:paraId="1D1F2428" w14:textId="3C12F643" w:rsidR="002B2F0D" w:rsidRDefault="002B2F0D" w:rsidP="00AA491F">
      <w:pPr>
        <w:pStyle w:val="ListBullet"/>
        <w:spacing w:before="0"/>
        <w:rPr>
          <w:rFonts w:eastAsiaTheme="minorEastAsia"/>
        </w:rPr>
      </w:pPr>
      <w:r>
        <w:rPr>
          <w:rFonts w:eastAsiaTheme="minorEastAsia"/>
        </w:rPr>
        <w:t>S</w:t>
      </w:r>
      <w:r w:rsidRPr="001A5176">
        <w:rPr>
          <w:rFonts w:eastAsiaTheme="minorEastAsia"/>
        </w:rPr>
        <w:t xml:space="preserve">hippers may not have a strong incentive to </w:t>
      </w:r>
      <w:r w:rsidR="00266A5E">
        <w:rPr>
          <w:rFonts w:eastAsiaTheme="minorEastAsia"/>
        </w:rPr>
        <w:t>on-</w:t>
      </w:r>
      <w:r w:rsidRPr="001A5176">
        <w:rPr>
          <w:rFonts w:eastAsiaTheme="minorEastAsia"/>
        </w:rPr>
        <w:t xml:space="preserve">sell </w:t>
      </w:r>
      <w:r>
        <w:rPr>
          <w:rFonts w:eastAsiaTheme="minorEastAsia"/>
        </w:rPr>
        <w:t xml:space="preserve">backhaul services </w:t>
      </w:r>
      <w:r w:rsidR="00266A5E">
        <w:rPr>
          <w:rFonts w:eastAsiaTheme="minorEastAsia"/>
        </w:rPr>
        <w:t xml:space="preserve">(or enter into swaps) </w:t>
      </w:r>
      <w:r w:rsidRPr="001A5176">
        <w:rPr>
          <w:rFonts w:eastAsiaTheme="minorEastAsia"/>
        </w:rPr>
        <w:t>because</w:t>
      </w:r>
      <w:r>
        <w:rPr>
          <w:rFonts w:eastAsiaTheme="minorEastAsia"/>
        </w:rPr>
        <w:t>:</w:t>
      </w:r>
      <w:r w:rsidRPr="001A5176">
        <w:rPr>
          <w:rFonts w:eastAsiaTheme="minorEastAsia"/>
        </w:rPr>
        <w:t xml:space="preserve"> </w:t>
      </w:r>
    </w:p>
    <w:p w14:paraId="0C4ABF66" w14:textId="3685D4D7" w:rsidR="002B2F0D" w:rsidRDefault="002B2F0D" w:rsidP="00187EB2">
      <w:pPr>
        <w:pStyle w:val="BodyText"/>
        <w:numPr>
          <w:ilvl w:val="0"/>
          <w:numId w:val="35"/>
        </w:numPr>
        <w:spacing w:before="0"/>
        <w:rPr>
          <w:rFonts w:eastAsiaTheme="minorEastAsia"/>
        </w:rPr>
      </w:pPr>
      <w:r w:rsidRPr="001A5176">
        <w:rPr>
          <w:rFonts w:eastAsiaTheme="minorEastAsia"/>
        </w:rPr>
        <w:t>the cost</w:t>
      </w:r>
      <w:r>
        <w:rPr>
          <w:rFonts w:eastAsiaTheme="minorEastAsia"/>
        </w:rPr>
        <w:t xml:space="preserve"> and </w:t>
      </w:r>
      <w:r w:rsidRPr="001A5176">
        <w:rPr>
          <w:rFonts w:eastAsiaTheme="minorEastAsia"/>
        </w:rPr>
        <w:t xml:space="preserve">effort </w:t>
      </w:r>
      <w:r>
        <w:rPr>
          <w:rFonts w:eastAsiaTheme="minorEastAsia"/>
        </w:rPr>
        <w:t xml:space="preserve">of doing so </w:t>
      </w:r>
      <w:r w:rsidRPr="001A5176">
        <w:rPr>
          <w:rFonts w:eastAsiaTheme="minorEastAsia"/>
        </w:rPr>
        <w:t>may exceed the revenue generated</w:t>
      </w:r>
      <w:r>
        <w:rPr>
          <w:rFonts w:eastAsiaTheme="minorEastAsia"/>
        </w:rPr>
        <w:t>; and</w:t>
      </w:r>
    </w:p>
    <w:p w14:paraId="70E8B145" w14:textId="28E98EE0" w:rsidR="002B2F0D" w:rsidRDefault="002B2F0D" w:rsidP="00187EB2">
      <w:pPr>
        <w:pStyle w:val="BodyText"/>
        <w:numPr>
          <w:ilvl w:val="0"/>
          <w:numId w:val="35"/>
        </w:numPr>
        <w:spacing w:before="0"/>
        <w:rPr>
          <w:rFonts w:eastAsiaTheme="minorEastAsia"/>
        </w:rPr>
      </w:pPr>
      <w:r w:rsidRPr="002B2F0D">
        <w:rPr>
          <w:rFonts w:eastAsiaTheme="minorEastAsia"/>
        </w:rPr>
        <w:t xml:space="preserve">in contrast to firm forward haul products, </w:t>
      </w:r>
      <w:r>
        <w:rPr>
          <w:rFonts w:eastAsiaTheme="minorEastAsia"/>
        </w:rPr>
        <w:t xml:space="preserve">which usually require shippers to pay for capacity irrespective of whether they use it or not, </w:t>
      </w:r>
      <w:r w:rsidR="00266A5E">
        <w:rPr>
          <w:rFonts w:eastAsiaTheme="minorEastAsia"/>
        </w:rPr>
        <w:t xml:space="preserve">shippers usually only pay for </w:t>
      </w:r>
      <w:r>
        <w:rPr>
          <w:rFonts w:eastAsiaTheme="minorEastAsia"/>
        </w:rPr>
        <w:t>backhaul</w:t>
      </w:r>
      <w:r w:rsidRPr="002B2F0D">
        <w:rPr>
          <w:rFonts w:eastAsiaTheme="minorEastAsia"/>
        </w:rPr>
        <w:t xml:space="preserve"> service</w:t>
      </w:r>
      <w:r>
        <w:rPr>
          <w:rFonts w:eastAsiaTheme="minorEastAsia"/>
        </w:rPr>
        <w:t>s</w:t>
      </w:r>
      <w:r w:rsidRPr="002B2F0D">
        <w:rPr>
          <w:rFonts w:eastAsiaTheme="minorEastAsia"/>
        </w:rPr>
        <w:t xml:space="preserve"> when they use it and so </w:t>
      </w:r>
      <w:r w:rsidR="00266A5E">
        <w:rPr>
          <w:rFonts w:eastAsiaTheme="minorEastAsia"/>
        </w:rPr>
        <w:t xml:space="preserve">may not </w:t>
      </w:r>
      <w:r w:rsidRPr="002B2F0D">
        <w:rPr>
          <w:rFonts w:eastAsiaTheme="minorEastAsia"/>
        </w:rPr>
        <w:t>have as strong an incentive to on-sell</w:t>
      </w:r>
      <w:r>
        <w:rPr>
          <w:rFonts w:eastAsiaTheme="minorEastAsia"/>
        </w:rPr>
        <w:t xml:space="preserve"> this service.</w:t>
      </w:r>
    </w:p>
    <w:p w14:paraId="231AF4C8" w14:textId="59DAC9FC" w:rsidR="00266A5E" w:rsidRDefault="00266A5E" w:rsidP="00266A5E">
      <w:pPr>
        <w:pStyle w:val="ListBullet2"/>
        <w:numPr>
          <w:ilvl w:val="0"/>
          <w:numId w:val="0"/>
        </w:numPr>
        <w:ind w:left="357"/>
        <w:rPr>
          <w:rFonts w:eastAsiaTheme="minorEastAsia"/>
        </w:rPr>
      </w:pPr>
      <w:r>
        <w:rPr>
          <w:rFonts w:eastAsiaTheme="minorEastAsia"/>
        </w:rPr>
        <w:t xml:space="preserve">It is also worth noting in this context that </w:t>
      </w:r>
      <w:r w:rsidR="00BD1A46">
        <w:rPr>
          <w:rFonts w:eastAsiaTheme="minorEastAsia"/>
        </w:rPr>
        <w:t xml:space="preserve">for the reasons set out in (b), the </w:t>
      </w:r>
      <w:r>
        <w:rPr>
          <w:rFonts w:eastAsiaTheme="minorEastAsia"/>
        </w:rPr>
        <w:t xml:space="preserve">initial set of </w:t>
      </w:r>
      <w:r w:rsidR="00BD1A46">
        <w:rPr>
          <w:rFonts w:eastAsiaTheme="minorEastAsia"/>
        </w:rPr>
        <w:t xml:space="preserve">exchange traded </w:t>
      </w:r>
      <w:r>
        <w:rPr>
          <w:rFonts w:eastAsiaTheme="minorEastAsia"/>
        </w:rPr>
        <w:t>products that have been proposed for the capacity trading platform exclude backhaul services</w:t>
      </w:r>
      <w:r w:rsidR="00BD1A46">
        <w:rPr>
          <w:rFonts w:eastAsiaTheme="minorEastAsia"/>
        </w:rPr>
        <w:t xml:space="preserve">. </w:t>
      </w:r>
      <w:r w:rsidR="00042278">
        <w:rPr>
          <w:rFonts w:eastAsiaTheme="minorEastAsia"/>
        </w:rPr>
        <w:t xml:space="preserve">While this will not prevent shippers from entering into these trades on a bilateral basis, it is possible that the </w:t>
      </w:r>
      <w:r>
        <w:rPr>
          <w:rFonts w:eastAsiaTheme="minorEastAsia"/>
        </w:rPr>
        <w:t xml:space="preserve">search and transaction costs associated with </w:t>
      </w:r>
      <w:r w:rsidR="00042278">
        <w:rPr>
          <w:rFonts w:eastAsiaTheme="minorEastAsia"/>
        </w:rPr>
        <w:t xml:space="preserve">doing so may </w:t>
      </w:r>
      <w:r w:rsidR="00BD1A46">
        <w:rPr>
          <w:rFonts w:eastAsiaTheme="minorEastAsia"/>
        </w:rPr>
        <w:t xml:space="preserve">act as a further impediment to trade. </w:t>
      </w:r>
    </w:p>
    <w:p w14:paraId="29E599A1" w14:textId="3DF04A5C" w:rsidR="002B2F0D" w:rsidRDefault="00D70646" w:rsidP="00266A5E">
      <w:pPr>
        <w:pStyle w:val="ListBullet"/>
        <w:rPr>
          <w:rFonts w:eastAsiaTheme="minorEastAsia"/>
        </w:rPr>
      </w:pPr>
      <w:r>
        <w:rPr>
          <w:rFonts w:eastAsiaTheme="minorEastAsia"/>
        </w:rPr>
        <w:t>The incremental costs associated with providing backhaul services are relatively low,</w:t>
      </w:r>
      <w:r w:rsidR="007C024A">
        <w:rPr>
          <w:rStyle w:val="FootnoteReference"/>
          <w:rFonts w:eastAsiaTheme="minorEastAsia"/>
        </w:rPr>
        <w:footnoteReference w:id="31"/>
      </w:r>
      <w:r>
        <w:rPr>
          <w:rFonts w:eastAsiaTheme="minorEastAsia"/>
        </w:rPr>
        <w:t xml:space="preserve"> but because s</w:t>
      </w:r>
      <w:r w:rsidR="00266A5E">
        <w:rPr>
          <w:rFonts w:eastAsiaTheme="minorEastAsia"/>
        </w:rPr>
        <w:t xml:space="preserve">ervice providers </w:t>
      </w:r>
      <w:r w:rsidR="007C024A">
        <w:rPr>
          <w:rFonts w:eastAsiaTheme="minorEastAsia"/>
        </w:rPr>
        <w:t xml:space="preserve">can </w:t>
      </w:r>
      <w:r w:rsidR="002B2F0D">
        <w:rPr>
          <w:rFonts w:eastAsiaTheme="minorEastAsia"/>
        </w:rPr>
        <w:t xml:space="preserve">face limited competition for </w:t>
      </w:r>
      <w:r w:rsidR="007C024A">
        <w:rPr>
          <w:rFonts w:eastAsiaTheme="minorEastAsia"/>
        </w:rPr>
        <w:t xml:space="preserve">this </w:t>
      </w:r>
      <w:r>
        <w:rPr>
          <w:rFonts w:eastAsiaTheme="minorEastAsia"/>
        </w:rPr>
        <w:t>service</w:t>
      </w:r>
      <w:r w:rsidR="002B2F0D">
        <w:rPr>
          <w:rFonts w:eastAsiaTheme="minorEastAsia"/>
        </w:rPr>
        <w:t xml:space="preserve"> </w:t>
      </w:r>
      <w:r>
        <w:rPr>
          <w:rFonts w:eastAsiaTheme="minorEastAsia"/>
        </w:rPr>
        <w:t xml:space="preserve">they </w:t>
      </w:r>
      <w:r w:rsidR="007C024A">
        <w:rPr>
          <w:rFonts w:eastAsiaTheme="minorEastAsia"/>
        </w:rPr>
        <w:t xml:space="preserve">may be </w:t>
      </w:r>
      <w:r>
        <w:rPr>
          <w:rFonts w:eastAsiaTheme="minorEastAsia"/>
        </w:rPr>
        <w:t xml:space="preserve">able to set </w:t>
      </w:r>
      <w:r w:rsidR="002B2F0D" w:rsidRPr="001A5176">
        <w:rPr>
          <w:rFonts w:eastAsiaTheme="minorEastAsia"/>
        </w:rPr>
        <w:t>price</w:t>
      </w:r>
      <w:r w:rsidR="009807EC">
        <w:rPr>
          <w:rFonts w:eastAsiaTheme="minorEastAsia"/>
        </w:rPr>
        <w:t>s</w:t>
      </w:r>
      <w:r w:rsidR="002B2F0D" w:rsidRPr="001A5176">
        <w:rPr>
          <w:rFonts w:eastAsiaTheme="minorEastAsia"/>
        </w:rPr>
        <w:t xml:space="preserve"> </w:t>
      </w:r>
      <w:r w:rsidR="002B2F0D">
        <w:rPr>
          <w:rFonts w:eastAsiaTheme="minorEastAsia"/>
        </w:rPr>
        <w:t xml:space="preserve">above </w:t>
      </w:r>
      <w:r>
        <w:rPr>
          <w:rFonts w:eastAsiaTheme="minorEastAsia"/>
        </w:rPr>
        <w:t xml:space="preserve">what </w:t>
      </w:r>
      <w:r w:rsidR="002B2F0D" w:rsidRPr="001A5176">
        <w:rPr>
          <w:rFonts w:eastAsiaTheme="minorEastAsia"/>
        </w:rPr>
        <w:t xml:space="preserve">would </w:t>
      </w:r>
      <w:r w:rsidR="009807EC">
        <w:rPr>
          <w:rFonts w:eastAsiaTheme="minorEastAsia"/>
        </w:rPr>
        <w:t xml:space="preserve">prevail </w:t>
      </w:r>
      <w:r w:rsidR="002B2F0D" w:rsidRPr="001A5176">
        <w:rPr>
          <w:rFonts w:eastAsiaTheme="minorEastAsia"/>
        </w:rPr>
        <w:t>in a workably competitive market</w:t>
      </w:r>
      <w:r w:rsidR="00266A5E">
        <w:rPr>
          <w:rFonts w:eastAsiaTheme="minorEastAsia"/>
        </w:rPr>
        <w:t xml:space="preserve">, as the ACCC </w:t>
      </w:r>
      <w:r w:rsidR="009807EC">
        <w:rPr>
          <w:rFonts w:eastAsiaTheme="minorEastAsia"/>
        </w:rPr>
        <w:t xml:space="preserve">observed </w:t>
      </w:r>
      <w:r w:rsidR="00266A5E">
        <w:rPr>
          <w:rFonts w:eastAsiaTheme="minorEastAsia"/>
        </w:rPr>
        <w:t xml:space="preserve">in </w:t>
      </w:r>
      <w:r w:rsidR="00BD1A46">
        <w:rPr>
          <w:rFonts w:eastAsiaTheme="minorEastAsia"/>
        </w:rPr>
        <w:t xml:space="preserve">its </w:t>
      </w:r>
      <w:r w:rsidR="00266A5E" w:rsidRPr="00266A5E">
        <w:rPr>
          <w:rFonts w:eastAsiaTheme="minorEastAsia"/>
          <w:i/>
        </w:rPr>
        <w:t>Inquiry into the east coast gas market</w:t>
      </w:r>
      <w:r w:rsidR="00266A5E">
        <w:rPr>
          <w:rFonts w:eastAsiaTheme="minorEastAsia"/>
        </w:rPr>
        <w:t>.</w:t>
      </w:r>
      <w:r w:rsidR="002B2F0D">
        <w:rPr>
          <w:rStyle w:val="FootnoteReference"/>
          <w:rFonts w:asciiTheme="majorHAnsi" w:eastAsiaTheme="minorEastAsia" w:hAnsiTheme="majorHAnsi" w:cstheme="majorHAnsi"/>
        </w:rPr>
        <w:footnoteReference w:id="32"/>
      </w:r>
      <w:r w:rsidR="002B2F0D">
        <w:rPr>
          <w:rFonts w:eastAsiaTheme="minorEastAsia"/>
        </w:rPr>
        <w:t xml:space="preserve"> </w:t>
      </w:r>
    </w:p>
    <w:p w14:paraId="72ABBE13" w14:textId="44520EBC" w:rsidR="0035688B" w:rsidRDefault="009807EC" w:rsidP="0035688B">
      <w:pPr>
        <w:pStyle w:val="BodyText"/>
        <w:rPr>
          <w:rFonts w:eastAsiaTheme="minorEastAsia"/>
        </w:rPr>
      </w:pPr>
      <w:r>
        <w:rPr>
          <w:rFonts w:eastAsiaTheme="minorEastAsia"/>
        </w:rPr>
        <w:t xml:space="preserve">The </w:t>
      </w:r>
      <w:r w:rsidR="00266A5E">
        <w:rPr>
          <w:rFonts w:eastAsiaTheme="minorEastAsia"/>
        </w:rPr>
        <w:t xml:space="preserve">high prices for </w:t>
      </w:r>
      <w:r w:rsidR="00023701">
        <w:rPr>
          <w:rFonts w:eastAsiaTheme="minorEastAsia"/>
        </w:rPr>
        <w:t xml:space="preserve">these </w:t>
      </w:r>
      <w:r w:rsidR="00266A5E">
        <w:rPr>
          <w:rFonts w:eastAsiaTheme="minorEastAsia"/>
        </w:rPr>
        <w:t xml:space="preserve">services, in conjunction with the limited incentive shippers have to trade </w:t>
      </w:r>
      <w:r w:rsidR="00AA491F">
        <w:rPr>
          <w:rFonts w:eastAsiaTheme="minorEastAsia"/>
        </w:rPr>
        <w:t>the service</w:t>
      </w:r>
      <w:r w:rsidR="00266A5E">
        <w:rPr>
          <w:rFonts w:eastAsiaTheme="minorEastAsia"/>
        </w:rPr>
        <w:t>, may</w:t>
      </w:r>
      <w:r>
        <w:rPr>
          <w:rFonts w:eastAsiaTheme="minorEastAsia"/>
        </w:rPr>
        <w:t>, as the AEMC noted in relation to as available services,</w:t>
      </w:r>
      <w:r w:rsidR="00266A5E">
        <w:rPr>
          <w:rFonts w:eastAsiaTheme="minorEastAsia"/>
        </w:rPr>
        <w:t xml:space="preserve"> result in inefficient outcomes and price prospective shippers out of the market</w:t>
      </w:r>
      <w:r w:rsidR="00023701">
        <w:rPr>
          <w:rFonts w:eastAsiaTheme="minorEastAsia"/>
        </w:rPr>
        <w:t xml:space="preserve">. </w:t>
      </w:r>
    </w:p>
    <w:p w14:paraId="20F9AEDC" w14:textId="1EF2C983" w:rsidR="003957AA" w:rsidRDefault="00AA491F" w:rsidP="003957AA">
      <w:pPr>
        <w:pStyle w:val="BodyText"/>
        <w:rPr>
          <w:rFonts w:eastAsiaTheme="minorEastAsia"/>
        </w:rPr>
      </w:pPr>
      <w:r>
        <w:rPr>
          <w:rFonts w:eastAsiaTheme="minorEastAsia"/>
        </w:rPr>
        <w:t xml:space="preserve">Third, when </w:t>
      </w:r>
      <w:r w:rsidR="003957AA">
        <w:rPr>
          <w:rFonts w:eastAsiaTheme="minorEastAsia"/>
        </w:rPr>
        <w:t>viewed</w:t>
      </w:r>
      <w:r>
        <w:rPr>
          <w:rFonts w:eastAsiaTheme="minorEastAsia"/>
        </w:rPr>
        <w:t xml:space="preserve"> through the lens of the assessment framework set out in section </w:t>
      </w:r>
      <w:r>
        <w:rPr>
          <w:rFonts w:eastAsiaTheme="minorEastAsia"/>
        </w:rPr>
        <w:fldChar w:fldCharType="begin"/>
      </w:r>
      <w:r>
        <w:rPr>
          <w:rFonts w:eastAsiaTheme="minorEastAsia"/>
        </w:rPr>
        <w:instrText xml:space="preserve"> REF _Ref494266111 \r \h </w:instrText>
      </w:r>
      <w:r>
        <w:rPr>
          <w:rFonts w:eastAsiaTheme="minorEastAsia"/>
        </w:rPr>
      </w:r>
      <w:r>
        <w:rPr>
          <w:rFonts w:eastAsiaTheme="minorEastAsia"/>
        </w:rPr>
        <w:fldChar w:fldCharType="separate"/>
      </w:r>
      <w:r w:rsidR="00272B32">
        <w:rPr>
          <w:rFonts w:eastAsiaTheme="minorEastAsia"/>
        </w:rPr>
        <w:t>2.3</w:t>
      </w:r>
      <w:r>
        <w:rPr>
          <w:rFonts w:eastAsiaTheme="minorEastAsia"/>
        </w:rPr>
        <w:fldChar w:fldCharType="end"/>
      </w:r>
      <w:r>
        <w:rPr>
          <w:rFonts w:eastAsiaTheme="minorEastAsia"/>
        </w:rPr>
        <w:t xml:space="preserve">, the inclusion of backhaul services in the auction </w:t>
      </w:r>
      <w:r w:rsidR="00C11F1C">
        <w:rPr>
          <w:rFonts w:eastAsiaTheme="minorEastAsia"/>
        </w:rPr>
        <w:t xml:space="preserve">appears to be </w:t>
      </w:r>
      <w:r w:rsidR="003957AA">
        <w:rPr>
          <w:rFonts w:eastAsiaTheme="minorEastAsia"/>
        </w:rPr>
        <w:t xml:space="preserve">consistent with: </w:t>
      </w:r>
    </w:p>
    <w:p w14:paraId="47EBC198" w14:textId="2F24884B" w:rsidR="003957AA" w:rsidRDefault="003957AA" w:rsidP="003957AA">
      <w:pPr>
        <w:pStyle w:val="ListBullet"/>
        <w:rPr>
          <w:rFonts w:eastAsiaTheme="minorEastAsia"/>
        </w:rPr>
      </w:pPr>
      <w:r>
        <w:rPr>
          <w:rFonts w:eastAsiaTheme="minorEastAsia"/>
        </w:rPr>
        <w:t>the NGO, because it will promote efficient investment in, efficient operation and use of, natural gas services and the long-term interests of consumers of natural gas;</w:t>
      </w:r>
    </w:p>
    <w:p w14:paraId="7FF70131" w14:textId="705E9976" w:rsidR="003957AA" w:rsidRDefault="009807EC" w:rsidP="003957AA">
      <w:pPr>
        <w:pStyle w:val="ListBullet"/>
        <w:rPr>
          <w:rFonts w:eastAsiaTheme="minorEastAsia"/>
        </w:rPr>
      </w:pPr>
      <w:r>
        <w:rPr>
          <w:rFonts w:eastAsiaTheme="minorEastAsia"/>
        </w:rPr>
        <w:t xml:space="preserve">the </w:t>
      </w:r>
      <w:r w:rsidR="003957AA">
        <w:rPr>
          <w:rFonts w:eastAsiaTheme="minorEastAsia"/>
        </w:rPr>
        <w:t xml:space="preserve">broader objectives of the capacity trading reforms, which are to </w:t>
      </w:r>
      <w:r w:rsidR="003957AA">
        <w:t>improve the efficiency with which transportation capacity is allocated and utilised and foster the development of a more liquid market for secondary capacity; and</w:t>
      </w:r>
    </w:p>
    <w:p w14:paraId="1037CCC2" w14:textId="453D0F31" w:rsidR="003957AA" w:rsidRDefault="00C02659" w:rsidP="003957AA">
      <w:pPr>
        <w:pStyle w:val="ListBullet"/>
        <w:rPr>
          <w:rFonts w:eastAsiaTheme="minorEastAsia"/>
        </w:rPr>
      </w:pPr>
      <w:proofErr w:type="gramStart"/>
      <w:r>
        <w:rPr>
          <w:rFonts w:eastAsiaTheme="minorEastAsia"/>
        </w:rPr>
        <w:t>the</w:t>
      </w:r>
      <w:proofErr w:type="gramEnd"/>
      <w:r>
        <w:rPr>
          <w:rFonts w:eastAsiaTheme="minorEastAsia"/>
        </w:rPr>
        <w:t xml:space="preserve"> </w:t>
      </w:r>
      <w:r w:rsidR="003957AA">
        <w:rPr>
          <w:rFonts w:eastAsiaTheme="minorEastAsia"/>
        </w:rPr>
        <w:t xml:space="preserve">Energy Council’s Vision </w:t>
      </w:r>
      <w:r w:rsidR="003A798C">
        <w:rPr>
          <w:rFonts w:eastAsiaTheme="minorEastAsia"/>
        </w:rPr>
        <w:t xml:space="preserve">of the direction gas market development should take </w:t>
      </w:r>
      <w:r w:rsidR="003957AA">
        <w:rPr>
          <w:rFonts w:eastAsiaTheme="minorEastAsia"/>
        </w:rPr>
        <w:t xml:space="preserve">and a number of the outcomes </w:t>
      </w:r>
      <w:r w:rsidR="00C11F1C">
        <w:rPr>
          <w:rFonts w:eastAsiaTheme="minorEastAsia"/>
        </w:rPr>
        <w:t xml:space="preserve">it </w:t>
      </w:r>
      <w:r w:rsidR="003957AA">
        <w:rPr>
          <w:rFonts w:eastAsiaTheme="minorEastAsia"/>
        </w:rPr>
        <w:t>expected to pursue in the next phase of gas market reform (i.e. outcomes 2(b), 3(b) and 3(d) – see</w:t>
      </w:r>
      <w:r w:rsidR="003957AA" w:rsidRPr="003957AA">
        <w:rPr>
          <w:rFonts w:eastAsiaTheme="minorEastAsia"/>
        </w:rPr>
        <w:t xml:space="preserve"> </w:t>
      </w:r>
      <w:r w:rsidR="003957AA" w:rsidRPr="003957AA">
        <w:rPr>
          <w:rFonts w:eastAsiaTheme="minorEastAsia"/>
        </w:rPr>
        <w:fldChar w:fldCharType="begin"/>
      </w:r>
      <w:r w:rsidR="003957AA" w:rsidRPr="003957AA">
        <w:rPr>
          <w:rFonts w:eastAsiaTheme="minorEastAsia"/>
        </w:rPr>
        <w:instrText xml:space="preserve"> REF _Ref482330736 \h  \* MERGEFORMAT </w:instrText>
      </w:r>
      <w:r w:rsidR="003957AA" w:rsidRPr="003957AA">
        <w:rPr>
          <w:rFonts w:eastAsiaTheme="minorEastAsia"/>
        </w:rPr>
      </w:r>
      <w:r w:rsidR="003957AA" w:rsidRPr="003957AA">
        <w:rPr>
          <w:rFonts w:eastAsiaTheme="minorEastAsia"/>
        </w:rPr>
        <w:fldChar w:fldCharType="separate"/>
      </w:r>
      <w:r w:rsidR="00272B32" w:rsidRPr="00272B32">
        <w:t xml:space="preserve">Box </w:t>
      </w:r>
      <w:r w:rsidR="00272B32" w:rsidRPr="00272B32">
        <w:rPr>
          <w:noProof/>
        </w:rPr>
        <w:t>1.1</w:t>
      </w:r>
      <w:r w:rsidR="003957AA" w:rsidRPr="003957AA">
        <w:rPr>
          <w:rFonts w:eastAsiaTheme="minorEastAsia"/>
        </w:rPr>
        <w:fldChar w:fldCharType="end"/>
      </w:r>
      <w:r w:rsidR="003957AA">
        <w:rPr>
          <w:rFonts w:eastAsiaTheme="minorEastAsia"/>
        </w:rPr>
        <w:t>).</w:t>
      </w:r>
    </w:p>
    <w:p w14:paraId="4D68D62A" w14:textId="6E599E9D" w:rsidR="00E01043" w:rsidRDefault="003957AA" w:rsidP="002700A1">
      <w:pPr>
        <w:pStyle w:val="BodyText"/>
      </w:pPr>
      <w:r>
        <w:t xml:space="preserve">The GMRG’s view on this issue is, as noted above, </w:t>
      </w:r>
      <w:r w:rsidR="002700A1">
        <w:t xml:space="preserve">a preliminary view only at this stage. The GMRG therefore welcomes further feedback from stakeholders on this issue and the questions in </w:t>
      </w:r>
      <w:r w:rsidR="002700A1">
        <w:fldChar w:fldCharType="begin"/>
      </w:r>
      <w:r w:rsidR="002700A1">
        <w:instrText xml:space="preserve"> REF _Ref494613379 \h </w:instrText>
      </w:r>
      <w:r w:rsidR="002700A1">
        <w:fldChar w:fldCharType="separate"/>
      </w:r>
      <w:r w:rsidR="00272B32" w:rsidRPr="00EC75C1">
        <w:t xml:space="preserve">Box </w:t>
      </w:r>
      <w:r w:rsidR="00272B32">
        <w:rPr>
          <w:noProof/>
        </w:rPr>
        <w:t>3</w:t>
      </w:r>
      <w:r w:rsidR="00272B32">
        <w:t>.</w:t>
      </w:r>
      <w:r w:rsidR="00272B32">
        <w:rPr>
          <w:noProof/>
        </w:rPr>
        <w:t>2</w:t>
      </w:r>
      <w:r w:rsidR="002700A1">
        <w:fldChar w:fldCharType="end"/>
      </w:r>
      <w:r w:rsidR="002700A1">
        <w:t>.</w:t>
      </w:r>
      <w:r>
        <w:t xml:space="preserve"> </w:t>
      </w:r>
    </w:p>
    <w:tbl>
      <w:tblPr>
        <w:tblStyle w:val="PullOutBoxTable"/>
        <w:tblW w:w="5000" w:type="pct"/>
        <w:shd w:val="clear" w:color="auto" w:fill="B7E7FF"/>
        <w:tblLook w:val="0600" w:firstRow="0" w:lastRow="0" w:firstColumn="0" w:lastColumn="0" w:noHBand="1" w:noVBand="1"/>
        <w:tblCaption w:val="Box 3.2: Questions on transportation products to be auctioned "/>
        <w:tblDescription w:val="Questions on transportation products to be auctioned "/>
      </w:tblPr>
      <w:tblGrid>
        <w:gridCol w:w="8788"/>
      </w:tblGrid>
      <w:tr w:rsidR="00213EE8" w:rsidRPr="002F5B6B" w14:paraId="070AE4A1" w14:textId="77777777" w:rsidTr="00E413FB">
        <w:trPr>
          <w:tblHeader/>
        </w:trPr>
        <w:tc>
          <w:tcPr>
            <w:tcW w:w="5000" w:type="pct"/>
            <w:shd w:val="clear" w:color="auto" w:fill="auto"/>
          </w:tcPr>
          <w:p w14:paraId="73CC7E01" w14:textId="561FC4DC" w:rsidR="005D6AE7" w:rsidRPr="00D26905" w:rsidRDefault="00D26905" w:rsidP="00D26905">
            <w:pPr>
              <w:pStyle w:val="ListNumber"/>
              <w:numPr>
                <w:ilvl w:val="0"/>
                <w:numId w:val="0"/>
              </w:numPr>
              <w:spacing w:before="40" w:after="40"/>
              <w:rPr>
                <w:rFonts w:eastAsiaTheme="majorEastAsia"/>
                <w:b/>
                <w:sz w:val="20"/>
                <w:szCs w:val="20"/>
              </w:rPr>
            </w:pPr>
            <w:bookmarkStart w:id="67" w:name="_Ref494613379"/>
            <w:r w:rsidRPr="00D26905">
              <w:rPr>
                <w:b/>
              </w:rPr>
              <w:t xml:space="preserve">Box </w:t>
            </w:r>
            <w:r w:rsidRPr="00D26905">
              <w:rPr>
                <w:b/>
              </w:rPr>
              <w:fldChar w:fldCharType="begin"/>
            </w:r>
            <w:r w:rsidRPr="00D26905">
              <w:rPr>
                <w:b/>
              </w:rPr>
              <w:instrText xml:space="preserve"> STYLEREF 1 \s </w:instrText>
            </w:r>
            <w:r w:rsidRPr="00D26905">
              <w:rPr>
                <w:b/>
              </w:rPr>
              <w:fldChar w:fldCharType="separate"/>
            </w:r>
            <w:r w:rsidRPr="00D26905">
              <w:rPr>
                <w:b/>
                <w:noProof/>
              </w:rPr>
              <w:t>3</w:t>
            </w:r>
            <w:r w:rsidRPr="00D26905">
              <w:rPr>
                <w:b/>
                <w:noProof/>
              </w:rPr>
              <w:fldChar w:fldCharType="end"/>
            </w:r>
            <w:r w:rsidRPr="00D26905">
              <w:rPr>
                <w:b/>
              </w:rPr>
              <w:t>.</w:t>
            </w:r>
            <w:r w:rsidRPr="00D26905">
              <w:rPr>
                <w:b/>
              </w:rPr>
              <w:fldChar w:fldCharType="begin"/>
            </w:r>
            <w:r w:rsidRPr="00D26905">
              <w:rPr>
                <w:b/>
              </w:rPr>
              <w:instrText xml:space="preserve"> SEQ Box \* ARABIC \s 1 </w:instrText>
            </w:r>
            <w:r w:rsidRPr="00D26905">
              <w:rPr>
                <w:b/>
              </w:rPr>
              <w:fldChar w:fldCharType="separate"/>
            </w:r>
            <w:r w:rsidRPr="00D26905">
              <w:rPr>
                <w:b/>
                <w:noProof/>
              </w:rPr>
              <w:t>2</w:t>
            </w:r>
            <w:r w:rsidRPr="00D26905">
              <w:rPr>
                <w:b/>
                <w:noProof/>
              </w:rPr>
              <w:fldChar w:fldCharType="end"/>
            </w:r>
            <w:bookmarkEnd w:id="67"/>
            <w:r w:rsidRPr="00D26905">
              <w:rPr>
                <w:b/>
              </w:rPr>
              <w:t xml:space="preserve">: </w:t>
            </w:r>
            <w:r w:rsidRPr="00D26905">
              <w:rPr>
                <w:b/>
                <w:bCs/>
              </w:rPr>
              <w:t>Questions on transportation products to be auctioned</w:t>
            </w:r>
          </w:p>
        </w:tc>
      </w:tr>
      <w:tr w:rsidR="00D26905" w:rsidRPr="002F5B6B" w14:paraId="634E6F90" w14:textId="77777777" w:rsidTr="00213EE8">
        <w:tc>
          <w:tcPr>
            <w:tcW w:w="5000" w:type="pct"/>
            <w:shd w:val="clear" w:color="auto" w:fill="B7E7FF"/>
          </w:tcPr>
          <w:p w14:paraId="1E6C14B7" w14:textId="77777777" w:rsidR="00D26905" w:rsidRPr="005D6AE7" w:rsidRDefault="00D26905" w:rsidP="00D26905">
            <w:pPr>
              <w:pStyle w:val="ListNumber"/>
              <w:numPr>
                <w:ilvl w:val="0"/>
                <w:numId w:val="20"/>
              </w:numPr>
              <w:spacing w:before="40" w:after="40"/>
              <w:rPr>
                <w:rFonts w:eastAsiaTheme="majorEastAsia"/>
                <w:sz w:val="21"/>
                <w:szCs w:val="21"/>
              </w:rPr>
            </w:pPr>
            <w:r w:rsidRPr="005D6AE7">
              <w:rPr>
                <w:rFonts w:eastAsiaTheme="majorEastAsia"/>
                <w:sz w:val="21"/>
                <w:szCs w:val="21"/>
              </w:rPr>
              <w:t xml:space="preserve">Do you agree with the proposal </w:t>
            </w:r>
            <w:r>
              <w:rPr>
                <w:rFonts w:eastAsiaTheme="majorEastAsia"/>
                <w:sz w:val="21"/>
                <w:szCs w:val="21"/>
              </w:rPr>
              <w:t xml:space="preserve">to </w:t>
            </w:r>
            <w:r w:rsidRPr="005D6AE7">
              <w:rPr>
                <w:rFonts w:eastAsiaTheme="majorEastAsia"/>
                <w:sz w:val="21"/>
                <w:szCs w:val="21"/>
              </w:rPr>
              <w:t>include</w:t>
            </w:r>
            <w:r>
              <w:rPr>
                <w:rFonts w:eastAsiaTheme="majorEastAsia"/>
                <w:sz w:val="21"/>
                <w:szCs w:val="21"/>
              </w:rPr>
              <w:t xml:space="preserve"> the following products in the auction</w:t>
            </w:r>
            <w:r w:rsidRPr="005D6AE7">
              <w:rPr>
                <w:rFonts w:eastAsiaTheme="majorEastAsia"/>
                <w:sz w:val="21"/>
                <w:szCs w:val="21"/>
              </w:rPr>
              <w:t>:</w:t>
            </w:r>
          </w:p>
          <w:p w14:paraId="336383F4" w14:textId="77777777" w:rsidR="00D26905" w:rsidRPr="005D6AE7" w:rsidRDefault="00D26905" w:rsidP="00D26905">
            <w:pPr>
              <w:pStyle w:val="ListBullet2"/>
              <w:spacing w:before="40" w:after="40"/>
              <w:rPr>
                <w:sz w:val="21"/>
                <w:szCs w:val="21"/>
              </w:rPr>
            </w:pPr>
            <w:proofErr w:type="gramStart"/>
            <w:r w:rsidRPr="005D6AE7">
              <w:rPr>
                <w:sz w:val="21"/>
                <w:szCs w:val="21"/>
              </w:rPr>
              <w:t>forward</w:t>
            </w:r>
            <w:proofErr w:type="gramEnd"/>
            <w:r w:rsidRPr="005D6AE7">
              <w:rPr>
                <w:sz w:val="21"/>
                <w:szCs w:val="21"/>
              </w:rPr>
              <w:t xml:space="preserve"> haul transportation </w:t>
            </w:r>
            <w:r>
              <w:rPr>
                <w:sz w:val="21"/>
                <w:szCs w:val="21"/>
              </w:rPr>
              <w:t>services</w:t>
            </w:r>
            <w:r w:rsidRPr="005D6AE7">
              <w:rPr>
                <w:sz w:val="21"/>
                <w:szCs w:val="21"/>
              </w:rPr>
              <w:t xml:space="preserve"> (with separate products offered in both directions on bi-directional pipelines</w:t>
            </w:r>
            <w:r>
              <w:rPr>
                <w:sz w:val="21"/>
                <w:szCs w:val="21"/>
              </w:rPr>
              <w:t>)</w:t>
            </w:r>
            <w:r w:rsidRPr="005D6AE7">
              <w:rPr>
                <w:sz w:val="21"/>
                <w:szCs w:val="21"/>
              </w:rPr>
              <w:t>?</w:t>
            </w:r>
            <w:r>
              <w:rPr>
                <w:sz w:val="21"/>
                <w:szCs w:val="21"/>
              </w:rPr>
              <w:t xml:space="preserve"> If not, please explain why.</w:t>
            </w:r>
          </w:p>
          <w:p w14:paraId="0BC9E875" w14:textId="77777777" w:rsidR="00D26905" w:rsidRPr="005D6AE7" w:rsidRDefault="00D26905" w:rsidP="00D26905">
            <w:pPr>
              <w:pStyle w:val="ListBullet2"/>
              <w:spacing w:before="40" w:after="40"/>
              <w:rPr>
                <w:sz w:val="21"/>
                <w:szCs w:val="21"/>
              </w:rPr>
            </w:pPr>
            <w:proofErr w:type="gramStart"/>
            <w:r w:rsidRPr="005D6AE7">
              <w:rPr>
                <w:sz w:val="21"/>
                <w:szCs w:val="21"/>
              </w:rPr>
              <w:t>compression</w:t>
            </w:r>
            <w:proofErr w:type="gramEnd"/>
            <w:r w:rsidRPr="005D6AE7">
              <w:rPr>
                <w:sz w:val="21"/>
                <w:szCs w:val="21"/>
              </w:rPr>
              <w:t xml:space="preserve"> </w:t>
            </w:r>
            <w:r>
              <w:rPr>
                <w:sz w:val="21"/>
                <w:szCs w:val="21"/>
              </w:rPr>
              <w:t>services</w:t>
            </w:r>
            <w:r w:rsidRPr="005D6AE7">
              <w:rPr>
                <w:sz w:val="21"/>
                <w:szCs w:val="21"/>
              </w:rPr>
              <w:t>?</w:t>
            </w:r>
            <w:r>
              <w:rPr>
                <w:sz w:val="21"/>
                <w:szCs w:val="21"/>
              </w:rPr>
              <w:t xml:space="preserve"> If not, please explain why.</w:t>
            </w:r>
          </w:p>
          <w:p w14:paraId="6DDA1B19" w14:textId="5BE7888D" w:rsidR="00D26905" w:rsidRPr="005D6AE7" w:rsidRDefault="00D26905" w:rsidP="00D26905">
            <w:pPr>
              <w:pStyle w:val="ListNumber"/>
              <w:numPr>
                <w:ilvl w:val="0"/>
                <w:numId w:val="20"/>
              </w:numPr>
              <w:spacing w:before="40" w:after="40"/>
              <w:rPr>
                <w:rFonts w:eastAsiaTheme="majorEastAsia"/>
                <w:sz w:val="21"/>
                <w:szCs w:val="21"/>
              </w:rPr>
            </w:pPr>
            <w:r w:rsidRPr="005D6AE7">
              <w:rPr>
                <w:rFonts w:eastAsiaTheme="majorEastAsia"/>
                <w:sz w:val="21"/>
                <w:szCs w:val="21"/>
              </w:rPr>
              <w:t xml:space="preserve">Do you agree with the proposal to include an interruptible backhaul </w:t>
            </w:r>
            <w:r>
              <w:rPr>
                <w:rFonts w:eastAsiaTheme="majorEastAsia"/>
                <w:sz w:val="21"/>
                <w:szCs w:val="21"/>
              </w:rPr>
              <w:t>service</w:t>
            </w:r>
            <w:r w:rsidRPr="005D6AE7">
              <w:rPr>
                <w:rFonts w:eastAsiaTheme="majorEastAsia"/>
                <w:sz w:val="21"/>
                <w:szCs w:val="21"/>
              </w:rPr>
              <w:t xml:space="preserve"> in the auction for </w:t>
            </w:r>
            <w:r>
              <w:rPr>
                <w:rFonts w:eastAsiaTheme="majorEastAsia"/>
                <w:sz w:val="21"/>
                <w:szCs w:val="21"/>
              </w:rPr>
              <w:t xml:space="preserve">single direction </w:t>
            </w:r>
            <w:r w:rsidRPr="005D6AE7">
              <w:rPr>
                <w:rFonts w:eastAsiaTheme="majorEastAsia"/>
                <w:sz w:val="21"/>
                <w:szCs w:val="21"/>
              </w:rPr>
              <w:t>pipelines? If not, please explain why.</w:t>
            </w:r>
          </w:p>
        </w:tc>
      </w:tr>
    </w:tbl>
    <w:p w14:paraId="10DF6DC2" w14:textId="11F25FB9" w:rsidR="009807EC" w:rsidRDefault="00DA008E" w:rsidP="009807EC">
      <w:pPr>
        <w:pStyle w:val="BodyText"/>
      </w:pPr>
      <w:r>
        <w:t xml:space="preserve">Section </w:t>
      </w:r>
      <w:r>
        <w:fldChar w:fldCharType="begin"/>
      </w:r>
      <w:r>
        <w:instrText xml:space="preserve"> REF _Ref494612455 \r \h </w:instrText>
      </w:r>
      <w:r>
        <w:fldChar w:fldCharType="separate"/>
      </w:r>
      <w:r w:rsidR="00272B32">
        <w:t>4.2.4</w:t>
      </w:r>
      <w:r>
        <w:fldChar w:fldCharType="end"/>
      </w:r>
      <w:r>
        <w:t xml:space="preserve"> provides f</w:t>
      </w:r>
      <w:r w:rsidR="009807EC">
        <w:t>urther detail on how backhaul c</w:t>
      </w:r>
      <w:r>
        <w:t>ould be included in the auction.</w:t>
      </w:r>
    </w:p>
    <w:p w14:paraId="13F9F7B0" w14:textId="5636890C" w:rsidR="00DE1291" w:rsidRDefault="008976DC" w:rsidP="00DE1291">
      <w:pPr>
        <w:pStyle w:val="Heading2"/>
        <w:spacing w:before="240"/>
      </w:pPr>
      <w:bookmarkStart w:id="68" w:name="_Ref494707756"/>
      <w:bookmarkStart w:id="69" w:name="_Toc495351631"/>
      <w:bookmarkStart w:id="70" w:name="_Hlk494903710"/>
      <w:r>
        <w:t xml:space="preserve">Priority </w:t>
      </w:r>
      <w:r w:rsidR="00DE1291">
        <w:t>of the auction product</w:t>
      </w:r>
      <w:bookmarkEnd w:id="68"/>
      <w:bookmarkEnd w:id="69"/>
    </w:p>
    <w:p w14:paraId="4EE2058B" w14:textId="3B56218F" w:rsidR="00DE1291" w:rsidRDefault="00E207FA" w:rsidP="00DE1291">
      <w:pPr>
        <w:pStyle w:val="BodyText"/>
      </w:pPr>
      <w:r>
        <w:t xml:space="preserve">As noted in the introduction to this chapter, the AEMC recommended that </w:t>
      </w:r>
      <w:r w:rsidR="00CD09FD">
        <w:t xml:space="preserve">nominations or renominations </w:t>
      </w:r>
      <w:r>
        <w:t xml:space="preserve">by </w:t>
      </w:r>
      <w:r w:rsidRPr="00235593">
        <w:t>incumbent</w:t>
      </w:r>
      <w:r>
        <w:t xml:space="preserve"> shippers </w:t>
      </w:r>
      <w:r w:rsidR="00CD09FD">
        <w:t>that occur after the auction is conducted be accommodated</w:t>
      </w:r>
      <w:r>
        <w:t xml:space="preserve"> (required outcome) and that the </w:t>
      </w:r>
      <w:r w:rsidR="00CD09FD">
        <w:t>auction product be curtailed prior to firm capacity (preferred outcome).</w:t>
      </w:r>
      <w:r w:rsidR="00842D68">
        <w:rPr>
          <w:rStyle w:val="FootnoteReference"/>
        </w:rPr>
        <w:footnoteReference w:id="33"/>
      </w:r>
      <w:r w:rsidR="00CD09FD">
        <w:t xml:space="preserve"> </w:t>
      </w:r>
    </w:p>
    <w:p w14:paraId="41633A13" w14:textId="77777777" w:rsidR="00DE1291" w:rsidRDefault="00DE1291" w:rsidP="00DE1291">
      <w:pPr>
        <w:pStyle w:val="BodyText"/>
      </w:pPr>
      <w:r>
        <w:t>In making these recommendations, the AEMC noted that while shippers typically lose their firm capacity rights at nomination cut-off time, some shipper’s rights continue to exist (either explicitly or implicitly) after this point:</w:t>
      </w:r>
      <w:r>
        <w:rPr>
          <w:rStyle w:val="FootnoteReference"/>
        </w:rPr>
        <w:footnoteReference w:id="34"/>
      </w:r>
    </w:p>
    <w:p w14:paraId="16B7B5C2" w14:textId="77777777" w:rsidR="00DE1291" w:rsidRPr="007E43D2" w:rsidRDefault="00DE1291" w:rsidP="00DE1291">
      <w:pPr>
        <w:pStyle w:val="Quote"/>
      </w:pPr>
      <w:r>
        <w:t>“</w:t>
      </w:r>
      <w:r w:rsidRPr="007E43D2">
        <w:t xml:space="preserve">Firstly, some GTAs have a nomination cut-off which is later than the typical time. Shippers under these arrangements may retain an explicit, contractually firm right to nominate after the time of the day-ahead auction, which may lead to conflict if both services cannot be accommodated simultaneously. </w:t>
      </w:r>
    </w:p>
    <w:p w14:paraId="20C49890" w14:textId="77777777" w:rsidR="00DE1291" w:rsidRDefault="00DE1291" w:rsidP="00DE1291">
      <w:pPr>
        <w:pStyle w:val="Quote"/>
      </w:pPr>
      <w:r w:rsidRPr="007E43D2">
        <w:t>In addition, some shippers have historically retained the ability to nominate after the cut-off. These shippers value the ability to nominate because their actual gas transportation requirements vary compared to their forecast requirements made at the nomination cut-off time. This is not a contractually firm right, and would not be accommodated if the pipeline owner were to subsequently sell the capacity on a firm basis to another shipper such that the capacity of the pipeline was unable to accommodate the (re)nomination. Nonetheless, the Commission understands that shippers' (re)nominations have nearly always been accommodated in practice in these circumstances.</w:t>
      </w:r>
      <w:r>
        <w:t>”</w:t>
      </w:r>
    </w:p>
    <w:p w14:paraId="311D91EC" w14:textId="0C7F6705" w:rsidR="00DE1291" w:rsidRDefault="00DE1291" w:rsidP="00DE1291">
      <w:pPr>
        <w:pStyle w:val="BodyText"/>
      </w:pPr>
      <w:r>
        <w:t xml:space="preserve">The AEMC identified </w:t>
      </w:r>
      <w:r w:rsidR="00235593">
        <w:t xml:space="preserve">the following </w:t>
      </w:r>
      <w:r>
        <w:t>options to accommodate these types of nomination and renomination arrangements, but noted that there were shortcomings with each:</w:t>
      </w:r>
      <w:r>
        <w:rPr>
          <w:rStyle w:val="FootnoteReference"/>
        </w:rPr>
        <w:footnoteReference w:id="35"/>
      </w:r>
      <w:r>
        <w:rPr>
          <w:rStyle w:val="FootnoteReference"/>
        </w:rPr>
        <w:t>,</w:t>
      </w:r>
      <w:r>
        <w:rPr>
          <w:rStyle w:val="FootnoteReference"/>
        </w:rPr>
        <w:footnoteReference w:id="36"/>
      </w:r>
    </w:p>
    <w:p w14:paraId="44E41575" w14:textId="293E75D2" w:rsidR="00640D22" w:rsidRPr="00640D22" w:rsidRDefault="00640D22" w:rsidP="00DE1291">
      <w:pPr>
        <w:pStyle w:val="ListNumber"/>
      </w:pPr>
      <w:r w:rsidRPr="00640D22">
        <w:rPr>
          <w:b/>
        </w:rPr>
        <w:t xml:space="preserve">Selling capacity on a firm basis by withholding some </w:t>
      </w:r>
      <w:r>
        <w:rPr>
          <w:b/>
        </w:rPr>
        <w:t xml:space="preserve">auction </w:t>
      </w:r>
      <w:r w:rsidRPr="00640D22">
        <w:rPr>
          <w:b/>
        </w:rPr>
        <w:t>capacity to accommodate renomination rights</w:t>
      </w:r>
      <w:r>
        <w:t xml:space="preserve">: The AEMC noted that while this option </w:t>
      </w:r>
      <w:r w:rsidR="00B7337D">
        <w:t>w</w:t>
      </w:r>
      <w:r>
        <w:t xml:space="preserve">ould </w:t>
      </w:r>
      <w:r w:rsidR="00B7337D">
        <w:t xml:space="preserve">reduce the risk of </w:t>
      </w:r>
      <w:r>
        <w:t xml:space="preserve">nominations and renominations </w:t>
      </w:r>
      <w:r w:rsidR="00B7337D">
        <w:t xml:space="preserve">not being accommodated, the risk could not be reduced to zero unless all the capacity was withheld. The AEMC also noted that this option would </w:t>
      </w:r>
      <w:r>
        <w:t xml:space="preserve">be </w:t>
      </w:r>
      <w:r w:rsidR="00B7337D">
        <w:t>more complex to implement and would limit the amount of capacity released in the auction.</w:t>
      </w:r>
      <w:r>
        <w:t xml:space="preserve"> </w:t>
      </w:r>
    </w:p>
    <w:p w14:paraId="5673DAC2" w14:textId="3F979889" w:rsidR="00DE1291" w:rsidRDefault="00DE1291" w:rsidP="00DE1291">
      <w:pPr>
        <w:pStyle w:val="ListNumber"/>
      </w:pPr>
      <w:r>
        <w:rPr>
          <w:b/>
        </w:rPr>
        <w:t>S</w:t>
      </w:r>
      <w:r w:rsidRPr="00A9670D">
        <w:rPr>
          <w:b/>
        </w:rPr>
        <w:t xml:space="preserve">elling </w:t>
      </w:r>
      <w:r>
        <w:rPr>
          <w:b/>
        </w:rPr>
        <w:t xml:space="preserve">capacity on an </w:t>
      </w:r>
      <w:r w:rsidRPr="00A9670D">
        <w:rPr>
          <w:b/>
        </w:rPr>
        <w:t xml:space="preserve">interruptible </w:t>
      </w:r>
      <w:r>
        <w:rPr>
          <w:b/>
        </w:rPr>
        <w:t>basis:</w:t>
      </w:r>
      <w:r w:rsidRPr="00A9670D">
        <w:rPr>
          <w:b/>
        </w:rPr>
        <w:t xml:space="preserve"> </w:t>
      </w:r>
      <w:r>
        <w:t xml:space="preserve">The AEMC noted that while this option could accommodate nominations and renominations that occur after </w:t>
      </w:r>
      <w:r w:rsidR="00E340A7">
        <w:t xml:space="preserve">the </w:t>
      </w:r>
      <w:r>
        <w:t>auction is conducted, it would result in a lower quality product being auctioned and could adversely affect trading liquidity (a key auction rationale).</w:t>
      </w:r>
    </w:p>
    <w:p w14:paraId="359C1E04" w14:textId="7310DB58" w:rsidR="00DE1291" w:rsidRDefault="00DE1291" w:rsidP="00DE1291">
      <w:pPr>
        <w:pStyle w:val="ListNumber"/>
      </w:pPr>
      <w:r>
        <w:rPr>
          <w:b/>
        </w:rPr>
        <w:t>Selling some capacity on a</w:t>
      </w:r>
      <w:r w:rsidRPr="00A9670D">
        <w:rPr>
          <w:b/>
        </w:rPr>
        <w:t xml:space="preserve"> firm </w:t>
      </w:r>
      <w:r>
        <w:rPr>
          <w:b/>
        </w:rPr>
        <w:t xml:space="preserve">basis and some on an </w:t>
      </w:r>
      <w:r w:rsidRPr="00A9670D">
        <w:rPr>
          <w:b/>
        </w:rPr>
        <w:t xml:space="preserve">interruptible </w:t>
      </w:r>
      <w:r>
        <w:rPr>
          <w:b/>
        </w:rPr>
        <w:t>basis</w:t>
      </w:r>
      <w:r w:rsidR="00B80988">
        <w:rPr>
          <w:b/>
        </w:rPr>
        <w:t xml:space="preserve"> (hybrid product option)</w:t>
      </w:r>
      <w:r>
        <w:rPr>
          <w:b/>
        </w:rPr>
        <w:t xml:space="preserve">: </w:t>
      </w:r>
      <w:r>
        <w:t xml:space="preserve">The AEMC noted that while this option would increase the quality of the product sold through the auction, a “potentially complex and controversial process” would be required to determine the proportion of capacity to be released on a firm or interruptible basis. </w:t>
      </w:r>
      <w:r w:rsidR="0035688B">
        <w:t>The AEMC also noted that it would not guarantee that all renominations could be accommodated.</w:t>
      </w:r>
    </w:p>
    <w:p w14:paraId="41385B9D" w14:textId="77777777" w:rsidR="00DE1291" w:rsidRDefault="00DE1291" w:rsidP="00DE1291">
      <w:pPr>
        <w:pStyle w:val="ListNumber"/>
      </w:pPr>
      <w:r>
        <w:rPr>
          <w:b/>
        </w:rPr>
        <w:t>C</w:t>
      </w:r>
      <w:r w:rsidRPr="00A9670D">
        <w:rPr>
          <w:b/>
        </w:rPr>
        <w:t>onducting the auction more frequently than on a daily basis</w:t>
      </w:r>
      <w:r>
        <w:t>: The AEMC noted that the cost and time associated with running the auction multiple times throughout the day may mean this is not a feasible option.</w:t>
      </w:r>
    </w:p>
    <w:p w14:paraId="2A1F7FE9" w14:textId="3FD90292" w:rsidR="00DE1291" w:rsidRDefault="00DE1291" w:rsidP="00DE1291">
      <w:pPr>
        <w:pStyle w:val="BodyText"/>
      </w:pPr>
      <w:r>
        <w:t xml:space="preserve">The AEMC therefore recommended </w:t>
      </w:r>
      <w:r w:rsidR="00CD09FD">
        <w:t xml:space="preserve">that </w:t>
      </w:r>
      <w:r>
        <w:t xml:space="preserve">further work </w:t>
      </w:r>
      <w:r w:rsidR="00CD09FD">
        <w:t xml:space="preserve">be carried out </w:t>
      </w:r>
      <w:r>
        <w:t>to determine how nominations and renominations could be accommodated.</w:t>
      </w:r>
      <w:r>
        <w:rPr>
          <w:rStyle w:val="FootnoteReference"/>
        </w:rPr>
        <w:footnoteReference w:id="37"/>
      </w:r>
      <w:r>
        <w:t xml:space="preserve"> </w:t>
      </w:r>
    </w:p>
    <w:p w14:paraId="03446CA4" w14:textId="1B770522" w:rsidR="0057098B" w:rsidRDefault="0057098B" w:rsidP="00DE1291">
      <w:pPr>
        <w:pStyle w:val="BodyText"/>
      </w:pPr>
      <w:r>
        <w:t>In addition to these recommendations, the AEMC suggested that as available and interruptible rights in current GTAs be phased out, because they will compete with the rights allocated in the auction. In doing so, the AEMC noted that if these rights are given priority over the rights purchased in the auction, it could result in capacity not being allocated to its highest value use (i.e. because there may be auction participants that value the capacity more). The AEMC went on to add that if these rights are retained, then the GMRG should consider how they should be accommodated in the auction design.</w:t>
      </w:r>
      <w:r>
        <w:rPr>
          <w:rStyle w:val="FootnoteReference"/>
        </w:rPr>
        <w:footnoteReference w:id="38"/>
      </w:r>
    </w:p>
    <w:p w14:paraId="08AC696C" w14:textId="1A9BDE71" w:rsidR="005049B5" w:rsidRPr="005049B5" w:rsidRDefault="00235593" w:rsidP="0057098B">
      <w:pPr>
        <w:pStyle w:val="BodyText"/>
        <w:keepNext/>
        <w:spacing w:after="60"/>
        <w:rPr>
          <w:b/>
          <w:color w:val="0099CC"/>
        </w:rPr>
      </w:pPr>
      <w:r>
        <w:rPr>
          <w:b/>
          <w:color w:val="0099CC"/>
        </w:rPr>
        <w:t>Project team’s v</w:t>
      </w:r>
      <w:r w:rsidR="00047644">
        <w:rPr>
          <w:b/>
          <w:color w:val="0099CC"/>
        </w:rPr>
        <w:t xml:space="preserve">iews </w:t>
      </w:r>
      <w:r>
        <w:rPr>
          <w:b/>
          <w:color w:val="0099CC"/>
        </w:rPr>
        <w:t xml:space="preserve">on renomination rights </w:t>
      </w:r>
      <w:r w:rsidR="0011052E">
        <w:rPr>
          <w:b/>
          <w:color w:val="0099CC"/>
        </w:rPr>
        <w:t>and the quality of the auction product</w:t>
      </w:r>
    </w:p>
    <w:p w14:paraId="57D77915" w14:textId="72263269" w:rsidR="0038125F" w:rsidRDefault="00235593" w:rsidP="0022099B">
      <w:pPr>
        <w:pStyle w:val="BodyText"/>
        <w:keepNext/>
        <w:spacing w:line="257" w:lineRule="auto"/>
      </w:pPr>
      <w:r>
        <w:t xml:space="preserve">The AEMC’s recommendation that </w:t>
      </w:r>
      <w:r w:rsidR="00A96632">
        <w:t xml:space="preserve">the auction product accommodate </w:t>
      </w:r>
      <w:r>
        <w:t>nominations and renominations by incumbent shippers</w:t>
      </w:r>
      <w:r w:rsidR="00A96632">
        <w:t>,</w:t>
      </w:r>
      <w:r>
        <w:t xml:space="preserve"> </w:t>
      </w:r>
      <w:r w:rsidR="00F262F0">
        <w:t xml:space="preserve">was </w:t>
      </w:r>
      <w:r>
        <w:t xml:space="preserve">the </w:t>
      </w:r>
      <w:r w:rsidR="0038125F">
        <w:t xml:space="preserve">subject of </w:t>
      </w:r>
      <w:r>
        <w:t>intense</w:t>
      </w:r>
      <w:r w:rsidR="0038125F">
        <w:t xml:space="preserve"> debate over a number of months</w:t>
      </w:r>
      <w:r>
        <w:t xml:space="preserve"> by </w:t>
      </w:r>
      <w:r w:rsidR="00A96632">
        <w:t xml:space="preserve">the Day-Ahead Auction project </w:t>
      </w:r>
      <w:r>
        <w:t>team and members of the other project teams</w:t>
      </w:r>
      <w:r w:rsidR="0038125F">
        <w:t>.</w:t>
      </w:r>
      <w:r w:rsidR="006B7AC6">
        <w:t xml:space="preserve"> </w:t>
      </w:r>
    </w:p>
    <w:p w14:paraId="3293FDB6" w14:textId="0BDE831F" w:rsidR="00E749B3" w:rsidRDefault="005C3B66" w:rsidP="0022099B">
      <w:pPr>
        <w:pStyle w:val="BodyText"/>
        <w:spacing w:line="257" w:lineRule="auto"/>
      </w:pPr>
      <w:r>
        <w:t xml:space="preserve">On one side of this debate were a number of incumbent shippers and service providers, who claimed that renomination rights are highly valued by shippers </w:t>
      </w:r>
      <w:r w:rsidR="00235593">
        <w:t xml:space="preserve">because they provide additional flexibility to manage variations </w:t>
      </w:r>
      <w:r w:rsidR="0035688B">
        <w:t xml:space="preserve">between forecast demand and supply conditions and actual conditions </w:t>
      </w:r>
      <w:r w:rsidR="00235593">
        <w:t xml:space="preserve">during the gas day. This group of project team members noted that </w:t>
      </w:r>
      <w:r w:rsidR="00E749B3">
        <w:t xml:space="preserve">firm and reasonable endeavours </w:t>
      </w:r>
      <w:r w:rsidR="00055169">
        <w:t>renomination</w:t>
      </w:r>
      <w:r w:rsidR="00235593">
        <w:t xml:space="preserve"> rights are currently utilised by a range of shippers (including commercial and industrial customers, retailers and gas-fired generators), and that if these rights were to be restricted in any way by the auction</w:t>
      </w:r>
      <w:r w:rsidR="00133C38">
        <w:t>,</w:t>
      </w:r>
      <w:r w:rsidR="00235593">
        <w:t xml:space="preserve"> it could have a deleterious effect on these shippers and the </w:t>
      </w:r>
      <w:r w:rsidR="00E749B3">
        <w:t xml:space="preserve">markets in which they operate. The market that was identified as being most at risk </w:t>
      </w:r>
      <w:r w:rsidR="0011052E">
        <w:t xml:space="preserve">from </w:t>
      </w:r>
      <w:r w:rsidR="00E749B3">
        <w:t xml:space="preserve">any form of restriction on renomination rights was the National Electricity Market (NEM), because renomination rights </w:t>
      </w:r>
      <w:r w:rsidR="0011052E">
        <w:t>are</w:t>
      </w:r>
      <w:r w:rsidR="00133C38">
        <w:t xml:space="preserve"> currently</w:t>
      </w:r>
      <w:r w:rsidR="0011052E">
        <w:t xml:space="preserve"> relied upon by gas-fired generators </w:t>
      </w:r>
      <w:r w:rsidR="00E749B3">
        <w:t>to manage variations between the pre-dispatch schedule issued on gas day D-1 and actual dispatch on the gas day. T</w:t>
      </w:r>
      <w:r>
        <w:t xml:space="preserve">his group therefore argued that all forms of renomination rights (firm and reasonable endeavours) should be accommodated by the auction. </w:t>
      </w:r>
    </w:p>
    <w:p w14:paraId="5D7DE86C" w14:textId="4D7CF71A" w:rsidR="0011052E" w:rsidRDefault="0011052E" w:rsidP="0022099B">
      <w:pPr>
        <w:pStyle w:val="BodyText"/>
        <w:spacing w:line="257" w:lineRule="auto"/>
      </w:pPr>
      <w:r>
        <w:t>This group of project team members also argued that the auction product should be a relatively low quality product because in their view a higher quality auction product may:</w:t>
      </w:r>
    </w:p>
    <w:p w14:paraId="424A587E" w14:textId="491A297C" w:rsidR="0011052E" w:rsidRDefault="0011052E" w:rsidP="0022099B">
      <w:pPr>
        <w:pStyle w:val="ListBullet"/>
        <w:spacing w:line="257" w:lineRule="auto"/>
      </w:pPr>
      <w:r>
        <w:t xml:space="preserve">devalue firm and other capacity rights in primary GTAs, encourage primary capacity holders to de-contract and reduce their incentive to underwrite pipeline investments; </w:t>
      </w:r>
    </w:p>
    <w:p w14:paraId="3931AAC6" w14:textId="62CC9300" w:rsidR="0011052E" w:rsidRDefault="0011052E" w:rsidP="0022099B">
      <w:pPr>
        <w:pStyle w:val="ListBullet"/>
        <w:spacing w:line="257" w:lineRule="auto"/>
      </w:pPr>
      <w:r>
        <w:t>impede the development of a secondary capacity market, because while the adoption of a higher quality product may provide firm capacity holders with a stronger incentive to release capacity prior to auction, prospective shippers may prefer to procure the capacity through the auction because it will have a zero reserve price; and</w:t>
      </w:r>
    </w:p>
    <w:p w14:paraId="41712EF8" w14:textId="3B67B169" w:rsidR="0011052E" w:rsidRDefault="0011052E" w:rsidP="0022099B">
      <w:pPr>
        <w:pStyle w:val="ListBullet"/>
        <w:spacing w:line="257" w:lineRule="auto"/>
      </w:pPr>
      <w:proofErr w:type="gramStart"/>
      <w:r>
        <w:t>give</w:t>
      </w:r>
      <w:proofErr w:type="gramEnd"/>
      <w:r>
        <w:t xml:space="preserve"> rise to higher implementation costs because, amongst other things, it would require changes to be made to the prioritisation schedules in primary GTAs.</w:t>
      </w:r>
    </w:p>
    <w:p w14:paraId="7664DD9F" w14:textId="77777777" w:rsidR="00754A4C" w:rsidRDefault="005C3B66" w:rsidP="0022099B">
      <w:pPr>
        <w:pStyle w:val="BodyText"/>
        <w:spacing w:line="257" w:lineRule="auto"/>
      </w:pPr>
      <w:r>
        <w:t xml:space="preserve">On the other side of the debate were prospective users of the auctioned capacity. While this group </w:t>
      </w:r>
      <w:r w:rsidR="00211B05">
        <w:t xml:space="preserve">accepted the AEMC’s recommendation that </w:t>
      </w:r>
      <w:r>
        <w:t xml:space="preserve">renomination rights </w:t>
      </w:r>
      <w:r w:rsidR="00211B05">
        <w:t>should be accommodated</w:t>
      </w:r>
      <w:r w:rsidR="00754A4C">
        <w:t xml:space="preserve"> and recognised the important role renominations play in the NEM</w:t>
      </w:r>
      <w:r w:rsidR="00211B05">
        <w:t xml:space="preserve">, they questioned whether </w:t>
      </w:r>
      <w:r w:rsidR="00E749B3">
        <w:t>the auction should accommodate</w:t>
      </w:r>
      <w:r w:rsidR="00754A4C">
        <w:t>:</w:t>
      </w:r>
      <w:r w:rsidR="00E749B3">
        <w:t xml:space="preserve"> </w:t>
      </w:r>
    </w:p>
    <w:p w14:paraId="6758BE7B" w14:textId="6B091DCA" w:rsidR="00754A4C" w:rsidRDefault="00211B05" w:rsidP="0022099B">
      <w:pPr>
        <w:pStyle w:val="ListBullet"/>
        <w:spacing w:line="257" w:lineRule="auto"/>
      </w:pPr>
      <w:r>
        <w:t xml:space="preserve">all </w:t>
      </w:r>
      <w:r w:rsidR="005C3B66">
        <w:t>renomination rights</w:t>
      </w:r>
      <w:r w:rsidR="00754A4C">
        <w:t>, including firm renomination rights that service providers are contractually required to provide and reasonable endeavours renomination rights, that service providers have some discretion to provide; or</w:t>
      </w:r>
    </w:p>
    <w:p w14:paraId="1B04DDA9" w14:textId="1D8FCAFD" w:rsidR="00754A4C" w:rsidRDefault="00211B05" w:rsidP="0022099B">
      <w:pPr>
        <w:pStyle w:val="ListBullet"/>
        <w:spacing w:line="257" w:lineRule="auto"/>
      </w:pPr>
      <w:proofErr w:type="gramStart"/>
      <w:r>
        <w:t>firm</w:t>
      </w:r>
      <w:proofErr w:type="gramEnd"/>
      <w:r>
        <w:t xml:space="preserve"> renomination rights</w:t>
      </w:r>
      <w:r w:rsidR="00E749B3">
        <w:t xml:space="preserve"> that a service provider is contractually required to provide</w:t>
      </w:r>
      <w:r w:rsidR="005C3B66">
        <w:t>.</w:t>
      </w:r>
      <w:r w:rsidR="006B7AC6">
        <w:t xml:space="preserve"> </w:t>
      </w:r>
    </w:p>
    <w:p w14:paraId="3D3D18F4" w14:textId="2681F200" w:rsidR="00E749B3" w:rsidRDefault="00754A4C" w:rsidP="0022099B">
      <w:pPr>
        <w:pStyle w:val="BodyText"/>
        <w:spacing w:line="252" w:lineRule="auto"/>
      </w:pPr>
      <w:r>
        <w:t xml:space="preserve">In this group’s view, the auction should only be required to accommodate firm renomination rights, because shippers with reasonable endeavours renomination rights do not have a </w:t>
      </w:r>
      <w:r w:rsidR="0011052E">
        <w:t>firm right to access this service</w:t>
      </w:r>
      <w:r>
        <w:t>.</w:t>
      </w:r>
      <w:r w:rsidR="00576762">
        <w:t xml:space="preserve"> </w:t>
      </w:r>
    </w:p>
    <w:p w14:paraId="29DBC7DF" w14:textId="3E940789" w:rsidR="005C3B66" w:rsidRDefault="00211B05" w:rsidP="0022099B">
      <w:pPr>
        <w:pStyle w:val="BodyText"/>
        <w:spacing w:before="60" w:line="252" w:lineRule="auto"/>
      </w:pPr>
      <w:r>
        <w:t xml:space="preserve">This group </w:t>
      </w:r>
      <w:r w:rsidR="0011052E">
        <w:t xml:space="preserve">of project team members </w:t>
      </w:r>
      <w:r>
        <w:t xml:space="preserve">also argued that the </w:t>
      </w:r>
      <w:r w:rsidR="005C3B66">
        <w:t xml:space="preserve">auction product should be a relatively high quality product, because in their view a lower quality auction product </w:t>
      </w:r>
      <w:r>
        <w:t>could</w:t>
      </w:r>
      <w:r w:rsidR="005C3B66">
        <w:t>:</w:t>
      </w:r>
    </w:p>
    <w:p w14:paraId="6CA92840" w14:textId="62171531" w:rsidR="005C3B66" w:rsidRDefault="0011052E" w:rsidP="0022099B">
      <w:pPr>
        <w:pStyle w:val="ListBullet"/>
        <w:spacing w:before="60" w:line="252" w:lineRule="auto"/>
      </w:pPr>
      <w:r>
        <w:t>e</w:t>
      </w:r>
      <w:r w:rsidR="005C3B66">
        <w:t>xpose auction winners to a greater degree of curtailment risk</w:t>
      </w:r>
      <w:r>
        <w:t xml:space="preserve">, which they noted </w:t>
      </w:r>
      <w:r w:rsidR="00D67960">
        <w:t>could have financial implications</w:t>
      </w:r>
      <w:r w:rsidR="00D67960">
        <w:rPr>
          <w:rStyle w:val="FootnoteReference"/>
        </w:rPr>
        <w:footnoteReference w:id="39"/>
      </w:r>
      <w:r w:rsidR="00D67960">
        <w:t xml:space="preserve"> and give rise to aggregation risk </w:t>
      </w:r>
      <w:r w:rsidR="00E15A7F">
        <w:t xml:space="preserve">if the auction winner has procured capacity across a number of pipelines or assets </w:t>
      </w:r>
      <w:r w:rsidR="005C3B66">
        <w:t xml:space="preserve">(see section </w:t>
      </w:r>
      <w:r w:rsidR="005C3B66">
        <w:fldChar w:fldCharType="begin"/>
      </w:r>
      <w:r w:rsidR="005C3B66">
        <w:instrText xml:space="preserve"> REF _Ref494452070 \r \h </w:instrText>
      </w:r>
      <w:r w:rsidR="005C3B66">
        <w:fldChar w:fldCharType="separate"/>
      </w:r>
      <w:r w:rsidR="00272B32">
        <w:t>4.6</w:t>
      </w:r>
      <w:r w:rsidR="005C3B66">
        <w:fldChar w:fldCharType="end"/>
      </w:r>
      <w:r w:rsidR="00133C38">
        <w:t xml:space="preserve"> for more detail on aggregation risk</w:t>
      </w:r>
      <w:r w:rsidR="005C3B66">
        <w:t xml:space="preserve">); </w:t>
      </w:r>
    </w:p>
    <w:p w14:paraId="78D20A96" w14:textId="707441D6" w:rsidR="00D67960" w:rsidRDefault="00D67960" w:rsidP="0022099B">
      <w:pPr>
        <w:pStyle w:val="ListBullet"/>
        <w:spacing w:before="60" w:line="252" w:lineRule="auto"/>
      </w:pPr>
      <w:r>
        <w:t>i</w:t>
      </w:r>
      <w:r w:rsidR="005C3B66">
        <w:t xml:space="preserve">mpede the development of </w:t>
      </w:r>
      <w:r>
        <w:t xml:space="preserve">the </w:t>
      </w:r>
      <w:r w:rsidR="005C3B66">
        <w:t>secondary capacity market</w:t>
      </w:r>
      <w:r>
        <w:t>,</w:t>
      </w:r>
      <w:r w:rsidR="005C3B66">
        <w:t xml:space="preserve"> because while </w:t>
      </w:r>
      <w:r>
        <w:t xml:space="preserve">a </w:t>
      </w:r>
      <w:r w:rsidR="0011052E">
        <w:t xml:space="preserve">lower quality </w:t>
      </w:r>
      <w:r>
        <w:t xml:space="preserve">auction </w:t>
      </w:r>
      <w:r w:rsidR="0011052E">
        <w:t xml:space="preserve">product may provide prospective shippers </w:t>
      </w:r>
      <w:r w:rsidR="00CE7C87">
        <w:t xml:space="preserve">with </w:t>
      </w:r>
      <w:r w:rsidR="0011052E">
        <w:t>a strong incentive to procure capacity prior to the auction</w:t>
      </w:r>
      <w:r>
        <w:t>,</w:t>
      </w:r>
      <w:r w:rsidR="0011052E">
        <w:t xml:space="preserve"> </w:t>
      </w:r>
      <w:r>
        <w:t xml:space="preserve">it may not provide firm capacity holders </w:t>
      </w:r>
      <w:r w:rsidR="00CE7C87">
        <w:t xml:space="preserve">with </w:t>
      </w:r>
      <w:r>
        <w:t>a strong incentive to release capacity because demand for this product is likely to be relatively low; and</w:t>
      </w:r>
    </w:p>
    <w:p w14:paraId="624A5C71" w14:textId="6BCA6687" w:rsidR="005C3B66" w:rsidRDefault="00D67960" w:rsidP="0022099B">
      <w:pPr>
        <w:pStyle w:val="ListBullet"/>
        <w:spacing w:line="252" w:lineRule="auto"/>
      </w:pPr>
      <w:proofErr w:type="gramStart"/>
      <w:r>
        <w:t>g</w:t>
      </w:r>
      <w:r w:rsidR="005C3B66">
        <w:t>ive</w:t>
      </w:r>
      <w:proofErr w:type="gramEnd"/>
      <w:r w:rsidR="005C3B66">
        <w:t xml:space="preserve"> rise to a greater level of gaming </w:t>
      </w:r>
      <w:r w:rsidR="00211B05">
        <w:t>risks, which could expose auction participants to greater risk unless actively monitored by the AER</w:t>
      </w:r>
      <w:r w:rsidR="005C3B66">
        <w:t xml:space="preserve">. </w:t>
      </w:r>
    </w:p>
    <w:p w14:paraId="21C536AC" w14:textId="1BADDF0D" w:rsidR="00047644" w:rsidRDefault="00047644" w:rsidP="00A96632">
      <w:pPr>
        <w:pStyle w:val="BodyText"/>
        <w:keepNext/>
        <w:spacing w:before="0" w:line="252" w:lineRule="auto"/>
        <w:rPr>
          <w:b/>
          <w:color w:val="0099CC"/>
        </w:rPr>
      </w:pPr>
      <w:r>
        <w:rPr>
          <w:b/>
          <w:color w:val="0099CC"/>
        </w:rPr>
        <w:t>Options to accommodate nominations and renominations by incumbents</w:t>
      </w:r>
    </w:p>
    <w:p w14:paraId="38690AD0" w14:textId="764C245F" w:rsidR="00640D22" w:rsidRDefault="00047644" w:rsidP="0022099B">
      <w:pPr>
        <w:pStyle w:val="BodyText"/>
        <w:spacing w:before="120" w:line="252" w:lineRule="auto"/>
      </w:pPr>
      <w:r>
        <w:t>T</w:t>
      </w:r>
      <w:r w:rsidR="00F262F0">
        <w:t>he Day-Ahead Auction project team</w:t>
      </w:r>
      <w:r>
        <w:t xml:space="preserve"> spent some time considering the options </w:t>
      </w:r>
      <w:r w:rsidR="00F776AC">
        <w:t xml:space="preserve">the AEMC </w:t>
      </w:r>
      <w:r w:rsidR="00133C38">
        <w:t xml:space="preserve">identified </w:t>
      </w:r>
      <w:r w:rsidR="00F776AC">
        <w:t>to accommodate nomination and renomination rights</w:t>
      </w:r>
      <w:r w:rsidR="008976DC">
        <w:t xml:space="preserve"> </w:t>
      </w:r>
      <w:r>
        <w:t xml:space="preserve">and a number of </w:t>
      </w:r>
      <w:r w:rsidR="00F262F0" w:rsidRPr="00BB523B">
        <w:t xml:space="preserve">other options that were identified in the project team meetings. </w:t>
      </w:r>
      <w:r w:rsidR="00F262F0">
        <w:t xml:space="preserve">In short, the </w:t>
      </w:r>
      <w:r w:rsidR="00640D22" w:rsidRPr="00BB523B">
        <w:t>project team agreed that conducting more frequent auctions during the gas day was unlikely to be a feasible option</w:t>
      </w:r>
      <w:r w:rsidR="00F262F0">
        <w:t xml:space="preserve"> </w:t>
      </w:r>
      <w:r w:rsidR="00193480">
        <w:t xml:space="preserve">at this stage </w:t>
      </w:r>
      <w:r w:rsidR="0035688B">
        <w:t>given the cost and complexity that would be faced by all parties. They also agreed to rule</w:t>
      </w:r>
      <w:r w:rsidR="00F262F0">
        <w:t xml:space="preserve"> out </w:t>
      </w:r>
      <w:r w:rsidR="008976DC">
        <w:t xml:space="preserve">the option of selling a purely firm product by </w:t>
      </w:r>
      <w:r w:rsidR="00F262F0">
        <w:t>withholding some capacity</w:t>
      </w:r>
      <w:r w:rsidR="00A96632">
        <w:t xml:space="preserve"> on the basis that this would not comply with the AEMC’s recommendations</w:t>
      </w:r>
      <w:r w:rsidR="00F262F0">
        <w:t>.</w:t>
      </w:r>
      <w:r w:rsidR="006B7AC6">
        <w:t xml:space="preserve"> </w:t>
      </w:r>
      <w:r w:rsidR="00F262F0">
        <w:t xml:space="preserve">The project team were not, however, able </w:t>
      </w:r>
      <w:r w:rsidR="00B7337D" w:rsidRPr="00BB523B">
        <w:t xml:space="preserve">to </w:t>
      </w:r>
      <w:r w:rsidR="00193480">
        <w:t xml:space="preserve">agree </w:t>
      </w:r>
      <w:r w:rsidR="00B7337D" w:rsidRPr="00BB523B">
        <w:t xml:space="preserve">on </w:t>
      </w:r>
      <w:r w:rsidR="00F262F0">
        <w:t xml:space="preserve">any of </w:t>
      </w:r>
      <w:r w:rsidR="00B7337D" w:rsidRPr="00BB523B">
        <w:t>the remaining</w:t>
      </w:r>
      <w:r w:rsidR="00B7337D">
        <w:t xml:space="preserve"> options</w:t>
      </w:r>
      <w:r w:rsidR="008976DC">
        <w:t xml:space="preserve"> and therefore suggested they </w:t>
      </w:r>
      <w:r w:rsidR="00F262F0">
        <w:t xml:space="preserve">all be consulted upon. </w:t>
      </w:r>
    </w:p>
    <w:p w14:paraId="2CC7847E" w14:textId="1E134350" w:rsidR="00CD09FD" w:rsidRDefault="00CD09FD" w:rsidP="0022099B">
      <w:pPr>
        <w:pStyle w:val="BodyText"/>
        <w:spacing w:before="40" w:line="252" w:lineRule="auto"/>
      </w:pPr>
      <w:r>
        <w:t xml:space="preserve">Further detail on </w:t>
      </w:r>
      <w:r w:rsidR="00F262F0">
        <w:t>the remaining</w:t>
      </w:r>
      <w:r w:rsidR="008278CB">
        <w:t xml:space="preserve"> </w:t>
      </w:r>
      <w:r>
        <w:t>options</w:t>
      </w:r>
      <w:r w:rsidR="00BB523B">
        <w:t xml:space="preserve">, which are referred to as the ‘second priority as available auction product’, ‘second priority interruptible auction product’ and ‘hybrid auction product’ options, </w:t>
      </w:r>
      <w:r>
        <w:t xml:space="preserve">is provided in </w:t>
      </w:r>
      <w:r w:rsidR="008278CB">
        <w:rPr>
          <w:highlight w:val="yellow"/>
        </w:rPr>
        <w:fldChar w:fldCharType="begin"/>
      </w:r>
      <w:r w:rsidR="008278CB">
        <w:instrText xml:space="preserve"> REF _Ref494723049 \h </w:instrText>
      </w:r>
      <w:r w:rsidR="008278CB">
        <w:rPr>
          <w:highlight w:val="yellow"/>
        </w:rPr>
      </w:r>
      <w:r w:rsidR="008278CB">
        <w:rPr>
          <w:highlight w:val="yellow"/>
        </w:rPr>
        <w:fldChar w:fldCharType="separate"/>
      </w:r>
      <w:r w:rsidR="00272B32">
        <w:t xml:space="preserve">Table </w:t>
      </w:r>
      <w:r w:rsidR="00272B32">
        <w:rPr>
          <w:noProof/>
        </w:rPr>
        <w:t>3</w:t>
      </w:r>
      <w:r w:rsidR="00272B32">
        <w:t>.</w:t>
      </w:r>
      <w:r w:rsidR="00272B32">
        <w:rPr>
          <w:noProof/>
        </w:rPr>
        <w:t>1</w:t>
      </w:r>
      <w:r w:rsidR="008278CB">
        <w:rPr>
          <w:highlight w:val="yellow"/>
        </w:rPr>
        <w:fldChar w:fldCharType="end"/>
      </w:r>
      <w:r>
        <w:t>, which also outlines:</w:t>
      </w:r>
    </w:p>
    <w:p w14:paraId="4ECF2B28" w14:textId="44CCC00A" w:rsidR="008278CB" w:rsidRDefault="008278CB" w:rsidP="0022099B">
      <w:pPr>
        <w:pStyle w:val="ListBullet"/>
        <w:spacing w:before="40" w:after="40" w:line="252" w:lineRule="auto"/>
      </w:pPr>
      <w:r>
        <w:t>the schedulin</w:t>
      </w:r>
      <w:r w:rsidR="00A96632">
        <w:t xml:space="preserve">g, curtailment and renomination priorities for any contracted but un-nominated capacity (see </w:t>
      </w:r>
      <w:r w:rsidR="00CC2292">
        <w:rPr>
          <w:highlight w:val="yellow"/>
        </w:rPr>
        <w:fldChar w:fldCharType="begin"/>
      </w:r>
      <w:r w:rsidR="00CC2292">
        <w:instrText xml:space="preserve"> REF _Ref495252048 \h </w:instrText>
      </w:r>
      <w:r w:rsidR="00CC2292">
        <w:rPr>
          <w:highlight w:val="yellow"/>
        </w:rPr>
      </w:r>
      <w:r w:rsidR="00CC2292">
        <w:rPr>
          <w:highlight w:val="yellow"/>
        </w:rPr>
        <w:fldChar w:fldCharType="separate"/>
      </w:r>
      <w:r w:rsidR="00272B32">
        <w:t xml:space="preserve">Box </w:t>
      </w:r>
      <w:r w:rsidR="00272B32">
        <w:rPr>
          <w:noProof/>
        </w:rPr>
        <w:t>3</w:t>
      </w:r>
      <w:r w:rsidR="00272B32">
        <w:t>.</w:t>
      </w:r>
      <w:r w:rsidR="00272B32">
        <w:rPr>
          <w:noProof/>
        </w:rPr>
        <w:t>3</w:t>
      </w:r>
      <w:r w:rsidR="00CC2292">
        <w:rPr>
          <w:highlight w:val="yellow"/>
        </w:rPr>
        <w:fldChar w:fldCharType="end"/>
      </w:r>
      <w:r w:rsidR="00A96632">
        <w:t xml:space="preserve"> for more detail)</w:t>
      </w:r>
      <w:r w:rsidR="00055169">
        <w:t>;</w:t>
      </w:r>
      <w:r>
        <w:t xml:space="preserve"> </w:t>
      </w:r>
    </w:p>
    <w:p w14:paraId="0AFA07F0" w14:textId="77777777" w:rsidR="00752A55" w:rsidRDefault="008278CB" w:rsidP="0022099B">
      <w:pPr>
        <w:pStyle w:val="ListBullet"/>
        <w:spacing w:before="40" w:after="40" w:line="252" w:lineRule="auto"/>
      </w:pPr>
      <w:r>
        <w:t>the curtailment risks associated with each option</w:t>
      </w:r>
      <w:r w:rsidR="00752A55">
        <w:t xml:space="preserve">, which could arise as a result of: </w:t>
      </w:r>
    </w:p>
    <w:p w14:paraId="02C66D64" w14:textId="77777777" w:rsidR="00752A55" w:rsidRDefault="00752A55" w:rsidP="0022099B">
      <w:pPr>
        <w:pStyle w:val="ListBullet2"/>
        <w:spacing w:before="40" w:after="40" w:line="252" w:lineRule="auto"/>
      </w:pPr>
      <w:r>
        <w:t xml:space="preserve">late </w:t>
      </w:r>
      <w:r w:rsidRPr="00752A55">
        <w:t>nominations or renominations by incumbent shippers (</w:t>
      </w:r>
      <w:r>
        <w:t>n</w:t>
      </w:r>
      <w:r w:rsidRPr="00752A55">
        <w:t>ote that if all the contracted but un-nominated capacity is not sold through the auction then even if renominations occur curtailment may not be required)</w:t>
      </w:r>
      <w:r>
        <w:t xml:space="preserve">; </w:t>
      </w:r>
      <w:r w:rsidRPr="00752A55">
        <w:t xml:space="preserve">or </w:t>
      </w:r>
    </w:p>
    <w:p w14:paraId="629A5A29" w14:textId="2F44F060" w:rsidR="008278CB" w:rsidRDefault="00752A55" w:rsidP="0022099B">
      <w:pPr>
        <w:pStyle w:val="ListBullet2"/>
        <w:spacing w:before="40" w:after="40" w:line="252" w:lineRule="auto"/>
      </w:pPr>
      <w:r w:rsidRPr="00752A55">
        <w:t>other curtailment events</w:t>
      </w:r>
      <w:r w:rsidR="008278CB" w:rsidRPr="00752A55">
        <w:t>;</w:t>
      </w:r>
    </w:p>
    <w:p w14:paraId="025E4432" w14:textId="77777777" w:rsidR="008278CB" w:rsidRDefault="008278CB" w:rsidP="0022099B">
      <w:pPr>
        <w:pStyle w:val="ListBullet"/>
        <w:spacing w:before="40" w:after="40" w:line="252" w:lineRule="auto"/>
      </w:pPr>
      <w:r>
        <w:t>the gaming risks associated with each option;</w:t>
      </w:r>
    </w:p>
    <w:p w14:paraId="404D67A8" w14:textId="0F474389" w:rsidR="008278CB" w:rsidRDefault="008278CB" w:rsidP="0022099B">
      <w:pPr>
        <w:pStyle w:val="ListBullet"/>
        <w:spacing w:before="40" w:after="40" w:line="252" w:lineRule="auto"/>
      </w:pPr>
      <w:r>
        <w:t>the effect that each option is expected to have on the incentive parties have to trade secondary capacity prior to the auction; and</w:t>
      </w:r>
    </w:p>
    <w:p w14:paraId="26C30DF8" w14:textId="51CE79FB" w:rsidR="00CD09FD" w:rsidRDefault="00CD09FD" w:rsidP="0022099B">
      <w:pPr>
        <w:pStyle w:val="ListBullet"/>
        <w:spacing w:before="40" w:line="252" w:lineRule="auto"/>
      </w:pPr>
      <w:proofErr w:type="gramStart"/>
      <w:r>
        <w:t>the</w:t>
      </w:r>
      <w:proofErr w:type="gramEnd"/>
      <w:r>
        <w:t xml:space="preserve"> consistency of each option with the AEMC’s recommendation</w:t>
      </w:r>
      <w:r w:rsidR="00E15A7F">
        <w:t>s</w:t>
      </w:r>
      <w:r w:rsidR="008278CB">
        <w:t>.</w:t>
      </w:r>
    </w:p>
    <w:p w14:paraId="2CB5E3AC" w14:textId="63B24278" w:rsidR="00133C38" w:rsidRDefault="00640D22" w:rsidP="0022099B">
      <w:pPr>
        <w:pStyle w:val="BodyText"/>
        <w:spacing w:line="252" w:lineRule="auto"/>
      </w:pPr>
      <w:r w:rsidRPr="00640D22">
        <w:t xml:space="preserve">The </w:t>
      </w:r>
      <w:r w:rsidR="008278CB">
        <w:t>first</w:t>
      </w:r>
      <w:r w:rsidRPr="00640D22">
        <w:t xml:space="preserve"> column of this table set</w:t>
      </w:r>
      <w:r w:rsidR="008278CB">
        <w:t>s</w:t>
      </w:r>
      <w:r w:rsidR="00BB523B">
        <w:t xml:space="preserve"> out another option</w:t>
      </w:r>
      <w:r w:rsidRPr="00640D22">
        <w:t xml:space="preserve"> that the GMRG</w:t>
      </w:r>
      <w:r w:rsidR="00BB523B">
        <w:t xml:space="preserve"> and NERA</w:t>
      </w:r>
      <w:r w:rsidRPr="00640D22">
        <w:t xml:space="preserve"> </w:t>
      </w:r>
      <w:r w:rsidR="00BB523B">
        <w:t xml:space="preserve">have </w:t>
      </w:r>
      <w:r w:rsidRPr="00640D22">
        <w:t xml:space="preserve">subsequently identified, which </w:t>
      </w:r>
      <w:r w:rsidR="008278CB">
        <w:t xml:space="preserve">is </w:t>
      </w:r>
      <w:r w:rsidRPr="00640D22">
        <w:t xml:space="preserve">referred to as </w:t>
      </w:r>
      <w:r w:rsidR="00A96632">
        <w:t xml:space="preserve">a </w:t>
      </w:r>
      <w:r w:rsidR="008278CB">
        <w:t>‘</w:t>
      </w:r>
      <w:r w:rsidRPr="00640D22">
        <w:t>second priority firm service</w:t>
      </w:r>
      <w:r w:rsidR="008278CB">
        <w:t>’</w:t>
      </w:r>
      <w:r w:rsidRPr="00640D22">
        <w:t>.</w:t>
      </w:r>
      <w:r w:rsidR="006B7AC6">
        <w:t xml:space="preserve"> </w:t>
      </w:r>
    </w:p>
    <w:p w14:paraId="7004FB28" w14:textId="7E22533B" w:rsidR="0022099B" w:rsidRDefault="00042278" w:rsidP="0022099B">
      <w:pPr>
        <w:pStyle w:val="BodyText"/>
        <w:spacing w:line="252" w:lineRule="auto"/>
        <w:sectPr w:rsidR="0022099B" w:rsidSect="00CF1252">
          <w:headerReference w:type="default" r:id="rId31"/>
          <w:footerReference w:type="default" r:id="rId32"/>
          <w:pgSz w:w="11907" w:h="16839" w:code="9"/>
          <w:pgMar w:top="1361" w:right="1418" w:bottom="992" w:left="1701" w:header="567" w:footer="397" w:gutter="0"/>
          <w:cols w:space="708"/>
          <w:docGrid w:linePitch="360"/>
        </w:sectPr>
      </w:pPr>
      <w:r>
        <w:t>T</w:t>
      </w:r>
      <w:r w:rsidR="0022099B">
        <w:t xml:space="preserve">he way in which auction quantities would be calculated under each of these options is set out in section </w:t>
      </w:r>
      <w:r w:rsidR="0022099B">
        <w:fldChar w:fldCharType="begin"/>
      </w:r>
      <w:r w:rsidR="0022099B">
        <w:instrText xml:space="preserve"> REF _Ref494450740 \n \h </w:instrText>
      </w:r>
      <w:r w:rsidR="0022099B">
        <w:fldChar w:fldCharType="separate"/>
      </w:r>
      <w:r w:rsidR="00272B32">
        <w:t>4.1</w:t>
      </w:r>
      <w:r w:rsidR="0022099B">
        <w:fldChar w:fldCharType="end"/>
      </w:r>
      <w:r w:rsidR="0022099B">
        <w:t>.</w:t>
      </w:r>
    </w:p>
    <w:p w14:paraId="5597C13F" w14:textId="432A2061" w:rsidR="003722FF" w:rsidRDefault="00BE4A93" w:rsidP="00B84726">
      <w:pPr>
        <w:pStyle w:val="Caption"/>
        <w:spacing w:before="0" w:after="0"/>
      </w:pPr>
      <w:bookmarkStart w:id="71" w:name="_Ref494723049"/>
      <w:r>
        <w:t xml:space="preserve">Table </w:t>
      </w:r>
      <w:r w:rsidR="00115A93">
        <w:fldChar w:fldCharType="begin"/>
      </w:r>
      <w:r w:rsidR="00115A93">
        <w:instrText xml:space="preserve"> STYLEREF 1 \s </w:instrText>
      </w:r>
      <w:r w:rsidR="00115A93">
        <w:fldChar w:fldCharType="separate"/>
      </w:r>
      <w:r w:rsidR="00272B32">
        <w:rPr>
          <w:noProof/>
        </w:rPr>
        <w:t>3</w:t>
      </w:r>
      <w:r w:rsidR="00115A93">
        <w:rPr>
          <w:noProof/>
        </w:rPr>
        <w:fldChar w:fldCharType="end"/>
      </w:r>
      <w:r w:rsidR="009A057E">
        <w:t>.</w:t>
      </w:r>
      <w:r w:rsidR="00115A93">
        <w:fldChar w:fldCharType="begin"/>
      </w:r>
      <w:r w:rsidR="00115A93">
        <w:instrText xml:space="preserve"> SEQ Table \* ARABIC \s 1 </w:instrText>
      </w:r>
      <w:r w:rsidR="00115A93">
        <w:fldChar w:fldCharType="separate"/>
      </w:r>
      <w:r w:rsidR="00272B32">
        <w:rPr>
          <w:noProof/>
        </w:rPr>
        <w:t>1</w:t>
      </w:r>
      <w:r w:rsidR="00115A93">
        <w:rPr>
          <w:noProof/>
        </w:rPr>
        <w:fldChar w:fldCharType="end"/>
      </w:r>
      <w:bookmarkEnd w:id="71"/>
      <w:r>
        <w:t xml:space="preserve">: </w:t>
      </w:r>
      <w:r w:rsidR="0057098B">
        <w:t xml:space="preserve">Auction product </w:t>
      </w:r>
      <w:r w:rsidR="007276C8">
        <w:t>options</w:t>
      </w:r>
    </w:p>
    <w:tbl>
      <w:tblPr>
        <w:tblStyle w:val="TableGrid"/>
        <w:tblW w:w="5166" w:type="pct"/>
        <w:tblInd w:w="-142" w:type="dxa"/>
        <w:tblLayout w:type="fixed"/>
        <w:tblLook w:val="0420" w:firstRow="1" w:lastRow="0" w:firstColumn="0" w:lastColumn="0" w:noHBand="0" w:noVBand="1"/>
        <w:tblCaption w:val="Table 3.1: Auction product options"/>
        <w:tblDescription w:val="Auction product options"/>
      </w:tblPr>
      <w:tblGrid>
        <w:gridCol w:w="1275"/>
        <w:gridCol w:w="1137"/>
        <w:gridCol w:w="2549"/>
        <w:gridCol w:w="2759"/>
        <w:gridCol w:w="2773"/>
        <w:gridCol w:w="3683"/>
      </w:tblGrid>
      <w:tr w:rsidR="00BE4A93" w:rsidRPr="008F0A64" w14:paraId="39A603C9" w14:textId="77777777" w:rsidTr="008278CB">
        <w:trPr>
          <w:cnfStyle w:val="100000000000" w:firstRow="1" w:lastRow="0" w:firstColumn="0" w:lastColumn="0" w:oddVBand="0" w:evenVBand="0" w:oddHBand="0" w:evenHBand="0" w:firstRowFirstColumn="0" w:firstRowLastColumn="0" w:lastRowFirstColumn="0" w:lastRowLastColumn="0"/>
          <w:cantSplit/>
          <w:tblHeader/>
        </w:trPr>
        <w:tc>
          <w:tcPr>
            <w:tcW w:w="851" w:type="pct"/>
            <w:gridSpan w:val="2"/>
            <w:shd w:val="clear" w:color="auto" w:fill="0099CC"/>
          </w:tcPr>
          <w:p w14:paraId="0CA35580" w14:textId="77777777" w:rsidR="00BE4A93" w:rsidRPr="008F0A64" w:rsidRDefault="00BE4A93" w:rsidP="00BF4A9A">
            <w:pPr>
              <w:pStyle w:val="TableHeading"/>
              <w:spacing w:line="252" w:lineRule="auto"/>
              <w:rPr>
                <w:sz w:val="16"/>
                <w:szCs w:val="16"/>
                <w:lang w:eastAsia="fr-CA"/>
              </w:rPr>
            </w:pPr>
          </w:p>
        </w:tc>
        <w:tc>
          <w:tcPr>
            <w:tcW w:w="899" w:type="pct"/>
            <w:shd w:val="clear" w:color="auto" w:fill="0099CC"/>
          </w:tcPr>
          <w:p w14:paraId="7113D614" w14:textId="06620C01" w:rsidR="00BE4A93" w:rsidRPr="008F0A64" w:rsidRDefault="0035688B" w:rsidP="008976DC">
            <w:pPr>
              <w:pStyle w:val="TableHeading"/>
              <w:spacing w:line="252" w:lineRule="auto"/>
              <w:jc w:val="center"/>
              <w:rPr>
                <w:sz w:val="16"/>
                <w:szCs w:val="16"/>
                <w:lang w:eastAsia="fr-CA"/>
              </w:rPr>
            </w:pPr>
            <w:r>
              <w:rPr>
                <w:sz w:val="16"/>
                <w:szCs w:val="16"/>
              </w:rPr>
              <w:t xml:space="preserve">Option 1: </w:t>
            </w:r>
            <w:r w:rsidR="00BE4A93" w:rsidRPr="008F0A64">
              <w:rPr>
                <w:sz w:val="16"/>
                <w:szCs w:val="16"/>
              </w:rPr>
              <w:t>Second Priority Firm Auction Product</w:t>
            </w:r>
          </w:p>
        </w:tc>
        <w:tc>
          <w:tcPr>
            <w:tcW w:w="973" w:type="pct"/>
            <w:shd w:val="clear" w:color="auto" w:fill="0099CC"/>
          </w:tcPr>
          <w:p w14:paraId="2108C184" w14:textId="236808C8" w:rsidR="00BE4A93" w:rsidRPr="008F0A64" w:rsidRDefault="0035688B" w:rsidP="008976DC">
            <w:pPr>
              <w:pStyle w:val="TableHeading"/>
              <w:spacing w:line="252" w:lineRule="auto"/>
              <w:jc w:val="center"/>
              <w:rPr>
                <w:sz w:val="16"/>
                <w:szCs w:val="16"/>
                <w:lang w:eastAsia="fr-CA"/>
              </w:rPr>
            </w:pPr>
            <w:r>
              <w:rPr>
                <w:sz w:val="16"/>
                <w:szCs w:val="16"/>
              </w:rPr>
              <w:t xml:space="preserve">Option 2: </w:t>
            </w:r>
            <w:r w:rsidR="00BE4A93" w:rsidRPr="008F0A64">
              <w:rPr>
                <w:sz w:val="16"/>
                <w:szCs w:val="16"/>
              </w:rPr>
              <w:t>Second Priority As Available Auction Product</w:t>
            </w:r>
          </w:p>
        </w:tc>
        <w:tc>
          <w:tcPr>
            <w:tcW w:w="978" w:type="pct"/>
            <w:shd w:val="clear" w:color="auto" w:fill="0099CC"/>
          </w:tcPr>
          <w:p w14:paraId="67F4AF5B" w14:textId="0C636826" w:rsidR="00BE4A93" w:rsidRPr="008F0A64" w:rsidRDefault="0035688B" w:rsidP="008976DC">
            <w:pPr>
              <w:pStyle w:val="TableHeading"/>
              <w:spacing w:line="252" w:lineRule="auto"/>
              <w:jc w:val="center"/>
              <w:rPr>
                <w:sz w:val="16"/>
                <w:szCs w:val="16"/>
                <w:lang w:eastAsia="fr-CA"/>
              </w:rPr>
            </w:pPr>
            <w:r>
              <w:rPr>
                <w:sz w:val="16"/>
                <w:szCs w:val="16"/>
              </w:rPr>
              <w:t>Option 3:</w:t>
            </w:r>
            <w:r w:rsidR="007B75C1">
              <w:rPr>
                <w:sz w:val="16"/>
                <w:szCs w:val="16"/>
              </w:rPr>
              <w:t xml:space="preserve"> </w:t>
            </w:r>
            <w:r w:rsidR="00BE4A93" w:rsidRPr="008F0A64">
              <w:rPr>
                <w:sz w:val="16"/>
                <w:szCs w:val="16"/>
              </w:rPr>
              <w:t>Second Priority Interruptible Auction Product</w:t>
            </w:r>
          </w:p>
        </w:tc>
        <w:tc>
          <w:tcPr>
            <w:tcW w:w="1299" w:type="pct"/>
            <w:shd w:val="clear" w:color="auto" w:fill="0099CC"/>
          </w:tcPr>
          <w:p w14:paraId="30F81E0F" w14:textId="20C97B34" w:rsidR="00BE4A93" w:rsidRPr="008F0A64" w:rsidRDefault="0035688B" w:rsidP="008976DC">
            <w:pPr>
              <w:pStyle w:val="TableHeading"/>
              <w:spacing w:line="252" w:lineRule="auto"/>
              <w:jc w:val="center"/>
              <w:rPr>
                <w:sz w:val="16"/>
                <w:szCs w:val="16"/>
                <w:lang w:eastAsia="fr-CA"/>
              </w:rPr>
            </w:pPr>
            <w:r>
              <w:rPr>
                <w:bCs/>
                <w:sz w:val="16"/>
                <w:szCs w:val="16"/>
              </w:rPr>
              <w:t xml:space="preserve">Option 4: </w:t>
            </w:r>
            <w:r w:rsidR="00BE4A93" w:rsidRPr="008F0A64">
              <w:rPr>
                <w:bCs/>
                <w:sz w:val="16"/>
                <w:szCs w:val="16"/>
              </w:rPr>
              <w:t xml:space="preserve">Hybrid </w:t>
            </w:r>
            <w:r w:rsidR="008976DC" w:rsidRPr="008F0A64">
              <w:rPr>
                <w:bCs/>
                <w:sz w:val="16"/>
                <w:szCs w:val="16"/>
              </w:rPr>
              <w:t>Auction Product</w:t>
            </w:r>
            <w:r w:rsidR="008976DC" w:rsidRPr="008F0A64">
              <w:rPr>
                <w:bCs/>
                <w:sz w:val="16"/>
                <w:szCs w:val="16"/>
              </w:rPr>
              <w:br/>
              <w:t>(</w:t>
            </w:r>
            <w:r w:rsidR="00B84726" w:rsidRPr="008F0A64">
              <w:rPr>
                <w:bCs/>
                <w:sz w:val="16"/>
                <w:szCs w:val="16"/>
              </w:rPr>
              <w:t>F</w:t>
            </w:r>
            <w:r w:rsidR="00BE4A93" w:rsidRPr="008F0A64">
              <w:rPr>
                <w:bCs/>
                <w:sz w:val="16"/>
                <w:szCs w:val="16"/>
              </w:rPr>
              <w:t xml:space="preserve">irm and </w:t>
            </w:r>
            <w:r w:rsidR="008976DC" w:rsidRPr="008F0A64">
              <w:rPr>
                <w:bCs/>
                <w:sz w:val="16"/>
                <w:szCs w:val="16"/>
              </w:rPr>
              <w:t xml:space="preserve">Second Priority </w:t>
            </w:r>
            <w:r w:rsidR="00B84726" w:rsidRPr="008F0A64">
              <w:rPr>
                <w:bCs/>
                <w:sz w:val="16"/>
                <w:szCs w:val="16"/>
              </w:rPr>
              <w:t>I</w:t>
            </w:r>
            <w:r w:rsidR="00BE4A93" w:rsidRPr="008F0A64">
              <w:rPr>
                <w:bCs/>
                <w:sz w:val="16"/>
                <w:szCs w:val="16"/>
              </w:rPr>
              <w:t>nterruptible</w:t>
            </w:r>
            <w:r w:rsidR="00B80988" w:rsidRPr="008F0A64">
              <w:rPr>
                <w:bCs/>
                <w:sz w:val="16"/>
                <w:szCs w:val="16"/>
              </w:rPr>
              <w:t>)</w:t>
            </w:r>
          </w:p>
        </w:tc>
      </w:tr>
      <w:tr w:rsidR="00BE4A93" w:rsidRPr="008F0A64" w14:paraId="6030AC78" w14:textId="77777777" w:rsidTr="008278CB">
        <w:trPr>
          <w:cantSplit/>
        </w:trPr>
        <w:tc>
          <w:tcPr>
            <w:tcW w:w="851" w:type="pct"/>
            <w:gridSpan w:val="2"/>
          </w:tcPr>
          <w:p w14:paraId="104858C6" w14:textId="5529AC82" w:rsidR="00BE4A93" w:rsidRPr="008F0A64" w:rsidRDefault="0033561E" w:rsidP="00BF4A9A">
            <w:pPr>
              <w:pStyle w:val="TableBodyText"/>
              <w:spacing w:line="252" w:lineRule="auto"/>
              <w:rPr>
                <w:bCs/>
                <w:color w:val="000000"/>
                <w:sz w:val="16"/>
                <w:szCs w:val="16"/>
              </w:rPr>
            </w:pPr>
            <w:r w:rsidRPr="008F0A64">
              <w:rPr>
                <w:bCs/>
                <w:color w:val="000000"/>
                <w:sz w:val="16"/>
                <w:szCs w:val="16"/>
              </w:rPr>
              <w:t>Quality of the product</w:t>
            </w:r>
          </w:p>
        </w:tc>
        <w:tc>
          <w:tcPr>
            <w:tcW w:w="899" w:type="pct"/>
          </w:tcPr>
          <w:p w14:paraId="42826EEF" w14:textId="1DBC772A" w:rsidR="00A8791A" w:rsidRPr="008F0A64" w:rsidRDefault="00171E8A" w:rsidP="008976DC">
            <w:pPr>
              <w:pStyle w:val="TableBodyText"/>
              <w:spacing w:line="252" w:lineRule="auto"/>
              <w:rPr>
                <w:color w:val="000000"/>
                <w:sz w:val="16"/>
                <w:szCs w:val="16"/>
              </w:rPr>
            </w:pPr>
            <w:r w:rsidRPr="008F0A64">
              <w:rPr>
                <w:color w:val="000000"/>
                <w:sz w:val="16"/>
                <w:szCs w:val="16"/>
              </w:rPr>
              <w:t>Relatively high quality product because the a</w:t>
            </w:r>
            <w:r w:rsidR="00B80988" w:rsidRPr="008F0A64">
              <w:rPr>
                <w:color w:val="000000"/>
                <w:sz w:val="16"/>
                <w:szCs w:val="16"/>
              </w:rPr>
              <w:t>uction product ranks after the firm product but higher than all other products</w:t>
            </w:r>
            <w:r w:rsidRPr="008F0A64">
              <w:rPr>
                <w:color w:val="000000"/>
                <w:sz w:val="16"/>
                <w:szCs w:val="16"/>
              </w:rPr>
              <w:t>.</w:t>
            </w:r>
          </w:p>
        </w:tc>
        <w:tc>
          <w:tcPr>
            <w:tcW w:w="973" w:type="pct"/>
          </w:tcPr>
          <w:p w14:paraId="20E699D9" w14:textId="12693996" w:rsidR="00BE4A93" w:rsidRPr="008F0A64" w:rsidRDefault="00171E8A" w:rsidP="00BF4A9A">
            <w:pPr>
              <w:pStyle w:val="TableBodyText"/>
              <w:spacing w:line="252" w:lineRule="auto"/>
              <w:rPr>
                <w:color w:val="000000"/>
                <w:sz w:val="16"/>
                <w:szCs w:val="16"/>
              </w:rPr>
            </w:pPr>
            <w:r w:rsidRPr="008F0A64">
              <w:rPr>
                <w:color w:val="000000"/>
                <w:sz w:val="16"/>
                <w:szCs w:val="16"/>
              </w:rPr>
              <w:t>Relatively low quality product because the a</w:t>
            </w:r>
            <w:r w:rsidR="00B80988" w:rsidRPr="008F0A64">
              <w:rPr>
                <w:color w:val="000000"/>
                <w:sz w:val="16"/>
                <w:szCs w:val="16"/>
              </w:rPr>
              <w:t>uction product ranks after firm and as available products but higher than interruptible product</w:t>
            </w:r>
            <w:r w:rsidRPr="008F0A64">
              <w:rPr>
                <w:color w:val="000000"/>
                <w:sz w:val="16"/>
                <w:szCs w:val="16"/>
              </w:rPr>
              <w:t>.</w:t>
            </w:r>
          </w:p>
        </w:tc>
        <w:tc>
          <w:tcPr>
            <w:tcW w:w="978" w:type="pct"/>
          </w:tcPr>
          <w:p w14:paraId="3ED8AB87" w14:textId="25D2E424" w:rsidR="00BE4A93" w:rsidRPr="008F0A64" w:rsidRDefault="00171E8A" w:rsidP="00BF4A9A">
            <w:pPr>
              <w:pStyle w:val="TableBodyText"/>
              <w:spacing w:line="252" w:lineRule="auto"/>
              <w:rPr>
                <w:color w:val="000000"/>
                <w:sz w:val="16"/>
                <w:szCs w:val="16"/>
              </w:rPr>
            </w:pPr>
            <w:r w:rsidRPr="008F0A64">
              <w:rPr>
                <w:color w:val="000000"/>
                <w:sz w:val="16"/>
                <w:szCs w:val="16"/>
              </w:rPr>
              <w:t>Lowest quality product because the a</w:t>
            </w:r>
            <w:r w:rsidR="00B80988" w:rsidRPr="008F0A64">
              <w:rPr>
                <w:color w:val="000000"/>
                <w:sz w:val="16"/>
                <w:szCs w:val="16"/>
              </w:rPr>
              <w:t>uction product ranks last</w:t>
            </w:r>
            <w:r w:rsidR="0033561E" w:rsidRPr="008F0A64">
              <w:rPr>
                <w:color w:val="000000"/>
                <w:sz w:val="16"/>
                <w:szCs w:val="16"/>
              </w:rPr>
              <w:t xml:space="preserve"> </w:t>
            </w:r>
          </w:p>
          <w:p w14:paraId="49A8D733" w14:textId="7EE0D55A" w:rsidR="00BC6092" w:rsidRPr="008F0A64" w:rsidRDefault="00BC6092" w:rsidP="00BF4A9A">
            <w:pPr>
              <w:pStyle w:val="TableBodyText"/>
              <w:spacing w:line="252" w:lineRule="auto"/>
              <w:rPr>
                <w:color w:val="000000"/>
                <w:sz w:val="16"/>
                <w:szCs w:val="16"/>
              </w:rPr>
            </w:pPr>
          </w:p>
        </w:tc>
        <w:tc>
          <w:tcPr>
            <w:tcW w:w="1299" w:type="pct"/>
          </w:tcPr>
          <w:p w14:paraId="6D54904C" w14:textId="47A7406E" w:rsidR="00BE4A93" w:rsidRPr="008F0A64" w:rsidRDefault="00171E8A" w:rsidP="00171E8A">
            <w:pPr>
              <w:pStyle w:val="TableBodyText"/>
              <w:spacing w:line="252" w:lineRule="auto"/>
              <w:rPr>
                <w:color w:val="000000"/>
                <w:sz w:val="16"/>
                <w:szCs w:val="16"/>
              </w:rPr>
            </w:pPr>
            <w:r w:rsidRPr="008F0A64">
              <w:rPr>
                <w:color w:val="000000"/>
                <w:sz w:val="16"/>
                <w:szCs w:val="16"/>
              </w:rPr>
              <w:t>The f</w:t>
            </w:r>
            <w:r w:rsidR="0033561E" w:rsidRPr="008F0A64">
              <w:rPr>
                <w:color w:val="000000"/>
                <w:sz w:val="16"/>
                <w:szCs w:val="16"/>
              </w:rPr>
              <w:t xml:space="preserve">irm auction product </w:t>
            </w:r>
            <w:r w:rsidRPr="008F0A64">
              <w:rPr>
                <w:color w:val="000000"/>
                <w:sz w:val="16"/>
                <w:szCs w:val="16"/>
              </w:rPr>
              <w:t xml:space="preserve">is a high quality product because it </w:t>
            </w:r>
            <w:r w:rsidR="0033561E" w:rsidRPr="008F0A64">
              <w:rPr>
                <w:color w:val="000000"/>
                <w:sz w:val="16"/>
                <w:szCs w:val="16"/>
              </w:rPr>
              <w:t>ranks equal</w:t>
            </w:r>
            <w:r w:rsidRPr="008F0A64">
              <w:rPr>
                <w:color w:val="000000"/>
                <w:sz w:val="16"/>
                <w:szCs w:val="16"/>
              </w:rPr>
              <w:t xml:space="preserve">ly to other firm rights, </w:t>
            </w:r>
            <w:r w:rsidR="0033561E" w:rsidRPr="008F0A64">
              <w:rPr>
                <w:color w:val="000000"/>
                <w:sz w:val="16"/>
                <w:szCs w:val="16"/>
              </w:rPr>
              <w:t xml:space="preserve">while </w:t>
            </w:r>
            <w:r w:rsidRPr="008F0A64">
              <w:rPr>
                <w:color w:val="000000"/>
                <w:sz w:val="16"/>
                <w:szCs w:val="16"/>
              </w:rPr>
              <w:t xml:space="preserve">the </w:t>
            </w:r>
            <w:r w:rsidR="0033561E" w:rsidRPr="008F0A64">
              <w:rPr>
                <w:color w:val="000000"/>
                <w:sz w:val="16"/>
                <w:szCs w:val="16"/>
              </w:rPr>
              <w:t xml:space="preserve">second priority interruptible auction product </w:t>
            </w:r>
            <w:r w:rsidRPr="008F0A64">
              <w:rPr>
                <w:color w:val="000000"/>
                <w:sz w:val="16"/>
                <w:szCs w:val="16"/>
              </w:rPr>
              <w:t xml:space="preserve">is a low quality product because it </w:t>
            </w:r>
            <w:r w:rsidR="0033561E" w:rsidRPr="008F0A64">
              <w:rPr>
                <w:color w:val="000000"/>
                <w:sz w:val="16"/>
                <w:szCs w:val="16"/>
              </w:rPr>
              <w:t>ranks last</w:t>
            </w:r>
            <w:r w:rsidRPr="008F0A64">
              <w:rPr>
                <w:color w:val="000000"/>
                <w:sz w:val="16"/>
                <w:szCs w:val="16"/>
              </w:rPr>
              <w:t xml:space="preserve">. </w:t>
            </w:r>
          </w:p>
        </w:tc>
        <w:bookmarkStart w:id="72" w:name="_GoBack"/>
        <w:bookmarkEnd w:id="72"/>
      </w:tr>
      <w:tr w:rsidR="00BE4A93" w:rsidRPr="008F0A64" w14:paraId="1EC41FBE" w14:textId="77777777" w:rsidTr="008278CB">
        <w:tblPrEx>
          <w:tblCellMar>
            <w:left w:w="108" w:type="dxa"/>
            <w:right w:w="108" w:type="dxa"/>
          </w:tblCellMar>
        </w:tblPrEx>
        <w:trPr>
          <w:cnfStyle w:val="000000010000" w:firstRow="0" w:lastRow="0" w:firstColumn="0" w:lastColumn="0" w:oddVBand="0" w:evenVBand="0" w:oddHBand="0" w:evenHBand="1" w:firstRowFirstColumn="0" w:firstRowLastColumn="0" w:lastRowFirstColumn="0" w:lastRowLastColumn="0"/>
          <w:cantSplit/>
        </w:trPr>
        <w:tc>
          <w:tcPr>
            <w:tcW w:w="851" w:type="pct"/>
            <w:gridSpan w:val="2"/>
          </w:tcPr>
          <w:p w14:paraId="4070DAF5" w14:textId="77777777" w:rsidR="00AB3FF1" w:rsidRDefault="00AB3FF1" w:rsidP="00BF4A9A">
            <w:pPr>
              <w:pStyle w:val="TableBodyText"/>
              <w:spacing w:line="252" w:lineRule="auto"/>
              <w:ind w:left="0"/>
              <w:rPr>
                <w:b/>
                <w:bCs/>
                <w:color w:val="000000"/>
                <w:sz w:val="16"/>
                <w:szCs w:val="16"/>
              </w:rPr>
            </w:pPr>
            <w:r w:rsidRPr="00AB3FF1">
              <w:rPr>
                <w:b/>
                <w:bCs/>
                <w:color w:val="000000"/>
                <w:sz w:val="16"/>
                <w:szCs w:val="16"/>
              </w:rPr>
              <w:t xml:space="preserve">Priorities for contracted but un-nominated capacity </w:t>
            </w:r>
          </w:p>
          <w:p w14:paraId="67EB0FD4" w14:textId="77777777" w:rsidR="00AB3FF1" w:rsidRDefault="00BE4A93" w:rsidP="00AB3FF1">
            <w:pPr>
              <w:pStyle w:val="TableBullet1"/>
              <w:tabs>
                <w:tab w:val="clear" w:pos="312"/>
              </w:tabs>
              <w:ind w:left="198" w:hanging="198"/>
              <w:rPr>
                <w:sz w:val="16"/>
                <w:szCs w:val="16"/>
              </w:rPr>
            </w:pPr>
            <w:r w:rsidRPr="00AB3FF1">
              <w:rPr>
                <w:sz w:val="16"/>
                <w:szCs w:val="16"/>
              </w:rPr>
              <w:t xml:space="preserve">Scheduling </w:t>
            </w:r>
            <w:r w:rsidR="0033561E" w:rsidRPr="00AB3FF1">
              <w:rPr>
                <w:sz w:val="16"/>
                <w:szCs w:val="16"/>
              </w:rPr>
              <w:t xml:space="preserve">and renominations </w:t>
            </w:r>
            <w:r w:rsidRPr="00AB3FF1">
              <w:rPr>
                <w:sz w:val="16"/>
                <w:szCs w:val="16"/>
              </w:rPr>
              <w:t>priority</w:t>
            </w:r>
            <w:r w:rsidR="00AB3FF1" w:rsidRPr="00AB3FF1">
              <w:rPr>
                <w:sz w:val="16"/>
                <w:szCs w:val="16"/>
              </w:rPr>
              <w:t xml:space="preserve"> </w:t>
            </w:r>
            <w:r w:rsidR="0035450B" w:rsidRPr="00AB3FF1">
              <w:rPr>
                <w:sz w:val="16"/>
                <w:szCs w:val="16"/>
              </w:rPr>
              <w:t>(green arrow)</w:t>
            </w:r>
          </w:p>
          <w:p w14:paraId="30EC03CC" w14:textId="5DBAF237" w:rsidR="00BE4A93" w:rsidRPr="00AB3FF1" w:rsidRDefault="0035450B" w:rsidP="00AB3FF1">
            <w:pPr>
              <w:pStyle w:val="TableBullet1"/>
              <w:tabs>
                <w:tab w:val="clear" w:pos="312"/>
              </w:tabs>
              <w:ind w:left="198" w:hanging="198"/>
              <w:rPr>
                <w:sz w:val="16"/>
                <w:szCs w:val="16"/>
              </w:rPr>
            </w:pPr>
            <w:r w:rsidRPr="00AB3FF1">
              <w:rPr>
                <w:sz w:val="16"/>
                <w:szCs w:val="16"/>
              </w:rPr>
              <w:t>C</w:t>
            </w:r>
            <w:r w:rsidR="00576762" w:rsidRPr="00AB3FF1">
              <w:rPr>
                <w:sz w:val="16"/>
                <w:szCs w:val="16"/>
              </w:rPr>
              <w:t>urtailment priority (red arrow)</w:t>
            </w:r>
          </w:p>
        </w:tc>
        <w:tc>
          <w:tcPr>
            <w:tcW w:w="899" w:type="pct"/>
          </w:tcPr>
          <w:p w14:paraId="695A716A" w14:textId="46E59553" w:rsidR="00BE4A93" w:rsidRPr="008F0A64" w:rsidRDefault="005401D7" w:rsidP="00BF4A9A">
            <w:pPr>
              <w:pStyle w:val="TableBodyText"/>
              <w:spacing w:line="252" w:lineRule="auto"/>
              <w:rPr>
                <w:sz w:val="16"/>
                <w:szCs w:val="16"/>
                <w:lang w:eastAsia="fr-CA"/>
              </w:rPr>
            </w:pPr>
            <w:r w:rsidRPr="008F0A64">
              <w:rPr>
                <w:bCs/>
                <w:noProof/>
                <w:color w:val="000000"/>
                <w:sz w:val="16"/>
                <w:szCs w:val="16"/>
              </w:rPr>
              <mc:AlternateContent>
                <mc:Choice Requires="wps">
                  <w:drawing>
                    <wp:anchor distT="0" distB="0" distL="114300" distR="114300" simplePos="0" relativeHeight="251661312" behindDoc="0" locked="0" layoutInCell="1" allowOverlap="1" wp14:anchorId="69731DA6" wp14:editId="51D6397F">
                      <wp:simplePos x="0" y="0"/>
                      <wp:positionH relativeFrom="column">
                        <wp:posOffset>1345413</wp:posOffset>
                      </wp:positionH>
                      <wp:positionV relativeFrom="paragraph">
                        <wp:posOffset>33934</wp:posOffset>
                      </wp:positionV>
                      <wp:extent cx="0" cy="570230"/>
                      <wp:effectExtent l="57150" t="38100" r="57150" b="20320"/>
                      <wp:wrapNone/>
                      <wp:docPr id="48" name="Straight Arrow Connector 48" descr="Arrow pointing upward" title="Arrow"/>
                      <wp:cNvGraphicFramePr/>
                      <a:graphic xmlns:a="http://schemas.openxmlformats.org/drawingml/2006/main">
                        <a:graphicData uri="http://schemas.microsoft.com/office/word/2010/wordprocessingShape">
                          <wps:wsp>
                            <wps:cNvCnPr/>
                            <wps:spPr>
                              <a:xfrm>
                                <a:off x="0" y="0"/>
                                <a:ext cx="0" cy="570230"/>
                              </a:xfrm>
                              <a:prstGeom prst="straightConnector1">
                                <a:avLst/>
                              </a:prstGeom>
                              <a:ln w="28575">
                                <a:solidFill>
                                  <a:srgbClr val="FF0000"/>
                                </a:solidFill>
                                <a:headEnd type="triangl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shapetype w14:anchorId="1E88B6AA" id="_x0000_t32" coordsize="21600,21600" o:spt="32" o:oned="t" path="m,l21600,21600e" filled="f">
                      <v:path arrowok="t" fillok="f" o:connecttype="none"/>
                      <o:lock v:ext="edit" shapetype="t"/>
                    </v:shapetype>
                    <v:shape id="Straight Arrow Connector 48" o:spid="_x0000_s1026" type="#_x0000_t32" alt="Title: Arrow - Description: Arrow pointing upward" style="position:absolute;margin-left:105.95pt;margin-top:2.65pt;width:0;height:44.9pt;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Wl1/JgIAAKcEAAAOAAAAZHJzL2Uyb0RvYy54bWysVE2P0zAQvSPxHyzfadJC2VXUdIW6lAuC&#10;FQs/wLUniSXHtsbepv33jJ005WM5gMjBsT3zZua9yWRzd+oNOwIG7WzNl4uSM7DSKW3bmn/7un91&#10;y1mIwiphnIWanyHwu+3LF5vBV7BynTMKkFEQG6rB17yL0VdFEWQHvQgL58GSsXHYi0hHbAuFYqDo&#10;vSlWZfm2GBwqj05CCHR7Pxr5NsdvGpDxc9MEiMzUnGqLecW8HtJabDeialH4TsupDPEPVfRCW0o6&#10;h7oXUbAn1L+F6rVEF1wTF9L1hWsaLSFzIDbL8hc2j53wkLmQOMHPMoX/F1Z+Oj4g06rmb6hTVvTU&#10;o8eIQrddZO8Q3cB2zlrS0SFLLgqCJP1Gk3faRpKdPflBoCJ9dTQUIVuTtoMPFaXY2QecTsE/YBLq&#10;1GCf3iQBO+V+nOd+wCkyOV5Kul3flKvXuVXFFecxxA/gepY2NQ9TzXOxy9wOcfwYImUm4AWQkhrL&#10;hpqvbtc36+wWnNFqr41JxoDtYWeQHQV9M/t9SU+iQiF+cutAqPdWsXj2xDiiFrY1wFPgHkgKAzQQ&#10;aUdYUUWhzdXb0iw870lZjKVkSbhRqryLZwNj4V+goXaROCPBPCgwlyukBBuXU73GkneCNURtBpYj&#10;5TRhfwJO/gkKeYj+BjwjcmZn4wzutXX4XPZ4upTcjP4XBUbeSYKDU+f8EWVpaBpyR6bJTeP24znD&#10;r/+X7XcAAAD//wMAUEsDBBQABgAIAAAAIQATapBV2QAAAAgBAAAPAAAAZHJzL2Rvd25yZXYueG1s&#10;TI9BS8QwFITvgv8hPMGLuGkqFbc2XUTYH2DXFY9p82yCzUtJst3674140OMww8w3zW51E1swROtJ&#10;gtgUwJAGry2NEl4P+9sHYDEp0mryhBK+MMKuvbxoVK39mV5w6dLIcgnFWkkwKc0153Ew6FTc+Bkp&#10;ex8+OJWyDCPXQZ1zuZt4WRT33ClLecGoGZ8NDp/dyUnAm2rpzdvROlseQ/8e7UHsOymvr9anR2AJ&#10;1/QXhh/8jA5tZur9iXRkk4RSiG2OSqjugGX/V/cStpUA3jb8/4H2GwAA//8DAFBLAQItABQABgAI&#10;AAAAIQC2gziS/gAAAOEBAAATAAAAAAAAAAAAAAAAAAAAAABbQ29udGVudF9UeXBlc10ueG1sUEsB&#10;Ai0AFAAGAAgAAAAhADj9If/WAAAAlAEAAAsAAAAAAAAAAAAAAAAALwEAAF9yZWxzLy5yZWxzUEsB&#10;Ai0AFAAGAAgAAAAhAGdaXX8mAgAApwQAAA4AAAAAAAAAAAAAAAAALgIAAGRycy9lMm9Eb2MueG1s&#10;UEsBAi0AFAAGAAgAAAAhABNqkFXZAAAACAEAAA8AAAAAAAAAAAAAAAAAgAQAAGRycy9kb3ducmV2&#10;LnhtbFBLBQYAAAAABAAEAPMAAACGBQAAAAA=&#10;" strokecolor="red" strokeweight="2.25pt">
                      <v:stroke startarrow="block"/>
                    </v:shape>
                  </w:pict>
                </mc:Fallback>
              </mc:AlternateContent>
            </w:r>
            <w:r w:rsidRPr="008F0A64">
              <w:rPr>
                <w:bCs/>
                <w:noProof/>
                <w:color w:val="000000"/>
                <w:sz w:val="16"/>
                <w:szCs w:val="16"/>
              </w:rPr>
              <mc:AlternateContent>
                <mc:Choice Requires="wps">
                  <w:drawing>
                    <wp:anchor distT="0" distB="0" distL="114300" distR="114300" simplePos="0" relativeHeight="251659264" behindDoc="0" locked="0" layoutInCell="1" allowOverlap="1" wp14:anchorId="28CE5ECA" wp14:editId="6B4DA8BC">
                      <wp:simplePos x="0" y="0"/>
                      <wp:positionH relativeFrom="column">
                        <wp:posOffset>-15215</wp:posOffset>
                      </wp:positionH>
                      <wp:positionV relativeFrom="paragraph">
                        <wp:posOffset>55880</wp:posOffset>
                      </wp:positionV>
                      <wp:extent cx="0" cy="548640"/>
                      <wp:effectExtent l="95250" t="0" r="57150" b="41910"/>
                      <wp:wrapNone/>
                      <wp:docPr id="44" name="Straight Arrow Connector 44" descr="Arrow pointing downward" title="Arrow "/>
                      <wp:cNvGraphicFramePr/>
                      <a:graphic xmlns:a="http://schemas.openxmlformats.org/drawingml/2006/main">
                        <a:graphicData uri="http://schemas.microsoft.com/office/word/2010/wordprocessingShape">
                          <wps:wsp>
                            <wps:cNvCnPr/>
                            <wps:spPr>
                              <a:xfrm>
                                <a:off x="0" y="0"/>
                                <a:ext cx="0" cy="548640"/>
                              </a:xfrm>
                              <a:prstGeom prst="straightConnector1">
                                <a:avLst/>
                              </a:prstGeom>
                              <a:ln w="28575">
                                <a:solidFill>
                                  <a:srgbClr val="00B05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shape w14:anchorId="49B3C94F" id="Straight Arrow Connector 44" o:spid="_x0000_s1026" type="#_x0000_t32" alt="Title: Arrow  - Description: Arrow pointing downward" style="position:absolute;margin-left:-1.2pt;margin-top:4.4pt;width:0;height:43.2pt;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h7wcDgIAAG4EAAAOAAAAZHJzL2Uyb0RvYy54bWysVNuO0zAQfUfiHyy/06RVu1RV0xV0WV4Q&#10;rHbhA1xfEkuOxxqbpv17xk6b5foA4sWOPXPmzDm2s7099Y4dNUYLvuHzWc2Z9hKU9W3Dv3y+f7Xm&#10;LCbhlXDgdcPPOvLb3csX2yFs9AI6cEojoyI+bobQ8C6lsKmqKDvdiziDoD0FDWAvEi2xrRSKgar3&#10;rlrU9U01AKqAIHWMtHs3Bvmu1DdGy/TJmKgTcw2n3lIZsYyHPFa7rdi0KEJn5aUN8Q9d9MJ6Ip1K&#10;3Ykk2Fe0v5TqrUSIYNJMQl+BMVbqooHUzOuf1Dx1IuiihcyJYbIp/r+y8uPxAZlVDV8uOfOipzN6&#10;Sihs2yX2BhEGtgfvyUdAllOUjpL8G0MBrE9kO1Mw+EGgIodtclRjjGd7hxA3xLL3D3hZxfCA2auT&#10;wT7P5AI7lSM5T0eiT4nJcVPS7mq5vlmW06qecQFjeq+hZ/mj4fHS9tTvvJyIOH6IiZgJeAVkUufZ&#10;0PDFevV6VdIiOKvurXM5GLE97B2yo8jXpn5br67cP6QlYd07r1g6B5Kc0ArfOp1FE5nzNGXxo9zy&#10;lc5Oj+SP2pDrJHBsstx3PVEKKbVP86kSZWeYofYmYD22nR/Kn4CX/AzV5S38DXhCFGbwaQL31gP+&#10;jj2dri2bMf/qwKg7W3AAdS4XoVhDl7p4dXmA+dV8vy7w59/E7hsAAAD//wMAUEsDBBQABgAIAAAA&#10;IQBFWvVe3gAAAAYBAAAPAAAAZHJzL2Rvd25yZXYueG1sTI9BS8NAFITvgv9heYKX0m4MamvMSyli&#10;BXsQrAXxts0+s9Hs25jdNqm/3tWLPQ4zzHyTzwfbiD11vnaMcDFJQBCXTtdcIWxeluMZCB8Ua9U4&#10;JoQDeZgXpye5yrTr+Zn261CJWMI+UwgmhDaT0peGrPIT1xJH7911VoUou0rqTvWx3DYyTZJraVXN&#10;ccGolu4MlZ/rnUVYPk371H6bw8Nm9Xb/9fE4Gi1eCfH8bFjcggg0hP8w/OJHdCgi09btWHvRIIzT&#10;y5hEmMUD0f6TW4SbqxRkkctj/OIHAAD//wMAUEsBAi0AFAAGAAgAAAAhALaDOJL+AAAA4QEAABMA&#10;AAAAAAAAAAAAAAAAAAAAAFtDb250ZW50X1R5cGVzXS54bWxQSwECLQAUAAYACAAAACEAOP0h/9YA&#10;AACUAQAACwAAAAAAAAAAAAAAAAAvAQAAX3JlbHMvLnJlbHNQSwECLQAUAAYACAAAACEAaIe8HA4C&#10;AABuBAAADgAAAAAAAAAAAAAAAAAuAgAAZHJzL2Uyb0RvYy54bWxQSwECLQAUAAYACAAAACEARVr1&#10;Xt4AAAAGAQAADwAAAAAAAAAAAAAAAABoBAAAZHJzL2Rvd25yZXYueG1sUEsFBgAAAAAEAAQA8wAA&#10;AHMFAAAAAA==&#10;" strokecolor="#00b050" strokeweight="2.25pt">
                      <v:stroke endarrow="block"/>
                    </v:shape>
                  </w:pict>
                </mc:Fallback>
              </mc:AlternateContent>
            </w:r>
            <w:r w:rsidR="00BE4A93" w:rsidRPr="008F0A64">
              <w:rPr>
                <w:color w:val="000000"/>
                <w:sz w:val="16"/>
                <w:szCs w:val="16"/>
              </w:rPr>
              <w:t>1. Firm product.</w:t>
            </w:r>
            <w:r w:rsidR="00BE4A93" w:rsidRPr="008F0A64">
              <w:rPr>
                <w:color w:val="000000"/>
                <w:sz w:val="16"/>
                <w:szCs w:val="16"/>
              </w:rPr>
              <w:br/>
            </w:r>
            <w:r w:rsidR="00BE4A93" w:rsidRPr="008F0A64">
              <w:rPr>
                <w:b/>
                <w:bCs/>
                <w:color w:val="000000"/>
                <w:sz w:val="16"/>
                <w:szCs w:val="16"/>
              </w:rPr>
              <w:t>2. Auction product.</w:t>
            </w:r>
            <w:r w:rsidR="00BE4A93" w:rsidRPr="008F0A64">
              <w:rPr>
                <w:bCs/>
                <w:color w:val="000000"/>
                <w:sz w:val="16"/>
                <w:szCs w:val="16"/>
              </w:rPr>
              <w:br/>
            </w:r>
            <w:r w:rsidR="00BE4A93" w:rsidRPr="008F0A64">
              <w:rPr>
                <w:color w:val="000000"/>
                <w:sz w:val="16"/>
                <w:szCs w:val="16"/>
              </w:rPr>
              <w:t>3. As available product.</w:t>
            </w:r>
            <w:r w:rsidR="00BE4A93" w:rsidRPr="008F0A64">
              <w:rPr>
                <w:color w:val="000000"/>
                <w:sz w:val="16"/>
                <w:szCs w:val="16"/>
              </w:rPr>
              <w:br/>
              <w:t>4. Authorised overrun.</w:t>
            </w:r>
            <w:r w:rsidR="00BE4A93" w:rsidRPr="008F0A64">
              <w:rPr>
                <w:color w:val="000000"/>
                <w:sz w:val="16"/>
                <w:szCs w:val="16"/>
              </w:rPr>
              <w:br/>
              <w:t>5. Interruptible product.</w:t>
            </w:r>
          </w:p>
        </w:tc>
        <w:tc>
          <w:tcPr>
            <w:tcW w:w="973" w:type="pct"/>
          </w:tcPr>
          <w:p w14:paraId="4DBDD436" w14:textId="571E848F" w:rsidR="00BE4A93" w:rsidRPr="008F0A64" w:rsidRDefault="005401D7" w:rsidP="00BF4A9A">
            <w:pPr>
              <w:pStyle w:val="TableBodyText"/>
              <w:spacing w:line="252" w:lineRule="auto"/>
              <w:rPr>
                <w:sz w:val="16"/>
                <w:szCs w:val="16"/>
                <w:lang w:eastAsia="fr-CA"/>
              </w:rPr>
            </w:pPr>
            <w:r w:rsidRPr="008F0A64">
              <w:rPr>
                <w:bCs/>
                <w:noProof/>
                <w:color w:val="000000"/>
                <w:sz w:val="16"/>
                <w:szCs w:val="16"/>
              </w:rPr>
              <mc:AlternateContent>
                <mc:Choice Requires="wps">
                  <w:drawing>
                    <wp:anchor distT="0" distB="0" distL="114300" distR="114300" simplePos="0" relativeHeight="251664384" behindDoc="0" locked="0" layoutInCell="1" allowOverlap="1" wp14:anchorId="345B30F3" wp14:editId="3B62D562">
                      <wp:simplePos x="0" y="0"/>
                      <wp:positionH relativeFrom="column">
                        <wp:posOffset>1350772</wp:posOffset>
                      </wp:positionH>
                      <wp:positionV relativeFrom="paragraph">
                        <wp:posOffset>33934</wp:posOffset>
                      </wp:positionV>
                      <wp:extent cx="0" cy="570230"/>
                      <wp:effectExtent l="57150" t="38100" r="57150" b="20320"/>
                      <wp:wrapNone/>
                      <wp:docPr id="51" name="Straight Arrow Connector 51" descr="Arrow pointing upward" title="Arrow"/>
                      <wp:cNvGraphicFramePr/>
                      <a:graphic xmlns:a="http://schemas.openxmlformats.org/drawingml/2006/main">
                        <a:graphicData uri="http://schemas.microsoft.com/office/word/2010/wordprocessingShape">
                          <wps:wsp>
                            <wps:cNvCnPr/>
                            <wps:spPr>
                              <a:xfrm>
                                <a:off x="0" y="0"/>
                                <a:ext cx="0" cy="570230"/>
                              </a:xfrm>
                              <a:prstGeom prst="straightConnector1">
                                <a:avLst/>
                              </a:prstGeom>
                              <a:ln w="28575">
                                <a:solidFill>
                                  <a:srgbClr val="FF0000"/>
                                </a:solidFill>
                                <a:headEnd type="triangl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shape w14:anchorId="7C0DFBD6" id="Straight Arrow Connector 51" o:spid="_x0000_s1026" type="#_x0000_t32" alt="Title: Arrow - Description: Arrow pointing upward" style="position:absolute;margin-left:106.35pt;margin-top:2.65pt;width:0;height:44.9pt;z-index:2516643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Jq1vJQIAAKcEAAAOAAAAZHJzL2Uyb0RvYy54bWysVMGO0zAQvSPxD5bvNGlR2VXUdIW6lAuC&#10;ioUPcO1JYsmxrbG3af+esZNNWVgOIHJwbM+8mXlvMtncnXvDToBBO1vz5aLkDKx0Stu25t+/7d/c&#10;chaisEoYZ6HmFwj8bvv61WbwFaxc54wCZBTEhmrwNe9i9FVRBNlBL8LCebBkbBz2ItIR20KhGCh6&#10;b4pVWb4rBofKo5MQAt3ej0a+zfGbBmT80jQBIjM1p9piXjGvx7QW242oWhS+03IqQ/xDFb3QlpLO&#10;oe5FFOwR9W+hei3RBdfEhXR94ZpGS8gciM2y/IXNQyc8ZC4kTvCzTOH/hZWfTwdkWtV8veTMip56&#10;9BBR6LaL7D2iG9jOWUs6OmTJRUGQpN9o8k7bSLKzRz8IVKSvjoYiZGvSdvChohQ7e8DpFPwBk1Dn&#10;Bvv0JgnYOffjMvcDzpHJ8VLS7fqmXL3NrSquOI8hfgTXs7SpeZhqnotd5naI06cQKTMBnwApqbFs&#10;qPnqdn2zzm7BGa322phkDNgedwbZSdA3s9+X9CQqFOKZWwdCfbCKxYsnxhG1sK0BngL3QFIYoIFI&#10;O8KKKgptrt6WZuFlT8piLCVLwo1S5V28GBgL/woNtYvEGQnmQYG5XCEl2Lic6jWWvBOsIWozsBwp&#10;pwn7E3DyT1DIQ/Q34BmRMzsbZ3CvrcOXssfzU8nN6P+kwMg7SXB06pI/oiwNTUPuyDS5adx+Pmf4&#10;9f+y/QEAAP//AwBQSwMEFAAGAAgAAAAhAJ8j+EvaAAAACAEAAA8AAABkcnMvZG93bnJldi54bWxM&#10;j91KxDAUhO8F3yEcwRtx01bqT+3pIsI+gF1XvEybYxNsTkqT7da3N+KFXg4zzHxTb1c3ioXmYD0j&#10;5JsMBHHvteUB4XW/u74HEaJirUbPhPBFAbbN+VmtKu1P/EJLGweRSjhUCsHEOFVSht6QU2HjJ+Lk&#10;ffjZqZjkPEg9q1Mqd6MssuxWOmU5LRg10bOh/rM9OgS6KpfOvB2ss8Vh7t6D3ee7FvHyYn16BBFp&#10;jX9h+MFP6NAkps4fWQcxIhR5cZeiCOUNiOT/6g7hocxBNrX8f6D5BgAA//8DAFBLAQItABQABgAI&#10;AAAAIQC2gziS/gAAAOEBAAATAAAAAAAAAAAAAAAAAAAAAABbQ29udGVudF9UeXBlc10ueG1sUEsB&#10;Ai0AFAAGAAgAAAAhADj9If/WAAAAlAEAAAsAAAAAAAAAAAAAAAAALwEAAF9yZWxzLy5yZWxzUEsB&#10;Ai0AFAAGAAgAAAAhAGAmrW8lAgAApwQAAA4AAAAAAAAAAAAAAAAALgIAAGRycy9lMm9Eb2MueG1s&#10;UEsBAi0AFAAGAAgAAAAhAJ8j+EvaAAAACAEAAA8AAAAAAAAAAAAAAAAAfwQAAGRycy9kb3ducmV2&#10;LnhtbFBLBQYAAAAABAAEAPMAAACGBQAAAAA=&#10;" strokecolor="red" strokeweight="2.25pt">
                      <v:stroke startarrow="block"/>
                    </v:shape>
                  </w:pict>
                </mc:Fallback>
              </mc:AlternateContent>
            </w:r>
            <w:r w:rsidR="0035450B" w:rsidRPr="008F0A64">
              <w:rPr>
                <w:bCs/>
                <w:noProof/>
                <w:color w:val="000000"/>
                <w:sz w:val="16"/>
                <w:szCs w:val="16"/>
              </w:rPr>
              <mc:AlternateContent>
                <mc:Choice Requires="wps">
                  <w:drawing>
                    <wp:anchor distT="0" distB="0" distL="114300" distR="114300" simplePos="0" relativeHeight="251663360" behindDoc="0" locked="0" layoutInCell="1" allowOverlap="1" wp14:anchorId="7DEFDC7A" wp14:editId="315EB0BF">
                      <wp:simplePos x="0" y="0"/>
                      <wp:positionH relativeFrom="column">
                        <wp:posOffset>-9855</wp:posOffset>
                      </wp:positionH>
                      <wp:positionV relativeFrom="paragraph">
                        <wp:posOffset>55880</wp:posOffset>
                      </wp:positionV>
                      <wp:extent cx="0" cy="548640"/>
                      <wp:effectExtent l="95250" t="0" r="57150" b="41910"/>
                      <wp:wrapNone/>
                      <wp:docPr id="49" name="Straight Arrow Connector 49" descr="Arrow pointing downward" title="Arrow"/>
                      <wp:cNvGraphicFramePr/>
                      <a:graphic xmlns:a="http://schemas.openxmlformats.org/drawingml/2006/main">
                        <a:graphicData uri="http://schemas.microsoft.com/office/word/2010/wordprocessingShape">
                          <wps:wsp>
                            <wps:cNvCnPr/>
                            <wps:spPr>
                              <a:xfrm>
                                <a:off x="0" y="0"/>
                                <a:ext cx="0" cy="548640"/>
                              </a:xfrm>
                              <a:prstGeom prst="straightConnector1">
                                <a:avLst/>
                              </a:prstGeom>
                              <a:ln w="28575">
                                <a:solidFill>
                                  <a:srgbClr val="00B05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shape w14:anchorId="1AE47E56" id="Straight Arrow Connector 49" o:spid="_x0000_s1026" type="#_x0000_t32" alt="Title: Arrow - Description: Arrow pointing downward" style="position:absolute;margin-left:-.8pt;margin-top:4.4pt;width:0;height:43.2pt;z-index:2516633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1ol2DQIAAG0EAAAOAAAAZHJzL2Uyb0RvYy54bWysVNuO0zAQfUfiHyy/06RVuyxV0xV0WV4Q&#10;VCx8gOtLYsmxrfHQtH/P2GmzXB9AvNixZ86cOcd2Nnen3rGjhmSDb/h8VnOmvQzK+rbhXz4/vLjl&#10;LKHwSrjgdcPPOvG77fNnmyGu9SJ0wSkNjIr4tB5iwzvEuK6qJDvdizQLUXsKmgC9QFpCWykQA1Xv&#10;XbWo65tqCKAiBKlTot37Mci3pb4xWuJHY5JG5hpOvWEZoYyHPFbbjVi3IGJn5aUN8Q9d9MJ6Ip1K&#10;3QsU7CvYX0r1VkJIweBMhr4KxlipiwZSM69/UvPYiaiLFjInxcmm9P/Kyg/HPTCrGr58xZkXPZ3R&#10;I4KwbYfsNUAY2C54Tz4GYDlF6STJvzEUg/VItjMVBj8IUOSwRUc1Sjy7O8S0JpKd38NlleIeslUn&#10;A32eyQR2Kidynk5En5DJcVPS7mp5e7Msh1U94SIkfKdDz/JHw9Ol66ndeTkQcXyfkJgJeAVkUufZ&#10;0PDF7erlqqSl4Kx6sM7lYIL2sHPAjiLfmvpNvbpy/5CGwrq3XjE8R1KMYIVvnc6iicx5mrL4UW75&#10;wrPTI/knbch0Ejg2Wa67niiFlNrjfKpE2RlmqL0JWI9t53fyJ+AlP0N1eQp/A54QhTl4nMC99QF+&#10;x46na8tmzL86MOrOFhyCOpeLUKyhO128ury//Gi+Xxf4019i+w0AAP//AwBQSwMEFAAGAAgAAAAh&#10;AHB/BdHeAAAABgEAAA8AAABkcnMvZG93bnJldi54bWxMj0FLw0AUhO8F/8PyBC+l3TRgrTEvpYgV&#10;7EGwFsTbNvvMRrNvY3bbpP56Vy96HGaY+SZfDrYRR+p87RhhNk1AEJdO11wh7J7XkwUIHxRr1Tgm&#10;hBN5WBZno1xl2vX8RMdtqEQsYZ8pBBNCm0npS0NW+alriaP35jqrQpRdJXWn+lhuG5kmyVxaVXNc&#10;MKqlW0Plx/ZgEdaPV31qv8zpfrd5vft8fxiPVy+EeHE+rG5ABBrCXxh+8CM6FJFp7w6svWgQJrN5&#10;TCIs4oFo/8o9wvVlCrLI5X/84hsAAP//AwBQSwECLQAUAAYACAAAACEAtoM4kv4AAADhAQAAEwAA&#10;AAAAAAAAAAAAAAAAAAAAW0NvbnRlbnRfVHlwZXNdLnhtbFBLAQItABQABgAIAAAAIQA4/SH/1gAA&#10;AJQBAAALAAAAAAAAAAAAAAAAAC8BAABfcmVscy8ucmVsc1BLAQItABQABgAIAAAAIQD91ol2DQIA&#10;AG0EAAAOAAAAAAAAAAAAAAAAAC4CAABkcnMvZTJvRG9jLnhtbFBLAQItABQABgAIAAAAIQBwfwXR&#10;3gAAAAYBAAAPAAAAAAAAAAAAAAAAAGcEAABkcnMvZG93bnJldi54bWxQSwUGAAAAAAQABADzAAAA&#10;cgUAAAAA&#10;" strokecolor="#00b050" strokeweight="2.25pt">
                      <v:stroke endarrow="block"/>
                    </v:shape>
                  </w:pict>
                </mc:Fallback>
              </mc:AlternateContent>
            </w:r>
            <w:r w:rsidR="00BE4A93" w:rsidRPr="008F0A64">
              <w:rPr>
                <w:color w:val="000000"/>
                <w:sz w:val="16"/>
                <w:szCs w:val="16"/>
              </w:rPr>
              <w:t>1. Firm product.</w:t>
            </w:r>
            <w:r w:rsidR="00BE4A93" w:rsidRPr="008F0A64">
              <w:rPr>
                <w:color w:val="000000"/>
                <w:sz w:val="16"/>
                <w:szCs w:val="16"/>
              </w:rPr>
              <w:br/>
              <w:t>2. As available product.</w:t>
            </w:r>
            <w:r w:rsidR="00BE4A93" w:rsidRPr="008F0A64">
              <w:rPr>
                <w:color w:val="000000"/>
                <w:sz w:val="16"/>
                <w:szCs w:val="16"/>
              </w:rPr>
              <w:br/>
            </w:r>
            <w:r w:rsidR="00BE4A93" w:rsidRPr="008F0A64">
              <w:rPr>
                <w:b/>
                <w:bCs/>
                <w:color w:val="000000"/>
                <w:sz w:val="16"/>
                <w:szCs w:val="16"/>
              </w:rPr>
              <w:t>3. Auction product.</w:t>
            </w:r>
            <w:r w:rsidR="00BE4A93" w:rsidRPr="008F0A64">
              <w:rPr>
                <w:bCs/>
                <w:color w:val="000000"/>
                <w:sz w:val="16"/>
                <w:szCs w:val="16"/>
              </w:rPr>
              <w:br/>
            </w:r>
            <w:r w:rsidR="00BE4A93" w:rsidRPr="008F0A64">
              <w:rPr>
                <w:color w:val="000000"/>
                <w:sz w:val="16"/>
                <w:szCs w:val="16"/>
              </w:rPr>
              <w:t>4. Authorised overrun.</w:t>
            </w:r>
            <w:r w:rsidR="00BE4A93" w:rsidRPr="008F0A64">
              <w:rPr>
                <w:color w:val="000000"/>
                <w:sz w:val="16"/>
                <w:szCs w:val="16"/>
              </w:rPr>
              <w:br/>
              <w:t>5. Interruptible product.</w:t>
            </w:r>
          </w:p>
        </w:tc>
        <w:tc>
          <w:tcPr>
            <w:tcW w:w="978" w:type="pct"/>
          </w:tcPr>
          <w:p w14:paraId="0682FA41" w14:textId="04765EC2" w:rsidR="00BE4A93" w:rsidRPr="008F0A64" w:rsidRDefault="004921AF" w:rsidP="00BF4A9A">
            <w:pPr>
              <w:pStyle w:val="TableBodyText"/>
              <w:spacing w:line="252" w:lineRule="auto"/>
              <w:rPr>
                <w:sz w:val="16"/>
                <w:szCs w:val="16"/>
                <w:lang w:eastAsia="fr-CA"/>
              </w:rPr>
            </w:pPr>
            <w:r w:rsidRPr="008F0A64">
              <w:rPr>
                <w:bCs/>
                <w:noProof/>
                <w:color w:val="000000"/>
                <w:sz w:val="16"/>
                <w:szCs w:val="16"/>
              </w:rPr>
              <mc:AlternateContent>
                <mc:Choice Requires="wps">
                  <w:drawing>
                    <wp:anchor distT="0" distB="0" distL="114300" distR="114300" simplePos="0" relativeHeight="251666432" behindDoc="0" locked="0" layoutInCell="1" allowOverlap="1" wp14:anchorId="154D5E83" wp14:editId="696A84D3">
                      <wp:simplePos x="0" y="0"/>
                      <wp:positionH relativeFrom="column">
                        <wp:posOffset>5080</wp:posOffset>
                      </wp:positionH>
                      <wp:positionV relativeFrom="paragraph">
                        <wp:posOffset>65405</wp:posOffset>
                      </wp:positionV>
                      <wp:extent cx="0" cy="585216"/>
                      <wp:effectExtent l="95250" t="0" r="57150" b="43815"/>
                      <wp:wrapNone/>
                      <wp:docPr id="52" name="Straight Arrow Connector 52" descr="Arrow pointing downward" title="Arrow"/>
                      <wp:cNvGraphicFramePr/>
                      <a:graphic xmlns:a="http://schemas.openxmlformats.org/drawingml/2006/main">
                        <a:graphicData uri="http://schemas.microsoft.com/office/word/2010/wordprocessingShape">
                          <wps:wsp>
                            <wps:cNvCnPr/>
                            <wps:spPr>
                              <a:xfrm>
                                <a:off x="0" y="0"/>
                                <a:ext cx="0" cy="585216"/>
                              </a:xfrm>
                              <a:prstGeom prst="straightConnector1">
                                <a:avLst/>
                              </a:prstGeom>
                              <a:ln w="28575">
                                <a:solidFill>
                                  <a:srgbClr val="00B05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shape w14:anchorId="4C93BB4A" id="Straight Arrow Connector 52" o:spid="_x0000_s1026" type="#_x0000_t32" alt="Title: Arrow - Description: Arrow pointing downward" style="position:absolute;margin-left:.4pt;margin-top:5.15pt;width:0;height:46.1pt;z-index:2516664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ArOcDQIAAG0EAAAOAAAAZHJzL2Uyb0RvYy54bWysVNuO0zAQfUfiHyy/06SVslRV0xV0WV4Q&#10;VCx8gOtLYsmxrfHQtH/P2OlmWS4PIF4c2zNn5syZcba358Gxk4Zkg2/5clFzpr0Myvqu5V+/3L9a&#10;c5ZQeCVc8LrlF5347e7li+0YN3oV+uCUBkZBfNqMseU9YtxUVZK9HkRahKg9GU2AQSAdoasUiJGi&#10;D65a1fVNNQZQEYLUKdHt3WTkuxLfGC3xkzFJI3MtJ25YVijrMa/Vbis2HYjYW3mlIf6BxSCsp6Rz&#10;qDuBgn0D+0uowUoIKRhcyDBUwRgrdamBqlnWP1Xz0IuoSy0kToqzTOn/hZUfTwdgVrW8WXHmxUA9&#10;ekAQtuuRvQEII9sH70nHACy7KJ0k6TeZYrAeSXamwuhHAYoUtugoRrFndceYNpRk7w9wPaV4gCzV&#10;2cCQvyQCO5eOXOaO6DMyOV1Kum3WzWp5k8NVT7gICd/rMLC8aXm6sp7pLktDxOlDwgn4CMhJnWdj&#10;y1fr5nVT3FJwVt1b57IxQXfcO2Ankaemfls3ZVAo9zM3FNa984rhJVLFCFb4zukrS+eJbC5+Krfs&#10;8OL0lPyzNiQ6FTiRLOOu55RCSu1xOUci7wwzRG8G1hPt/E7+BLz6Z6guT+FvwDOiZA4eZ/BgfYDf&#10;ZcfzI2Uz+T8qMNWdJTgGdSmDUKShmS4dvb6//Gh+PBf4019i9x0AAP//AwBQSwMEFAAGAAgAAAAh&#10;AEMCMATcAAAABAEAAA8AAABkcnMvZG93bnJldi54bWxMjk1Lw0AQhu9C/8MyBS+l3RjxgzSbUsQK&#10;ehCsheJtm51mo9nZmN02qb/e6UmPz7wv7zz5YnCNOGIXak8KrmYJCKTSm5oqBZv31fQeRIiajG48&#10;oYITBlgUo4tcZ8b39IbHdawEj1DItAIbY5tJGUqLToeZb5E42/vO6cjYVdJ0uudx18g0SW6l0zXx&#10;B6tbfLBYfq0PTsHq9a5P3Y89PW1ePh6/P58nk+UWlbocD8s5iIhD/CvDWZ/VoWCnnT+QCaJRwN6R&#10;r8k1CE6ZdmdKb0AWufwvX/wCAAD//wMAUEsBAi0AFAAGAAgAAAAhALaDOJL+AAAA4QEAABMAAAAA&#10;AAAAAAAAAAAAAAAAAFtDb250ZW50X1R5cGVzXS54bWxQSwECLQAUAAYACAAAACEAOP0h/9YAAACU&#10;AQAACwAAAAAAAAAAAAAAAAAvAQAAX3JlbHMvLnJlbHNQSwECLQAUAAYACAAAACEA9wKznA0CAABt&#10;BAAADgAAAAAAAAAAAAAAAAAuAgAAZHJzL2Uyb0RvYy54bWxQSwECLQAUAAYACAAAACEAQwIwBNwA&#10;AAAEAQAADwAAAAAAAAAAAAAAAABnBAAAZHJzL2Rvd25yZXYueG1sUEsFBgAAAAAEAAQA8wAAAHAF&#10;AAAAAA==&#10;" strokecolor="#00b050" strokeweight="2.25pt">
                      <v:stroke endarrow="block"/>
                    </v:shape>
                  </w:pict>
                </mc:Fallback>
              </mc:AlternateContent>
            </w:r>
            <w:r w:rsidR="005401D7" w:rsidRPr="008F0A64">
              <w:rPr>
                <w:bCs/>
                <w:noProof/>
                <w:color w:val="000000"/>
                <w:sz w:val="16"/>
                <w:szCs w:val="16"/>
              </w:rPr>
              <mc:AlternateContent>
                <mc:Choice Requires="wps">
                  <w:drawing>
                    <wp:anchor distT="0" distB="0" distL="114300" distR="114300" simplePos="0" relativeHeight="251667456" behindDoc="0" locked="0" layoutInCell="1" allowOverlap="1" wp14:anchorId="3B467BB9" wp14:editId="0E2ECCA4">
                      <wp:simplePos x="0" y="0"/>
                      <wp:positionH relativeFrom="column">
                        <wp:posOffset>1375766</wp:posOffset>
                      </wp:positionH>
                      <wp:positionV relativeFrom="paragraph">
                        <wp:posOffset>33934</wp:posOffset>
                      </wp:positionV>
                      <wp:extent cx="0" cy="570586"/>
                      <wp:effectExtent l="57150" t="38100" r="57150" b="20320"/>
                      <wp:wrapNone/>
                      <wp:docPr id="53" name="Straight Arrow Connector 53" descr="Arrow pointing upward" title="Arrow "/>
                      <wp:cNvGraphicFramePr/>
                      <a:graphic xmlns:a="http://schemas.openxmlformats.org/drawingml/2006/main">
                        <a:graphicData uri="http://schemas.microsoft.com/office/word/2010/wordprocessingShape">
                          <wps:wsp>
                            <wps:cNvCnPr/>
                            <wps:spPr>
                              <a:xfrm>
                                <a:off x="0" y="0"/>
                                <a:ext cx="0" cy="570586"/>
                              </a:xfrm>
                              <a:prstGeom prst="straightConnector1">
                                <a:avLst/>
                              </a:prstGeom>
                              <a:ln w="28575">
                                <a:solidFill>
                                  <a:srgbClr val="FF0000"/>
                                </a:solidFill>
                                <a:headEnd type="triangl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shape w14:anchorId="7BB46492" id="Straight Arrow Connector 53" o:spid="_x0000_s1026" type="#_x0000_t32" alt="Title: Arrow  - Description: Arrow pointing upward" style="position:absolute;margin-left:108.35pt;margin-top:2.65pt;width:0;height:44.95pt;z-index:2516674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kTwPJAIAAKgEAAAOAAAAZHJzL2Uyb0RvYy54bWysVE2P2jAQvVfqf7B8LwlU7KKIsKrY0kvV&#10;om77A4w9IZYc2xp7Cfz7jp0Q+rE9tCoHY3vmzcx748n64dwZdgIM2tmaz2clZ2ClU9oea/7t6+7N&#10;irMQhVXCOAs1v0DgD5vXr9a9r2DhWmcUIKMgNlS9r3kbo6+KIsgWOhFmzoMlY+OwE5GOeCwUip6i&#10;d6ZYlOVd0TtUHp2EEOj2cTDyTY7fNCDj56YJEJmpOdUW84p5PaS12KxFdUThWy3HMsQ/VNEJbSnp&#10;FOpRRMGeUf8WqtMSXXBNnEnXFa5ptITMgdjMy1/YPLXCQ+ZC4gQ/yRT+X1j56bRHplXNl285s6Kj&#10;Hj1FFPrYRvYO0fVs66wlHR2y5KIgSNJvMHmnbSTZ2bPvBSrSV0dDEQZrErf3oaIcW7vH8RT8HpNS&#10;5wa79E8asHNuyGVqCJwjk8OlpNvlfblc3aVwxQ3nMcQP4DqWNjUPY9FTtfPcD3H6GOIAvAJSUmNZ&#10;X/PFanm/zG7BGa122phkDHg8bA2yk6BHs9uV9Btz/+TWglDvrWLx4olyRC3s0QBPgTsgLQzQRKQd&#10;pRdVFNrcvC0Nw8uexNBYIpqEG6TKu3gxMBT+BRrqF4kzEMyTAlO5QkqwcT7Wayx5J1hD1CZgOVBO&#10;I/Yn4OifoJCn6G/AEyJndjZO4E5bhy9lj+dryc3gf1Vg4J0kODh1yY8oS0PjkF/DOLpp3n48Z/jt&#10;A7P5DgAA//8DAFBLAwQUAAYACAAAACEAyrDZRtsAAAAIAQAADwAAAGRycy9kb3ducmV2LnhtbEyP&#10;wU7DMBBE70j8g7VIXFDrJCilhDgVQuoHkFLE0YmX2CJeR7abhr/HiAM9jmY086beLXZkM/pgHAnI&#10;1xkwpN4pQ4OAt8N+tQUWoiQlR0co4BsD7Jrrq1pWyp3pFec2DiyVUKikAB3jVHEeeo1WhrWbkJL3&#10;6byVMUk/cOXlOZXbkRdZtuFWGkoLWk74orH/ak9WAN6Vc6ffj8aa4ui7j2AO+b4V4vZmeX4CFnGJ&#10;/2H4xU/o0CSmzp1IBTYKKPLNQ4oKKO+BJf9PdwIeywJ4U/PLA80PAAAA//8DAFBLAQItABQABgAI&#10;AAAAIQC2gziS/gAAAOEBAAATAAAAAAAAAAAAAAAAAAAAAABbQ29udGVudF9UeXBlc10ueG1sUEsB&#10;Ai0AFAAGAAgAAAAhADj9If/WAAAAlAEAAAsAAAAAAAAAAAAAAAAALwEAAF9yZWxzLy5yZWxzUEsB&#10;Ai0AFAAGAAgAAAAhAMCRPA8kAgAAqAQAAA4AAAAAAAAAAAAAAAAALgIAAGRycy9lMm9Eb2MueG1s&#10;UEsBAi0AFAAGAAgAAAAhAMqw2UbbAAAACAEAAA8AAAAAAAAAAAAAAAAAfgQAAGRycy9kb3ducmV2&#10;LnhtbFBLBQYAAAAABAAEAPMAAACGBQAAAAA=&#10;" strokecolor="red" strokeweight="2.25pt">
                      <v:stroke startarrow="block"/>
                    </v:shape>
                  </w:pict>
                </mc:Fallback>
              </mc:AlternateContent>
            </w:r>
            <w:r w:rsidR="00BE4A93" w:rsidRPr="008F0A64">
              <w:rPr>
                <w:color w:val="000000"/>
                <w:sz w:val="16"/>
                <w:szCs w:val="16"/>
              </w:rPr>
              <w:t>1. Firm product.</w:t>
            </w:r>
            <w:r w:rsidR="00BE4A93" w:rsidRPr="008F0A64">
              <w:rPr>
                <w:color w:val="000000"/>
                <w:sz w:val="16"/>
                <w:szCs w:val="16"/>
              </w:rPr>
              <w:br/>
              <w:t>2. As available product.</w:t>
            </w:r>
            <w:r w:rsidR="00BE4A93" w:rsidRPr="008F0A64">
              <w:rPr>
                <w:color w:val="000000"/>
                <w:sz w:val="16"/>
                <w:szCs w:val="16"/>
              </w:rPr>
              <w:br/>
              <w:t>3. Authorised overruns.</w:t>
            </w:r>
            <w:r w:rsidR="00BE4A93" w:rsidRPr="008F0A64">
              <w:rPr>
                <w:color w:val="000000"/>
                <w:sz w:val="16"/>
                <w:szCs w:val="16"/>
              </w:rPr>
              <w:br/>
              <w:t>4. Interruptible product.</w:t>
            </w:r>
            <w:r w:rsidR="00BE4A93" w:rsidRPr="008F0A64">
              <w:rPr>
                <w:color w:val="000000"/>
                <w:sz w:val="16"/>
                <w:szCs w:val="16"/>
              </w:rPr>
              <w:br/>
            </w:r>
            <w:r w:rsidR="00BE4A93" w:rsidRPr="008F0A64">
              <w:rPr>
                <w:b/>
                <w:bCs/>
                <w:color w:val="000000"/>
                <w:sz w:val="16"/>
                <w:szCs w:val="16"/>
              </w:rPr>
              <w:t>5. Auction product.</w:t>
            </w:r>
          </w:p>
        </w:tc>
        <w:tc>
          <w:tcPr>
            <w:tcW w:w="1299" w:type="pct"/>
          </w:tcPr>
          <w:p w14:paraId="69C752E6" w14:textId="6B4C1600" w:rsidR="00BE4A93" w:rsidRPr="008F0A64" w:rsidRDefault="005401D7" w:rsidP="00BF4A9A">
            <w:pPr>
              <w:pStyle w:val="TableBodyText"/>
              <w:spacing w:line="252" w:lineRule="auto"/>
              <w:rPr>
                <w:sz w:val="16"/>
                <w:szCs w:val="16"/>
                <w:lang w:eastAsia="fr-CA"/>
              </w:rPr>
            </w:pPr>
            <w:r w:rsidRPr="008F0A64">
              <w:rPr>
                <w:bCs/>
                <w:noProof/>
                <w:color w:val="000000"/>
                <w:sz w:val="16"/>
                <w:szCs w:val="16"/>
              </w:rPr>
              <mc:AlternateContent>
                <mc:Choice Requires="wps">
                  <w:drawing>
                    <wp:anchor distT="0" distB="0" distL="114300" distR="114300" simplePos="0" relativeHeight="251670528" behindDoc="0" locked="0" layoutInCell="1" allowOverlap="1" wp14:anchorId="4BFD0049" wp14:editId="2F5AE3CC">
                      <wp:simplePos x="0" y="0"/>
                      <wp:positionH relativeFrom="column">
                        <wp:posOffset>2104997</wp:posOffset>
                      </wp:positionH>
                      <wp:positionV relativeFrom="paragraph">
                        <wp:posOffset>26670</wp:posOffset>
                      </wp:positionV>
                      <wp:extent cx="0" cy="775411"/>
                      <wp:effectExtent l="57150" t="38100" r="57150" b="24765"/>
                      <wp:wrapNone/>
                      <wp:docPr id="55" name="Straight Arrow Connector 55" descr="Arrow pointing upward" title="Arrow"/>
                      <wp:cNvGraphicFramePr/>
                      <a:graphic xmlns:a="http://schemas.openxmlformats.org/drawingml/2006/main">
                        <a:graphicData uri="http://schemas.microsoft.com/office/word/2010/wordprocessingShape">
                          <wps:wsp>
                            <wps:cNvCnPr/>
                            <wps:spPr>
                              <a:xfrm>
                                <a:off x="0" y="0"/>
                                <a:ext cx="0" cy="775411"/>
                              </a:xfrm>
                              <a:prstGeom prst="straightConnector1">
                                <a:avLst/>
                              </a:prstGeom>
                              <a:ln w="28575">
                                <a:solidFill>
                                  <a:srgbClr val="FF0000"/>
                                </a:solidFill>
                                <a:headEnd type="triangl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shape w14:anchorId="160F672E" id="Straight Arrow Connector 55" o:spid="_x0000_s1026" type="#_x0000_t32" alt="Title: Arrow - Description: Arrow pointing upward" style="position:absolute;margin-left:165.75pt;margin-top:2.1pt;width:0;height:61.05pt;z-index:2516705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S1sIIwIAAKcEAAAOAAAAZHJzL2Uyb0RvYy54bWysVMGO0zAQvSPxD5bvNG1F6SpqukJdygVB&#10;xcIHuPYkseTY1tjbtH/P2ElTFpYDiB5c2zNvZt4bTzb3586wE2DQzlZ8MZtzBlY6pW1T8e/f9m/u&#10;OAtRWCWMs1DxCwR+v339atP7EpaudUYBMgpiQ9n7ircx+rIogmyhE2HmPFgy1g47EemITaFQ9BS9&#10;M8VyPn9X9A6VRychBLp9GIx8m+PXNcj4pa4DRGYqTrXFvGJej2ktthtRNih8q+VYhviHKjqhLSWd&#10;Qj2IKNgT6t9CdVqiC66OM+m6wtW1lpA5EJvF/Bc2j63wkLmQOMFPMoX/F1Z+Ph2QaVXx1YozKzrq&#10;0WNEoZs2sveIrmc7Zy3p6JAlFwVBkn6DyTttI8nOnnwvUJG+OhqKkK1J296HklLs7AHHU/AHTEKd&#10;a+zSP0nAzrkfl6kfcI5MDpeSbtfr1dvFIoUrbjiPIX4E17G0qXgYa56KXeR2iNOnEAfgFZCSGsv6&#10;ii/vVutVdgvOaLXXxiRjwOa4M8hOgt7Mfj+n35j7mVsLQn2wisWLJ8YRtbCNAZ4Cd0BSGKCBSDtK&#10;L8ootLl5W5qFlz2JobFENAk3SJV38WJgKPwr1NQuEmcgmAcFpnKFlGDjVStjyTvBaqI2AecD5TRh&#10;fwKO/gkKeYj+BjwhcmZn4wTutHX4UvZ4vpZcD/5XBQbeSYKjU5f8iLI0NA35NYyTm8bt53OG374v&#10;2x8AAAD//wMAUEsDBBQABgAIAAAAIQBuY17K2wAAAAkBAAAPAAAAZHJzL2Rvd25yZXYueG1sTI/L&#10;TsMwEEX3SPyDNUhsUOs8aIVCnAoh9QNIadWlEw+xRTyObDcNf48RC1he3aM7Z+rdYkc2ow/GkYB8&#10;nQFD6p0yNAh4P+xXT8BClKTk6AgFfGGAXXN7U8tKuSu94dzGgaURCpUUoGOcKs5Dr9HKsHYTUuo+&#10;nLcypugHrry8pnE78iLLttxKQ+mClhO+auw/24sVgA+budOno7GmOPruHMwh37dC3N8tL8/AIi7x&#10;D4Yf/aQOTXLq3IVUYKOAssw3CRXwWABL/W/uElhsS+BNzf9/0HwDAAD//wMAUEsBAi0AFAAGAAgA&#10;AAAhALaDOJL+AAAA4QEAABMAAAAAAAAAAAAAAAAAAAAAAFtDb250ZW50X1R5cGVzXS54bWxQSwEC&#10;LQAUAAYACAAAACEAOP0h/9YAAACUAQAACwAAAAAAAAAAAAAAAAAvAQAAX3JlbHMvLnJlbHNQSwEC&#10;LQAUAAYACAAAACEAC0tbCCMCAACnBAAADgAAAAAAAAAAAAAAAAAuAgAAZHJzL2Uyb0RvYy54bWxQ&#10;SwECLQAUAAYACAAAACEAbmNeytsAAAAJAQAADwAAAAAAAAAAAAAAAAB9BAAAZHJzL2Rvd25yZXYu&#10;eG1sUEsFBgAAAAAEAAQA8wAAAIUFAAAAAA==&#10;" strokecolor="red" strokeweight="2.25pt">
                      <v:stroke startarrow="block"/>
                    </v:shape>
                  </w:pict>
                </mc:Fallback>
              </mc:AlternateContent>
            </w:r>
            <w:r w:rsidR="0035450B" w:rsidRPr="008F0A64">
              <w:rPr>
                <w:bCs/>
                <w:noProof/>
                <w:color w:val="000000"/>
                <w:sz w:val="16"/>
                <w:szCs w:val="16"/>
              </w:rPr>
              <mc:AlternateContent>
                <mc:Choice Requires="wps">
                  <w:drawing>
                    <wp:anchor distT="0" distB="0" distL="114300" distR="114300" simplePos="0" relativeHeight="251669504" behindDoc="0" locked="0" layoutInCell="1" allowOverlap="1" wp14:anchorId="32D7B5BD" wp14:editId="35D51170">
                      <wp:simplePos x="0" y="0"/>
                      <wp:positionH relativeFrom="column">
                        <wp:posOffset>12751</wp:posOffset>
                      </wp:positionH>
                      <wp:positionV relativeFrom="paragraph">
                        <wp:posOffset>56844</wp:posOffset>
                      </wp:positionV>
                      <wp:extent cx="0" cy="775335"/>
                      <wp:effectExtent l="95250" t="0" r="57150" b="43815"/>
                      <wp:wrapNone/>
                      <wp:docPr id="54" name="Straight Arrow Connector 54" descr="Arrow pointing downward" title="Arrow"/>
                      <wp:cNvGraphicFramePr/>
                      <a:graphic xmlns:a="http://schemas.openxmlformats.org/drawingml/2006/main">
                        <a:graphicData uri="http://schemas.microsoft.com/office/word/2010/wordprocessingShape">
                          <wps:wsp>
                            <wps:cNvCnPr/>
                            <wps:spPr>
                              <a:xfrm>
                                <a:off x="0" y="0"/>
                                <a:ext cx="0" cy="775335"/>
                              </a:xfrm>
                              <a:prstGeom prst="straightConnector1">
                                <a:avLst/>
                              </a:prstGeom>
                              <a:ln w="28575">
                                <a:solidFill>
                                  <a:srgbClr val="00B05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01C14EF" id="Straight Arrow Connector 54" o:spid="_x0000_s1026" type="#_x0000_t32" alt="Title: Arrow - Description: Arrow pointing downward" style="position:absolute;margin-left:1pt;margin-top:4.5pt;width:0;height:61.0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bVeHDQIAAG0EAAAOAAAAZHJzL2Uyb0RvYy54bWysVNuO0zAQfUfiHyy/06RdQldV0xV0WV4Q&#10;VCx8gOtLYsk3jU3T/j1jJ81yfQDx4tieOTNnzoyzvTtbQ04SovaupctFTYl03AvtupZ++fzw4paS&#10;mJgTzHgnW3qRkd7tnj/bDmEjV773RkggGMTFzRBa2qcUNlUVeS8tiwsfpEOj8mBZwiN0lQA2YHRr&#10;qlVdv6oGDyKA5zJGvL0fjXRX4islefqoVJSJmJYit1RWKOsxr9VuyzYdsNBrPtFg/8DCMu0w6Rzq&#10;niVGvoL+JZTVHHz0Ki24t5VXSnNZasBqlvVP1Tz2LMhSC4oTwyxT/H9h+YfTAYgWLW1eUuKYxR49&#10;JmC66xN5DeAHsvfOoY4eSHYRMnLUbzQFr11C2YnwgxsYCFRYJ4Mxij2rO4S4wSR7d4DpFMMBslRn&#10;BTZ/UQRyLh25zB2R50T4eMnxdr1ubm6aHK56wgWI6Z30luRNS+PEeqa7LA1hp/cxjcArICc1jgwt&#10;Xd0266a4RW+0eNDGZGOE7rg3QE4sT039pm7KoGDuH9wS0+atEyRdAlacQDPXGTmxNA7J5uLHcssu&#10;XYwck3+SCkXHAkeSZdzlnJJxLl1azpHQO8MU0puB9Ug7v5M/ASf/DJXlKfwNeEaUzN6lGWy18/C7&#10;7Ol8paxG/6sCY91ZgqMXlzIIRRqc6dLR6f3lR/P9ucCf/hK7bwAAAP//AwBQSwMEFAAGAAgAAAAh&#10;AKJ+kLDeAAAABQEAAA8AAABkcnMvZG93bnJldi54bWxMj0FLw0AQhe+C/2EZwUtpN4mgNWZTilhB&#10;DwVrQbxts2M2mp2N2W2T+uudnvQ0PN7jzfeKxehaccA+NJ4UpLMEBFLlTUO1gu3rajoHEaImo1tP&#10;qOCIARbl+Vmhc+MHesHDJtaCSyjkWoGNsculDJVFp8PMd0jsffje6ciyr6Xp9cDlrpVZklxLpxvi&#10;D1Z3eG+x+trsnYLV+mbI3I89Pm6f3x++P58mk+UbKnV5MS7vQEQc418YTviMDiUz7fyeTBCtgoyX&#10;RAW3fNg9qR2HrtIUZFnI//TlLwAAAP//AwBQSwECLQAUAAYACAAAACEAtoM4kv4AAADhAQAAEwAA&#10;AAAAAAAAAAAAAAAAAAAAW0NvbnRlbnRfVHlwZXNdLnhtbFBLAQItABQABgAIAAAAIQA4/SH/1gAA&#10;AJQBAAALAAAAAAAAAAAAAAAAAC8BAABfcmVscy8ucmVsc1BLAQItABQABgAIAAAAIQA0bVeHDQIA&#10;AG0EAAAOAAAAAAAAAAAAAAAAAC4CAABkcnMvZTJvRG9jLnhtbFBLAQItABQABgAIAAAAIQCifpCw&#10;3gAAAAUBAAAPAAAAAAAAAAAAAAAAAGcEAABkcnMvZG93bnJldi54bWxQSwUGAAAAAAQABADzAAAA&#10;cgUAAAAA&#10;" strokecolor="#00b050" strokeweight="2.25pt">
                      <v:stroke endarrow="block"/>
                    </v:shape>
                  </w:pict>
                </mc:Fallback>
              </mc:AlternateContent>
            </w:r>
            <w:r w:rsidR="0035450B" w:rsidRPr="008F0A64">
              <w:rPr>
                <w:color w:val="000000"/>
                <w:sz w:val="16"/>
                <w:szCs w:val="16"/>
              </w:rPr>
              <w:t>1. Firm product (scheduled 1</w:t>
            </w:r>
            <w:r w:rsidR="0033561E" w:rsidRPr="008F0A64">
              <w:rPr>
                <w:color w:val="000000"/>
                <w:sz w:val="16"/>
                <w:szCs w:val="16"/>
                <w:vertAlign w:val="superscript"/>
              </w:rPr>
              <w:t>st</w:t>
            </w:r>
            <w:r w:rsidR="0035450B" w:rsidRPr="008F0A64">
              <w:rPr>
                <w:color w:val="000000"/>
                <w:sz w:val="16"/>
                <w:szCs w:val="16"/>
              </w:rPr>
              <w:t xml:space="preserve">) </w:t>
            </w:r>
            <w:r w:rsidR="0035450B" w:rsidRPr="008F0A64">
              <w:rPr>
                <w:bCs/>
                <w:color w:val="000000"/>
                <w:sz w:val="16"/>
                <w:szCs w:val="16"/>
              </w:rPr>
              <w:t xml:space="preserve">and </w:t>
            </w:r>
            <w:r w:rsidR="0035450B" w:rsidRPr="008F0A64">
              <w:rPr>
                <w:b/>
                <w:bCs/>
                <w:color w:val="000000"/>
                <w:sz w:val="16"/>
                <w:szCs w:val="16"/>
              </w:rPr>
              <w:t>f</w:t>
            </w:r>
            <w:r w:rsidR="00BE4A93" w:rsidRPr="008F0A64">
              <w:rPr>
                <w:b/>
                <w:bCs/>
                <w:color w:val="000000"/>
                <w:sz w:val="16"/>
                <w:szCs w:val="16"/>
              </w:rPr>
              <w:t>irm auction product</w:t>
            </w:r>
            <w:r w:rsidR="0035450B" w:rsidRPr="008F0A64">
              <w:rPr>
                <w:bCs/>
                <w:color w:val="000000"/>
                <w:sz w:val="16"/>
                <w:szCs w:val="16"/>
              </w:rPr>
              <w:t xml:space="preserve"> (scheduled 2</w:t>
            </w:r>
            <w:r w:rsidR="0035450B" w:rsidRPr="008F0A64">
              <w:rPr>
                <w:bCs/>
                <w:color w:val="000000"/>
                <w:sz w:val="16"/>
                <w:szCs w:val="16"/>
                <w:vertAlign w:val="superscript"/>
              </w:rPr>
              <w:t>nd</w:t>
            </w:r>
            <w:r w:rsidR="0035450B" w:rsidRPr="008F0A64">
              <w:rPr>
                <w:bCs/>
                <w:color w:val="000000"/>
                <w:sz w:val="16"/>
                <w:szCs w:val="16"/>
              </w:rPr>
              <w:t>)</w:t>
            </w:r>
            <w:r w:rsidR="00BE4A93" w:rsidRPr="008F0A64">
              <w:rPr>
                <w:bCs/>
                <w:color w:val="000000"/>
                <w:sz w:val="16"/>
                <w:szCs w:val="16"/>
              </w:rPr>
              <w:t>.</w:t>
            </w:r>
            <w:r w:rsidR="00BE4A93" w:rsidRPr="008F0A64">
              <w:rPr>
                <w:color w:val="000000"/>
                <w:sz w:val="16"/>
                <w:szCs w:val="16"/>
              </w:rPr>
              <w:br/>
            </w:r>
            <w:r w:rsidR="0035450B" w:rsidRPr="008F0A64">
              <w:rPr>
                <w:color w:val="000000"/>
                <w:sz w:val="16"/>
                <w:szCs w:val="16"/>
              </w:rPr>
              <w:t>2</w:t>
            </w:r>
            <w:r w:rsidR="00BE4A93" w:rsidRPr="008F0A64">
              <w:rPr>
                <w:color w:val="000000"/>
                <w:sz w:val="16"/>
                <w:szCs w:val="16"/>
              </w:rPr>
              <w:t>. As available product.</w:t>
            </w:r>
            <w:r w:rsidR="00BE4A93" w:rsidRPr="008F0A64">
              <w:rPr>
                <w:color w:val="000000"/>
                <w:sz w:val="16"/>
                <w:szCs w:val="16"/>
              </w:rPr>
              <w:br/>
            </w:r>
            <w:r w:rsidR="0035450B" w:rsidRPr="008F0A64">
              <w:rPr>
                <w:color w:val="000000"/>
                <w:sz w:val="16"/>
                <w:szCs w:val="16"/>
              </w:rPr>
              <w:t>3</w:t>
            </w:r>
            <w:r w:rsidR="00BE4A93" w:rsidRPr="008F0A64">
              <w:rPr>
                <w:color w:val="000000"/>
                <w:sz w:val="16"/>
                <w:szCs w:val="16"/>
              </w:rPr>
              <w:t>. Authorised overrun.</w:t>
            </w:r>
            <w:r w:rsidR="00BE4A93" w:rsidRPr="008F0A64">
              <w:rPr>
                <w:color w:val="000000"/>
                <w:sz w:val="16"/>
                <w:szCs w:val="16"/>
              </w:rPr>
              <w:br/>
            </w:r>
            <w:r w:rsidR="0035450B" w:rsidRPr="008F0A64">
              <w:rPr>
                <w:color w:val="000000"/>
                <w:sz w:val="16"/>
                <w:szCs w:val="16"/>
              </w:rPr>
              <w:t>4</w:t>
            </w:r>
            <w:r w:rsidR="00BE4A93" w:rsidRPr="008F0A64">
              <w:rPr>
                <w:color w:val="000000"/>
                <w:sz w:val="16"/>
                <w:szCs w:val="16"/>
              </w:rPr>
              <w:t>. Interruptible product.</w:t>
            </w:r>
            <w:r w:rsidR="00BE4A93" w:rsidRPr="008F0A64">
              <w:rPr>
                <w:color w:val="000000"/>
                <w:sz w:val="16"/>
                <w:szCs w:val="16"/>
              </w:rPr>
              <w:br/>
            </w:r>
            <w:r w:rsidR="0035450B" w:rsidRPr="008F0A64">
              <w:rPr>
                <w:bCs/>
                <w:color w:val="000000"/>
                <w:sz w:val="16"/>
                <w:szCs w:val="16"/>
              </w:rPr>
              <w:t>5</w:t>
            </w:r>
            <w:r w:rsidR="00BE4A93" w:rsidRPr="008F0A64">
              <w:rPr>
                <w:bCs/>
                <w:color w:val="000000"/>
                <w:sz w:val="16"/>
                <w:szCs w:val="16"/>
              </w:rPr>
              <w:t xml:space="preserve">. </w:t>
            </w:r>
            <w:r w:rsidR="00BE4A93" w:rsidRPr="008F0A64">
              <w:rPr>
                <w:b/>
                <w:bCs/>
                <w:color w:val="000000"/>
                <w:sz w:val="16"/>
                <w:szCs w:val="16"/>
              </w:rPr>
              <w:t>Second priority interruptible auction product.</w:t>
            </w:r>
          </w:p>
        </w:tc>
      </w:tr>
      <w:tr w:rsidR="00752A55" w:rsidRPr="008F0A64" w14:paraId="7ECC3167" w14:textId="77777777" w:rsidTr="00BB523B">
        <w:trPr>
          <w:cantSplit/>
          <w:trHeight w:val="921"/>
        </w:trPr>
        <w:tc>
          <w:tcPr>
            <w:tcW w:w="450" w:type="pct"/>
            <w:vMerge w:val="restart"/>
          </w:tcPr>
          <w:p w14:paraId="50E4E9BC" w14:textId="1D18D7D3" w:rsidR="00752A55" w:rsidRPr="008F0A64" w:rsidRDefault="00752A55" w:rsidP="00E91719">
            <w:pPr>
              <w:pStyle w:val="TableBodyText"/>
              <w:spacing w:line="252" w:lineRule="auto"/>
              <w:rPr>
                <w:bCs/>
                <w:color w:val="000000"/>
                <w:sz w:val="16"/>
                <w:szCs w:val="16"/>
              </w:rPr>
            </w:pPr>
            <w:r w:rsidRPr="008F0A64">
              <w:rPr>
                <w:bCs/>
                <w:color w:val="000000"/>
                <w:sz w:val="16"/>
                <w:szCs w:val="16"/>
              </w:rPr>
              <w:t xml:space="preserve">Curtailment risk </w:t>
            </w:r>
            <w:r w:rsidRPr="008F0A64">
              <w:rPr>
                <w:bCs/>
                <w:color w:val="000000"/>
                <w:sz w:val="16"/>
                <w:szCs w:val="16"/>
              </w:rPr>
              <w:br/>
            </w:r>
            <w:r w:rsidRPr="008F0A64">
              <w:rPr>
                <w:bCs/>
                <w:i/>
                <w:color w:val="000000"/>
                <w:sz w:val="16"/>
                <w:szCs w:val="16"/>
              </w:rPr>
              <w:t xml:space="preserve">(can </w:t>
            </w:r>
            <w:r w:rsidRPr="008F0A64">
              <w:rPr>
                <w:i/>
                <w:sz w:val="16"/>
                <w:szCs w:val="16"/>
                <w:lang w:eastAsia="fr-CA"/>
              </w:rPr>
              <w:t>have financial consequences and give rise to aggregation risks if part of a combinatorial bid).</w:t>
            </w:r>
          </w:p>
        </w:tc>
        <w:tc>
          <w:tcPr>
            <w:tcW w:w="401" w:type="pct"/>
          </w:tcPr>
          <w:p w14:paraId="78E7AB5C" w14:textId="6F9C7AE9" w:rsidR="00752A55" w:rsidRPr="008F0A64" w:rsidRDefault="00752A55" w:rsidP="00E91719">
            <w:pPr>
              <w:pStyle w:val="TableBodyText"/>
              <w:spacing w:line="252" w:lineRule="auto"/>
              <w:rPr>
                <w:bCs/>
                <w:color w:val="000000"/>
                <w:sz w:val="16"/>
                <w:szCs w:val="16"/>
              </w:rPr>
            </w:pPr>
            <w:r w:rsidRPr="008F0A64">
              <w:rPr>
                <w:bCs/>
                <w:color w:val="000000"/>
                <w:sz w:val="16"/>
                <w:szCs w:val="16"/>
              </w:rPr>
              <w:t>Level of risk</w:t>
            </w:r>
          </w:p>
        </w:tc>
        <w:tc>
          <w:tcPr>
            <w:tcW w:w="899" w:type="pct"/>
          </w:tcPr>
          <w:p w14:paraId="6AA5CEFF" w14:textId="0D6788E8" w:rsidR="00752A55" w:rsidRPr="008F0A64" w:rsidRDefault="00752A55" w:rsidP="00E91719">
            <w:pPr>
              <w:pStyle w:val="TableBodyText"/>
              <w:spacing w:line="252" w:lineRule="auto"/>
              <w:rPr>
                <w:color w:val="000000"/>
                <w:sz w:val="16"/>
                <w:szCs w:val="16"/>
              </w:rPr>
            </w:pPr>
            <w:r w:rsidRPr="008F0A64">
              <w:rPr>
                <w:color w:val="000000"/>
                <w:sz w:val="16"/>
                <w:szCs w:val="16"/>
              </w:rPr>
              <w:t xml:space="preserve">Moderate level of risk given the auction product </w:t>
            </w:r>
            <w:r w:rsidR="00055169">
              <w:rPr>
                <w:color w:val="000000"/>
                <w:sz w:val="16"/>
                <w:szCs w:val="16"/>
              </w:rPr>
              <w:t xml:space="preserve">is </w:t>
            </w:r>
            <w:r w:rsidRPr="008F0A64">
              <w:rPr>
                <w:color w:val="000000"/>
                <w:sz w:val="16"/>
                <w:szCs w:val="16"/>
              </w:rPr>
              <w:t>subordinate to renomination rights</w:t>
            </w:r>
            <w:r w:rsidR="00591D1A">
              <w:rPr>
                <w:color w:val="000000"/>
                <w:sz w:val="16"/>
                <w:szCs w:val="16"/>
              </w:rPr>
              <w:t xml:space="preserve"> and</w:t>
            </w:r>
            <w:r w:rsidRPr="008F0A64">
              <w:rPr>
                <w:color w:val="000000"/>
                <w:sz w:val="16"/>
                <w:szCs w:val="16"/>
              </w:rPr>
              <w:t xml:space="preserve"> </w:t>
            </w:r>
            <w:r w:rsidR="00591D1A">
              <w:rPr>
                <w:color w:val="000000"/>
                <w:sz w:val="16"/>
                <w:szCs w:val="16"/>
              </w:rPr>
              <w:t xml:space="preserve">nominations conducted after the auction by firm capacity holders. </w:t>
            </w:r>
          </w:p>
        </w:tc>
        <w:tc>
          <w:tcPr>
            <w:tcW w:w="973" w:type="pct"/>
          </w:tcPr>
          <w:p w14:paraId="76030019" w14:textId="78D1D9BA" w:rsidR="00752A55" w:rsidRPr="008F0A64" w:rsidRDefault="00752A55" w:rsidP="00E91719">
            <w:pPr>
              <w:pStyle w:val="TableBodyText"/>
              <w:spacing w:line="252" w:lineRule="auto"/>
              <w:rPr>
                <w:color w:val="000000"/>
                <w:sz w:val="16"/>
                <w:szCs w:val="16"/>
              </w:rPr>
            </w:pPr>
            <w:r w:rsidRPr="008F0A64">
              <w:rPr>
                <w:color w:val="000000"/>
                <w:sz w:val="16"/>
                <w:szCs w:val="16"/>
              </w:rPr>
              <w:t xml:space="preserve">Relatively high level of risk given the auction product is subordinate to </w:t>
            </w:r>
            <w:r w:rsidR="00591D1A" w:rsidRPr="008F0A64">
              <w:rPr>
                <w:color w:val="000000"/>
                <w:sz w:val="16"/>
                <w:szCs w:val="16"/>
              </w:rPr>
              <w:t xml:space="preserve">renomination rights </w:t>
            </w:r>
            <w:r w:rsidR="00591D1A">
              <w:rPr>
                <w:color w:val="000000"/>
                <w:sz w:val="16"/>
                <w:szCs w:val="16"/>
              </w:rPr>
              <w:t xml:space="preserve">and nominations conducted after the auction by firm and as available capacity holders. </w:t>
            </w:r>
          </w:p>
        </w:tc>
        <w:tc>
          <w:tcPr>
            <w:tcW w:w="978" w:type="pct"/>
          </w:tcPr>
          <w:p w14:paraId="6C27BBC3" w14:textId="6E9663EC" w:rsidR="00752A55" w:rsidRPr="008F0A64" w:rsidRDefault="00752A55" w:rsidP="00E91719">
            <w:pPr>
              <w:pStyle w:val="TableBodyText"/>
              <w:spacing w:line="252" w:lineRule="auto"/>
              <w:rPr>
                <w:bCs/>
                <w:color w:val="000000"/>
                <w:sz w:val="16"/>
                <w:szCs w:val="16"/>
              </w:rPr>
            </w:pPr>
            <w:r w:rsidRPr="008F0A64">
              <w:rPr>
                <w:bCs/>
                <w:color w:val="000000"/>
                <w:sz w:val="16"/>
                <w:szCs w:val="16"/>
              </w:rPr>
              <w:t xml:space="preserve">Highest level of risk </w:t>
            </w:r>
            <w:r w:rsidRPr="008F0A64">
              <w:rPr>
                <w:color w:val="000000"/>
                <w:sz w:val="16"/>
                <w:szCs w:val="16"/>
              </w:rPr>
              <w:t xml:space="preserve">because the auction product is subordinate to </w:t>
            </w:r>
            <w:r w:rsidR="00591D1A">
              <w:rPr>
                <w:color w:val="000000"/>
                <w:sz w:val="16"/>
                <w:szCs w:val="16"/>
              </w:rPr>
              <w:t xml:space="preserve">the </w:t>
            </w:r>
            <w:r w:rsidR="00591D1A" w:rsidRPr="008F0A64">
              <w:rPr>
                <w:color w:val="000000"/>
                <w:sz w:val="16"/>
                <w:szCs w:val="16"/>
              </w:rPr>
              <w:t xml:space="preserve">renomination rights </w:t>
            </w:r>
            <w:r w:rsidR="00591D1A">
              <w:rPr>
                <w:color w:val="000000"/>
                <w:sz w:val="16"/>
                <w:szCs w:val="16"/>
              </w:rPr>
              <w:t xml:space="preserve">and nominations conducted after the auction by firm, </w:t>
            </w:r>
            <w:r w:rsidRPr="008F0A64">
              <w:rPr>
                <w:color w:val="000000"/>
                <w:sz w:val="16"/>
                <w:szCs w:val="16"/>
              </w:rPr>
              <w:t xml:space="preserve">as available and interruptible </w:t>
            </w:r>
            <w:r w:rsidR="00591D1A">
              <w:rPr>
                <w:color w:val="000000"/>
                <w:sz w:val="16"/>
                <w:szCs w:val="16"/>
              </w:rPr>
              <w:t xml:space="preserve">capacity holders. </w:t>
            </w:r>
          </w:p>
        </w:tc>
        <w:tc>
          <w:tcPr>
            <w:tcW w:w="1299" w:type="pct"/>
          </w:tcPr>
          <w:p w14:paraId="4B5B0B45" w14:textId="4CDFD6D4" w:rsidR="00752A55" w:rsidRPr="008F0A64" w:rsidRDefault="00752A55" w:rsidP="00E91719">
            <w:pPr>
              <w:pStyle w:val="TableBodyText"/>
              <w:spacing w:line="252" w:lineRule="auto"/>
              <w:rPr>
                <w:color w:val="000000"/>
                <w:sz w:val="16"/>
                <w:szCs w:val="16"/>
              </w:rPr>
            </w:pPr>
            <w:r w:rsidRPr="008F0A64">
              <w:rPr>
                <w:color w:val="000000"/>
                <w:sz w:val="16"/>
                <w:szCs w:val="16"/>
              </w:rPr>
              <w:t>Firm auction product lowest level of risk because it is not subordinate to renominations or nominations after the auction is conducted.</w:t>
            </w:r>
            <w:r w:rsidRPr="008F0A64">
              <w:rPr>
                <w:color w:val="000000"/>
                <w:sz w:val="16"/>
                <w:szCs w:val="16"/>
              </w:rPr>
              <w:br/>
              <w:t xml:space="preserve">Second priority interruptible product highest risk because it is subordinate to </w:t>
            </w:r>
            <w:r w:rsidR="00591D1A">
              <w:rPr>
                <w:color w:val="000000"/>
                <w:sz w:val="16"/>
                <w:szCs w:val="16"/>
              </w:rPr>
              <w:t xml:space="preserve">renomination rights and nominations conducted after the auction by </w:t>
            </w:r>
            <w:r w:rsidRPr="008F0A64">
              <w:rPr>
                <w:color w:val="000000"/>
                <w:sz w:val="16"/>
                <w:szCs w:val="16"/>
              </w:rPr>
              <w:t xml:space="preserve">firm, as available and interruptible </w:t>
            </w:r>
            <w:r w:rsidR="00591D1A">
              <w:rPr>
                <w:color w:val="000000"/>
                <w:sz w:val="16"/>
                <w:szCs w:val="16"/>
              </w:rPr>
              <w:t xml:space="preserve">capacity holders. </w:t>
            </w:r>
          </w:p>
        </w:tc>
      </w:tr>
      <w:tr w:rsidR="00752A55" w:rsidRPr="008F0A64" w14:paraId="04CD4781" w14:textId="77777777" w:rsidTr="00752A55">
        <w:trPr>
          <w:cnfStyle w:val="000000010000" w:firstRow="0" w:lastRow="0" w:firstColumn="0" w:lastColumn="0" w:oddVBand="0" w:evenVBand="0" w:oddHBand="0" w:evenHBand="1" w:firstRowFirstColumn="0" w:firstRowLastColumn="0" w:lastRowFirstColumn="0" w:lastRowLastColumn="0"/>
          <w:cantSplit/>
          <w:trHeight w:val="806"/>
        </w:trPr>
        <w:tc>
          <w:tcPr>
            <w:tcW w:w="450" w:type="pct"/>
            <w:vMerge/>
          </w:tcPr>
          <w:p w14:paraId="074DA9E3" w14:textId="77777777" w:rsidR="00752A55" w:rsidRPr="008F0A64" w:rsidRDefault="00752A55" w:rsidP="005401D7">
            <w:pPr>
              <w:pStyle w:val="TableBodyText"/>
              <w:spacing w:line="252" w:lineRule="auto"/>
              <w:rPr>
                <w:bCs/>
                <w:color w:val="000000"/>
                <w:sz w:val="16"/>
                <w:szCs w:val="16"/>
              </w:rPr>
            </w:pPr>
          </w:p>
        </w:tc>
        <w:tc>
          <w:tcPr>
            <w:tcW w:w="401" w:type="pct"/>
            <w:vMerge w:val="restart"/>
            <w:shd w:val="clear" w:color="auto" w:fill="FFFFFF" w:themeFill="background1"/>
          </w:tcPr>
          <w:p w14:paraId="497B1EE3" w14:textId="1CA040F4" w:rsidR="00752A55" w:rsidRPr="008F0A64" w:rsidRDefault="00752A55" w:rsidP="005401D7">
            <w:pPr>
              <w:pStyle w:val="TableBodyText"/>
              <w:spacing w:line="252" w:lineRule="auto"/>
              <w:rPr>
                <w:bCs/>
                <w:color w:val="000000"/>
                <w:sz w:val="16"/>
                <w:szCs w:val="16"/>
              </w:rPr>
            </w:pPr>
            <w:r w:rsidRPr="008F0A64">
              <w:rPr>
                <w:bCs/>
                <w:color w:val="000000"/>
                <w:sz w:val="16"/>
                <w:szCs w:val="16"/>
              </w:rPr>
              <w:t>Risk from upward renomination</w:t>
            </w:r>
            <w:r>
              <w:rPr>
                <w:bCs/>
                <w:color w:val="000000"/>
                <w:sz w:val="16"/>
                <w:szCs w:val="16"/>
              </w:rPr>
              <w:t xml:space="preserve"> </w:t>
            </w:r>
          </w:p>
        </w:tc>
        <w:tc>
          <w:tcPr>
            <w:tcW w:w="899" w:type="pct"/>
            <w:shd w:val="clear" w:color="auto" w:fill="FFFFFF" w:themeFill="background1"/>
          </w:tcPr>
          <w:p w14:paraId="135CD7DD" w14:textId="0C4E90C2" w:rsidR="00752A55" w:rsidRPr="008F0A64" w:rsidRDefault="00752A55" w:rsidP="005401D7">
            <w:pPr>
              <w:pStyle w:val="TableBodyText"/>
              <w:spacing w:line="252" w:lineRule="auto"/>
              <w:rPr>
                <w:color w:val="000000"/>
                <w:sz w:val="16"/>
                <w:szCs w:val="16"/>
              </w:rPr>
            </w:pPr>
            <w:r w:rsidRPr="008F0A64">
              <w:rPr>
                <w:color w:val="000000"/>
                <w:sz w:val="16"/>
                <w:szCs w:val="16"/>
              </w:rPr>
              <w:t>Auction winner curtailed if insufficient contracted but un-nominated capacity available to meet renominations by shippers with firm rights, but not curtailed by renominations from other shippers.</w:t>
            </w:r>
            <w:r>
              <w:rPr>
                <w:color w:val="000000"/>
                <w:sz w:val="16"/>
                <w:szCs w:val="16"/>
              </w:rPr>
              <w:t xml:space="preserve"> </w:t>
            </w:r>
          </w:p>
        </w:tc>
        <w:tc>
          <w:tcPr>
            <w:tcW w:w="973" w:type="pct"/>
            <w:shd w:val="clear" w:color="auto" w:fill="FFFFFF" w:themeFill="background1"/>
          </w:tcPr>
          <w:p w14:paraId="6BD1F440" w14:textId="3B3E06FD" w:rsidR="00752A55" w:rsidRPr="008F0A64" w:rsidRDefault="00752A55" w:rsidP="005401D7">
            <w:pPr>
              <w:pStyle w:val="TableBodyText"/>
              <w:spacing w:line="252" w:lineRule="auto"/>
              <w:rPr>
                <w:color w:val="000000"/>
                <w:sz w:val="16"/>
                <w:szCs w:val="16"/>
              </w:rPr>
            </w:pPr>
            <w:r w:rsidRPr="008F0A64">
              <w:rPr>
                <w:color w:val="000000"/>
                <w:sz w:val="16"/>
                <w:szCs w:val="16"/>
              </w:rPr>
              <w:t>Auction winner curtailed if insufficient contracted but un-nominated capacity available to meet renominations by shippers with firm and as available rights, but not curtailed by renominations from other shippers.</w:t>
            </w:r>
          </w:p>
        </w:tc>
        <w:tc>
          <w:tcPr>
            <w:tcW w:w="978" w:type="pct"/>
            <w:shd w:val="clear" w:color="auto" w:fill="FFFFFF" w:themeFill="background1"/>
          </w:tcPr>
          <w:p w14:paraId="70943994" w14:textId="406F3D64" w:rsidR="00752A55" w:rsidRPr="008F0A64" w:rsidRDefault="00752A55" w:rsidP="005401D7">
            <w:pPr>
              <w:pStyle w:val="TableBodyText"/>
              <w:spacing w:line="252" w:lineRule="auto"/>
              <w:rPr>
                <w:bCs/>
                <w:color w:val="000000"/>
                <w:sz w:val="16"/>
                <w:szCs w:val="16"/>
              </w:rPr>
            </w:pPr>
            <w:r w:rsidRPr="008F0A64">
              <w:rPr>
                <w:bCs/>
                <w:color w:val="000000"/>
                <w:sz w:val="16"/>
                <w:szCs w:val="16"/>
              </w:rPr>
              <w:t>A</w:t>
            </w:r>
            <w:r w:rsidRPr="008F0A64">
              <w:rPr>
                <w:color w:val="000000"/>
                <w:sz w:val="16"/>
                <w:szCs w:val="16"/>
              </w:rPr>
              <w:t xml:space="preserve">uction winner curtailed if insufficient contracted but un-nominated capacity available to meet renominations by shippers with firm, as available and interruptible rights. </w:t>
            </w:r>
          </w:p>
        </w:tc>
        <w:tc>
          <w:tcPr>
            <w:tcW w:w="1299" w:type="pct"/>
            <w:shd w:val="clear" w:color="auto" w:fill="FFFFFF" w:themeFill="background1"/>
          </w:tcPr>
          <w:p w14:paraId="0171C633" w14:textId="46A4E1EB" w:rsidR="00752A55" w:rsidRPr="008F0A64" w:rsidRDefault="00752A55" w:rsidP="005401D7">
            <w:pPr>
              <w:pStyle w:val="TableBodyText"/>
              <w:spacing w:line="252" w:lineRule="auto"/>
              <w:rPr>
                <w:color w:val="000000"/>
                <w:sz w:val="16"/>
                <w:szCs w:val="16"/>
              </w:rPr>
            </w:pPr>
            <w:r w:rsidRPr="008F0A64">
              <w:rPr>
                <w:color w:val="000000"/>
                <w:sz w:val="16"/>
                <w:szCs w:val="16"/>
              </w:rPr>
              <w:t>Auction winner with firm auction product not affected by renominations, but an auction winner with a second priority interruptible auction product would be curtailed if there is insufficient contracted but un-nominated capacity available to meet renominations by shippers with firm, as available and interruptible rights.</w:t>
            </w:r>
          </w:p>
        </w:tc>
      </w:tr>
      <w:tr w:rsidR="00752A55" w:rsidRPr="008F0A64" w14:paraId="4E6EBF6E" w14:textId="77777777" w:rsidTr="00752A55">
        <w:trPr>
          <w:cantSplit/>
          <w:trHeight w:val="53"/>
        </w:trPr>
        <w:tc>
          <w:tcPr>
            <w:tcW w:w="450" w:type="pct"/>
            <w:vMerge/>
            <w:shd w:val="clear" w:color="auto" w:fill="E1E2E7" w:themeFill="background2"/>
          </w:tcPr>
          <w:p w14:paraId="776A8A55" w14:textId="77777777" w:rsidR="00752A55" w:rsidRPr="008F0A64" w:rsidRDefault="00752A55" w:rsidP="005401D7">
            <w:pPr>
              <w:pStyle w:val="TableBodyText"/>
              <w:spacing w:line="252" w:lineRule="auto"/>
              <w:rPr>
                <w:bCs/>
                <w:color w:val="000000"/>
                <w:sz w:val="16"/>
                <w:szCs w:val="16"/>
              </w:rPr>
            </w:pPr>
          </w:p>
        </w:tc>
        <w:tc>
          <w:tcPr>
            <w:tcW w:w="401" w:type="pct"/>
            <w:vMerge/>
            <w:tcBorders>
              <w:bottom w:val="single" w:sz="4" w:space="0" w:color="auto"/>
            </w:tcBorders>
            <w:shd w:val="clear" w:color="auto" w:fill="FFFFFF" w:themeFill="background1"/>
          </w:tcPr>
          <w:p w14:paraId="4D49CED2" w14:textId="77777777" w:rsidR="00752A55" w:rsidRPr="008F0A64" w:rsidRDefault="00752A55" w:rsidP="005401D7">
            <w:pPr>
              <w:pStyle w:val="TableBodyText"/>
              <w:spacing w:line="252" w:lineRule="auto"/>
              <w:rPr>
                <w:bCs/>
                <w:color w:val="000000"/>
                <w:sz w:val="16"/>
                <w:szCs w:val="16"/>
              </w:rPr>
            </w:pPr>
          </w:p>
        </w:tc>
        <w:tc>
          <w:tcPr>
            <w:tcW w:w="4149" w:type="pct"/>
            <w:gridSpan w:val="4"/>
            <w:tcBorders>
              <w:bottom w:val="single" w:sz="4" w:space="0" w:color="auto"/>
            </w:tcBorders>
            <w:shd w:val="clear" w:color="auto" w:fill="FFFFFF" w:themeFill="background1"/>
          </w:tcPr>
          <w:p w14:paraId="3FC6F340" w14:textId="7E6415C2" w:rsidR="00752A55" w:rsidRPr="00752A55" w:rsidRDefault="00752A55" w:rsidP="005401D7">
            <w:pPr>
              <w:pStyle w:val="TableBodyText"/>
              <w:spacing w:line="252" w:lineRule="auto"/>
              <w:rPr>
                <w:i/>
                <w:color w:val="000000"/>
                <w:sz w:val="16"/>
                <w:szCs w:val="16"/>
              </w:rPr>
            </w:pPr>
            <w:r w:rsidRPr="00752A55">
              <w:rPr>
                <w:i/>
                <w:color w:val="000000"/>
                <w:sz w:val="16"/>
                <w:szCs w:val="16"/>
              </w:rPr>
              <w:t>Note that if all the contracted but un-nominated capacity is not sold through the auction then even if renominations occur curtailment may not be required</w:t>
            </w:r>
          </w:p>
        </w:tc>
      </w:tr>
      <w:tr w:rsidR="00752A55" w:rsidRPr="008F0A64" w14:paraId="65972090" w14:textId="77777777" w:rsidTr="00752A55">
        <w:trPr>
          <w:cnfStyle w:val="000000010000" w:firstRow="0" w:lastRow="0" w:firstColumn="0" w:lastColumn="0" w:oddVBand="0" w:evenVBand="0" w:oddHBand="0" w:evenHBand="1" w:firstRowFirstColumn="0" w:firstRowLastColumn="0" w:lastRowFirstColumn="0" w:lastRowLastColumn="0"/>
          <w:cantSplit/>
          <w:trHeight w:val="767"/>
        </w:trPr>
        <w:tc>
          <w:tcPr>
            <w:tcW w:w="450" w:type="pct"/>
            <w:vMerge/>
            <w:tcBorders>
              <w:bottom w:val="single" w:sz="4" w:space="0" w:color="auto"/>
            </w:tcBorders>
            <w:shd w:val="clear" w:color="auto" w:fill="FFFFFF" w:themeFill="background1"/>
          </w:tcPr>
          <w:p w14:paraId="5FBA6E40" w14:textId="733B86F9" w:rsidR="00752A55" w:rsidRPr="008F0A64" w:rsidRDefault="00752A55" w:rsidP="00E91719">
            <w:pPr>
              <w:pStyle w:val="TableBodyText"/>
              <w:spacing w:line="252" w:lineRule="auto"/>
              <w:rPr>
                <w:bCs/>
                <w:color w:val="000000"/>
                <w:sz w:val="16"/>
                <w:szCs w:val="16"/>
              </w:rPr>
            </w:pPr>
          </w:p>
        </w:tc>
        <w:tc>
          <w:tcPr>
            <w:tcW w:w="401" w:type="pct"/>
            <w:tcBorders>
              <w:bottom w:val="single" w:sz="4" w:space="0" w:color="auto"/>
            </w:tcBorders>
            <w:shd w:val="clear" w:color="auto" w:fill="FFFFFF" w:themeFill="background1"/>
          </w:tcPr>
          <w:p w14:paraId="3B41ADBE" w14:textId="3CEE332D" w:rsidR="00752A55" w:rsidRPr="008F0A64" w:rsidRDefault="00752A55" w:rsidP="00E91719">
            <w:pPr>
              <w:pStyle w:val="TableBodyText"/>
              <w:spacing w:line="252" w:lineRule="auto"/>
              <w:rPr>
                <w:bCs/>
                <w:color w:val="000000"/>
                <w:sz w:val="16"/>
                <w:szCs w:val="16"/>
              </w:rPr>
            </w:pPr>
            <w:r w:rsidRPr="008F0A64">
              <w:rPr>
                <w:bCs/>
                <w:color w:val="000000"/>
                <w:sz w:val="16"/>
                <w:szCs w:val="16"/>
              </w:rPr>
              <w:t>Other curtailment risks</w:t>
            </w:r>
          </w:p>
        </w:tc>
        <w:tc>
          <w:tcPr>
            <w:tcW w:w="899" w:type="pct"/>
            <w:tcBorders>
              <w:bottom w:val="single" w:sz="4" w:space="0" w:color="auto"/>
            </w:tcBorders>
            <w:shd w:val="clear" w:color="auto" w:fill="FFFFFF" w:themeFill="background1"/>
          </w:tcPr>
          <w:p w14:paraId="61B319E1" w14:textId="364B633E" w:rsidR="00752A55" w:rsidRPr="008F0A64" w:rsidRDefault="00752A55" w:rsidP="00E91719">
            <w:pPr>
              <w:pStyle w:val="TableBodyText"/>
              <w:spacing w:line="252" w:lineRule="auto"/>
              <w:rPr>
                <w:sz w:val="16"/>
                <w:szCs w:val="16"/>
                <w:lang w:eastAsia="fr-CA"/>
              </w:rPr>
            </w:pPr>
            <w:r w:rsidRPr="008F0A64">
              <w:rPr>
                <w:color w:val="000000"/>
                <w:sz w:val="16"/>
                <w:szCs w:val="16"/>
              </w:rPr>
              <w:t>Auction winner curtailed before shippers with firm rights but after shippers with as available and interruptible rights.</w:t>
            </w:r>
          </w:p>
        </w:tc>
        <w:tc>
          <w:tcPr>
            <w:tcW w:w="973" w:type="pct"/>
            <w:tcBorders>
              <w:bottom w:val="single" w:sz="4" w:space="0" w:color="auto"/>
            </w:tcBorders>
            <w:shd w:val="clear" w:color="auto" w:fill="FFFFFF" w:themeFill="background1"/>
          </w:tcPr>
          <w:p w14:paraId="2EF4ADFF" w14:textId="56A6A1B0" w:rsidR="00752A55" w:rsidRPr="008F0A64" w:rsidRDefault="00752A55" w:rsidP="00E91719">
            <w:pPr>
              <w:pStyle w:val="TableBodyText"/>
              <w:spacing w:line="252" w:lineRule="auto"/>
              <w:rPr>
                <w:sz w:val="16"/>
                <w:szCs w:val="16"/>
                <w:lang w:eastAsia="fr-CA"/>
              </w:rPr>
            </w:pPr>
            <w:r w:rsidRPr="008F0A64">
              <w:rPr>
                <w:color w:val="000000"/>
                <w:sz w:val="16"/>
                <w:szCs w:val="16"/>
              </w:rPr>
              <w:t>Auction winner curtailed before shippers with firm and as available rights but after shippers with interruptible rights.</w:t>
            </w:r>
          </w:p>
        </w:tc>
        <w:tc>
          <w:tcPr>
            <w:tcW w:w="978" w:type="pct"/>
            <w:tcBorders>
              <w:bottom w:val="single" w:sz="4" w:space="0" w:color="auto"/>
            </w:tcBorders>
            <w:shd w:val="clear" w:color="auto" w:fill="FFFFFF" w:themeFill="background1"/>
          </w:tcPr>
          <w:p w14:paraId="7BC3E0A2" w14:textId="60E6A854" w:rsidR="00752A55" w:rsidRPr="008F0A64" w:rsidRDefault="00752A55" w:rsidP="00E91719">
            <w:pPr>
              <w:pStyle w:val="TableBodyText"/>
              <w:spacing w:line="252" w:lineRule="auto"/>
              <w:rPr>
                <w:sz w:val="16"/>
                <w:szCs w:val="16"/>
                <w:lang w:eastAsia="fr-CA"/>
              </w:rPr>
            </w:pPr>
            <w:r w:rsidRPr="008F0A64">
              <w:rPr>
                <w:color w:val="000000"/>
                <w:sz w:val="16"/>
                <w:szCs w:val="16"/>
              </w:rPr>
              <w:t>Auction winner curtailed first.</w:t>
            </w:r>
          </w:p>
        </w:tc>
        <w:tc>
          <w:tcPr>
            <w:tcW w:w="1299" w:type="pct"/>
            <w:tcBorders>
              <w:bottom w:val="single" w:sz="4" w:space="0" w:color="auto"/>
            </w:tcBorders>
            <w:shd w:val="clear" w:color="auto" w:fill="FFFFFF" w:themeFill="background1"/>
          </w:tcPr>
          <w:p w14:paraId="248D8E41" w14:textId="39619403" w:rsidR="00752A55" w:rsidRPr="008F0A64" w:rsidRDefault="00752A55" w:rsidP="00E91719">
            <w:pPr>
              <w:pStyle w:val="TableBodyText"/>
              <w:spacing w:line="252" w:lineRule="auto"/>
              <w:rPr>
                <w:sz w:val="16"/>
                <w:szCs w:val="16"/>
                <w:lang w:eastAsia="fr-CA"/>
              </w:rPr>
            </w:pPr>
            <w:r w:rsidRPr="008F0A64">
              <w:rPr>
                <w:color w:val="000000"/>
                <w:sz w:val="16"/>
                <w:szCs w:val="16"/>
              </w:rPr>
              <w:t>Auction winner with second priority interruptible auction product will be curtailed first, but the auction winner with a firm auction product will be curtailed equal last (i.e. with the firm product).</w:t>
            </w:r>
          </w:p>
        </w:tc>
      </w:tr>
      <w:tr w:rsidR="008278CB" w:rsidRPr="008F0A64" w14:paraId="7CEDBD28" w14:textId="77777777" w:rsidTr="00752A55">
        <w:trPr>
          <w:cantSplit/>
          <w:trHeight w:val="542"/>
        </w:trPr>
        <w:tc>
          <w:tcPr>
            <w:tcW w:w="851" w:type="pct"/>
            <w:gridSpan w:val="2"/>
            <w:vMerge w:val="restart"/>
            <w:shd w:val="clear" w:color="auto" w:fill="E1E2E7" w:themeFill="background2"/>
          </w:tcPr>
          <w:p w14:paraId="3C62F48C" w14:textId="77777777" w:rsidR="008278CB" w:rsidRPr="008F0A64" w:rsidRDefault="008278CB" w:rsidP="000E2DEF">
            <w:pPr>
              <w:pStyle w:val="TableBodyText"/>
              <w:spacing w:before="40" w:after="20" w:line="245" w:lineRule="auto"/>
              <w:rPr>
                <w:bCs/>
                <w:color w:val="000000"/>
                <w:sz w:val="16"/>
                <w:szCs w:val="16"/>
              </w:rPr>
            </w:pPr>
            <w:r w:rsidRPr="008F0A64">
              <w:rPr>
                <w:bCs/>
                <w:color w:val="000000"/>
                <w:sz w:val="16"/>
                <w:szCs w:val="16"/>
              </w:rPr>
              <w:t>Gaming risks</w:t>
            </w:r>
          </w:p>
        </w:tc>
        <w:tc>
          <w:tcPr>
            <w:tcW w:w="4149" w:type="pct"/>
            <w:gridSpan w:val="4"/>
            <w:shd w:val="clear" w:color="auto" w:fill="E1E2E7" w:themeFill="background2"/>
          </w:tcPr>
          <w:p w14:paraId="3B4C65E4" w14:textId="375CA8F5" w:rsidR="008278CB" w:rsidRPr="008F0A64" w:rsidRDefault="008278CB" w:rsidP="000E2DEF">
            <w:pPr>
              <w:pStyle w:val="TableBodyText"/>
              <w:spacing w:before="40" w:after="20" w:line="245" w:lineRule="auto"/>
              <w:rPr>
                <w:sz w:val="16"/>
                <w:szCs w:val="16"/>
                <w:lang w:eastAsia="fr-CA"/>
              </w:rPr>
            </w:pPr>
            <w:r w:rsidRPr="008F0A64">
              <w:rPr>
                <w:bCs/>
                <w:color w:val="000000"/>
                <w:sz w:val="16"/>
                <w:szCs w:val="16"/>
              </w:rPr>
              <w:t xml:space="preserve">Risk </w:t>
            </w:r>
            <w:r w:rsidR="0033561E" w:rsidRPr="008F0A64">
              <w:rPr>
                <w:bCs/>
                <w:color w:val="000000"/>
                <w:sz w:val="16"/>
                <w:szCs w:val="16"/>
              </w:rPr>
              <w:t xml:space="preserve">that </w:t>
            </w:r>
            <w:r w:rsidR="00BB523B" w:rsidRPr="008F0A64">
              <w:rPr>
                <w:bCs/>
                <w:color w:val="000000"/>
                <w:sz w:val="16"/>
                <w:szCs w:val="16"/>
              </w:rPr>
              <w:t xml:space="preserve">shippers </w:t>
            </w:r>
            <w:r w:rsidR="0033561E" w:rsidRPr="008F0A64">
              <w:rPr>
                <w:bCs/>
                <w:color w:val="000000"/>
                <w:sz w:val="16"/>
                <w:szCs w:val="16"/>
              </w:rPr>
              <w:t xml:space="preserve">that have </w:t>
            </w:r>
            <w:r w:rsidRPr="008F0A64">
              <w:rPr>
                <w:bCs/>
                <w:color w:val="000000"/>
                <w:sz w:val="16"/>
                <w:szCs w:val="16"/>
              </w:rPr>
              <w:t xml:space="preserve">higher priority </w:t>
            </w:r>
            <w:r w:rsidR="0033561E" w:rsidRPr="008F0A64">
              <w:rPr>
                <w:bCs/>
                <w:color w:val="000000"/>
                <w:sz w:val="16"/>
                <w:szCs w:val="16"/>
              </w:rPr>
              <w:t xml:space="preserve">renomination rights than auction winners </w:t>
            </w:r>
            <w:r w:rsidR="00DA008E">
              <w:rPr>
                <w:bCs/>
                <w:color w:val="000000"/>
                <w:sz w:val="16"/>
                <w:szCs w:val="16"/>
              </w:rPr>
              <w:t>under-nomi</w:t>
            </w:r>
            <w:r w:rsidR="00D703F2">
              <w:rPr>
                <w:bCs/>
                <w:color w:val="000000"/>
                <w:sz w:val="16"/>
                <w:szCs w:val="16"/>
              </w:rPr>
              <w:t>nate on gas day D-1 and then re</w:t>
            </w:r>
            <w:r w:rsidR="00DA008E">
              <w:rPr>
                <w:bCs/>
                <w:color w:val="000000"/>
                <w:sz w:val="16"/>
                <w:szCs w:val="16"/>
              </w:rPr>
              <w:t xml:space="preserve">nominate </w:t>
            </w:r>
            <w:r w:rsidR="00D703F2">
              <w:rPr>
                <w:bCs/>
                <w:color w:val="000000"/>
                <w:sz w:val="16"/>
                <w:szCs w:val="16"/>
              </w:rPr>
              <w:t xml:space="preserve">upward on gas day D </w:t>
            </w:r>
            <w:r w:rsidR="00DA008E">
              <w:rPr>
                <w:bCs/>
                <w:color w:val="000000"/>
                <w:sz w:val="16"/>
                <w:szCs w:val="16"/>
              </w:rPr>
              <w:t>as part of a deliberate</w:t>
            </w:r>
            <w:r w:rsidR="0033561E" w:rsidRPr="008F0A64">
              <w:rPr>
                <w:bCs/>
                <w:color w:val="000000"/>
                <w:sz w:val="16"/>
                <w:szCs w:val="16"/>
              </w:rPr>
              <w:t xml:space="preserve"> </w:t>
            </w:r>
            <w:r w:rsidR="00DA008E">
              <w:rPr>
                <w:bCs/>
                <w:color w:val="000000"/>
                <w:sz w:val="16"/>
                <w:szCs w:val="16"/>
              </w:rPr>
              <w:t xml:space="preserve">strategy to disrupt </w:t>
            </w:r>
            <w:r w:rsidRPr="008F0A64">
              <w:rPr>
                <w:bCs/>
                <w:color w:val="000000"/>
                <w:sz w:val="16"/>
                <w:szCs w:val="16"/>
              </w:rPr>
              <w:t>auction winners</w:t>
            </w:r>
            <w:r w:rsidR="00D703F2">
              <w:rPr>
                <w:bCs/>
                <w:color w:val="000000"/>
                <w:sz w:val="16"/>
                <w:szCs w:val="16"/>
              </w:rPr>
              <w:t xml:space="preserve">, which could </w:t>
            </w:r>
            <w:r w:rsidR="00BB523B" w:rsidRPr="008F0A64">
              <w:rPr>
                <w:bCs/>
                <w:color w:val="000000"/>
                <w:sz w:val="16"/>
                <w:szCs w:val="16"/>
              </w:rPr>
              <w:t xml:space="preserve">discourage </w:t>
            </w:r>
            <w:r w:rsidR="00D703F2">
              <w:rPr>
                <w:bCs/>
                <w:color w:val="000000"/>
                <w:sz w:val="16"/>
                <w:szCs w:val="16"/>
              </w:rPr>
              <w:t xml:space="preserve">auction participants </w:t>
            </w:r>
            <w:r w:rsidR="00BB523B" w:rsidRPr="008F0A64">
              <w:rPr>
                <w:bCs/>
                <w:color w:val="000000"/>
                <w:sz w:val="16"/>
                <w:szCs w:val="16"/>
              </w:rPr>
              <w:t xml:space="preserve">from using this </w:t>
            </w:r>
            <w:r w:rsidR="00D703F2">
              <w:rPr>
                <w:bCs/>
                <w:color w:val="000000"/>
                <w:sz w:val="16"/>
                <w:szCs w:val="16"/>
              </w:rPr>
              <w:t xml:space="preserve">auction because they lose trust in the ‘firmness’ of the auction product </w:t>
            </w:r>
            <w:r w:rsidRPr="008F0A64">
              <w:rPr>
                <w:bCs/>
                <w:color w:val="000000"/>
                <w:sz w:val="16"/>
                <w:szCs w:val="16"/>
              </w:rPr>
              <w:t>(note this would not affect the firm auction product under the hybrid option but would affect the second priority interruptible auction product)</w:t>
            </w:r>
          </w:p>
        </w:tc>
      </w:tr>
      <w:tr w:rsidR="00D703F2" w:rsidRPr="008F0A64" w14:paraId="47819F73" w14:textId="77777777" w:rsidTr="007C65C1">
        <w:trPr>
          <w:cnfStyle w:val="000000010000" w:firstRow="0" w:lastRow="0" w:firstColumn="0" w:lastColumn="0" w:oddVBand="0" w:evenVBand="0" w:oddHBand="0" w:evenHBand="1" w:firstRowFirstColumn="0" w:firstRowLastColumn="0" w:lastRowFirstColumn="0" w:lastRowLastColumn="0"/>
          <w:cantSplit/>
          <w:trHeight w:val="542"/>
        </w:trPr>
        <w:tc>
          <w:tcPr>
            <w:tcW w:w="851" w:type="pct"/>
            <w:gridSpan w:val="2"/>
            <w:vMerge/>
          </w:tcPr>
          <w:p w14:paraId="411370F2" w14:textId="77777777" w:rsidR="00D703F2" w:rsidRPr="008F0A64" w:rsidRDefault="00D703F2" w:rsidP="000E2DEF">
            <w:pPr>
              <w:pStyle w:val="TableBodyText"/>
              <w:spacing w:before="40" w:after="20" w:line="245" w:lineRule="auto"/>
              <w:rPr>
                <w:bCs/>
                <w:color w:val="000000"/>
                <w:sz w:val="16"/>
                <w:szCs w:val="16"/>
              </w:rPr>
            </w:pPr>
          </w:p>
        </w:tc>
        <w:tc>
          <w:tcPr>
            <w:tcW w:w="4149" w:type="pct"/>
            <w:gridSpan w:val="4"/>
            <w:tcBorders>
              <w:bottom w:val="single" w:sz="4" w:space="0" w:color="auto"/>
            </w:tcBorders>
          </w:tcPr>
          <w:p w14:paraId="21E0C8BC" w14:textId="5EA2C528" w:rsidR="00D703F2" w:rsidRPr="008F0A64" w:rsidRDefault="00D703F2" w:rsidP="000E2DEF">
            <w:pPr>
              <w:pStyle w:val="TableBodyText"/>
              <w:spacing w:before="40" w:after="20" w:line="245" w:lineRule="auto"/>
              <w:rPr>
                <w:bCs/>
                <w:color w:val="000000"/>
                <w:sz w:val="16"/>
                <w:szCs w:val="16"/>
              </w:rPr>
            </w:pPr>
            <w:r w:rsidRPr="008F0A64">
              <w:rPr>
                <w:bCs/>
                <w:color w:val="000000"/>
                <w:sz w:val="16"/>
                <w:szCs w:val="16"/>
              </w:rPr>
              <w:t xml:space="preserve">Risk </w:t>
            </w:r>
            <w:r>
              <w:rPr>
                <w:bCs/>
                <w:color w:val="000000"/>
                <w:sz w:val="16"/>
                <w:szCs w:val="16"/>
              </w:rPr>
              <w:t xml:space="preserve">that shippers that have higher priority in the scheduling order engage in a withholding game by over-nominating on gas day D-1 and then renominate downward on gas day D to prevent </w:t>
            </w:r>
            <w:r w:rsidR="007C65C1">
              <w:rPr>
                <w:bCs/>
                <w:color w:val="000000"/>
                <w:sz w:val="16"/>
                <w:szCs w:val="16"/>
              </w:rPr>
              <w:t xml:space="preserve">auction participants </w:t>
            </w:r>
            <w:r>
              <w:rPr>
                <w:bCs/>
                <w:color w:val="000000"/>
                <w:sz w:val="16"/>
                <w:szCs w:val="16"/>
              </w:rPr>
              <w:t xml:space="preserve">from obtaining capacity through the day-ahead auction. </w:t>
            </w:r>
          </w:p>
        </w:tc>
      </w:tr>
      <w:tr w:rsidR="008278CB" w:rsidRPr="008F0A64" w14:paraId="48BE60FC" w14:textId="77777777" w:rsidTr="007C65C1">
        <w:trPr>
          <w:cantSplit/>
          <w:trHeight w:val="541"/>
        </w:trPr>
        <w:tc>
          <w:tcPr>
            <w:tcW w:w="851" w:type="pct"/>
            <w:gridSpan w:val="2"/>
            <w:vMerge/>
          </w:tcPr>
          <w:p w14:paraId="477EA5DC" w14:textId="77777777" w:rsidR="008278CB" w:rsidRPr="008F0A64" w:rsidRDefault="008278CB" w:rsidP="000E2DEF">
            <w:pPr>
              <w:pStyle w:val="TableBodyText"/>
              <w:spacing w:before="40" w:after="20" w:line="245" w:lineRule="auto"/>
              <w:rPr>
                <w:bCs/>
                <w:color w:val="000000"/>
                <w:sz w:val="16"/>
                <w:szCs w:val="16"/>
              </w:rPr>
            </w:pPr>
          </w:p>
        </w:tc>
        <w:tc>
          <w:tcPr>
            <w:tcW w:w="899" w:type="pct"/>
            <w:shd w:val="clear" w:color="auto" w:fill="E1E2E7" w:themeFill="background2"/>
          </w:tcPr>
          <w:p w14:paraId="60ADCC5A" w14:textId="77777777" w:rsidR="008278CB" w:rsidRPr="008F0A64" w:rsidRDefault="008278CB" w:rsidP="000E2DEF">
            <w:pPr>
              <w:pStyle w:val="TableBodyText"/>
              <w:spacing w:before="40" w:after="20" w:line="245" w:lineRule="auto"/>
              <w:rPr>
                <w:sz w:val="16"/>
                <w:szCs w:val="16"/>
                <w:lang w:eastAsia="fr-CA"/>
              </w:rPr>
            </w:pPr>
            <w:proofErr w:type="spellStart"/>
            <w:r w:rsidRPr="008F0A64">
              <w:rPr>
                <w:sz w:val="16"/>
                <w:szCs w:val="16"/>
                <w:lang w:eastAsia="fr-CA"/>
              </w:rPr>
              <w:t>n.a</w:t>
            </w:r>
            <w:proofErr w:type="spellEnd"/>
            <w:r w:rsidRPr="008F0A64">
              <w:rPr>
                <w:sz w:val="16"/>
                <w:szCs w:val="16"/>
                <w:lang w:eastAsia="fr-CA"/>
              </w:rPr>
              <w:t>.</w:t>
            </w:r>
          </w:p>
        </w:tc>
        <w:tc>
          <w:tcPr>
            <w:tcW w:w="3250" w:type="pct"/>
            <w:gridSpan w:val="3"/>
            <w:shd w:val="clear" w:color="auto" w:fill="E1E2E7" w:themeFill="background2"/>
          </w:tcPr>
          <w:p w14:paraId="068573F6" w14:textId="5576921B" w:rsidR="008278CB" w:rsidRPr="008F0A64" w:rsidRDefault="008278CB" w:rsidP="000E2DEF">
            <w:pPr>
              <w:pStyle w:val="TableBodyText"/>
              <w:spacing w:before="40" w:after="20" w:line="245" w:lineRule="auto"/>
              <w:rPr>
                <w:sz w:val="16"/>
                <w:szCs w:val="16"/>
                <w:lang w:eastAsia="fr-CA"/>
              </w:rPr>
            </w:pPr>
            <w:r w:rsidRPr="008F0A64">
              <w:rPr>
                <w:bCs/>
                <w:color w:val="000000"/>
                <w:sz w:val="16"/>
                <w:szCs w:val="16"/>
              </w:rPr>
              <w:t xml:space="preserve">Risk that </w:t>
            </w:r>
            <w:r w:rsidR="00BB523B" w:rsidRPr="008F0A64">
              <w:rPr>
                <w:bCs/>
                <w:color w:val="000000"/>
                <w:sz w:val="16"/>
                <w:szCs w:val="16"/>
              </w:rPr>
              <w:t xml:space="preserve">shippers with </w:t>
            </w:r>
            <w:r w:rsidRPr="008F0A64">
              <w:rPr>
                <w:bCs/>
                <w:color w:val="000000"/>
                <w:sz w:val="16"/>
                <w:szCs w:val="16"/>
              </w:rPr>
              <w:t xml:space="preserve">as available or interruptible </w:t>
            </w:r>
            <w:r w:rsidR="00BB523B" w:rsidRPr="008F0A64">
              <w:rPr>
                <w:bCs/>
                <w:color w:val="000000"/>
                <w:sz w:val="16"/>
                <w:szCs w:val="16"/>
              </w:rPr>
              <w:t xml:space="preserve">rights </w:t>
            </w:r>
            <w:r w:rsidRPr="008F0A64">
              <w:rPr>
                <w:bCs/>
                <w:color w:val="000000"/>
                <w:sz w:val="16"/>
                <w:szCs w:val="16"/>
              </w:rPr>
              <w:t xml:space="preserve">nominate to use </w:t>
            </w:r>
            <w:r w:rsidR="00BB523B" w:rsidRPr="008F0A64">
              <w:rPr>
                <w:bCs/>
                <w:color w:val="000000"/>
                <w:sz w:val="16"/>
                <w:szCs w:val="16"/>
              </w:rPr>
              <w:t xml:space="preserve">these rights </w:t>
            </w:r>
            <w:r w:rsidRPr="008F0A64">
              <w:rPr>
                <w:bCs/>
                <w:color w:val="000000"/>
                <w:sz w:val="16"/>
                <w:szCs w:val="16"/>
              </w:rPr>
              <w:t xml:space="preserve">and </w:t>
            </w:r>
            <w:r w:rsidR="00BB523B" w:rsidRPr="008F0A64">
              <w:rPr>
                <w:bCs/>
                <w:color w:val="000000"/>
                <w:sz w:val="16"/>
                <w:szCs w:val="16"/>
              </w:rPr>
              <w:t xml:space="preserve">then </w:t>
            </w:r>
            <w:r w:rsidRPr="008F0A64">
              <w:rPr>
                <w:bCs/>
                <w:color w:val="000000"/>
                <w:sz w:val="16"/>
                <w:szCs w:val="16"/>
              </w:rPr>
              <w:t>renominate down if they procure capacity in the auction at a lower price</w:t>
            </w:r>
            <w:r w:rsidR="00BB523B" w:rsidRPr="008F0A64">
              <w:rPr>
                <w:bCs/>
                <w:color w:val="000000"/>
                <w:sz w:val="16"/>
                <w:szCs w:val="16"/>
              </w:rPr>
              <w:t xml:space="preserve">, which could occur if as available and interruptible tariffs are only charged on the basis of actual throughput. If </w:t>
            </w:r>
            <w:r w:rsidRPr="008F0A64">
              <w:rPr>
                <w:bCs/>
                <w:color w:val="000000"/>
                <w:sz w:val="16"/>
                <w:szCs w:val="16"/>
              </w:rPr>
              <w:t xml:space="preserve">this </w:t>
            </w:r>
            <w:r w:rsidR="00BB523B" w:rsidRPr="008F0A64">
              <w:rPr>
                <w:bCs/>
                <w:color w:val="000000"/>
                <w:sz w:val="16"/>
                <w:szCs w:val="16"/>
              </w:rPr>
              <w:t>does occur</w:t>
            </w:r>
            <w:r w:rsidRPr="008F0A64">
              <w:rPr>
                <w:bCs/>
                <w:color w:val="000000"/>
                <w:sz w:val="16"/>
                <w:szCs w:val="16"/>
              </w:rPr>
              <w:t xml:space="preserve"> it will reduce the capacity released in the auction</w:t>
            </w:r>
            <w:r w:rsidR="00055169">
              <w:rPr>
                <w:bCs/>
                <w:color w:val="000000"/>
                <w:sz w:val="16"/>
                <w:szCs w:val="16"/>
              </w:rPr>
              <w:t>.</w:t>
            </w:r>
          </w:p>
        </w:tc>
      </w:tr>
      <w:tr w:rsidR="005401D7" w:rsidRPr="008F0A64" w14:paraId="27D024B7" w14:textId="77777777" w:rsidTr="00BB523B">
        <w:trPr>
          <w:cnfStyle w:val="000000010000" w:firstRow="0" w:lastRow="0" w:firstColumn="0" w:lastColumn="0" w:oddVBand="0" w:evenVBand="0" w:oddHBand="0" w:evenHBand="1" w:firstRowFirstColumn="0" w:firstRowLastColumn="0" w:lastRowFirstColumn="0" w:lastRowLastColumn="0"/>
          <w:cantSplit/>
          <w:trHeight w:val="1193"/>
        </w:trPr>
        <w:tc>
          <w:tcPr>
            <w:tcW w:w="450" w:type="pct"/>
            <w:vMerge w:val="restart"/>
            <w:shd w:val="clear" w:color="auto" w:fill="FFFFFF" w:themeFill="background1"/>
          </w:tcPr>
          <w:p w14:paraId="6D8CEBEC" w14:textId="02EF3C05" w:rsidR="009854AD" w:rsidRPr="008F0A64" w:rsidRDefault="00BB523B" w:rsidP="000E2DEF">
            <w:pPr>
              <w:pStyle w:val="TableBodyText"/>
              <w:spacing w:before="40" w:after="20" w:line="245" w:lineRule="auto"/>
              <w:rPr>
                <w:bCs/>
                <w:color w:val="000000"/>
                <w:sz w:val="16"/>
                <w:szCs w:val="16"/>
              </w:rPr>
            </w:pPr>
            <w:r w:rsidRPr="008F0A64">
              <w:rPr>
                <w:bCs/>
                <w:color w:val="000000"/>
                <w:sz w:val="16"/>
                <w:szCs w:val="16"/>
              </w:rPr>
              <w:t xml:space="preserve">Effect </w:t>
            </w:r>
            <w:r w:rsidR="009854AD" w:rsidRPr="008F0A64">
              <w:rPr>
                <w:bCs/>
                <w:color w:val="000000"/>
                <w:sz w:val="16"/>
                <w:szCs w:val="16"/>
              </w:rPr>
              <w:t xml:space="preserve">of product design on </w:t>
            </w:r>
            <w:r w:rsidRPr="008F0A64">
              <w:rPr>
                <w:bCs/>
                <w:color w:val="000000"/>
                <w:sz w:val="16"/>
                <w:szCs w:val="16"/>
              </w:rPr>
              <w:t xml:space="preserve">incentives </w:t>
            </w:r>
            <w:r w:rsidR="00E340A7">
              <w:rPr>
                <w:bCs/>
                <w:color w:val="000000"/>
                <w:sz w:val="16"/>
                <w:szCs w:val="16"/>
              </w:rPr>
              <w:t xml:space="preserve">for </w:t>
            </w:r>
            <w:r w:rsidRPr="008F0A64">
              <w:rPr>
                <w:bCs/>
                <w:color w:val="000000"/>
                <w:sz w:val="16"/>
                <w:szCs w:val="16"/>
              </w:rPr>
              <w:t xml:space="preserve">parties </w:t>
            </w:r>
            <w:r w:rsidR="00E340A7">
              <w:rPr>
                <w:bCs/>
                <w:color w:val="000000"/>
                <w:sz w:val="16"/>
                <w:szCs w:val="16"/>
              </w:rPr>
              <w:t xml:space="preserve">to </w:t>
            </w:r>
            <w:r w:rsidR="0034474D" w:rsidRPr="008F0A64">
              <w:rPr>
                <w:bCs/>
                <w:color w:val="000000"/>
                <w:sz w:val="16"/>
                <w:szCs w:val="16"/>
              </w:rPr>
              <w:t>trade prior to the auction</w:t>
            </w:r>
          </w:p>
        </w:tc>
        <w:tc>
          <w:tcPr>
            <w:tcW w:w="401" w:type="pct"/>
            <w:shd w:val="clear" w:color="auto" w:fill="FFFFFF" w:themeFill="background1"/>
          </w:tcPr>
          <w:p w14:paraId="3BAD3F25" w14:textId="62E13EB5" w:rsidR="009854AD" w:rsidRPr="008F0A64" w:rsidRDefault="0038125F" w:rsidP="000E2DEF">
            <w:pPr>
              <w:pStyle w:val="TableBodyText"/>
              <w:spacing w:before="40" w:after="20" w:line="245" w:lineRule="auto"/>
              <w:rPr>
                <w:bCs/>
                <w:color w:val="000000"/>
                <w:sz w:val="16"/>
                <w:szCs w:val="16"/>
              </w:rPr>
            </w:pPr>
            <w:r w:rsidRPr="008F0A64">
              <w:rPr>
                <w:bCs/>
                <w:color w:val="000000"/>
                <w:sz w:val="16"/>
                <w:szCs w:val="16"/>
              </w:rPr>
              <w:t>S</w:t>
            </w:r>
            <w:r w:rsidR="00BB523B" w:rsidRPr="008F0A64">
              <w:rPr>
                <w:bCs/>
                <w:color w:val="000000"/>
                <w:sz w:val="16"/>
                <w:szCs w:val="16"/>
              </w:rPr>
              <w:t xml:space="preserve">hippers with </w:t>
            </w:r>
            <w:r w:rsidR="009854AD" w:rsidRPr="008F0A64">
              <w:rPr>
                <w:bCs/>
                <w:color w:val="000000"/>
                <w:sz w:val="16"/>
                <w:szCs w:val="16"/>
              </w:rPr>
              <w:t xml:space="preserve">firm </w:t>
            </w:r>
            <w:r w:rsidR="00BB523B" w:rsidRPr="008F0A64">
              <w:rPr>
                <w:bCs/>
                <w:color w:val="000000"/>
                <w:sz w:val="16"/>
                <w:szCs w:val="16"/>
              </w:rPr>
              <w:t>rights</w:t>
            </w:r>
            <w:r w:rsidRPr="008F0A64">
              <w:rPr>
                <w:bCs/>
                <w:color w:val="000000"/>
                <w:sz w:val="16"/>
                <w:szCs w:val="16"/>
              </w:rPr>
              <w:t xml:space="preserve"> - incentive to sell</w:t>
            </w:r>
          </w:p>
        </w:tc>
        <w:tc>
          <w:tcPr>
            <w:tcW w:w="899" w:type="pct"/>
            <w:shd w:val="clear" w:color="auto" w:fill="FFFFFF" w:themeFill="background1"/>
          </w:tcPr>
          <w:p w14:paraId="005C45E3" w14:textId="480468ED" w:rsidR="009854AD" w:rsidRPr="008F0A64" w:rsidRDefault="00BB523B" w:rsidP="000E2DEF">
            <w:pPr>
              <w:pStyle w:val="TableBodyText"/>
              <w:spacing w:before="40" w:after="20" w:line="245" w:lineRule="auto"/>
              <w:rPr>
                <w:sz w:val="16"/>
                <w:szCs w:val="16"/>
                <w:lang w:eastAsia="fr-CA"/>
              </w:rPr>
            </w:pPr>
            <w:r w:rsidRPr="008F0A64">
              <w:rPr>
                <w:sz w:val="16"/>
                <w:szCs w:val="16"/>
                <w:lang w:eastAsia="fr-CA"/>
              </w:rPr>
              <w:t>Shippers with f</w:t>
            </w:r>
            <w:r w:rsidR="009854AD" w:rsidRPr="008F0A64">
              <w:rPr>
                <w:sz w:val="16"/>
                <w:szCs w:val="16"/>
                <w:lang w:eastAsia="fr-CA"/>
              </w:rPr>
              <w:t xml:space="preserve">irm </w:t>
            </w:r>
            <w:r w:rsidRPr="008F0A64">
              <w:rPr>
                <w:sz w:val="16"/>
                <w:szCs w:val="16"/>
                <w:lang w:eastAsia="fr-CA"/>
              </w:rPr>
              <w:t xml:space="preserve">rights </w:t>
            </w:r>
            <w:r w:rsidR="000E2DEF" w:rsidRPr="008F0A64">
              <w:rPr>
                <w:sz w:val="16"/>
                <w:szCs w:val="16"/>
                <w:lang w:eastAsia="fr-CA"/>
              </w:rPr>
              <w:t xml:space="preserve">that may otherwise try to withhold capacity </w:t>
            </w:r>
            <w:r w:rsidR="009854AD" w:rsidRPr="008F0A64">
              <w:rPr>
                <w:sz w:val="16"/>
                <w:szCs w:val="16"/>
                <w:lang w:eastAsia="fr-CA"/>
              </w:rPr>
              <w:t xml:space="preserve">should have a </w:t>
            </w:r>
            <w:r w:rsidR="008976DC" w:rsidRPr="008F0A64">
              <w:rPr>
                <w:sz w:val="16"/>
                <w:szCs w:val="16"/>
                <w:lang w:eastAsia="fr-CA"/>
              </w:rPr>
              <w:t xml:space="preserve">relatively </w:t>
            </w:r>
            <w:r w:rsidR="009854AD" w:rsidRPr="008F0A64">
              <w:rPr>
                <w:sz w:val="16"/>
                <w:szCs w:val="16"/>
                <w:lang w:eastAsia="fr-CA"/>
              </w:rPr>
              <w:t xml:space="preserve">strong incentive to </w:t>
            </w:r>
            <w:r w:rsidR="000E2DEF" w:rsidRPr="008F0A64">
              <w:rPr>
                <w:sz w:val="16"/>
                <w:szCs w:val="16"/>
                <w:lang w:eastAsia="fr-CA"/>
              </w:rPr>
              <w:t>sell</w:t>
            </w:r>
            <w:r w:rsidR="00C15732" w:rsidRPr="008F0A64">
              <w:rPr>
                <w:sz w:val="16"/>
                <w:szCs w:val="16"/>
                <w:lang w:eastAsia="fr-CA"/>
              </w:rPr>
              <w:t xml:space="preserve"> </w:t>
            </w:r>
            <w:r w:rsidR="000E2DEF" w:rsidRPr="008F0A64">
              <w:rPr>
                <w:sz w:val="16"/>
                <w:szCs w:val="16"/>
                <w:lang w:eastAsia="fr-CA"/>
              </w:rPr>
              <w:t xml:space="preserve">spare </w:t>
            </w:r>
            <w:r w:rsidR="009854AD" w:rsidRPr="008F0A64">
              <w:rPr>
                <w:sz w:val="16"/>
                <w:szCs w:val="16"/>
                <w:lang w:eastAsia="fr-CA"/>
              </w:rPr>
              <w:t xml:space="preserve">capacity </w:t>
            </w:r>
            <w:r w:rsidR="008976DC" w:rsidRPr="008F0A64">
              <w:rPr>
                <w:sz w:val="16"/>
                <w:szCs w:val="16"/>
                <w:lang w:eastAsia="fr-CA"/>
              </w:rPr>
              <w:t>prior to the auction</w:t>
            </w:r>
            <w:r w:rsidR="000E2DEF" w:rsidRPr="008F0A64">
              <w:rPr>
                <w:sz w:val="16"/>
                <w:szCs w:val="16"/>
                <w:lang w:eastAsia="fr-CA"/>
              </w:rPr>
              <w:t>,</w:t>
            </w:r>
            <w:r w:rsidR="008976DC" w:rsidRPr="008F0A64">
              <w:rPr>
                <w:sz w:val="16"/>
                <w:szCs w:val="16"/>
                <w:lang w:eastAsia="fr-CA"/>
              </w:rPr>
              <w:t xml:space="preserve"> </w:t>
            </w:r>
            <w:r w:rsidR="009854AD" w:rsidRPr="008F0A64">
              <w:rPr>
                <w:sz w:val="16"/>
                <w:szCs w:val="16"/>
                <w:lang w:eastAsia="fr-CA"/>
              </w:rPr>
              <w:t>because</w:t>
            </w:r>
            <w:r w:rsidR="00C15732" w:rsidRPr="008F0A64">
              <w:rPr>
                <w:sz w:val="16"/>
                <w:szCs w:val="16"/>
                <w:lang w:eastAsia="fr-CA"/>
              </w:rPr>
              <w:t xml:space="preserve"> </w:t>
            </w:r>
            <w:r w:rsidR="000E2DEF" w:rsidRPr="008F0A64">
              <w:rPr>
                <w:sz w:val="16"/>
                <w:szCs w:val="16"/>
                <w:lang w:eastAsia="fr-CA"/>
              </w:rPr>
              <w:t>the quality of the auction product is such that it could be viewed by prospective shippers as a close substitute for purchasing capacity from the shipper with firm rights</w:t>
            </w:r>
            <w:r w:rsidR="009854AD" w:rsidRPr="008F0A64">
              <w:rPr>
                <w:sz w:val="16"/>
                <w:szCs w:val="16"/>
                <w:lang w:eastAsia="fr-CA"/>
              </w:rPr>
              <w:t xml:space="preserve">. </w:t>
            </w:r>
          </w:p>
        </w:tc>
        <w:tc>
          <w:tcPr>
            <w:tcW w:w="973" w:type="pct"/>
            <w:shd w:val="clear" w:color="auto" w:fill="FFFFFF" w:themeFill="background1"/>
          </w:tcPr>
          <w:p w14:paraId="6EF1C7F7" w14:textId="4663E797" w:rsidR="009854AD" w:rsidRPr="008F0A64" w:rsidRDefault="000E2DEF" w:rsidP="000E2DEF">
            <w:pPr>
              <w:pStyle w:val="TableBodyText"/>
              <w:spacing w:before="40" w:after="20" w:line="245" w:lineRule="auto"/>
              <w:rPr>
                <w:sz w:val="16"/>
                <w:szCs w:val="16"/>
                <w:lang w:eastAsia="fr-CA"/>
              </w:rPr>
            </w:pPr>
            <w:r w:rsidRPr="008F0A64">
              <w:rPr>
                <w:sz w:val="16"/>
                <w:szCs w:val="16"/>
                <w:lang w:eastAsia="fr-CA"/>
              </w:rPr>
              <w:t xml:space="preserve">Shippers with firm rights that may otherwise try to withhold capacity may have a have a lower incentive </w:t>
            </w:r>
            <w:r w:rsidR="009854AD" w:rsidRPr="008F0A64">
              <w:rPr>
                <w:sz w:val="16"/>
                <w:szCs w:val="16"/>
                <w:lang w:eastAsia="fr-CA"/>
              </w:rPr>
              <w:t xml:space="preserve">to sell </w:t>
            </w:r>
            <w:r w:rsidRPr="008F0A64">
              <w:rPr>
                <w:sz w:val="16"/>
                <w:szCs w:val="16"/>
                <w:lang w:eastAsia="fr-CA"/>
              </w:rPr>
              <w:t xml:space="preserve">spare </w:t>
            </w:r>
            <w:r w:rsidR="009854AD" w:rsidRPr="008F0A64">
              <w:rPr>
                <w:sz w:val="16"/>
                <w:szCs w:val="16"/>
                <w:lang w:eastAsia="fr-CA"/>
              </w:rPr>
              <w:t>capacity than under the second priority firm product</w:t>
            </w:r>
            <w:r w:rsidRPr="008F0A64">
              <w:rPr>
                <w:sz w:val="16"/>
                <w:szCs w:val="16"/>
                <w:lang w:eastAsia="fr-CA"/>
              </w:rPr>
              <w:t>,</w:t>
            </w:r>
            <w:r w:rsidR="009854AD" w:rsidRPr="008F0A64">
              <w:rPr>
                <w:sz w:val="16"/>
                <w:szCs w:val="16"/>
                <w:lang w:eastAsia="fr-CA"/>
              </w:rPr>
              <w:t xml:space="preserve"> because the quality of </w:t>
            </w:r>
            <w:r w:rsidRPr="008F0A64">
              <w:rPr>
                <w:sz w:val="16"/>
                <w:szCs w:val="16"/>
                <w:lang w:eastAsia="fr-CA"/>
              </w:rPr>
              <w:t xml:space="preserve">the auction product </w:t>
            </w:r>
            <w:r w:rsidR="009854AD" w:rsidRPr="008F0A64">
              <w:rPr>
                <w:sz w:val="16"/>
                <w:szCs w:val="16"/>
                <w:lang w:eastAsia="fr-CA"/>
              </w:rPr>
              <w:t>is lower</w:t>
            </w:r>
            <w:r w:rsidRPr="008F0A64">
              <w:rPr>
                <w:sz w:val="16"/>
                <w:szCs w:val="16"/>
                <w:lang w:eastAsia="fr-CA"/>
              </w:rPr>
              <w:t xml:space="preserve"> and may not be viewed by prospective shippers as a close substitute for purchasing capacity from the shipper with firm rights</w:t>
            </w:r>
            <w:r w:rsidR="009854AD" w:rsidRPr="008F0A64">
              <w:rPr>
                <w:sz w:val="16"/>
                <w:szCs w:val="16"/>
                <w:lang w:eastAsia="fr-CA"/>
              </w:rPr>
              <w:t xml:space="preserve">. </w:t>
            </w:r>
          </w:p>
        </w:tc>
        <w:tc>
          <w:tcPr>
            <w:tcW w:w="978" w:type="pct"/>
            <w:shd w:val="clear" w:color="auto" w:fill="FFFFFF" w:themeFill="background1"/>
          </w:tcPr>
          <w:p w14:paraId="4C9138E8" w14:textId="3D224793" w:rsidR="009854AD" w:rsidRPr="008F0A64" w:rsidRDefault="000E2DEF" w:rsidP="000E2DEF">
            <w:pPr>
              <w:pStyle w:val="TableBodyText"/>
              <w:spacing w:before="40" w:after="20" w:line="245" w:lineRule="auto"/>
              <w:rPr>
                <w:sz w:val="16"/>
                <w:szCs w:val="16"/>
                <w:lang w:eastAsia="fr-CA"/>
              </w:rPr>
            </w:pPr>
            <w:r w:rsidRPr="008F0A64">
              <w:rPr>
                <w:sz w:val="16"/>
                <w:szCs w:val="16"/>
                <w:lang w:eastAsia="fr-CA"/>
              </w:rPr>
              <w:t>Shippers with firm rights that may otherwise try to withhold capacity will have limited incentive to sell any spare capacity they have, because the quality of product released in the auction is so low and would not be viewed by prospective shippers as a close substitute for purchasing capacity from the shipper with firm rights.</w:t>
            </w:r>
          </w:p>
        </w:tc>
        <w:tc>
          <w:tcPr>
            <w:tcW w:w="1299" w:type="pct"/>
            <w:shd w:val="clear" w:color="auto" w:fill="FFFFFF" w:themeFill="background1"/>
          </w:tcPr>
          <w:p w14:paraId="7A40ECFA" w14:textId="69AE44F3" w:rsidR="009854AD" w:rsidRPr="008F0A64" w:rsidRDefault="00BB523B" w:rsidP="000E2DEF">
            <w:pPr>
              <w:pStyle w:val="TableBodyText"/>
              <w:spacing w:before="40" w:after="20" w:line="245" w:lineRule="auto"/>
              <w:rPr>
                <w:sz w:val="16"/>
                <w:szCs w:val="16"/>
                <w:lang w:eastAsia="fr-CA"/>
              </w:rPr>
            </w:pPr>
            <w:r w:rsidRPr="008F0A64">
              <w:rPr>
                <w:sz w:val="16"/>
                <w:szCs w:val="16"/>
                <w:lang w:eastAsia="fr-CA"/>
              </w:rPr>
              <w:t>Shippers with firm rights</w:t>
            </w:r>
            <w:r w:rsidR="009854AD" w:rsidRPr="008F0A64">
              <w:rPr>
                <w:sz w:val="16"/>
                <w:szCs w:val="16"/>
                <w:lang w:eastAsia="fr-CA"/>
              </w:rPr>
              <w:t xml:space="preserve"> should have a relatively strong incentive to sell their capacity prior to the auction because a portion of the auctioned capacity will be sold on a firm basis. </w:t>
            </w:r>
          </w:p>
        </w:tc>
      </w:tr>
      <w:tr w:rsidR="009854AD" w:rsidRPr="008F0A64" w14:paraId="2A382E13" w14:textId="77777777" w:rsidTr="00BB523B">
        <w:trPr>
          <w:cantSplit/>
          <w:trHeight w:val="1311"/>
        </w:trPr>
        <w:tc>
          <w:tcPr>
            <w:tcW w:w="450" w:type="pct"/>
            <w:vMerge/>
            <w:shd w:val="clear" w:color="auto" w:fill="FFFFFF" w:themeFill="background1"/>
          </w:tcPr>
          <w:p w14:paraId="197AF1C9" w14:textId="77777777" w:rsidR="009854AD" w:rsidRPr="008F0A64" w:rsidRDefault="009854AD" w:rsidP="000E2DEF">
            <w:pPr>
              <w:pStyle w:val="TableBodyText"/>
              <w:spacing w:before="40" w:after="20" w:line="245" w:lineRule="auto"/>
              <w:rPr>
                <w:bCs/>
                <w:color w:val="000000"/>
                <w:sz w:val="16"/>
                <w:szCs w:val="16"/>
              </w:rPr>
            </w:pPr>
          </w:p>
        </w:tc>
        <w:tc>
          <w:tcPr>
            <w:tcW w:w="401" w:type="pct"/>
            <w:shd w:val="clear" w:color="auto" w:fill="FFFFFF" w:themeFill="background1"/>
          </w:tcPr>
          <w:p w14:paraId="2669593F" w14:textId="6C8BE909" w:rsidR="009854AD" w:rsidRPr="008F0A64" w:rsidRDefault="0038125F" w:rsidP="000E2DEF">
            <w:pPr>
              <w:pStyle w:val="TableBodyText"/>
              <w:spacing w:before="40" w:after="20" w:line="245" w:lineRule="auto"/>
              <w:rPr>
                <w:bCs/>
                <w:color w:val="000000"/>
                <w:sz w:val="16"/>
                <w:szCs w:val="16"/>
              </w:rPr>
            </w:pPr>
            <w:r w:rsidRPr="008F0A64">
              <w:rPr>
                <w:bCs/>
                <w:color w:val="000000"/>
                <w:sz w:val="16"/>
                <w:szCs w:val="16"/>
              </w:rPr>
              <w:t>S</w:t>
            </w:r>
            <w:r w:rsidR="009854AD" w:rsidRPr="008F0A64">
              <w:rPr>
                <w:bCs/>
                <w:color w:val="000000"/>
                <w:sz w:val="16"/>
                <w:szCs w:val="16"/>
              </w:rPr>
              <w:t>hippers seeking capacity</w:t>
            </w:r>
            <w:r w:rsidRPr="008F0A64">
              <w:rPr>
                <w:bCs/>
                <w:color w:val="000000"/>
                <w:sz w:val="16"/>
                <w:szCs w:val="16"/>
              </w:rPr>
              <w:t xml:space="preserve"> – incentive to buy</w:t>
            </w:r>
          </w:p>
        </w:tc>
        <w:tc>
          <w:tcPr>
            <w:tcW w:w="4149" w:type="pct"/>
            <w:gridSpan w:val="4"/>
            <w:shd w:val="clear" w:color="auto" w:fill="FFFFFF" w:themeFill="background1"/>
          </w:tcPr>
          <w:p w14:paraId="4308121B" w14:textId="0B09BD0D" w:rsidR="009854AD" w:rsidRPr="008F0A64" w:rsidRDefault="009854AD" w:rsidP="000E2DEF">
            <w:pPr>
              <w:pStyle w:val="TableBodyText"/>
              <w:spacing w:before="40" w:after="20" w:line="245" w:lineRule="auto"/>
              <w:rPr>
                <w:sz w:val="16"/>
                <w:szCs w:val="16"/>
                <w:lang w:eastAsia="fr-CA"/>
              </w:rPr>
            </w:pPr>
            <w:r w:rsidRPr="008F0A64">
              <w:rPr>
                <w:sz w:val="16"/>
                <w:szCs w:val="16"/>
                <w:lang w:eastAsia="fr-CA"/>
              </w:rPr>
              <w:t xml:space="preserve">The effect of the product design on the incentive </w:t>
            </w:r>
            <w:r w:rsidR="000E2DEF" w:rsidRPr="008F0A64">
              <w:rPr>
                <w:sz w:val="16"/>
                <w:szCs w:val="16"/>
                <w:lang w:eastAsia="fr-CA"/>
              </w:rPr>
              <w:t xml:space="preserve">prospective </w:t>
            </w:r>
            <w:r w:rsidRPr="008F0A64">
              <w:rPr>
                <w:sz w:val="16"/>
                <w:szCs w:val="16"/>
                <w:lang w:eastAsia="fr-CA"/>
              </w:rPr>
              <w:t xml:space="preserve">shippers </w:t>
            </w:r>
            <w:r w:rsidR="0034474D" w:rsidRPr="008F0A64">
              <w:rPr>
                <w:sz w:val="16"/>
                <w:szCs w:val="16"/>
                <w:lang w:eastAsia="fr-CA"/>
              </w:rPr>
              <w:t>have to enter into a secondary capacity trade prior to the auction will depend on whether</w:t>
            </w:r>
            <w:r w:rsidRPr="008F0A64">
              <w:rPr>
                <w:sz w:val="16"/>
                <w:szCs w:val="16"/>
                <w:lang w:eastAsia="fr-CA"/>
              </w:rPr>
              <w:t xml:space="preserve">: </w:t>
            </w:r>
          </w:p>
          <w:p w14:paraId="40DBD8F5" w14:textId="77777777" w:rsidR="0034474D" w:rsidRPr="008F0A64" w:rsidRDefault="009854AD" w:rsidP="000E2DEF">
            <w:pPr>
              <w:pStyle w:val="TableBullet1"/>
              <w:spacing w:before="40" w:after="20" w:line="245" w:lineRule="auto"/>
              <w:rPr>
                <w:sz w:val="16"/>
                <w:szCs w:val="16"/>
                <w:lang w:eastAsia="fr-CA"/>
              </w:rPr>
            </w:pPr>
            <w:r w:rsidRPr="008F0A64">
              <w:rPr>
                <w:sz w:val="16"/>
                <w:szCs w:val="16"/>
                <w:lang w:eastAsia="fr-CA"/>
              </w:rPr>
              <w:t>there is a substantial amount of contracted but un-nominated capacity and the risk of curtailment is considered low – in this case the auction is likely to be preferred because the auction reserve price is zero; or</w:t>
            </w:r>
          </w:p>
          <w:p w14:paraId="68EB696B" w14:textId="4D458D70" w:rsidR="009854AD" w:rsidRPr="008F0A64" w:rsidRDefault="009854AD" w:rsidP="000E2DEF">
            <w:pPr>
              <w:pStyle w:val="TableBullet1"/>
              <w:spacing w:before="40" w:after="20" w:line="245" w:lineRule="auto"/>
              <w:rPr>
                <w:sz w:val="16"/>
                <w:szCs w:val="16"/>
                <w:lang w:eastAsia="fr-CA"/>
              </w:rPr>
            </w:pPr>
            <w:r w:rsidRPr="008F0A64">
              <w:rPr>
                <w:sz w:val="16"/>
                <w:szCs w:val="16"/>
                <w:lang w:eastAsia="fr-CA"/>
              </w:rPr>
              <w:t xml:space="preserve">there is limited contracted but un-nominated capacity or the risk of curtailment is high – in this case a secondary trade is likely to be preferred because </w:t>
            </w:r>
            <w:r w:rsidR="0034474D" w:rsidRPr="008F0A64">
              <w:rPr>
                <w:sz w:val="16"/>
                <w:szCs w:val="16"/>
                <w:lang w:eastAsia="fr-CA"/>
              </w:rPr>
              <w:t xml:space="preserve">shippers will be able to procure </w:t>
            </w:r>
            <w:r w:rsidR="007F6C3F" w:rsidRPr="008F0A64">
              <w:rPr>
                <w:sz w:val="16"/>
                <w:szCs w:val="16"/>
                <w:lang w:eastAsia="fr-CA"/>
              </w:rPr>
              <w:t>higher quality firm rights</w:t>
            </w:r>
            <w:r w:rsidR="0038125F" w:rsidRPr="008F0A64">
              <w:rPr>
                <w:sz w:val="16"/>
                <w:szCs w:val="16"/>
                <w:lang w:eastAsia="fr-CA"/>
              </w:rPr>
              <w:t xml:space="preserve"> (note that given the risk of curtailment is higher under the interruptible product, if this product was selected it </w:t>
            </w:r>
            <w:r w:rsidR="0038125F" w:rsidRPr="008F0A64">
              <w:rPr>
                <w:i/>
                <w:sz w:val="16"/>
                <w:szCs w:val="16"/>
                <w:lang w:eastAsia="fr-CA"/>
              </w:rPr>
              <w:t>may</w:t>
            </w:r>
            <w:r w:rsidR="0038125F" w:rsidRPr="008F0A64">
              <w:rPr>
                <w:sz w:val="16"/>
                <w:szCs w:val="16"/>
                <w:lang w:eastAsia="fr-CA"/>
              </w:rPr>
              <w:t xml:space="preserve"> result in greater demand for secondary trades than under the secondary priority firm auction product)</w:t>
            </w:r>
            <w:r w:rsidRPr="008F0A64">
              <w:rPr>
                <w:sz w:val="16"/>
                <w:szCs w:val="16"/>
                <w:lang w:eastAsia="fr-CA"/>
              </w:rPr>
              <w:t>.</w:t>
            </w:r>
          </w:p>
        </w:tc>
      </w:tr>
      <w:tr w:rsidR="00BB523B" w:rsidRPr="008F0A64" w14:paraId="5D63A976" w14:textId="77777777" w:rsidTr="008F0A64">
        <w:tblPrEx>
          <w:tblLook w:val="04A0" w:firstRow="1" w:lastRow="0" w:firstColumn="1" w:lastColumn="0" w:noHBand="0" w:noVBand="1"/>
        </w:tblPrEx>
        <w:trPr>
          <w:cnfStyle w:val="000000010000" w:firstRow="0" w:lastRow="0" w:firstColumn="0" w:lastColumn="0" w:oddVBand="0" w:evenVBand="0" w:oddHBand="0" w:evenHBand="1" w:firstRowFirstColumn="0" w:firstRowLastColumn="0" w:lastRowFirstColumn="0" w:lastRowLastColumn="0"/>
        </w:trPr>
        <w:tc>
          <w:tcPr>
            <w:tcW w:w="851" w:type="pct"/>
            <w:gridSpan w:val="2"/>
          </w:tcPr>
          <w:p w14:paraId="7C89BC2C" w14:textId="1ADB3AC3" w:rsidR="00BB523B" w:rsidRPr="008F0A64" w:rsidRDefault="00055169" w:rsidP="000E2DEF">
            <w:pPr>
              <w:pStyle w:val="TableBodyText"/>
              <w:spacing w:before="40" w:after="20" w:line="245" w:lineRule="auto"/>
              <w:rPr>
                <w:sz w:val="16"/>
                <w:szCs w:val="16"/>
                <w:lang w:eastAsia="fr-CA"/>
              </w:rPr>
            </w:pPr>
            <w:r>
              <w:rPr>
                <w:bCs/>
                <w:color w:val="000000"/>
                <w:sz w:val="16"/>
                <w:szCs w:val="16"/>
              </w:rPr>
              <w:t xml:space="preserve">Consistency </w:t>
            </w:r>
            <w:r w:rsidR="00BB523B" w:rsidRPr="008F0A64">
              <w:rPr>
                <w:bCs/>
                <w:color w:val="000000"/>
                <w:sz w:val="16"/>
                <w:szCs w:val="16"/>
              </w:rPr>
              <w:t xml:space="preserve">with </w:t>
            </w:r>
            <w:r>
              <w:rPr>
                <w:bCs/>
                <w:color w:val="000000"/>
                <w:sz w:val="16"/>
                <w:szCs w:val="16"/>
              </w:rPr>
              <w:t xml:space="preserve">the </w:t>
            </w:r>
            <w:r w:rsidR="00BB523B" w:rsidRPr="008F0A64">
              <w:rPr>
                <w:bCs/>
                <w:color w:val="000000"/>
                <w:sz w:val="16"/>
                <w:szCs w:val="16"/>
              </w:rPr>
              <w:t xml:space="preserve">AEMC’s recommendations </w:t>
            </w:r>
          </w:p>
        </w:tc>
        <w:tc>
          <w:tcPr>
            <w:tcW w:w="899" w:type="pct"/>
          </w:tcPr>
          <w:p w14:paraId="5C0B2C60" w14:textId="77777777" w:rsidR="00BB523B" w:rsidRPr="008F0A64" w:rsidRDefault="00BB523B" w:rsidP="000E2DEF">
            <w:pPr>
              <w:pStyle w:val="TableBodyText"/>
              <w:spacing w:before="40" w:after="20" w:line="245" w:lineRule="auto"/>
              <w:rPr>
                <w:color w:val="000000"/>
                <w:sz w:val="16"/>
                <w:szCs w:val="16"/>
              </w:rPr>
            </w:pPr>
            <w:r w:rsidRPr="008F0A64">
              <w:rPr>
                <w:color w:val="000000"/>
                <w:sz w:val="16"/>
                <w:szCs w:val="16"/>
              </w:rPr>
              <w:t>Complies with the AEMC's recommendations that:</w:t>
            </w:r>
          </w:p>
          <w:p w14:paraId="40AB9338" w14:textId="1BCD6FC9" w:rsidR="00BB523B" w:rsidRPr="008F0A64" w:rsidRDefault="00BB523B" w:rsidP="000E2DEF">
            <w:pPr>
              <w:pStyle w:val="TableBullet1"/>
              <w:spacing w:before="40" w:after="20" w:line="245" w:lineRule="auto"/>
              <w:rPr>
                <w:sz w:val="16"/>
                <w:szCs w:val="16"/>
              </w:rPr>
            </w:pPr>
            <w:r w:rsidRPr="008F0A64">
              <w:rPr>
                <w:sz w:val="16"/>
                <w:szCs w:val="16"/>
              </w:rPr>
              <w:t xml:space="preserve">renominations by incumbent shippers be accommodated (required outcome); </w:t>
            </w:r>
          </w:p>
          <w:p w14:paraId="131E3AF4" w14:textId="77777777" w:rsidR="00BB523B" w:rsidRPr="008F0A64" w:rsidRDefault="00BB523B" w:rsidP="000E2DEF">
            <w:pPr>
              <w:pStyle w:val="TableBullet1"/>
              <w:spacing w:before="40" w:after="20" w:line="245" w:lineRule="auto"/>
              <w:rPr>
                <w:color w:val="000000"/>
                <w:sz w:val="16"/>
                <w:szCs w:val="16"/>
              </w:rPr>
            </w:pPr>
            <w:r w:rsidRPr="008F0A64">
              <w:rPr>
                <w:sz w:val="16"/>
                <w:szCs w:val="16"/>
              </w:rPr>
              <w:t>capacity</w:t>
            </w:r>
            <w:r w:rsidRPr="008F0A64">
              <w:rPr>
                <w:color w:val="000000"/>
                <w:sz w:val="16"/>
                <w:szCs w:val="16"/>
              </w:rPr>
              <w:t xml:space="preserve"> purchased through the auction be curtailed before firm capacity (preferred outcome)</w:t>
            </w:r>
            <w:r w:rsidR="008F0A64" w:rsidRPr="008F0A64">
              <w:rPr>
                <w:color w:val="000000"/>
                <w:sz w:val="16"/>
                <w:szCs w:val="16"/>
              </w:rPr>
              <w:t>; and</w:t>
            </w:r>
          </w:p>
          <w:p w14:paraId="01BE6775" w14:textId="36AAD6FA" w:rsidR="008F0A64" w:rsidRPr="008F0A64" w:rsidRDefault="008F0A64" w:rsidP="000E2DEF">
            <w:pPr>
              <w:pStyle w:val="TableBullet1"/>
              <w:spacing w:before="40" w:after="20" w:line="245" w:lineRule="auto"/>
              <w:rPr>
                <w:color w:val="000000"/>
                <w:sz w:val="16"/>
                <w:szCs w:val="16"/>
              </w:rPr>
            </w:pPr>
            <w:r w:rsidRPr="008F0A64">
              <w:rPr>
                <w:color w:val="000000"/>
                <w:sz w:val="16"/>
                <w:szCs w:val="16"/>
              </w:rPr>
              <w:t>as available and interruptible rights do not compete with rights allocated in the auction so that capacity can be allocated to those that value it most highly (suggested outcome)</w:t>
            </w:r>
          </w:p>
        </w:tc>
        <w:tc>
          <w:tcPr>
            <w:tcW w:w="1951" w:type="pct"/>
            <w:gridSpan w:val="2"/>
          </w:tcPr>
          <w:p w14:paraId="3B52B17F" w14:textId="77777777" w:rsidR="00BB523B" w:rsidRPr="008F0A64" w:rsidRDefault="00BB523B" w:rsidP="000E2DEF">
            <w:pPr>
              <w:pStyle w:val="TableBodyText"/>
              <w:spacing w:before="40" w:after="20" w:line="245" w:lineRule="auto"/>
              <w:rPr>
                <w:color w:val="000000"/>
                <w:sz w:val="16"/>
                <w:szCs w:val="16"/>
              </w:rPr>
            </w:pPr>
            <w:r w:rsidRPr="008F0A64">
              <w:rPr>
                <w:color w:val="000000"/>
                <w:sz w:val="16"/>
                <w:szCs w:val="16"/>
              </w:rPr>
              <w:t>Goes beyond the AEMC's recommendations that:</w:t>
            </w:r>
          </w:p>
          <w:p w14:paraId="6E702BC0" w14:textId="77777777" w:rsidR="00BB523B" w:rsidRPr="008F0A64" w:rsidRDefault="00BB523B" w:rsidP="000E2DEF">
            <w:pPr>
              <w:pStyle w:val="TableBullet1"/>
              <w:spacing w:before="40" w:after="20" w:line="245" w:lineRule="auto"/>
              <w:rPr>
                <w:sz w:val="16"/>
                <w:szCs w:val="16"/>
              </w:rPr>
            </w:pPr>
            <w:r w:rsidRPr="008F0A64">
              <w:rPr>
                <w:sz w:val="16"/>
                <w:szCs w:val="16"/>
              </w:rPr>
              <w:t>renominations by incumbent shippers be accommodated (required outcome); or</w:t>
            </w:r>
          </w:p>
          <w:p w14:paraId="08E6B4FA" w14:textId="77777777" w:rsidR="00BB523B" w:rsidRPr="008F0A64" w:rsidRDefault="00BB523B" w:rsidP="000E2DEF">
            <w:pPr>
              <w:pStyle w:val="TableBullet1"/>
              <w:spacing w:before="40" w:after="20" w:line="245" w:lineRule="auto"/>
              <w:rPr>
                <w:sz w:val="16"/>
                <w:szCs w:val="16"/>
                <w:lang w:eastAsia="fr-CA"/>
              </w:rPr>
            </w:pPr>
            <w:proofErr w:type="gramStart"/>
            <w:r w:rsidRPr="008F0A64">
              <w:rPr>
                <w:sz w:val="16"/>
                <w:szCs w:val="16"/>
              </w:rPr>
              <w:t>capacity</w:t>
            </w:r>
            <w:proofErr w:type="gramEnd"/>
            <w:r w:rsidRPr="008F0A64">
              <w:rPr>
                <w:color w:val="000000"/>
                <w:sz w:val="16"/>
                <w:szCs w:val="16"/>
              </w:rPr>
              <w:t xml:space="preserve"> purchased through the auction be curtailed before firm capacity (preferred </w:t>
            </w:r>
            <w:r w:rsidRPr="008F0A64">
              <w:rPr>
                <w:sz w:val="16"/>
                <w:szCs w:val="16"/>
              </w:rPr>
              <w:t>outcome</w:t>
            </w:r>
            <w:r w:rsidRPr="008F0A64">
              <w:rPr>
                <w:color w:val="000000"/>
                <w:sz w:val="16"/>
                <w:szCs w:val="16"/>
              </w:rPr>
              <w:t>).</w:t>
            </w:r>
          </w:p>
          <w:p w14:paraId="5777EF20" w14:textId="74042DB0" w:rsidR="008F0A64" w:rsidRPr="008F0A64" w:rsidRDefault="008F0A64" w:rsidP="008F0A64">
            <w:pPr>
              <w:pStyle w:val="TableBullet1"/>
              <w:numPr>
                <w:ilvl w:val="0"/>
                <w:numId w:val="0"/>
              </w:numPr>
              <w:spacing w:before="40" w:after="20" w:line="245" w:lineRule="auto"/>
              <w:ind w:left="85"/>
              <w:rPr>
                <w:sz w:val="16"/>
                <w:szCs w:val="16"/>
                <w:lang w:eastAsia="fr-CA"/>
              </w:rPr>
            </w:pPr>
            <w:r w:rsidRPr="008F0A64">
              <w:rPr>
                <w:color w:val="000000"/>
                <w:sz w:val="16"/>
                <w:szCs w:val="16"/>
              </w:rPr>
              <w:t>Also fails to comply with the AEMC’s suggestion that as available and interruptible rights do not compete with rights allocated in the auction</w:t>
            </w:r>
          </w:p>
        </w:tc>
        <w:tc>
          <w:tcPr>
            <w:tcW w:w="1299" w:type="pct"/>
          </w:tcPr>
          <w:p w14:paraId="2F1D76D1" w14:textId="77777777" w:rsidR="00BB523B" w:rsidRPr="008F0A64" w:rsidRDefault="00BB523B" w:rsidP="000E2DEF">
            <w:pPr>
              <w:pStyle w:val="TableBodyText"/>
              <w:spacing w:before="40" w:after="20" w:line="245" w:lineRule="auto"/>
              <w:rPr>
                <w:sz w:val="16"/>
                <w:szCs w:val="16"/>
                <w:lang w:eastAsia="fr-CA"/>
              </w:rPr>
            </w:pPr>
            <w:r w:rsidRPr="008F0A64">
              <w:rPr>
                <w:sz w:val="16"/>
                <w:szCs w:val="16"/>
                <w:lang w:eastAsia="fr-CA"/>
              </w:rPr>
              <w:t>May not comply with the AEMC's recommendations that:</w:t>
            </w:r>
          </w:p>
          <w:p w14:paraId="186401C0" w14:textId="35D7C3FD" w:rsidR="00BB523B" w:rsidRPr="008F0A64" w:rsidRDefault="00BB523B" w:rsidP="000E2DEF">
            <w:pPr>
              <w:pStyle w:val="TableBullet1"/>
              <w:spacing w:before="40" w:after="20" w:line="245" w:lineRule="auto"/>
              <w:rPr>
                <w:sz w:val="16"/>
                <w:szCs w:val="16"/>
                <w:lang w:eastAsia="fr-CA"/>
              </w:rPr>
            </w:pPr>
            <w:r w:rsidRPr="008F0A64">
              <w:rPr>
                <w:sz w:val="16"/>
                <w:szCs w:val="16"/>
                <w:lang w:eastAsia="fr-CA"/>
              </w:rPr>
              <w:t>renominations by incumbent shippers be accommodated because some rights will need to be restricted</w:t>
            </w:r>
            <w:r w:rsidR="004921AF" w:rsidRPr="008F0A64">
              <w:rPr>
                <w:sz w:val="16"/>
                <w:szCs w:val="16"/>
                <w:lang w:eastAsia="fr-CA"/>
              </w:rPr>
              <w:t>, even if it is just reasonable endeavours rights</w:t>
            </w:r>
            <w:r w:rsidRPr="008F0A64">
              <w:rPr>
                <w:sz w:val="16"/>
                <w:szCs w:val="16"/>
                <w:lang w:eastAsia="fr-CA"/>
              </w:rPr>
              <w:t xml:space="preserve">; </w:t>
            </w:r>
          </w:p>
          <w:p w14:paraId="7A0256E4" w14:textId="77777777" w:rsidR="00BB523B" w:rsidRPr="008F0A64" w:rsidRDefault="00BB523B" w:rsidP="000E2DEF">
            <w:pPr>
              <w:pStyle w:val="TableBullet1"/>
              <w:spacing w:before="40" w:after="20" w:line="245" w:lineRule="auto"/>
              <w:rPr>
                <w:sz w:val="16"/>
                <w:szCs w:val="16"/>
                <w:lang w:eastAsia="fr-CA"/>
              </w:rPr>
            </w:pPr>
            <w:r w:rsidRPr="008F0A64">
              <w:rPr>
                <w:sz w:val="16"/>
                <w:szCs w:val="16"/>
                <w:lang w:eastAsia="fr-CA"/>
              </w:rPr>
              <w:t>capacity purchased through the auction be curtailed before firm capacity</w:t>
            </w:r>
            <w:r w:rsidR="008F0A64" w:rsidRPr="008F0A64">
              <w:rPr>
                <w:sz w:val="16"/>
                <w:szCs w:val="16"/>
                <w:lang w:eastAsia="fr-CA"/>
              </w:rPr>
              <w:t>; or</w:t>
            </w:r>
          </w:p>
          <w:p w14:paraId="4FA3E3B6" w14:textId="0AA4A4A7" w:rsidR="008F0A64" w:rsidRPr="008F0A64" w:rsidRDefault="008F0A64" w:rsidP="000E2DEF">
            <w:pPr>
              <w:pStyle w:val="TableBullet1"/>
              <w:spacing w:before="40" w:after="20" w:line="245" w:lineRule="auto"/>
              <w:rPr>
                <w:sz w:val="16"/>
                <w:szCs w:val="16"/>
                <w:lang w:eastAsia="fr-CA"/>
              </w:rPr>
            </w:pPr>
            <w:r w:rsidRPr="008F0A64">
              <w:rPr>
                <w:color w:val="000000"/>
                <w:sz w:val="16"/>
                <w:szCs w:val="16"/>
              </w:rPr>
              <w:t>as available and interruptible rights do not compete with rights allocated in the auction so that capacity can be allocated to those that value it most highly</w:t>
            </w:r>
          </w:p>
        </w:tc>
      </w:tr>
    </w:tbl>
    <w:p w14:paraId="3DDD908B" w14:textId="77777777" w:rsidR="003722FF" w:rsidRDefault="003722FF" w:rsidP="00DE1291">
      <w:pPr>
        <w:pStyle w:val="BodyText"/>
        <w:sectPr w:rsidR="003722FF" w:rsidSect="008F0A64">
          <w:footerReference w:type="default" r:id="rId33"/>
          <w:pgSz w:w="16839" w:h="11907" w:orient="landscape" w:code="9"/>
          <w:pgMar w:top="973" w:right="1418" w:bottom="851" w:left="1701" w:header="567" w:footer="132" w:gutter="0"/>
          <w:cols w:space="708"/>
          <w:docGrid w:linePitch="360"/>
        </w:sectPr>
      </w:pPr>
    </w:p>
    <w:tbl>
      <w:tblPr>
        <w:tblStyle w:val="PullOutBoxTable"/>
        <w:tblW w:w="5000" w:type="pct"/>
        <w:tblLook w:val="0600" w:firstRow="0" w:lastRow="0" w:firstColumn="0" w:lastColumn="0" w:noHBand="1" w:noVBand="1"/>
        <w:tblCaption w:val="Box 3.3: Priorities for contracted but un-nominated capacity"/>
        <w:tblDescription w:val="Priorities for contracted but un-nominated capacity"/>
      </w:tblPr>
      <w:tblGrid>
        <w:gridCol w:w="8788"/>
      </w:tblGrid>
      <w:tr w:rsidR="00A96632" w:rsidRPr="00B606E0" w14:paraId="5562D33B" w14:textId="77777777" w:rsidTr="00610057">
        <w:trPr>
          <w:trHeight w:val="227"/>
          <w:tblHeader/>
        </w:trPr>
        <w:tc>
          <w:tcPr>
            <w:tcW w:w="5000" w:type="pct"/>
            <w:shd w:val="clear" w:color="auto" w:fill="auto"/>
          </w:tcPr>
          <w:p w14:paraId="388EB281" w14:textId="67FF4626" w:rsidR="00A96632" w:rsidRPr="005635CA" w:rsidRDefault="005635CA" w:rsidP="005635CA">
            <w:pPr>
              <w:pStyle w:val="PullOutBoxBodyText"/>
              <w:spacing w:before="0"/>
              <w:rPr>
                <w:b/>
                <w:sz w:val="20"/>
                <w:szCs w:val="20"/>
              </w:rPr>
            </w:pPr>
            <w:bookmarkStart w:id="73" w:name="_Hlk494800212"/>
            <w:bookmarkStart w:id="74" w:name="_Ref495252048"/>
            <w:r w:rsidRPr="005635CA">
              <w:rPr>
                <w:b/>
              </w:rPr>
              <w:t xml:space="preserve">Box </w:t>
            </w:r>
            <w:r w:rsidRPr="005635CA">
              <w:rPr>
                <w:b/>
              </w:rPr>
              <w:fldChar w:fldCharType="begin"/>
            </w:r>
            <w:r w:rsidRPr="005635CA">
              <w:rPr>
                <w:b/>
              </w:rPr>
              <w:instrText xml:space="preserve"> STYLEREF 1 \s </w:instrText>
            </w:r>
            <w:r w:rsidRPr="005635CA">
              <w:rPr>
                <w:b/>
              </w:rPr>
              <w:fldChar w:fldCharType="separate"/>
            </w:r>
            <w:r w:rsidRPr="005635CA">
              <w:rPr>
                <w:b/>
                <w:noProof/>
              </w:rPr>
              <w:t>3</w:t>
            </w:r>
            <w:r w:rsidRPr="005635CA">
              <w:rPr>
                <w:b/>
                <w:noProof/>
              </w:rPr>
              <w:fldChar w:fldCharType="end"/>
            </w:r>
            <w:r w:rsidRPr="005635CA">
              <w:rPr>
                <w:b/>
              </w:rPr>
              <w:t>.</w:t>
            </w:r>
            <w:r w:rsidRPr="005635CA">
              <w:rPr>
                <w:b/>
              </w:rPr>
              <w:fldChar w:fldCharType="begin"/>
            </w:r>
            <w:r w:rsidRPr="005635CA">
              <w:rPr>
                <w:b/>
              </w:rPr>
              <w:instrText xml:space="preserve"> SEQ Box \* ARABIC \s 1 </w:instrText>
            </w:r>
            <w:r w:rsidRPr="005635CA">
              <w:rPr>
                <w:b/>
              </w:rPr>
              <w:fldChar w:fldCharType="separate"/>
            </w:r>
            <w:r w:rsidRPr="005635CA">
              <w:rPr>
                <w:b/>
                <w:noProof/>
              </w:rPr>
              <w:t>3</w:t>
            </w:r>
            <w:r w:rsidRPr="005635CA">
              <w:rPr>
                <w:b/>
                <w:noProof/>
              </w:rPr>
              <w:fldChar w:fldCharType="end"/>
            </w:r>
            <w:bookmarkEnd w:id="74"/>
            <w:r w:rsidRPr="005635CA">
              <w:rPr>
                <w:b/>
              </w:rPr>
              <w:t>: Priorities for contracted but un-nominated capacity</w:t>
            </w:r>
          </w:p>
        </w:tc>
      </w:tr>
      <w:tr w:rsidR="005635CA" w:rsidRPr="00B606E0" w14:paraId="46B8DFC3" w14:textId="77777777" w:rsidTr="00610057">
        <w:tc>
          <w:tcPr>
            <w:tcW w:w="5000" w:type="pct"/>
          </w:tcPr>
          <w:p w14:paraId="7CD6596C" w14:textId="281F3D54" w:rsidR="005635CA" w:rsidRDefault="005635CA" w:rsidP="005635CA">
            <w:pPr>
              <w:pStyle w:val="PullOutBoxBodyText"/>
              <w:spacing w:before="0" w:after="240"/>
              <w:rPr>
                <w:sz w:val="20"/>
                <w:szCs w:val="20"/>
              </w:rPr>
            </w:pPr>
            <w:r>
              <w:rPr>
                <w:sz w:val="20"/>
                <w:szCs w:val="20"/>
              </w:rPr>
              <w:t>T</w:t>
            </w:r>
            <w:r w:rsidRPr="00B606E0">
              <w:rPr>
                <w:sz w:val="20"/>
                <w:szCs w:val="20"/>
              </w:rPr>
              <w:t xml:space="preserve">he prioritisation of scheduling, curtailment and renomination rights set out in Table 3.1 relates to the contracted but un-nominated capacity, but not to spare primary capacity. This distinction is important because </w:t>
            </w:r>
            <w:r>
              <w:rPr>
                <w:sz w:val="20"/>
                <w:szCs w:val="20"/>
              </w:rPr>
              <w:t xml:space="preserve">the AEMC’s recommendations only related to the transportation asset’s contracted but un-nominated capacity and not to any spare primary capacity that may be available. </w:t>
            </w:r>
          </w:p>
          <w:p w14:paraId="463180C4" w14:textId="77777777" w:rsidR="005635CA" w:rsidRPr="004C57CB" w:rsidRDefault="005635CA" w:rsidP="005635CA">
            <w:pPr>
              <w:pStyle w:val="PullOutBoxBodyText"/>
              <w:spacing w:after="240"/>
              <w:rPr>
                <w:sz w:val="20"/>
                <w:szCs w:val="20"/>
              </w:rPr>
            </w:pPr>
            <w:r>
              <w:rPr>
                <w:sz w:val="20"/>
                <w:szCs w:val="20"/>
              </w:rPr>
              <w:t>I</w:t>
            </w:r>
            <w:r w:rsidRPr="00B606E0">
              <w:rPr>
                <w:sz w:val="20"/>
                <w:szCs w:val="20"/>
              </w:rPr>
              <w:t>f there is spare primary capacity</w:t>
            </w:r>
            <w:r>
              <w:rPr>
                <w:sz w:val="20"/>
                <w:szCs w:val="20"/>
              </w:rPr>
              <w:t>,</w:t>
            </w:r>
            <w:r w:rsidRPr="00B606E0">
              <w:rPr>
                <w:sz w:val="20"/>
                <w:szCs w:val="20"/>
              </w:rPr>
              <w:t xml:space="preserve"> a service provider wou</w:t>
            </w:r>
            <w:r w:rsidRPr="004C57CB">
              <w:rPr>
                <w:sz w:val="20"/>
                <w:szCs w:val="20"/>
              </w:rPr>
              <w:t xml:space="preserve">ld be able to use this capacity to provide as available or interruptible services and schedule these services prior to the auction. If this occurred, then the as available and interruptible services would </w:t>
            </w:r>
            <w:r w:rsidRPr="004C57CB">
              <w:rPr>
                <w:i/>
                <w:sz w:val="20"/>
                <w:szCs w:val="20"/>
              </w:rPr>
              <w:t>not</w:t>
            </w:r>
            <w:r w:rsidRPr="004C57CB">
              <w:rPr>
                <w:sz w:val="20"/>
                <w:szCs w:val="20"/>
              </w:rPr>
              <w:t xml:space="preserve"> be curtailed by nominations or renominations by incumbent shippers, because this form of curtailment should only affect users of the contracted but un-nominated capacity. If, however, there is no spare primary capacity then the as available and interruptible services would be subject to the curtailment order set out in Table 3.1.</w:t>
            </w:r>
          </w:p>
          <w:p w14:paraId="7425B4D8" w14:textId="77777777" w:rsidR="005635CA" w:rsidRDefault="005635CA" w:rsidP="005635CA">
            <w:pPr>
              <w:pStyle w:val="PullOutBoxBodyText"/>
              <w:spacing w:after="120"/>
              <w:rPr>
                <w:sz w:val="20"/>
                <w:szCs w:val="20"/>
              </w:rPr>
            </w:pPr>
            <w:r w:rsidRPr="004C57CB">
              <w:rPr>
                <w:sz w:val="20"/>
                <w:szCs w:val="20"/>
              </w:rPr>
              <w:t>The difference between these two scenarios can be seen in the simplified example below, which assumes the auction product is a second priority firm product</w:t>
            </w:r>
            <w:r>
              <w:rPr>
                <w:sz w:val="20"/>
                <w:szCs w:val="20"/>
              </w:rPr>
              <w:t xml:space="preserve">. </w:t>
            </w:r>
          </w:p>
          <w:p w14:paraId="6597B3E9" w14:textId="77777777" w:rsidR="005635CA" w:rsidRPr="004C57CB" w:rsidRDefault="005635CA" w:rsidP="005635CA">
            <w:pPr>
              <w:pStyle w:val="PullOutBoxBodyText"/>
              <w:spacing w:after="120"/>
              <w:rPr>
                <w:sz w:val="20"/>
                <w:szCs w:val="20"/>
              </w:rPr>
            </w:pPr>
            <w:r>
              <w:rPr>
                <w:sz w:val="20"/>
                <w:szCs w:val="20"/>
              </w:rPr>
              <w:t>In the first scenario in this example, it is assumed that</w:t>
            </w:r>
            <w:r w:rsidRPr="004C57CB">
              <w:rPr>
                <w:sz w:val="20"/>
                <w:szCs w:val="20"/>
              </w:rPr>
              <w:t>:</w:t>
            </w:r>
          </w:p>
          <w:p w14:paraId="07DDCBC9" w14:textId="77777777" w:rsidR="005635CA" w:rsidRPr="004C57CB" w:rsidRDefault="005635CA" w:rsidP="00610057">
            <w:pPr>
              <w:pStyle w:val="ListBullet"/>
              <w:ind w:left="357" w:hanging="357"/>
              <w:rPr>
                <w:sz w:val="20"/>
                <w:szCs w:val="20"/>
              </w:rPr>
            </w:pPr>
            <w:r>
              <w:rPr>
                <w:sz w:val="20"/>
                <w:szCs w:val="20"/>
              </w:rPr>
              <w:t xml:space="preserve">firm shippers have contracted 100 TJ/day but only </w:t>
            </w:r>
            <w:r w:rsidRPr="004C57CB">
              <w:rPr>
                <w:sz w:val="20"/>
                <w:szCs w:val="20"/>
              </w:rPr>
              <w:t xml:space="preserve">nominate to use </w:t>
            </w:r>
            <w:r>
              <w:rPr>
                <w:sz w:val="20"/>
                <w:szCs w:val="20"/>
              </w:rPr>
              <w:t>7</w:t>
            </w:r>
            <w:r w:rsidRPr="004C57CB">
              <w:rPr>
                <w:sz w:val="20"/>
                <w:szCs w:val="20"/>
              </w:rPr>
              <w:t>0 TJ/day</w:t>
            </w:r>
            <w:r>
              <w:rPr>
                <w:sz w:val="20"/>
                <w:szCs w:val="20"/>
              </w:rPr>
              <w:t xml:space="preserve"> by the nomination cut-off time on gas day D-1, leaving 30 TJ/day to go into the auction</w:t>
            </w:r>
            <w:r w:rsidRPr="004C57CB">
              <w:rPr>
                <w:sz w:val="20"/>
                <w:szCs w:val="20"/>
              </w:rPr>
              <w:t>;</w:t>
            </w:r>
            <w:r>
              <w:rPr>
                <w:sz w:val="20"/>
                <w:szCs w:val="20"/>
              </w:rPr>
              <w:t xml:space="preserve"> </w:t>
            </w:r>
          </w:p>
          <w:p w14:paraId="62DFA533" w14:textId="77777777" w:rsidR="005635CA" w:rsidRDefault="005635CA" w:rsidP="00610057">
            <w:pPr>
              <w:pStyle w:val="ListBullet"/>
              <w:ind w:left="357" w:hanging="357"/>
              <w:rPr>
                <w:sz w:val="20"/>
                <w:szCs w:val="20"/>
              </w:rPr>
            </w:pPr>
            <w:r w:rsidRPr="004C57CB">
              <w:rPr>
                <w:sz w:val="20"/>
                <w:szCs w:val="20"/>
              </w:rPr>
              <w:t xml:space="preserve">auction </w:t>
            </w:r>
            <w:r>
              <w:rPr>
                <w:sz w:val="20"/>
                <w:szCs w:val="20"/>
              </w:rPr>
              <w:t xml:space="preserve">participants only want 10 TJ/day, which leaves 20 TJ/day to be allocated to </w:t>
            </w:r>
            <w:r w:rsidRPr="004C57CB">
              <w:rPr>
                <w:sz w:val="20"/>
                <w:szCs w:val="20"/>
              </w:rPr>
              <w:t>as available and interruptible shippers</w:t>
            </w:r>
            <w:r>
              <w:rPr>
                <w:sz w:val="20"/>
                <w:szCs w:val="20"/>
              </w:rPr>
              <w:t>, who</w:t>
            </w:r>
            <w:r w:rsidRPr="004C57CB">
              <w:rPr>
                <w:sz w:val="20"/>
                <w:szCs w:val="20"/>
              </w:rPr>
              <w:t xml:space="preserve"> each nominate to use </w:t>
            </w:r>
            <w:r>
              <w:rPr>
                <w:sz w:val="20"/>
                <w:szCs w:val="20"/>
              </w:rPr>
              <w:t>1</w:t>
            </w:r>
            <w:r w:rsidRPr="004C57CB">
              <w:rPr>
                <w:sz w:val="20"/>
                <w:szCs w:val="20"/>
              </w:rPr>
              <w:t>0 TJ/day</w:t>
            </w:r>
            <w:r>
              <w:rPr>
                <w:sz w:val="20"/>
                <w:szCs w:val="20"/>
              </w:rPr>
              <w:t>; and</w:t>
            </w:r>
          </w:p>
          <w:p w14:paraId="38D184CC" w14:textId="77777777" w:rsidR="005635CA" w:rsidRPr="004C57CB" w:rsidRDefault="005635CA" w:rsidP="00610057">
            <w:pPr>
              <w:pStyle w:val="ListBullet"/>
              <w:ind w:left="357" w:hanging="357"/>
              <w:rPr>
                <w:sz w:val="20"/>
                <w:szCs w:val="20"/>
              </w:rPr>
            </w:pPr>
            <w:proofErr w:type="gramStart"/>
            <w:r>
              <w:rPr>
                <w:sz w:val="20"/>
                <w:szCs w:val="20"/>
              </w:rPr>
              <w:t>firm</w:t>
            </w:r>
            <w:proofErr w:type="gramEnd"/>
            <w:r>
              <w:rPr>
                <w:sz w:val="20"/>
                <w:szCs w:val="20"/>
              </w:rPr>
              <w:t xml:space="preserve"> shippers renominate upwards on gas day D by 10 TJ/day. </w:t>
            </w:r>
          </w:p>
          <w:p w14:paraId="58E055D5" w14:textId="77777777" w:rsidR="005635CA" w:rsidRDefault="005635CA" w:rsidP="005635CA">
            <w:pPr>
              <w:pStyle w:val="PullOutBoxBodyText"/>
              <w:spacing w:after="120"/>
              <w:rPr>
                <w:sz w:val="20"/>
                <w:szCs w:val="20"/>
              </w:rPr>
            </w:pPr>
            <w:r w:rsidRPr="004C57CB">
              <w:rPr>
                <w:sz w:val="20"/>
                <w:szCs w:val="20"/>
              </w:rPr>
              <w:t xml:space="preserve">In </w:t>
            </w:r>
            <w:r>
              <w:rPr>
                <w:sz w:val="20"/>
                <w:szCs w:val="20"/>
              </w:rPr>
              <w:t xml:space="preserve">this case </w:t>
            </w:r>
            <w:r w:rsidRPr="004C57CB">
              <w:rPr>
                <w:sz w:val="20"/>
                <w:szCs w:val="20"/>
              </w:rPr>
              <w:t xml:space="preserve">there is no spare primary capacity, so the renomination by </w:t>
            </w:r>
            <w:r>
              <w:rPr>
                <w:sz w:val="20"/>
                <w:szCs w:val="20"/>
              </w:rPr>
              <w:t xml:space="preserve">firm </w:t>
            </w:r>
            <w:r w:rsidRPr="004C57CB">
              <w:rPr>
                <w:sz w:val="20"/>
                <w:szCs w:val="20"/>
              </w:rPr>
              <w:t xml:space="preserve">shippers </w:t>
            </w:r>
            <w:r>
              <w:rPr>
                <w:sz w:val="20"/>
                <w:szCs w:val="20"/>
              </w:rPr>
              <w:t>would result</w:t>
            </w:r>
            <w:r w:rsidRPr="004C57CB">
              <w:rPr>
                <w:sz w:val="20"/>
                <w:szCs w:val="20"/>
              </w:rPr>
              <w:t xml:space="preserve"> in the interrupti</w:t>
            </w:r>
            <w:r>
              <w:rPr>
                <w:sz w:val="20"/>
                <w:szCs w:val="20"/>
              </w:rPr>
              <w:t xml:space="preserve">ble shippers’ being curtailed (i.e. because it has the lowest priority in the curtailment order for contracted but un-nominated capacity). </w:t>
            </w:r>
          </w:p>
          <w:tbl>
            <w:tblPr>
              <w:tblStyle w:val="TableGrid"/>
              <w:tblW w:w="0" w:type="auto"/>
              <w:tblBorders>
                <w:left w:val="single" w:sz="4" w:space="0" w:color="auto"/>
                <w:right w:val="single" w:sz="4" w:space="0" w:color="auto"/>
              </w:tblBorders>
              <w:tblLook w:val="04A0" w:firstRow="1" w:lastRow="0" w:firstColumn="1" w:lastColumn="0" w:noHBand="0" w:noVBand="1"/>
              <w:tblCaption w:val="Scenario 1: No spare primary capacity"/>
              <w:tblDescription w:val="No spare primary capacity"/>
            </w:tblPr>
            <w:tblGrid>
              <w:gridCol w:w="8438"/>
            </w:tblGrid>
            <w:tr w:rsidR="005635CA" w14:paraId="7301726D" w14:textId="77777777" w:rsidTr="00A949C5">
              <w:trPr>
                <w:cnfStyle w:val="100000000000" w:firstRow="1" w:lastRow="0" w:firstColumn="0" w:lastColumn="0" w:oddVBand="0" w:evenVBand="0" w:oddHBand="0" w:evenHBand="0" w:firstRowFirstColumn="0" w:firstRowLastColumn="0" w:lastRowFirstColumn="0" w:lastRowLastColumn="0"/>
                <w:tblHeader/>
              </w:trPr>
              <w:tc>
                <w:tcPr>
                  <w:tcW w:w="8438" w:type="dxa"/>
                  <w:shd w:val="clear" w:color="auto" w:fill="auto"/>
                </w:tcPr>
                <w:p w14:paraId="3149B069" w14:textId="77777777" w:rsidR="005635CA" w:rsidRDefault="005635CA" w:rsidP="005635CA">
                  <w:pPr>
                    <w:pStyle w:val="PullOutBoxBodyText"/>
                    <w:spacing w:before="0" w:after="0"/>
                    <w:jc w:val="center"/>
                    <w:rPr>
                      <w:sz w:val="20"/>
                      <w:szCs w:val="20"/>
                    </w:rPr>
                  </w:pPr>
                  <w:r w:rsidRPr="00B606E0">
                    <w:rPr>
                      <w:color w:val="auto"/>
                      <w:sz w:val="20"/>
                      <w:szCs w:val="20"/>
                    </w:rPr>
                    <w:t>Scenario 1: No spare primary capacity</w:t>
                  </w:r>
                </w:p>
              </w:tc>
            </w:tr>
            <w:tr w:rsidR="005635CA" w14:paraId="372BD659" w14:textId="77777777" w:rsidTr="00610057">
              <w:tc>
                <w:tcPr>
                  <w:tcW w:w="8438" w:type="dxa"/>
                  <w:shd w:val="clear" w:color="auto" w:fill="auto"/>
                </w:tcPr>
                <w:p w14:paraId="198FA7FA" w14:textId="77777777" w:rsidR="005635CA" w:rsidRDefault="005635CA" w:rsidP="005635CA">
                  <w:pPr>
                    <w:pStyle w:val="PullOutBoxBodyText"/>
                    <w:spacing w:before="0" w:after="0"/>
                    <w:rPr>
                      <w:sz w:val="20"/>
                      <w:szCs w:val="20"/>
                    </w:rPr>
                  </w:pPr>
                  <w:r>
                    <w:rPr>
                      <w:noProof/>
                      <w:sz w:val="20"/>
                      <w:szCs w:val="20"/>
                      <w:lang w:eastAsia="en-AU"/>
                    </w:rPr>
                    <w:drawing>
                      <wp:inline distT="0" distB="0" distL="0" distR="0" wp14:anchorId="56540FE3" wp14:editId="71F25413">
                        <wp:extent cx="5220000" cy="2372400"/>
                        <wp:effectExtent l="0" t="0" r="0" b="8890"/>
                        <wp:docPr id="29" name="Picture 29" descr="No spare primary capacity" title="Scenario 1: No spare primary capac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220000" cy="2372400"/>
                                </a:xfrm>
                                <a:prstGeom prst="rect">
                                  <a:avLst/>
                                </a:prstGeom>
                                <a:noFill/>
                              </pic:spPr>
                            </pic:pic>
                          </a:graphicData>
                        </a:graphic>
                      </wp:inline>
                    </w:drawing>
                  </w:r>
                </w:p>
              </w:tc>
            </w:tr>
          </w:tbl>
          <w:p w14:paraId="27CAD479" w14:textId="77777777" w:rsidR="005635CA" w:rsidRDefault="005635CA" w:rsidP="005635CA">
            <w:pPr>
              <w:pStyle w:val="PullOutBoxBodyText"/>
              <w:spacing w:after="120"/>
              <w:rPr>
                <w:sz w:val="20"/>
                <w:szCs w:val="20"/>
              </w:rPr>
            </w:pPr>
            <w:r>
              <w:rPr>
                <w:sz w:val="20"/>
                <w:szCs w:val="20"/>
              </w:rPr>
              <w:t>In the second scenario, it is assumed that</w:t>
            </w:r>
            <w:r w:rsidRPr="004C57CB">
              <w:rPr>
                <w:sz w:val="20"/>
                <w:szCs w:val="20"/>
              </w:rPr>
              <w:t>:</w:t>
            </w:r>
          </w:p>
          <w:p w14:paraId="2B45EC04" w14:textId="77777777" w:rsidR="005635CA" w:rsidRPr="004C57CB" w:rsidRDefault="005635CA" w:rsidP="00610057">
            <w:pPr>
              <w:pStyle w:val="ListBullet"/>
              <w:ind w:left="357" w:hanging="357"/>
              <w:rPr>
                <w:sz w:val="20"/>
                <w:szCs w:val="20"/>
              </w:rPr>
            </w:pPr>
            <w:r>
              <w:rPr>
                <w:sz w:val="20"/>
                <w:szCs w:val="20"/>
              </w:rPr>
              <w:t xml:space="preserve">firm shippers have contracted 100 TJ/day but </w:t>
            </w:r>
            <w:r w:rsidRPr="004C57CB">
              <w:rPr>
                <w:sz w:val="20"/>
                <w:szCs w:val="20"/>
              </w:rPr>
              <w:t xml:space="preserve">nominate to use </w:t>
            </w:r>
            <w:r>
              <w:rPr>
                <w:sz w:val="20"/>
                <w:szCs w:val="20"/>
              </w:rPr>
              <w:t>9</w:t>
            </w:r>
            <w:r w:rsidRPr="004C57CB">
              <w:rPr>
                <w:sz w:val="20"/>
                <w:szCs w:val="20"/>
              </w:rPr>
              <w:t>0 TJ/day</w:t>
            </w:r>
            <w:r>
              <w:rPr>
                <w:sz w:val="20"/>
                <w:szCs w:val="20"/>
              </w:rPr>
              <w:t xml:space="preserve"> by the nomination cut-off time on gas day D-1, leaving 10 TJ/day to go into the auction</w:t>
            </w:r>
            <w:r w:rsidRPr="004C57CB">
              <w:rPr>
                <w:sz w:val="20"/>
                <w:szCs w:val="20"/>
              </w:rPr>
              <w:t>;</w:t>
            </w:r>
            <w:r>
              <w:rPr>
                <w:sz w:val="20"/>
                <w:szCs w:val="20"/>
              </w:rPr>
              <w:t xml:space="preserve"> </w:t>
            </w:r>
          </w:p>
          <w:p w14:paraId="347C28ED" w14:textId="77777777" w:rsidR="005635CA" w:rsidRDefault="005635CA" w:rsidP="00610057">
            <w:pPr>
              <w:pStyle w:val="ListBullet"/>
              <w:ind w:left="357" w:hanging="357"/>
              <w:rPr>
                <w:sz w:val="20"/>
                <w:szCs w:val="20"/>
              </w:rPr>
            </w:pPr>
            <w:r w:rsidRPr="004C57CB">
              <w:rPr>
                <w:sz w:val="20"/>
                <w:szCs w:val="20"/>
              </w:rPr>
              <w:t xml:space="preserve">auction </w:t>
            </w:r>
            <w:r>
              <w:rPr>
                <w:sz w:val="20"/>
                <w:szCs w:val="20"/>
              </w:rPr>
              <w:t>participants secure 10 TJ/day;</w:t>
            </w:r>
          </w:p>
          <w:p w14:paraId="3ED684FE" w14:textId="71FE70B7" w:rsidR="005635CA" w:rsidRPr="00610057" w:rsidRDefault="005635CA" w:rsidP="00610057">
            <w:pPr>
              <w:pStyle w:val="ListBullet"/>
              <w:ind w:left="357" w:hanging="357"/>
              <w:rPr>
                <w:sz w:val="20"/>
                <w:szCs w:val="20"/>
              </w:rPr>
            </w:pPr>
            <w:r>
              <w:rPr>
                <w:sz w:val="20"/>
                <w:szCs w:val="20"/>
              </w:rPr>
              <w:t xml:space="preserve">there is 30 TJ/day of spare capacity, which the service provider allocates to as </w:t>
            </w:r>
            <w:r w:rsidRPr="004C57CB">
              <w:rPr>
                <w:sz w:val="20"/>
                <w:szCs w:val="20"/>
              </w:rPr>
              <w:t>available and interruptible shippers</w:t>
            </w:r>
            <w:r>
              <w:rPr>
                <w:sz w:val="20"/>
                <w:szCs w:val="20"/>
              </w:rPr>
              <w:t xml:space="preserve"> prior to the auction, each of whom </w:t>
            </w:r>
            <w:r w:rsidRPr="004C57CB">
              <w:rPr>
                <w:sz w:val="20"/>
                <w:szCs w:val="20"/>
              </w:rPr>
              <w:t xml:space="preserve">nominate </w:t>
            </w:r>
            <w:r>
              <w:rPr>
                <w:sz w:val="20"/>
                <w:szCs w:val="20"/>
              </w:rPr>
              <w:t>1</w:t>
            </w:r>
            <w:r w:rsidRPr="004C57CB">
              <w:rPr>
                <w:sz w:val="20"/>
                <w:szCs w:val="20"/>
              </w:rPr>
              <w:t>0 TJ/day</w:t>
            </w:r>
            <w:r>
              <w:rPr>
                <w:sz w:val="20"/>
                <w:szCs w:val="20"/>
              </w:rPr>
              <w:t>; and</w:t>
            </w:r>
          </w:p>
        </w:tc>
      </w:tr>
      <w:tr w:rsidR="00610057" w:rsidRPr="00B606E0" w14:paraId="5911CFBE" w14:textId="77777777" w:rsidTr="00610057">
        <w:tc>
          <w:tcPr>
            <w:tcW w:w="5000" w:type="pct"/>
          </w:tcPr>
          <w:p w14:paraId="65CEA4A5" w14:textId="77777777" w:rsidR="00610057" w:rsidRDefault="00610057" w:rsidP="00610057">
            <w:pPr>
              <w:pStyle w:val="ListBullet"/>
              <w:ind w:left="357" w:hanging="357"/>
              <w:rPr>
                <w:sz w:val="20"/>
                <w:szCs w:val="20"/>
              </w:rPr>
            </w:pPr>
            <w:proofErr w:type="gramStart"/>
            <w:r>
              <w:rPr>
                <w:sz w:val="20"/>
                <w:szCs w:val="20"/>
              </w:rPr>
              <w:t>firm</w:t>
            </w:r>
            <w:proofErr w:type="gramEnd"/>
            <w:r>
              <w:rPr>
                <w:sz w:val="20"/>
                <w:szCs w:val="20"/>
              </w:rPr>
              <w:t xml:space="preserve"> shippers renominate upwards on gas day D by 10 TJ/day. </w:t>
            </w:r>
          </w:p>
          <w:p w14:paraId="65D21259" w14:textId="438F3245" w:rsidR="00610057" w:rsidRDefault="00610057" w:rsidP="00610057">
            <w:pPr>
              <w:pStyle w:val="PullOutBoxBodyText"/>
              <w:spacing w:after="240"/>
              <w:rPr>
                <w:sz w:val="20"/>
                <w:szCs w:val="20"/>
              </w:rPr>
            </w:pPr>
            <w:r>
              <w:rPr>
                <w:sz w:val="20"/>
                <w:szCs w:val="20"/>
              </w:rPr>
              <w:t xml:space="preserve">In this case the renomination by firm shippers would result in the auction winners’ capacity being curtailed, because they are the only users of the contracted but un-nominated capacity, which is reduced as a result of the firm shippers’ renomination. </w:t>
            </w:r>
          </w:p>
          <w:tbl>
            <w:tblPr>
              <w:tblStyle w:val="TableGrid"/>
              <w:tblW w:w="0" w:type="auto"/>
              <w:tblBorders>
                <w:left w:val="single" w:sz="4" w:space="0" w:color="auto"/>
                <w:right w:val="single" w:sz="4" w:space="0" w:color="auto"/>
              </w:tblBorders>
              <w:tblLook w:val="04A0" w:firstRow="1" w:lastRow="0" w:firstColumn="1" w:lastColumn="0" w:noHBand="0" w:noVBand="1"/>
              <w:tblCaption w:val="Scenario 2: Spare primary capacity"/>
              <w:tblDescription w:val="Scenario 2: Spare primary capacity"/>
            </w:tblPr>
            <w:tblGrid>
              <w:gridCol w:w="8438"/>
            </w:tblGrid>
            <w:tr w:rsidR="00610057" w14:paraId="1873DC79" w14:textId="77777777" w:rsidTr="00610057">
              <w:trPr>
                <w:cnfStyle w:val="100000000000" w:firstRow="1" w:lastRow="0" w:firstColumn="0" w:lastColumn="0" w:oddVBand="0" w:evenVBand="0" w:oddHBand="0" w:evenHBand="0" w:firstRowFirstColumn="0" w:firstRowLastColumn="0" w:lastRowFirstColumn="0" w:lastRowLastColumn="0"/>
                <w:tblHeader/>
              </w:trPr>
              <w:tc>
                <w:tcPr>
                  <w:tcW w:w="8438" w:type="dxa"/>
                  <w:shd w:val="clear" w:color="auto" w:fill="auto"/>
                </w:tcPr>
                <w:p w14:paraId="086B53A0" w14:textId="3AF965F1" w:rsidR="00610057" w:rsidRPr="00610057" w:rsidRDefault="00610057" w:rsidP="00610057">
                  <w:pPr>
                    <w:pStyle w:val="PullOutBoxBodyText"/>
                    <w:spacing w:before="0" w:after="0"/>
                    <w:jc w:val="center"/>
                    <w:rPr>
                      <w:sz w:val="20"/>
                      <w:szCs w:val="20"/>
                    </w:rPr>
                  </w:pPr>
                  <w:r w:rsidRPr="00610057">
                    <w:rPr>
                      <w:color w:val="auto"/>
                      <w:sz w:val="20"/>
                      <w:szCs w:val="20"/>
                    </w:rPr>
                    <w:t>Scenario 2: Spare primary capacity</w:t>
                  </w:r>
                </w:p>
              </w:tc>
            </w:tr>
            <w:tr w:rsidR="00610057" w14:paraId="5994FDE1" w14:textId="77777777" w:rsidTr="00610057">
              <w:trPr>
                <w:cnfStyle w:val="100000000000" w:firstRow="1" w:lastRow="0" w:firstColumn="0" w:lastColumn="0" w:oddVBand="0" w:evenVBand="0" w:oddHBand="0" w:evenHBand="0" w:firstRowFirstColumn="0" w:firstRowLastColumn="0" w:lastRowFirstColumn="0" w:lastRowLastColumn="0"/>
                <w:tblHeader/>
              </w:trPr>
              <w:tc>
                <w:tcPr>
                  <w:tcW w:w="8438" w:type="dxa"/>
                  <w:shd w:val="clear" w:color="auto" w:fill="auto"/>
                </w:tcPr>
                <w:p w14:paraId="740AB37F" w14:textId="07562EF7" w:rsidR="00610057" w:rsidRPr="00610057" w:rsidRDefault="00610057" w:rsidP="00610057">
                  <w:pPr>
                    <w:pStyle w:val="PullOutBoxBodyText"/>
                    <w:spacing w:before="0"/>
                    <w:jc w:val="center"/>
                    <w:rPr>
                      <w:sz w:val="20"/>
                      <w:szCs w:val="20"/>
                    </w:rPr>
                  </w:pPr>
                  <w:r>
                    <w:rPr>
                      <w:noProof/>
                      <w:sz w:val="20"/>
                      <w:szCs w:val="20"/>
                      <w:lang w:eastAsia="en-AU"/>
                    </w:rPr>
                    <w:drawing>
                      <wp:inline distT="0" distB="0" distL="0" distR="0" wp14:anchorId="10545F1F" wp14:editId="0FD1F43E">
                        <wp:extent cx="5220000" cy="2512800"/>
                        <wp:effectExtent l="0" t="0" r="0" b="1905"/>
                        <wp:docPr id="31" name="Picture 31" descr="Spare primary capacity" title="Scenario 2: Spare primary capac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220000" cy="2512800"/>
                                </a:xfrm>
                                <a:prstGeom prst="rect">
                                  <a:avLst/>
                                </a:prstGeom>
                                <a:noFill/>
                              </pic:spPr>
                            </pic:pic>
                          </a:graphicData>
                        </a:graphic>
                      </wp:inline>
                    </w:drawing>
                  </w:r>
                </w:p>
              </w:tc>
            </w:tr>
          </w:tbl>
          <w:p w14:paraId="2388FAFF" w14:textId="2FDDCA6B" w:rsidR="00610057" w:rsidRDefault="00610057" w:rsidP="00610057">
            <w:pPr>
              <w:pStyle w:val="PullOutBoxBodyText"/>
              <w:spacing w:before="0"/>
              <w:rPr>
                <w:sz w:val="20"/>
                <w:szCs w:val="20"/>
              </w:rPr>
            </w:pPr>
            <w:r>
              <w:rPr>
                <w:sz w:val="20"/>
                <w:szCs w:val="20"/>
              </w:rPr>
              <w:t>As noted below, members of the Day-Ahead Auction project team suggested that if there is spare primary capacity and upward renominations result in the auction winners’ capacity being curtailed, then auction winners should have the option to avoid being curtailed by procuring an as available or interruptible service from the service provider on the gas day to access the spare primary capacity.</w:t>
            </w:r>
          </w:p>
        </w:tc>
      </w:tr>
    </w:tbl>
    <w:p w14:paraId="577C61C7" w14:textId="6B5C8CAA" w:rsidR="00576762" w:rsidRDefault="00576762" w:rsidP="00576762">
      <w:pPr>
        <w:pStyle w:val="BodyText"/>
      </w:pPr>
      <w:r>
        <w:t xml:space="preserve">The key points to note about the four options in </w:t>
      </w:r>
      <w:r>
        <w:rPr>
          <w:highlight w:val="yellow"/>
        </w:rPr>
        <w:fldChar w:fldCharType="begin"/>
      </w:r>
      <w:r>
        <w:instrText xml:space="preserve"> REF _Ref494723049 \h </w:instrText>
      </w:r>
      <w:r>
        <w:rPr>
          <w:highlight w:val="yellow"/>
        </w:rPr>
      </w:r>
      <w:r>
        <w:rPr>
          <w:highlight w:val="yellow"/>
        </w:rPr>
        <w:fldChar w:fldCharType="separate"/>
      </w:r>
      <w:r w:rsidR="00272B32">
        <w:t xml:space="preserve">Table </w:t>
      </w:r>
      <w:r w:rsidR="00272B32">
        <w:rPr>
          <w:noProof/>
        </w:rPr>
        <w:t>3</w:t>
      </w:r>
      <w:r w:rsidR="00272B32">
        <w:t>.</w:t>
      </w:r>
      <w:r w:rsidR="00272B32">
        <w:rPr>
          <w:noProof/>
        </w:rPr>
        <w:t>1</w:t>
      </w:r>
      <w:r>
        <w:rPr>
          <w:highlight w:val="yellow"/>
        </w:rPr>
        <w:fldChar w:fldCharType="end"/>
      </w:r>
      <w:r>
        <w:t xml:space="preserve"> can be summarised as follows:</w:t>
      </w:r>
    </w:p>
    <w:p w14:paraId="59BFF7D1" w14:textId="3B08B55A" w:rsidR="00576762" w:rsidRPr="008F0845" w:rsidRDefault="0035688B" w:rsidP="00187EB2">
      <w:pPr>
        <w:pStyle w:val="ListNumber"/>
        <w:numPr>
          <w:ilvl w:val="0"/>
          <w:numId w:val="36"/>
        </w:numPr>
        <w:rPr>
          <w:b/>
        </w:rPr>
      </w:pPr>
      <w:r>
        <w:rPr>
          <w:b/>
        </w:rPr>
        <w:t xml:space="preserve">Option 1: </w:t>
      </w:r>
      <w:r w:rsidR="00576762" w:rsidRPr="008976DC">
        <w:rPr>
          <w:b/>
        </w:rPr>
        <w:t xml:space="preserve">Second priority firm </w:t>
      </w:r>
      <w:r w:rsidR="00576762">
        <w:rPr>
          <w:b/>
        </w:rPr>
        <w:t>auction product</w:t>
      </w:r>
      <w:r w:rsidR="00576762" w:rsidRPr="008976DC">
        <w:rPr>
          <w:b/>
        </w:rPr>
        <w:t xml:space="preserve">: </w:t>
      </w:r>
      <w:r w:rsidR="00576762" w:rsidRPr="00EF4841">
        <w:t xml:space="preserve">As its name suggests, this </w:t>
      </w:r>
      <w:r w:rsidR="00576762" w:rsidRPr="00EF4841">
        <w:rPr>
          <w:color w:val="000000"/>
        </w:rPr>
        <w:t xml:space="preserve">auction product ranks </w:t>
      </w:r>
      <w:r w:rsidR="00576762" w:rsidRPr="00EF4841">
        <w:rPr>
          <w:i/>
          <w:color w:val="000000"/>
        </w:rPr>
        <w:t>below</w:t>
      </w:r>
      <w:r w:rsidR="00576762" w:rsidRPr="00EF4841">
        <w:rPr>
          <w:color w:val="000000"/>
        </w:rPr>
        <w:t xml:space="preserve"> firm transportation rights, but above all the other transportation rights (e.g. as available and interruptible rights) from a scheduling, curtailment and renomination rights perspective</w:t>
      </w:r>
      <w:r w:rsidR="00AB3FF1">
        <w:rPr>
          <w:color w:val="000000"/>
        </w:rPr>
        <w:t xml:space="preserve"> in relation to the contracted but un-nominated capacity</w:t>
      </w:r>
      <w:r w:rsidR="00576762" w:rsidRPr="00EF4841">
        <w:rPr>
          <w:color w:val="000000"/>
        </w:rPr>
        <w:t>. It is therefore consistent with the</w:t>
      </w:r>
      <w:r w:rsidR="00576762">
        <w:rPr>
          <w:color w:val="000000"/>
        </w:rPr>
        <w:t xml:space="preserve"> AEMC’s recommendations that nomination and renomination rights be accommodated and the auction product be curtailed ahead of firm services</w:t>
      </w:r>
      <w:r w:rsidR="00576762" w:rsidRPr="00EF4841">
        <w:rPr>
          <w:color w:val="000000"/>
        </w:rPr>
        <w:t xml:space="preserve">. </w:t>
      </w:r>
      <w:r w:rsidR="00576762">
        <w:rPr>
          <w:color w:val="000000"/>
        </w:rPr>
        <w:t xml:space="preserve">It would also appear to provide shippers with firm capacity rights a relatively strong incentive to sell any spare capacity they have prior to the auction. </w:t>
      </w:r>
      <w:r w:rsidR="00745853">
        <w:rPr>
          <w:color w:val="000000"/>
        </w:rPr>
        <w:t xml:space="preserve">The other benefit of this option is that </w:t>
      </w:r>
      <w:r w:rsidR="0057098B">
        <w:rPr>
          <w:color w:val="000000"/>
        </w:rPr>
        <w:t xml:space="preserve">by scheduling the auction product prior to as available and interruptible rights, it will address the concerns the AEMC expressed about these rights competing with the auction and potentially resulting in capacity not being allocated to its highest value use. </w:t>
      </w:r>
      <w:r w:rsidR="00576762" w:rsidRPr="00EF4841">
        <w:rPr>
          <w:color w:val="000000"/>
        </w:rPr>
        <w:t xml:space="preserve">From a </w:t>
      </w:r>
      <w:r w:rsidR="00576762">
        <w:rPr>
          <w:color w:val="000000"/>
        </w:rPr>
        <w:t>risk perspective, this auction product is expected to be subject to:</w:t>
      </w:r>
    </w:p>
    <w:p w14:paraId="3492F5AD" w14:textId="77777777" w:rsidR="00576762" w:rsidRPr="008F0845" w:rsidRDefault="00576762" w:rsidP="00576762">
      <w:pPr>
        <w:pStyle w:val="ListBullet2"/>
        <w:rPr>
          <w:b/>
        </w:rPr>
      </w:pPr>
      <w:r w:rsidRPr="00EF4841">
        <w:t xml:space="preserve">a moderate degree of </w:t>
      </w:r>
      <w:r>
        <w:t xml:space="preserve">curtailment </w:t>
      </w:r>
      <w:r w:rsidRPr="00EF4841">
        <w:t>risk because it will be subordinate to the firm shippers’ renomination rights</w:t>
      </w:r>
      <w:r>
        <w:t xml:space="preserve"> and curtailed ahead of firm services if another curtailment event occurs, but the level of risk is lower under this option than the second priority as available and interruptible services; and</w:t>
      </w:r>
    </w:p>
    <w:p w14:paraId="04E7C525" w14:textId="77777777" w:rsidR="00576762" w:rsidRPr="00EF4841" w:rsidRDefault="00576762" w:rsidP="00576762">
      <w:pPr>
        <w:pStyle w:val="ListBullet2"/>
        <w:rPr>
          <w:b/>
        </w:rPr>
      </w:pPr>
      <w:proofErr w:type="gramStart"/>
      <w:r>
        <w:t>lower</w:t>
      </w:r>
      <w:proofErr w:type="gramEnd"/>
      <w:r>
        <w:t xml:space="preserve"> gaming risks than the other options.</w:t>
      </w:r>
    </w:p>
    <w:p w14:paraId="4A82C102" w14:textId="3A37C182" w:rsidR="00576762" w:rsidRPr="008F0845" w:rsidRDefault="0035688B" w:rsidP="00576762">
      <w:pPr>
        <w:pStyle w:val="ListNumber"/>
        <w:rPr>
          <w:b/>
        </w:rPr>
      </w:pPr>
      <w:r>
        <w:rPr>
          <w:b/>
        </w:rPr>
        <w:t xml:space="preserve">Option 2: </w:t>
      </w:r>
      <w:r w:rsidR="00576762" w:rsidRPr="008976DC">
        <w:rPr>
          <w:b/>
        </w:rPr>
        <w:t xml:space="preserve">Second priority as available </w:t>
      </w:r>
      <w:r w:rsidR="00576762">
        <w:rPr>
          <w:b/>
        </w:rPr>
        <w:t>auction product</w:t>
      </w:r>
      <w:r w:rsidR="00576762" w:rsidRPr="008976DC">
        <w:rPr>
          <w:b/>
        </w:rPr>
        <w:t xml:space="preserve">: </w:t>
      </w:r>
      <w:r w:rsidR="00576762">
        <w:t>T</w:t>
      </w:r>
      <w:r w:rsidR="00576762" w:rsidRPr="00EF4841">
        <w:t xml:space="preserve">his </w:t>
      </w:r>
      <w:r w:rsidR="00576762" w:rsidRPr="00EF4841">
        <w:rPr>
          <w:color w:val="000000"/>
        </w:rPr>
        <w:t xml:space="preserve">auction product ranks </w:t>
      </w:r>
      <w:r w:rsidR="00576762" w:rsidRPr="00EF4841">
        <w:rPr>
          <w:i/>
          <w:color w:val="000000"/>
        </w:rPr>
        <w:t>below</w:t>
      </w:r>
      <w:r w:rsidR="00576762" w:rsidRPr="00EF4841">
        <w:rPr>
          <w:color w:val="000000"/>
        </w:rPr>
        <w:t xml:space="preserve"> firm </w:t>
      </w:r>
      <w:r w:rsidR="00576762">
        <w:rPr>
          <w:color w:val="000000"/>
        </w:rPr>
        <w:t xml:space="preserve">and as available </w:t>
      </w:r>
      <w:r w:rsidR="00576762" w:rsidRPr="00EF4841">
        <w:rPr>
          <w:color w:val="000000"/>
        </w:rPr>
        <w:t xml:space="preserve">transportation rights, but above </w:t>
      </w:r>
      <w:r w:rsidR="00576762">
        <w:rPr>
          <w:color w:val="000000"/>
        </w:rPr>
        <w:t xml:space="preserve">interruptible </w:t>
      </w:r>
      <w:r w:rsidR="00576762" w:rsidRPr="00EF4841">
        <w:rPr>
          <w:color w:val="000000"/>
        </w:rPr>
        <w:t>rights from a scheduling, curtailment and renomination rights perspective</w:t>
      </w:r>
      <w:r w:rsidR="00AB3FF1">
        <w:rPr>
          <w:color w:val="000000"/>
        </w:rPr>
        <w:t xml:space="preserve"> in relation to the contracted but un-nominated capacity</w:t>
      </w:r>
      <w:r w:rsidR="00576762" w:rsidRPr="00EF4841">
        <w:rPr>
          <w:color w:val="000000"/>
        </w:rPr>
        <w:t xml:space="preserve">. </w:t>
      </w:r>
      <w:r w:rsidR="00576762">
        <w:rPr>
          <w:color w:val="000000"/>
        </w:rPr>
        <w:t>The prioritisation of as available services ahead of the auction product in relation to renomination rights and curtailment in this case appears to go beyond what the AEMC</w:t>
      </w:r>
      <w:r w:rsidR="00576762" w:rsidRPr="00EF4841">
        <w:rPr>
          <w:color w:val="000000"/>
        </w:rPr>
        <w:t xml:space="preserve"> </w:t>
      </w:r>
      <w:r w:rsidR="00576762">
        <w:rPr>
          <w:color w:val="000000"/>
        </w:rPr>
        <w:t>intended. It could also reduce the incentive shippers with firm capacity have to sell spare capacity prior to the auction</w:t>
      </w:r>
      <w:r w:rsidR="00576762" w:rsidRPr="00EF4841">
        <w:rPr>
          <w:color w:val="000000"/>
        </w:rPr>
        <w:t xml:space="preserve">. From a risk perspective, this auction product </w:t>
      </w:r>
      <w:r w:rsidR="00576762">
        <w:rPr>
          <w:color w:val="000000"/>
        </w:rPr>
        <w:t>is expected to</w:t>
      </w:r>
      <w:r w:rsidR="00576762" w:rsidRPr="00EF4841">
        <w:rPr>
          <w:color w:val="000000"/>
        </w:rPr>
        <w:t xml:space="preserve"> be</w:t>
      </w:r>
      <w:r w:rsidR="00576762">
        <w:rPr>
          <w:color w:val="000000"/>
        </w:rPr>
        <w:t xml:space="preserve"> subject to:</w:t>
      </w:r>
    </w:p>
    <w:p w14:paraId="153335C8" w14:textId="77777777" w:rsidR="00576762" w:rsidRPr="008F0845" w:rsidRDefault="00576762" w:rsidP="00576762">
      <w:pPr>
        <w:pStyle w:val="ListBullet2"/>
        <w:rPr>
          <w:b/>
        </w:rPr>
      </w:pPr>
      <w:r w:rsidRPr="00EF4841">
        <w:t xml:space="preserve">a </w:t>
      </w:r>
      <w:r>
        <w:t>relatively high</w:t>
      </w:r>
      <w:r w:rsidRPr="00EF4841">
        <w:t xml:space="preserve"> degree of </w:t>
      </w:r>
      <w:r>
        <w:t xml:space="preserve">curtailment </w:t>
      </w:r>
      <w:r w:rsidRPr="00EF4841">
        <w:t xml:space="preserve">risk because it will be subordinate to firm </w:t>
      </w:r>
      <w:r>
        <w:t xml:space="preserve">and as available </w:t>
      </w:r>
      <w:r w:rsidRPr="00EF4841">
        <w:t>shippers’ renomination rights</w:t>
      </w:r>
      <w:r>
        <w:t xml:space="preserve"> and will also be curtailed before these products if another curtailment event occurs, but the level of risk is lower than what it would be under the second priority interruptible service; and</w:t>
      </w:r>
    </w:p>
    <w:p w14:paraId="68A2FB24" w14:textId="317C29EF" w:rsidR="00576762" w:rsidRPr="00133C38" w:rsidRDefault="00576762" w:rsidP="00576762">
      <w:pPr>
        <w:pStyle w:val="ListBullet2"/>
        <w:rPr>
          <w:b/>
        </w:rPr>
      </w:pPr>
      <w:proofErr w:type="gramStart"/>
      <w:r>
        <w:t>higher</w:t>
      </w:r>
      <w:proofErr w:type="gramEnd"/>
      <w:r>
        <w:t xml:space="preserve"> gaming risks than under the second priority firm service option.</w:t>
      </w:r>
    </w:p>
    <w:p w14:paraId="0361730B" w14:textId="3F2AC714" w:rsidR="00133C38" w:rsidRPr="008976DC" w:rsidRDefault="00133C38" w:rsidP="00133C38">
      <w:pPr>
        <w:pStyle w:val="ListBullet2"/>
        <w:numPr>
          <w:ilvl w:val="0"/>
          <w:numId w:val="0"/>
        </w:numPr>
        <w:ind w:left="357"/>
        <w:rPr>
          <w:b/>
        </w:rPr>
      </w:pPr>
      <w:r>
        <w:t xml:space="preserve">The other point to note about this option is that because as available rights are scheduled before the auction the amount of capacity released in the auction would be lower under this option than the second priority firm auction product (see section </w:t>
      </w:r>
      <w:r>
        <w:fldChar w:fldCharType="begin"/>
      </w:r>
      <w:r>
        <w:instrText xml:space="preserve"> REF _Ref494450740 \r \h </w:instrText>
      </w:r>
      <w:r>
        <w:fldChar w:fldCharType="separate"/>
      </w:r>
      <w:r w:rsidR="00272B32">
        <w:t>4.1</w:t>
      </w:r>
      <w:r>
        <w:fldChar w:fldCharType="end"/>
      </w:r>
      <w:r>
        <w:t xml:space="preserve"> for more detail). This is because as available rights do not usually have a contracted capacity attached to them.</w:t>
      </w:r>
    </w:p>
    <w:p w14:paraId="4F898AD7" w14:textId="1F5BAD0E" w:rsidR="00576762" w:rsidRPr="006817F4" w:rsidRDefault="0035688B" w:rsidP="00576762">
      <w:pPr>
        <w:pStyle w:val="ListNumber"/>
        <w:rPr>
          <w:b/>
        </w:rPr>
      </w:pPr>
      <w:r>
        <w:rPr>
          <w:b/>
        </w:rPr>
        <w:t xml:space="preserve">Option 3: </w:t>
      </w:r>
      <w:r w:rsidR="00576762" w:rsidRPr="006817F4">
        <w:rPr>
          <w:b/>
        </w:rPr>
        <w:t xml:space="preserve">Second priority interruptible </w:t>
      </w:r>
      <w:r w:rsidR="00576762">
        <w:rPr>
          <w:b/>
        </w:rPr>
        <w:t>auction product</w:t>
      </w:r>
      <w:r w:rsidR="00576762" w:rsidRPr="006817F4">
        <w:rPr>
          <w:b/>
        </w:rPr>
        <w:t xml:space="preserve">: </w:t>
      </w:r>
      <w:r w:rsidR="00576762">
        <w:t>T</w:t>
      </w:r>
      <w:r w:rsidR="00576762" w:rsidRPr="00EF4841">
        <w:t xml:space="preserve">his </w:t>
      </w:r>
      <w:r w:rsidR="00576762" w:rsidRPr="006817F4">
        <w:rPr>
          <w:color w:val="000000"/>
        </w:rPr>
        <w:t xml:space="preserve">auction product ranks </w:t>
      </w:r>
      <w:r w:rsidR="00576762" w:rsidRPr="006817F4">
        <w:rPr>
          <w:i/>
          <w:color w:val="000000"/>
        </w:rPr>
        <w:t>below</w:t>
      </w:r>
      <w:r w:rsidR="00576762" w:rsidRPr="006817F4">
        <w:rPr>
          <w:color w:val="000000"/>
        </w:rPr>
        <w:t xml:space="preserve"> </w:t>
      </w:r>
      <w:r w:rsidR="00576762">
        <w:rPr>
          <w:color w:val="000000"/>
        </w:rPr>
        <w:t xml:space="preserve">all other </w:t>
      </w:r>
      <w:r w:rsidR="00576762" w:rsidRPr="006817F4">
        <w:rPr>
          <w:color w:val="000000"/>
        </w:rPr>
        <w:t>transportation rights from a scheduling, curtailment and renomination rights perspective</w:t>
      </w:r>
      <w:r w:rsidR="00AB3FF1">
        <w:rPr>
          <w:color w:val="000000"/>
        </w:rPr>
        <w:t xml:space="preserve"> in relation to the contracted but un-nominated capacity</w:t>
      </w:r>
      <w:r w:rsidR="00576762" w:rsidRPr="006817F4">
        <w:rPr>
          <w:color w:val="000000"/>
        </w:rPr>
        <w:t xml:space="preserve">. </w:t>
      </w:r>
      <w:r w:rsidR="00576762">
        <w:rPr>
          <w:color w:val="000000"/>
        </w:rPr>
        <w:t>The prioritisation of as available and interruptible services ahead of the auction product in relation to renomination rights and curtailment in this case appears to go beyond what the AEMC</w:t>
      </w:r>
      <w:r w:rsidR="00576762" w:rsidRPr="00EF4841">
        <w:rPr>
          <w:color w:val="000000"/>
        </w:rPr>
        <w:t xml:space="preserve"> </w:t>
      </w:r>
      <w:r w:rsidR="00576762">
        <w:rPr>
          <w:color w:val="000000"/>
        </w:rPr>
        <w:t>intended. It could also substantially limit the incentive shippers with firm capacity have to sell spare capacity prior to the auction</w:t>
      </w:r>
      <w:r w:rsidR="00576762" w:rsidRPr="00EF4841">
        <w:rPr>
          <w:color w:val="000000"/>
        </w:rPr>
        <w:t xml:space="preserve">. </w:t>
      </w:r>
      <w:r w:rsidR="00576762" w:rsidRPr="006817F4">
        <w:rPr>
          <w:color w:val="000000"/>
        </w:rPr>
        <w:t>From a risk perspective, this auction product is expected to be subject to:</w:t>
      </w:r>
    </w:p>
    <w:p w14:paraId="6AA0301F" w14:textId="77777777" w:rsidR="00576762" w:rsidRPr="008F0845" w:rsidRDefault="00576762" w:rsidP="00576762">
      <w:pPr>
        <w:pStyle w:val="ListBullet2"/>
        <w:rPr>
          <w:b/>
        </w:rPr>
      </w:pPr>
      <w:r w:rsidRPr="00EF4841">
        <w:t xml:space="preserve">a </w:t>
      </w:r>
      <w:r>
        <w:t>high</w:t>
      </w:r>
      <w:r w:rsidRPr="00EF4841">
        <w:t xml:space="preserve"> degree of </w:t>
      </w:r>
      <w:r>
        <w:t xml:space="preserve">curtailment </w:t>
      </w:r>
      <w:r w:rsidRPr="00EF4841">
        <w:t>risk because it will be subordinate to firm</w:t>
      </w:r>
      <w:r>
        <w:t>,</w:t>
      </w:r>
      <w:r w:rsidRPr="00EF4841">
        <w:t xml:space="preserve"> </w:t>
      </w:r>
      <w:r>
        <w:t xml:space="preserve">as available and interruptible </w:t>
      </w:r>
      <w:r w:rsidRPr="00EF4841">
        <w:t>shippers’ renomination rights</w:t>
      </w:r>
      <w:r>
        <w:t xml:space="preserve"> and will also be curtailed before these products if another curtailment event occurs; and</w:t>
      </w:r>
    </w:p>
    <w:p w14:paraId="1E63032F" w14:textId="1BE5C9D9" w:rsidR="00576762" w:rsidRPr="00133C38" w:rsidRDefault="00576762" w:rsidP="00576762">
      <w:pPr>
        <w:pStyle w:val="ListBullet2"/>
        <w:rPr>
          <w:b/>
        </w:rPr>
      </w:pPr>
      <w:proofErr w:type="gramStart"/>
      <w:r>
        <w:t>higher</w:t>
      </w:r>
      <w:proofErr w:type="gramEnd"/>
      <w:r>
        <w:t xml:space="preserve"> gaming risks than under the second priority firm service option.</w:t>
      </w:r>
    </w:p>
    <w:p w14:paraId="170D60DC" w14:textId="72A3794B" w:rsidR="00133C38" w:rsidRPr="008976DC" w:rsidRDefault="00133C38" w:rsidP="00133C38">
      <w:pPr>
        <w:pStyle w:val="BodyText"/>
        <w:ind w:left="357"/>
        <w:rPr>
          <w:b/>
        </w:rPr>
      </w:pPr>
      <w:r>
        <w:t xml:space="preserve">The amount of capacity released in the auction would also be lower under this option than the second priority firm and as available auction products (see section </w:t>
      </w:r>
      <w:r>
        <w:fldChar w:fldCharType="begin"/>
      </w:r>
      <w:r>
        <w:instrText xml:space="preserve"> REF _Ref494450740 \r \h </w:instrText>
      </w:r>
      <w:r>
        <w:fldChar w:fldCharType="separate"/>
      </w:r>
      <w:r w:rsidR="00272B32">
        <w:t>4.1</w:t>
      </w:r>
      <w:r>
        <w:fldChar w:fldCharType="end"/>
      </w:r>
      <w:r>
        <w:t xml:space="preserve"> for more detail), because interruptible rights do not usually have a contracted capacity attached to them.</w:t>
      </w:r>
    </w:p>
    <w:p w14:paraId="577DE775" w14:textId="0C0689BF" w:rsidR="00576762" w:rsidRPr="00B02F06" w:rsidRDefault="0035688B" w:rsidP="00576762">
      <w:pPr>
        <w:pStyle w:val="ListNumber"/>
      </w:pPr>
      <w:r>
        <w:rPr>
          <w:b/>
        </w:rPr>
        <w:t xml:space="preserve">Option 4: </w:t>
      </w:r>
      <w:r w:rsidR="00576762" w:rsidRPr="00B02F06">
        <w:rPr>
          <w:b/>
        </w:rPr>
        <w:t xml:space="preserve">Hybrid </w:t>
      </w:r>
      <w:r w:rsidR="00576762">
        <w:rPr>
          <w:b/>
        </w:rPr>
        <w:t>auction product</w:t>
      </w:r>
      <w:r w:rsidR="00576762" w:rsidRPr="00B02F06">
        <w:rPr>
          <w:b/>
        </w:rPr>
        <w:t xml:space="preserve">: </w:t>
      </w:r>
      <w:r w:rsidR="00576762" w:rsidRPr="00B02F06">
        <w:t xml:space="preserve">Under this option, two </w:t>
      </w:r>
      <w:r w:rsidR="00576762">
        <w:t xml:space="preserve">auction </w:t>
      </w:r>
      <w:r w:rsidR="00576762" w:rsidRPr="00B02F06">
        <w:t xml:space="preserve">products would be </w:t>
      </w:r>
      <w:r w:rsidR="00576762">
        <w:t>available</w:t>
      </w:r>
      <w:r w:rsidR="00576762" w:rsidRPr="00B02F06">
        <w:t>:</w:t>
      </w:r>
    </w:p>
    <w:p w14:paraId="142554FD" w14:textId="77777777" w:rsidR="00576762" w:rsidRDefault="00576762" w:rsidP="00576762">
      <w:pPr>
        <w:pStyle w:val="ListBullet2"/>
      </w:pPr>
      <w:r w:rsidRPr="00B02F06">
        <w:t>a</w:t>
      </w:r>
      <w:r w:rsidRPr="00B02F06">
        <w:rPr>
          <w:b/>
        </w:rPr>
        <w:t xml:space="preserve"> </w:t>
      </w:r>
      <w:r>
        <w:t>firm auction product, which would rank equally to other firm transportation rights (note that this ranks higher than the second priority firm auction product); and</w:t>
      </w:r>
    </w:p>
    <w:p w14:paraId="773A2D72" w14:textId="696A7D93" w:rsidR="00576762" w:rsidRDefault="00576762" w:rsidP="00576762">
      <w:pPr>
        <w:pStyle w:val="ListBullet2"/>
      </w:pPr>
      <w:proofErr w:type="gramStart"/>
      <w:r>
        <w:t>a</w:t>
      </w:r>
      <w:proofErr w:type="gramEnd"/>
      <w:r>
        <w:t xml:space="preserve"> second priority interruptible auction product, which would rank below all other transportation rights</w:t>
      </w:r>
      <w:r w:rsidR="00AB3FF1">
        <w:t xml:space="preserve"> </w:t>
      </w:r>
      <w:r w:rsidR="00AB3FF1">
        <w:rPr>
          <w:color w:val="000000"/>
        </w:rPr>
        <w:t>in relation to the contracted but un-nominated capacity</w:t>
      </w:r>
      <w:r>
        <w:t>.</w:t>
      </w:r>
    </w:p>
    <w:p w14:paraId="0DEE6FD2" w14:textId="1B83EF50" w:rsidR="00576762" w:rsidRPr="006817F4" w:rsidRDefault="00576762" w:rsidP="00576762">
      <w:pPr>
        <w:pStyle w:val="ListBullet2"/>
        <w:numPr>
          <w:ilvl w:val="0"/>
          <w:numId w:val="0"/>
        </w:numPr>
        <w:ind w:left="357"/>
        <w:rPr>
          <w:b/>
        </w:rPr>
      </w:pPr>
      <w:r>
        <w:rPr>
          <w:color w:val="000000"/>
        </w:rPr>
        <w:t>T</w:t>
      </w:r>
      <w:r w:rsidRPr="00171E8A">
        <w:rPr>
          <w:color w:val="000000"/>
        </w:rPr>
        <w:t>o create a firm auction product under this option, some renomination rights would need to be restricted</w:t>
      </w:r>
      <w:r>
        <w:rPr>
          <w:color w:val="000000"/>
        </w:rPr>
        <w:t xml:space="preserve">. This option may not therefore be </w:t>
      </w:r>
      <w:r w:rsidRPr="00EF4841">
        <w:rPr>
          <w:color w:val="000000"/>
        </w:rPr>
        <w:t>consistent with the</w:t>
      </w:r>
      <w:r>
        <w:rPr>
          <w:color w:val="000000"/>
        </w:rPr>
        <w:t xml:space="preserve"> AEMC’s recommendations that nomination and </w:t>
      </w:r>
      <w:r w:rsidR="00133C38">
        <w:rPr>
          <w:color w:val="000000"/>
        </w:rPr>
        <w:t xml:space="preserve">all </w:t>
      </w:r>
      <w:r>
        <w:rPr>
          <w:color w:val="000000"/>
        </w:rPr>
        <w:t xml:space="preserve">renomination rights </w:t>
      </w:r>
      <w:r w:rsidR="00133C38">
        <w:rPr>
          <w:color w:val="000000"/>
        </w:rPr>
        <w:t xml:space="preserve">(firm and reasonable endeavours rights) </w:t>
      </w:r>
      <w:r>
        <w:rPr>
          <w:color w:val="000000"/>
        </w:rPr>
        <w:t>be accommodated and the auction product be curtailed ahead of firm services</w:t>
      </w:r>
      <w:r w:rsidRPr="00EF4841">
        <w:rPr>
          <w:color w:val="000000"/>
        </w:rPr>
        <w:t xml:space="preserve">. </w:t>
      </w:r>
      <w:r w:rsidRPr="006817F4">
        <w:rPr>
          <w:color w:val="000000"/>
        </w:rPr>
        <w:t>From a risk perspective:</w:t>
      </w:r>
    </w:p>
    <w:p w14:paraId="0F447314" w14:textId="77777777" w:rsidR="00576762" w:rsidRPr="00576762" w:rsidRDefault="00576762" w:rsidP="00576762">
      <w:pPr>
        <w:pStyle w:val="ListBullet2"/>
        <w:rPr>
          <w:b/>
        </w:rPr>
      </w:pPr>
      <w:r>
        <w:t xml:space="preserve">the firm auction product would be subject to a low degree of curtailment risk while the second priority interruptible product would be subject to a high degree of curtailment risk; and </w:t>
      </w:r>
    </w:p>
    <w:p w14:paraId="4FFF8B0D" w14:textId="77777777" w:rsidR="00576762" w:rsidRPr="008F0845" w:rsidRDefault="00576762" w:rsidP="00576762">
      <w:pPr>
        <w:pStyle w:val="ListBullet2"/>
        <w:rPr>
          <w:b/>
        </w:rPr>
      </w:pPr>
      <w:proofErr w:type="gramStart"/>
      <w:r>
        <w:t>the</w:t>
      </w:r>
      <w:proofErr w:type="gramEnd"/>
      <w:r>
        <w:t xml:space="preserve"> gaming risks appear to be highest under this option. </w:t>
      </w:r>
    </w:p>
    <w:p w14:paraId="771102B5" w14:textId="5F6A25DB" w:rsidR="009D4E71" w:rsidRDefault="00576762" w:rsidP="00576762">
      <w:pPr>
        <w:pStyle w:val="BodyText"/>
      </w:pPr>
      <w:r>
        <w:t>From a prospective shipper’s perspective, the willingness to purchase any of these products through the day-ahead auction</w:t>
      </w:r>
      <w:r w:rsidR="00133C38">
        <w:t xml:space="preserve">, which is critical to the success of the auction and the capacity trading reforms more generally, </w:t>
      </w:r>
      <w:r>
        <w:t xml:space="preserve">will depend on the perceived risk of the product and whether these risks can be managed. Setting aside the gaming risks, which will, as far as possible, be dealt with through market conduct rules (see Chapter 7), the key risk that auction participants will face is curtailment risk. As noted above, the </w:t>
      </w:r>
      <w:r w:rsidR="00842D68">
        <w:t xml:space="preserve">risk of </w:t>
      </w:r>
      <w:r w:rsidR="009D4E71">
        <w:t xml:space="preserve">curtailment </w:t>
      </w:r>
      <w:r w:rsidR="00842D68">
        <w:t xml:space="preserve">is highest under the </w:t>
      </w:r>
      <w:r w:rsidR="009D4E71">
        <w:t xml:space="preserve">second priority interruptible auction product and </w:t>
      </w:r>
      <w:r w:rsidR="00842D68">
        <w:t xml:space="preserve">lowest under </w:t>
      </w:r>
      <w:r w:rsidR="009D4E71">
        <w:t xml:space="preserve">the </w:t>
      </w:r>
      <w:r w:rsidR="00842D68">
        <w:t xml:space="preserve">hybrid option </w:t>
      </w:r>
      <w:r w:rsidR="009D4E71">
        <w:t>firm auction product. Whether this difference is material, however, will depend on the likelihood that auctioned capacity will be curtailed</w:t>
      </w:r>
      <w:r w:rsidR="003A7355">
        <w:t xml:space="preserve"> and whether the risks of curtailment can be minimised</w:t>
      </w:r>
      <w:r w:rsidR="009D4E71">
        <w:t xml:space="preserve">. </w:t>
      </w:r>
      <w:r w:rsidR="00842D68">
        <w:t>These issues are discussed below.</w:t>
      </w:r>
    </w:p>
    <w:p w14:paraId="3D4E4E40" w14:textId="28C8A409" w:rsidR="003A7355" w:rsidRPr="0059404D" w:rsidRDefault="0059404D" w:rsidP="0059404D">
      <w:pPr>
        <w:pStyle w:val="BodyText"/>
        <w:spacing w:after="0"/>
        <w:rPr>
          <w:b/>
          <w:color w:val="0099CC"/>
        </w:rPr>
      </w:pPr>
      <w:bookmarkStart w:id="75" w:name="_Hlk495345167"/>
      <w:bookmarkEnd w:id="73"/>
      <w:r w:rsidRPr="0059404D">
        <w:rPr>
          <w:b/>
          <w:color w:val="0099CC"/>
        </w:rPr>
        <w:t xml:space="preserve">Risk of curtailment </w:t>
      </w:r>
    </w:p>
    <w:p w14:paraId="26B5ACBF" w14:textId="78B417FA" w:rsidR="007C65C1" w:rsidRDefault="009D4E71" w:rsidP="00CF5482">
      <w:pPr>
        <w:pStyle w:val="BodyText"/>
      </w:pPr>
      <w:r>
        <w:t xml:space="preserve">To get some insight into </w:t>
      </w:r>
      <w:r w:rsidR="0059404D">
        <w:t>the risk of curtailment</w:t>
      </w:r>
      <w:r>
        <w:t xml:space="preserve">, the GMRG </w:t>
      </w:r>
      <w:r w:rsidR="001E658B">
        <w:t xml:space="preserve">engaged </w:t>
      </w:r>
      <w:proofErr w:type="spellStart"/>
      <w:r>
        <w:t>EnergyEdge</w:t>
      </w:r>
      <w:proofErr w:type="spellEnd"/>
      <w:r>
        <w:t xml:space="preserve"> to use historic </w:t>
      </w:r>
      <w:r w:rsidR="00CF5482">
        <w:t xml:space="preserve">Natural Gas Services </w:t>
      </w:r>
      <w:r>
        <w:t xml:space="preserve">Bulletin Board (BB) data to examine the likelihood that </w:t>
      </w:r>
      <w:r w:rsidR="00B57711">
        <w:t xml:space="preserve">the contracted but un-nominated </w:t>
      </w:r>
      <w:r>
        <w:t xml:space="preserve">capacity </w:t>
      </w:r>
      <w:r w:rsidR="00B57711">
        <w:t xml:space="preserve">released </w:t>
      </w:r>
      <w:r>
        <w:t>through a day-ahead auction would be curtailed</w:t>
      </w:r>
      <w:r w:rsidR="001E658B">
        <w:t xml:space="preserve"> if the auction had been in place since 2016</w:t>
      </w:r>
      <w:r>
        <w:t>.</w:t>
      </w:r>
      <w:r w:rsidR="00047644">
        <w:rPr>
          <w:rStyle w:val="FootnoteReference"/>
        </w:rPr>
        <w:footnoteReference w:id="40"/>
      </w:r>
      <w:r>
        <w:t xml:space="preserve"> The </w:t>
      </w:r>
      <w:r w:rsidR="001E658B">
        <w:t xml:space="preserve">results of this examination are </w:t>
      </w:r>
      <w:r w:rsidR="00B57711">
        <w:t xml:space="preserve">summarised in </w:t>
      </w:r>
      <w:r w:rsidR="00B57711">
        <w:fldChar w:fldCharType="begin"/>
      </w:r>
      <w:r w:rsidR="00B57711">
        <w:instrText xml:space="preserve"> REF _Ref494737563 \h </w:instrText>
      </w:r>
      <w:r w:rsidR="00B57711">
        <w:fldChar w:fldCharType="separate"/>
      </w:r>
      <w:r w:rsidR="00272B32">
        <w:t xml:space="preserve">Figure </w:t>
      </w:r>
      <w:r w:rsidR="00272B32">
        <w:rPr>
          <w:noProof/>
        </w:rPr>
        <w:t>3</w:t>
      </w:r>
      <w:r w:rsidR="00272B32">
        <w:t>.</w:t>
      </w:r>
      <w:r w:rsidR="00272B32">
        <w:rPr>
          <w:noProof/>
        </w:rPr>
        <w:t>1</w:t>
      </w:r>
      <w:r w:rsidR="00B57711">
        <w:fldChar w:fldCharType="end"/>
      </w:r>
      <w:r w:rsidR="00B57711">
        <w:t xml:space="preserve"> (see Appendix D for more detail).</w:t>
      </w:r>
      <w:r w:rsidR="00047644">
        <w:t xml:space="preserve"> </w:t>
      </w:r>
    </w:p>
    <w:p w14:paraId="23FEA561" w14:textId="05BC2402" w:rsidR="009D4E71" w:rsidRDefault="001E658B" w:rsidP="00CF5482">
      <w:pPr>
        <w:pStyle w:val="BodyText"/>
      </w:pPr>
      <w:r>
        <w:t xml:space="preserve">Before </w:t>
      </w:r>
      <w:r w:rsidR="00B57711">
        <w:t>examining this figure</w:t>
      </w:r>
      <w:r>
        <w:t xml:space="preserve">, it is worth noting that </w:t>
      </w:r>
      <w:r w:rsidR="00CF5482">
        <w:t xml:space="preserve">the information on nominations and actual deliveries used to measure the risk of curtailment is only reported to the BB on an aggregated basis. It is not therefore possible to measure the risk of curtailment under each of the product options outlined above. </w:t>
      </w:r>
      <w:r w:rsidR="00133C38">
        <w:t xml:space="preserve">Another limitation with the data is that </w:t>
      </w:r>
      <w:r w:rsidR="00CF5482">
        <w:t xml:space="preserve">information on contracted capacity used in the calculation of auction quantities and the risk of curtailment has only been available on the BB since November 2016, so the period of analysis is relatively short (i.e. eight months). </w:t>
      </w:r>
      <w:r>
        <w:t xml:space="preserve">Some care </w:t>
      </w:r>
      <w:r w:rsidR="00E15A7F">
        <w:t xml:space="preserve">must </w:t>
      </w:r>
      <w:r>
        <w:t xml:space="preserve">therefore be taken </w:t>
      </w:r>
      <w:r w:rsidR="00047644">
        <w:t xml:space="preserve">when interpreting the results of </w:t>
      </w:r>
      <w:r>
        <w:t>this analysis</w:t>
      </w:r>
      <w:r w:rsidR="003A7355">
        <w:t xml:space="preserve"> and drawing </w:t>
      </w:r>
      <w:r w:rsidR="0035688B">
        <w:t xml:space="preserve">firm </w:t>
      </w:r>
      <w:r w:rsidR="003A7355">
        <w:t>inferences about future risks</w:t>
      </w:r>
      <w:r>
        <w:t>.</w:t>
      </w:r>
      <w:r w:rsidR="006B7AC6">
        <w:t xml:space="preserve"> </w:t>
      </w:r>
    </w:p>
    <w:p w14:paraId="1DBE201E" w14:textId="48006E20" w:rsidR="008D0BFF" w:rsidRDefault="008D0BFF" w:rsidP="00CF5482">
      <w:pPr>
        <w:pStyle w:val="BodyText"/>
      </w:pPr>
    </w:p>
    <w:p w14:paraId="52E7D54B" w14:textId="77777777" w:rsidR="008D0BFF" w:rsidRDefault="008D0BFF" w:rsidP="00CF5482">
      <w:pPr>
        <w:pStyle w:val="BodyText"/>
        <w:sectPr w:rsidR="008D0BFF" w:rsidSect="00CF1252">
          <w:headerReference w:type="default" r:id="rId36"/>
          <w:footerReference w:type="default" r:id="rId37"/>
          <w:pgSz w:w="11907" w:h="16839" w:code="9"/>
          <w:pgMar w:top="1361" w:right="1418" w:bottom="992" w:left="1701" w:header="567" w:footer="397" w:gutter="0"/>
          <w:cols w:space="708"/>
          <w:docGrid w:linePitch="360"/>
        </w:sectPr>
      </w:pPr>
    </w:p>
    <w:p w14:paraId="46E699A6" w14:textId="2BFEC93E" w:rsidR="008D0BFF" w:rsidRDefault="008D0BFF" w:rsidP="008D0BFF">
      <w:pPr>
        <w:pStyle w:val="Caption"/>
        <w:spacing w:after="0"/>
        <w:ind w:left="1134" w:hanging="1134"/>
      </w:pPr>
      <w:bookmarkStart w:id="76" w:name="_Ref494737563"/>
      <w:r>
        <w:t xml:space="preserve">Figure </w:t>
      </w:r>
      <w:r w:rsidR="00115A93">
        <w:fldChar w:fldCharType="begin"/>
      </w:r>
      <w:r w:rsidR="00115A93">
        <w:instrText xml:space="preserve"> STYLEREF 1 \s </w:instrText>
      </w:r>
      <w:r w:rsidR="00115A93">
        <w:fldChar w:fldCharType="separate"/>
      </w:r>
      <w:r w:rsidR="00272B32">
        <w:rPr>
          <w:noProof/>
        </w:rPr>
        <w:t>3</w:t>
      </w:r>
      <w:r w:rsidR="00115A93">
        <w:rPr>
          <w:noProof/>
        </w:rPr>
        <w:fldChar w:fldCharType="end"/>
      </w:r>
      <w:r>
        <w:t>.</w:t>
      </w:r>
      <w:r w:rsidR="00115A93">
        <w:fldChar w:fldCharType="begin"/>
      </w:r>
      <w:r w:rsidR="00115A93">
        <w:instrText xml:space="preserve"> SEQ Figure \* ARABIC \s 1 </w:instrText>
      </w:r>
      <w:r w:rsidR="00115A93">
        <w:fldChar w:fldCharType="separate"/>
      </w:r>
      <w:r w:rsidR="00272B32">
        <w:rPr>
          <w:noProof/>
        </w:rPr>
        <w:t>1</w:t>
      </w:r>
      <w:r w:rsidR="00115A93">
        <w:rPr>
          <w:noProof/>
        </w:rPr>
        <w:fldChar w:fldCharType="end"/>
      </w:r>
      <w:bookmarkEnd w:id="76"/>
      <w:r>
        <w:t>: Level and frequency of curtailment of contracted but un-nominated capacity (November 2016 – June 2017)</w:t>
      </w:r>
    </w:p>
    <w:p w14:paraId="0C00D78E" w14:textId="2F4CDEA6" w:rsidR="008D0BFF" w:rsidRDefault="008D0BFF" w:rsidP="008D0BFF">
      <w:pPr>
        <w:pStyle w:val="BodyText"/>
        <w:spacing w:before="0" w:after="0" w:line="240" w:lineRule="auto"/>
      </w:pPr>
      <w:r>
        <w:rPr>
          <w:noProof/>
        </w:rPr>
        <w:drawing>
          <wp:inline distT="0" distB="0" distL="0" distR="0" wp14:anchorId="79379553" wp14:editId="5779DD09">
            <wp:extent cx="8609988" cy="5005056"/>
            <wp:effectExtent l="0" t="0" r="635" b="5715"/>
            <wp:docPr id="30" name="Picture 30" descr="Figure 3.1: Level and frequency of curtailment of contracted but un-nominated capacity (November 2016 – June 2017)" title="Figure 3.1: Level and frequency of curtail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8625118" cy="5013851"/>
                    </a:xfrm>
                    <a:prstGeom prst="rect">
                      <a:avLst/>
                    </a:prstGeom>
                    <a:noFill/>
                  </pic:spPr>
                </pic:pic>
              </a:graphicData>
            </a:graphic>
          </wp:inline>
        </w:drawing>
      </w:r>
    </w:p>
    <w:p w14:paraId="3F622479" w14:textId="0D30ACD9" w:rsidR="008D0BFF" w:rsidRPr="008D0BFF" w:rsidRDefault="008D0BFF" w:rsidP="008D0BFF">
      <w:pPr>
        <w:pStyle w:val="BodyText"/>
        <w:spacing w:before="0"/>
        <w:rPr>
          <w:sz w:val="2"/>
          <w:szCs w:val="2"/>
        </w:rPr>
      </w:pPr>
      <w:r w:rsidRPr="003A7355">
        <w:rPr>
          <w:sz w:val="16"/>
          <w:szCs w:val="16"/>
          <w:lang w:eastAsia="fr-CA"/>
        </w:rPr>
        <w:t xml:space="preserve">Source: </w:t>
      </w:r>
      <w:proofErr w:type="spellStart"/>
      <w:r w:rsidRPr="003A7355">
        <w:rPr>
          <w:sz w:val="16"/>
          <w:szCs w:val="16"/>
          <w:lang w:eastAsia="fr-CA"/>
        </w:rPr>
        <w:t>EnergyEdge</w:t>
      </w:r>
      <w:proofErr w:type="spellEnd"/>
      <w:r w:rsidRPr="003A7355">
        <w:rPr>
          <w:sz w:val="16"/>
          <w:szCs w:val="16"/>
          <w:lang w:eastAsia="fr-CA"/>
        </w:rPr>
        <w:t xml:space="preserve">, </w:t>
      </w:r>
      <w:proofErr w:type="spellStart"/>
      <w:r w:rsidRPr="003A7355">
        <w:rPr>
          <w:sz w:val="16"/>
          <w:szCs w:val="16"/>
          <w:lang w:eastAsia="fr-CA"/>
        </w:rPr>
        <w:t>Auctionable</w:t>
      </w:r>
      <w:proofErr w:type="spellEnd"/>
      <w:r w:rsidRPr="003A7355">
        <w:rPr>
          <w:sz w:val="16"/>
          <w:szCs w:val="16"/>
          <w:lang w:eastAsia="fr-CA"/>
        </w:rPr>
        <w:t xml:space="preserve"> Quantity Risk, 14 August 2017. </w:t>
      </w:r>
      <w:r w:rsidRPr="003A7355">
        <w:rPr>
          <w:sz w:val="16"/>
          <w:szCs w:val="16"/>
          <w:lang w:eastAsia="fr-CA"/>
        </w:rPr>
        <w:br/>
        <w:t>Note that limitations on the way in which data is reported for the SWQP on the BB meant that it was not possible to carry out a similar analysis for this pipeline.</w:t>
      </w:r>
      <w:r w:rsidRPr="008D0BFF">
        <w:rPr>
          <w:sz w:val="2"/>
          <w:szCs w:val="2"/>
        </w:rPr>
        <w:t xml:space="preserve"> </w:t>
      </w:r>
    </w:p>
    <w:p w14:paraId="1C1DE505" w14:textId="77777777" w:rsidR="008D0BFF" w:rsidRPr="008D0BFF" w:rsidRDefault="008D0BFF" w:rsidP="00CF5482">
      <w:pPr>
        <w:pStyle w:val="BodyText"/>
        <w:rPr>
          <w:sz w:val="2"/>
          <w:szCs w:val="2"/>
        </w:rPr>
        <w:sectPr w:rsidR="008D0BFF" w:rsidRPr="008D0BFF" w:rsidSect="008D0BFF">
          <w:pgSz w:w="16839" w:h="11907" w:orient="landscape" w:code="9"/>
          <w:pgMar w:top="1361" w:right="1418" w:bottom="992" w:left="1701" w:header="567" w:footer="397" w:gutter="0"/>
          <w:cols w:space="708"/>
          <w:docGrid w:linePitch="360"/>
        </w:sectPr>
      </w:pPr>
    </w:p>
    <w:p w14:paraId="110E50F5" w14:textId="01323CFF" w:rsidR="0059404D" w:rsidRPr="00D45EED" w:rsidRDefault="00047644" w:rsidP="00494FA3">
      <w:pPr>
        <w:pStyle w:val="BodyText"/>
      </w:pPr>
      <w:r>
        <w:t xml:space="preserve">As </w:t>
      </w:r>
      <w:r>
        <w:fldChar w:fldCharType="begin"/>
      </w:r>
      <w:r>
        <w:instrText xml:space="preserve"> REF _Ref494737563 \h </w:instrText>
      </w:r>
      <w:r>
        <w:fldChar w:fldCharType="separate"/>
      </w:r>
      <w:r w:rsidR="00272B32">
        <w:t xml:space="preserve">Figure </w:t>
      </w:r>
      <w:r w:rsidR="00272B32">
        <w:rPr>
          <w:noProof/>
        </w:rPr>
        <w:t>3</w:t>
      </w:r>
      <w:r w:rsidR="00272B32">
        <w:t>.</w:t>
      </w:r>
      <w:r w:rsidR="00272B32">
        <w:rPr>
          <w:noProof/>
        </w:rPr>
        <w:t>1</w:t>
      </w:r>
      <w:r>
        <w:fldChar w:fldCharType="end"/>
      </w:r>
      <w:r>
        <w:t xml:space="preserve"> shows, </w:t>
      </w:r>
      <w:r w:rsidR="003A7355">
        <w:t xml:space="preserve">the risk of curtailment </w:t>
      </w:r>
      <w:r w:rsidR="007C65C1">
        <w:t xml:space="preserve">was </w:t>
      </w:r>
      <w:r w:rsidR="003A7355">
        <w:t>relatively low on most pipelines</w:t>
      </w:r>
      <w:r w:rsidR="007C65C1">
        <w:t xml:space="preserve"> over the period of analysis</w:t>
      </w:r>
      <w:r w:rsidR="003A7355">
        <w:t xml:space="preserve">, with the majority of pipelines experiencing no curtailment on 80% or more days in the period. There are, however, some notable exceptions to this, including the Roma to Brisbane, </w:t>
      </w:r>
      <w:proofErr w:type="spellStart"/>
      <w:r w:rsidR="003A7355">
        <w:t>Berwyndale</w:t>
      </w:r>
      <w:proofErr w:type="spellEnd"/>
      <w:r w:rsidR="003A7355">
        <w:t xml:space="preserve"> to Wallumbilla, Carpentaria, Wallumbilla to Gladstone and </w:t>
      </w:r>
      <w:proofErr w:type="spellStart"/>
      <w:r w:rsidR="003A7355">
        <w:t>S</w:t>
      </w:r>
      <w:r w:rsidR="003A7355" w:rsidRPr="00D45EED">
        <w:t>EAGas</w:t>
      </w:r>
      <w:proofErr w:type="spellEnd"/>
      <w:r w:rsidR="003A7355" w:rsidRPr="00D45EED">
        <w:t xml:space="preserve"> </w:t>
      </w:r>
      <w:r w:rsidR="0059404D" w:rsidRPr="00D45EED">
        <w:t>pipelines</w:t>
      </w:r>
      <w:r w:rsidR="003A7355" w:rsidRPr="00D45EED">
        <w:t xml:space="preserve">, with each of these pipelines experiencing greater levels and more frequent periods of curtailment. </w:t>
      </w:r>
    </w:p>
    <w:p w14:paraId="51327875" w14:textId="6A9F39BD" w:rsidR="00D45EED" w:rsidRDefault="00D45EED" w:rsidP="00494FA3">
      <w:pPr>
        <w:pStyle w:val="BodyText"/>
        <w:rPr>
          <w:lang w:val="en-GB"/>
        </w:rPr>
      </w:pPr>
      <w:r w:rsidRPr="00D45EED">
        <w:t xml:space="preserve">It is worth noting that these results are likely to underestimate the curtailment risk that would exist </w:t>
      </w:r>
      <w:r w:rsidR="00133C38">
        <w:t xml:space="preserve">once </w:t>
      </w:r>
      <w:r w:rsidRPr="00D45EED">
        <w:t>the auction</w:t>
      </w:r>
      <w:r w:rsidR="00133C38">
        <w:t xml:space="preserve"> is implemented</w:t>
      </w:r>
      <w:r w:rsidRPr="00D45EED">
        <w:t xml:space="preserve">, because </w:t>
      </w:r>
      <w:r w:rsidRPr="00D45EED">
        <w:rPr>
          <w:lang w:val="en-GB"/>
        </w:rPr>
        <w:t xml:space="preserve">if the auction works as intended, </w:t>
      </w:r>
      <w:r w:rsidR="00133C38">
        <w:rPr>
          <w:lang w:val="en-GB"/>
        </w:rPr>
        <w:t>firm</w:t>
      </w:r>
      <w:r w:rsidRPr="00D45EED">
        <w:rPr>
          <w:lang w:val="en-GB"/>
        </w:rPr>
        <w:t xml:space="preserve"> capacity holders that do not need their capacity will trade it before the auction whereas </w:t>
      </w:r>
      <w:r w:rsidR="00133C38">
        <w:rPr>
          <w:lang w:val="en-GB"/>
        </w:rPr>
        <w:t>firm</w:t>
      </w:r>
      <w:r w:rsidRPr="00D45EED">
        <w:rPr>
          <w:lang w:val="en-GB"/>
        </w:rPr>
        <w:t xml:space="preserve"> capacity holders that may still need access to their capacity won’t. The capacity mix in the auction may therefore be heavily skewed towards the kind that is more likely to be interrupted. The data used in this analysis cannot distinguish between these two kinds of capacity</w:t>
      </w:r>
      <w:r w:rsidR="00133C38">
        <w:rPr>
          <w:lang w:val="en-GB"/>
        </w:rPr>
        <w:t>. The results</w:t>
      </w:r>
      <w:r w:rsidRPr="00D45EED">
        <w:rPr>
          <w:lang w:val="en-GB"/>
        </w:rPr>
        <w:t xml:space="preserve"> </w:t>
      </w:r>
      <w:r w:rsidR="00133C38">
        <w:rPr>
          <w:lang w:val="en-GB"/>
        </w:rPr>
        <w:t xml:space="preserve">are </w:t>
      </w:r>
      <w:r w:rsidRPr="00D45EED">
        <w:rPr>
          <w:lang w:val="en-GB"/>
        </w:rPr>
        <w:t xml:space="preserve">therefore likely </w:t>
      </w:r>
      <w:r w:rsidR="00133C38">
        <w:rPr>
          <w:lang w:val="en-GB"/>
        </w:rPr>
        <w:t>to underestimate</w:t>
      </w:r>
      <w:r w:rsidRPr="00D45EED">
        <w:rPr>
          <w:lang w:val="en-GB"/>
        </w:rPr>
        <w:t xml:space="preserve"> the curtailment risk once the auction and the capacity trading platform are in place.</w:t>
      </w:r>
    </w:p>
    <w:p w14:paraId="57933429" w14:textId="4BD9C5C4" w:rsidR="005049B5" w:rsidRDefault="00E15A7F" w:rsidP="00494FA3">
      <w:pPr>
        <w:pStyle w:val="BodyText"/>
      </w:pPr>
      <w:r w:rsidRPr="00D45EED">
        <w:t>Notwithstanding the</w:t>
      </w:r>
      <w:r w:rsidR="00D45EED">
        <w:t>se</w:t>
      </w:r>
      <w:r w:rsidRPr="00D45EED">
        <w:t xml:space="preserve"> limitations</w:t>
      </w:r>
      <w:r>
        <w:t xml:space="preserve">, </w:t>
      </w:r>
      <w:r w:rsidR="0059404D">
        <w:t xml:space="preserve">it is clear from these findings that curtailment </w:t>
      </w:r>
      <w:r w:rsidR="00B02C27">
        <w:t xml:space="preserve">is a genuine risk and that </w:t>
      </w:r>
      <w:r w:rsidR="00907A3A">
        <w:t xml:space="preserve">prospective shippers are likely to </w:t>
      </w:r>
      <w:r w:rsidR="00B02C27">
        <w:t>ascribe a higher value to firmer product</w:t>
      </w:r>
      <w:r w:rsidR="00F153DB">
        <w:t>s</w:t>
      </w:r>
      <w:r w:rsidR="00907A3A">
        <w:t xml:space="preserve"> and be more willing</w:t>
      </w:r>
      <w:r w:rsidR="00055169">
        <w:t xml:space="preserve"> </w:t>
      </w:r>
      <w:r w:rsidR="00907A3A">
        <w:t>to participate in the auction, which will be critical to the success of the capacity trading reforms</w:t>
      </w:r>
      <w:r w:rsidR="00B02C27">
        <w:t>.</w:t>
      </w:r>
      <w:r w:rsidR="00D45EED">
        <w:t xml:space="preserve"> </w:t>
      </w:r>
    </w:p>
    <w:bookmarkEnd w:id="75"/>
    <w:p w14:paraId="3E226822" w14:textId="5C6C06CE" w:rsidR="00B02C27" w:rsidRPr="0059404D" w:rsidRDefault="00B02C27" w:rsidP="00CC2292">
      <w:pPr>
        <w:pStyle w:val="BodyText"/>
        <w:keepNext/>
        <w:spacing w:after="0"/>
        <w:rPr>
          <w:b/>
          <w:color w:val="0099CC"/>
        </w:rPr>
      </w:pPr>
      <w:r>
        <w:rPr>
          <w:b/>
          <w:color w:val="0099CC"/>
        </w:rPr>
        <w:t>Tools to manage the r</w:t>
      </w:r>
      <w:r w:rsidRPr="0059404D">
        <w:rPr>
          <w:b/>
          <w:color w:val="0099CC"/>
        </w:rPr>
        <w:t xml:space="preserve">isk of curtailment </w:t>
      </w:r>
    </w:p>
    <w:p w14:paraId="1328F773" w14:textId="5F599CAF" w:rsidR="00B02C27" w:rsidRDefault="008A1EDC" w:rsidP="00494FA3">
      <w:pPr>
        <w:pStyle w:val="BodyText"/>
      </w:pPr>
      <w:r>
        <w:t xml:space="preserve">During </w:t>
      </w:r>
      <w:r w:rsidR="00F153DB">
        <w:t xml:space="preserve">their discussion on the relative merits of the options set out in </w:t>
      </w:r>
      <w:r w:rsidR="00F153DB">
        <w:fldChar w:fldCharType="begin"/>
      </w:r>
      <w:r w:rsidR="00F153DB">
        <w:instrText xml:space="preserve"> REF _Ref494723049 \h </w:instrText>
      </w:r>
      <w:r w:rsidR="00F153DB">
        <w:fldChar w:fldCharType="separate"/>
      </w:r>
      <w:r w:rsidR="00272B32">
        <w:t xml:space="preserve">Table </w:t>
      </w:r>
      <w:r w:rsidR="00272B32">
        <w:rPr>
          <w:noProof/>
        </w:rPr>
        <w:t>3</w:t>
      </w:r>
      <w:r w:rsidR="00272B32">
        <w:t>.</w:t>
      </w:r>
      <w:r w:rsidR="00272B32">
        <w:rPr>
          <w:noProof/>
        </w:rPr>
        <w:t>1</w:t>
      </w:r>
      <w:r w:rsidR="00F153DB">
        <w:fldChar w:fldCharType="end"/>
      </w:r>
      <w:r w:rsidR="00F153DB">
        <w:t xml:space="preserve">, the Day-Ahead Auction project team </w:t>
      </w:r>
      <w:r w:rsidR="008D0BFF">
        <w:t xml:space="preserve">considered </w:t>
      </w:r>
      <w:r>
        <w:t xml:space="preserve">whether any measures could be put in place </w:t>
      </w:r>
      <w:r w:rsidR="00E340A7">
        <w:t xml:space="preserve">to </w:t>
      </w:r>
      <w:r>
        <w:t xml:space="preserve">mitigate the risk of the auction product being curtailed. The measures that were </w:t>
      </w:r>
      <w:r w:rsidR="00E15A7F">
        <w:t xml:space="preserve">discussed in this context </w:t>
      </w:r>
      <w:r>
        <w:t>include:</w:t>
      </w:r>
    </w:p>
    <w:p w14:paraId="4E43CD69" w14:textId="362B73A9" w:rsidR="008A1EDC" w:rsidRDefault="00637DB2" w:rsidP="008A1EDC">
      <w:pPr>
        <w:pStyle w:val="ListBullet"/>
      </w:pPr>
      <w:r>
        <w:t>I</w:t>
      </w:r>
      <w:r w:rsidR="00465BD9">
        <w:t xml:space="preserve">nformational </w:t>
      </w:r>
      <w:r w:rsidR="008A1EDC">
        <w:t xml:space="preserve">measures </w:t>
      </w:r>
      <w:r w:rsidR="00E15A7F">
        <w:t xml:space="preserve">that can help to inform auction participants of the </w:t>
      </w:r>
      <w:r w:rsidR="00465BD9">
        <w:t xml:space="preserve">likelihood that auction capacity will be curtailed </w:t>
      </w:r>
      <w:r w:rsidR="00E15A7F">
        <w:t xml:space="preserve">before they bid for capacity, which include having </w:t>
      </w:r>
      <w:r w:rsidR="00465BD9">
        <w:t>recourse to publicly available information</w:t>
      </w:r>
      <w:r w:rsidR="00E15A7F">
        <w:t>,</w:t>
      </w:r>
      <w:r w:rsidR="00465BD9">
        <w:t xml:space="preserve"> such as</w:t>
      </w:r>
      <w:r w:rsidR="008A1EDC">
        <w:t xml:space="preserve">: </w:t>
      </w:r>
    </w:p>
    <w:p w14:paraId="197B2C48" w14:textId="03255266" w:rsidR="008A1EDC" w:rsidRDefault="008A1EDC" w:rsidP="008A1EDC">
      <w:pPr>
        <w:pStyle w:val="ListBullet2"/>
      </w:pPr>
      <w:r>
        <w:t>the BB, which includes information on forecast nominations, contracted capacity levels, historic information on actual flows and material changes to capacity and intra-day flows;</w:t>
      </w:r>
    </w:p>
    <w:p w14:paraId="49D6D06C" w14:textId="068C33BD" w:rsidR="008A1EDC" w:rsidRDefault="008A1EDC" w:rsidP="008A1EDC">
      <w:pPr>
        <w:pStyle w:val="ListBullet2"/>
      </w:pPr>
      <w:r>
        <w:t>the STTM and DWGM schedules;</w:t>
      </w:r>
    </w:p>
    <w:p w14:paraId="1ADE11C7" w14:textId="7DADEA7B" w:rsidR="008A1EDC" w:rsidRDefault="008A1EDC" w:rsidP="008A1EDC">
      <w:pPr>
        <w:pStyle w:val="ListBullet2"/>
      </w:pPr>
      <w:r>
        <w:t>the short term and medium term Projected Assessment of System Adequacy (PASA), which includes information on electricity forecasts</w:t>
      </w:r>
      <w:r w:rsidR="00055169">
        <w:t>;</w:t>
      </w:r>
      <w:r>
        <w:t xml:space="preserve"> and</w:t>
      </w:r>
    </w:p>
    <w:p w14:paraId="1D7F11F4" w14:textId="15CC7DF4" w:rsidR="008A1EDC" w:rsidRDefault="008A1EDC" w:rsidP="008A1EDC">
      <w:pPr>
        <w:pStyle w:val="ListBullet2"/>
      </w:pPr>
      <w:proofErr w:type="gramStart"/>
      <w:r>
        <w:t>the</w:t>
      </w:r>
      <w:proofErr w:type="gramEnd"/>
      <w:r>
        <w:t xml:space="preserve"> auction platform, which will include information on the</w:t>
      </w:r>
      <w:r w:rsidR="00E15A7F">
        <w:t xml:space="preserve"> capacity available for auction.</w:t>
      </w:r>
    </w:p>
    <w:p w14:paraId="35A40000" w14:textId="77777777" w:rsidR="00637DB2" w:rsidRDefault="00637DB2" w:rsidP="00637DB2">
      <w:pPr>
        <w:pStyle w:val="ListBullet"/>
      </w:pPr>
      <w:r>
        <w:t>O</w:t>
      </w:r>
      <w:r w:rsidR="00465BD9">
        <w:t>ther measures to reduce the impact of being curtailed, which includ</w:t>
      </w:r>
      <w:r>
        <w:t xml:space="preserve">e: </w:t>
      </w:r>
    </w:p>
    <w:p w14:paraId="7A65AC37" w14:textId="2F884D18" w:rsidR="00637DB2" w:rsidRDefault="00465BD9" w:rsidP="00637DB2">
      <w:pPr>
        <w:pStyle w:val="ListBullet2"/>
      </w:pPr>
      <w:r>
        <w:t xml:space="preserve">not requiring auction winners to pay for capacity that is curtailed (see section </w:t>
      </w:r>
      <w:r>
        <w:fldChar w:fldCharType="begin"/>
      </w:r>
      <w:r>
        <w:instrText xml:space="preserve"> REF _Ref494452070 \r \h </w:instrText>
      </w:r>
      <w:r>
        <w:fldChar w:fldCharType="separate"/>
      </w:r>
      <w:r w:rsidR="00272B32">
        <w:t>4.6</w:t>
      </w:r>
      <w:r>
        <w:fldChar w:fldCharType="end"/>
      </w:r>
      <w:r>
        <w:t>)</w:t>
      </w:r>
      <w:r w:rsidR="00637DB2">
        <w:t xml:space="preserve">; and </w:t>
      </w:r>
    </w:p>
    <w:p w14:paraId="248A6ED4" w14:textId="32156871" w:rsidR="00637DB2" w:rsidRDefault="00637DB2" w:rsidP="00637DB2">
      <w:pPr>
        <w:pStyle w:val="ListBullet2"/>
      </w:pPr>
      <w:proofErr w:type="gramStart"/>
      <w:r>
        <w:t>allowing</w:t>
      </w:r>
      <w:proofErr w:type="gramEnd"/>
      <w:r>
        <w:t xml:space="preserve"> auction winners to access primary capacity from the service provider if there is any spare primary capacity available on the pipeline. </w:t>
      </w:r>
    </w:p>
    <w:p w14:paraId="133C230C" w14:textId="6786B753" w:rsidR="00637DB2" w:rsidRDefault="00637DB2" w:rsidP="00637DB2">
      <w:pPr>
        <w:pStyle w:val="ListBullet"/>
        <w:numPr>
          <w:ilvl w:val="0"/>
          <w:numId w:val="0"/>
        </w:numPr>
        <w:ind w:left="357"/>
      </w:pPr>
      <w:r>
        <w:t xml:space="preserve">In practice the latter of these options would require the auction winner to have an existing as available or interruptible service with the service provider </w:t>
      </w:r>
      <w:r w:rsidR="00F8246A">
        <w:t xml:space="preserve">(which may be provided for in the shipper’s operational GTA) </w:t>
      </w:r>
      <w:r>
        <w:t>that it can</w:t>
      </w:r>
      <w:r w:rsidR="00E15A7F">
        <w:t xml:space="preserve"> readily</w:t>
      </w:r>
      <w:r>
        <w:t xml:space="preserve"> access </w:t>
      </w:r>
      <w:r w:rsidR="00E15A7F">
        <w:t xml:space="preserve">if curtailment occurs </w:t>
      </w:r>
      <w:r>
        <w:t>and for the auction winner to pay the service provider for this service.</w:t>
      </w:r>
    </w:p>
    <w:p w14:paraId="23024226" w14:textId="18C50F42" w:rsidR="00465BD9" w:rsidRDefault="00907A3A" w:rsidP="00637DB2">
      <w:pPr>
        <w:pStyle w:val="BodyText"/>
      </w:pPr>
      <w:r>
        <w:t xml:space="preserve">Note that </w:t>
      </w:r>
      <w:r w:rsidR="00637DB2">
        <w:t xml:space="preserve">the latter of these proposals differs from the AEMC’s suggestion that as available and interruptible services should be phased out so they don’t compete with rights allocated in the auction. </w:t>
      </w:r>
      <w:r w:rsidR="00637DB2" w:rsidRPr="00E055B5">
        <w:t xml:space="preserve">While acknowledging the concerns held by the AEMC about the potential </w:t>
      </w:r>
      <w:r w:rsidR="00E15A7F" w:rsidRPr="00E055B5">
        <w:t xml:space="preserve">for </w:t>
      </w:r>
      <w:r w:rsidR="00637DB2" w:rsidRPr="00E055B5">
        <w:t xml:space="preserve">as available and interruptible services </w:t>
      </w:r>
      <w:r w:rsidR="00E055B5" w:rsidRPr="00E055B5">
        <w:t xml:space="preserve">to compete with </w:t>
      </w:r>
      <w:r w:rsidR="00637DB2" w:rsidRPr="00E055B5">
        <w:t>the auction product, the project team thought there would still be value in maintaining these services as a risk management tool. Specifically, the project team</w:t>
      </w:r>
      <w:r w:rsidR="00637DB2">
        <w:t xml:space="preserve"> thought that if the contracted but un-nominated capacity is curtailed as a result of renomination rights and there is still spare physical capacity</w:t>
      </w:r>
      <w:r w:rsidR="00E15A7F">
        <w:t xml:space="preserve"> on the pipeline</w:t>
      </w:r>
      <w:r w:rsidR="00637DB2">
        <w:t>, then rather than being curtailed</w:t>
      </w:r>
      <w:r w:rsidR="008D0BFF">
        <w:t>,</w:t>
      </w:r>
      <w:r w:rsidR="00637DB2">
        <w:t xml:space="preserve"> auction winners should have the option to access the primary capacity through an </w:t>
      </w:r>
      <w:r w:rsidR="00E74DDB">
        <w:t>as available or interruptible service.</w:t>
      </w:r>
      <w:r w:rsidR="00637DB2">
        <w:t xml:space="preserve"> </w:t>
      </w:r>
    </w:p>
    <w:p w14:paraId="696AEE16" w14:textId="7A19CAA5" w:rsidR="00B02C27" w:rsidRPr="00AD4B3F" w:rsidRDefault="00B02C27" w:rsidP="00907A3A">
      <w:pPr>
        <w:pStyle w:val="BodyText"/>
        <w:keepNext/>
        <w:spacing w:before="0" w:after="0"/>
        <w:rPr>
          <w:b/>
          <w:color w:val="0099CC"/>
        </w:rPr>
      </w:pPr>
      <w:r w:rsidRPr="00AD4B3F">
        <w:rPr>
          <w:b/>
          <w:color w:val="0099CC"/>
        </w:rPr>
        <w:t>GMRG’s preliminary view</w:t>
      </w:r>
    </w:p>
    <w:p w14:paraId="284E66E9" w14:textId="5A950897" w:rsidR="008F0A64" w:rsidRPr="00AD4B3F" w:rsidRDefault="008F0A64" w:rsidP="00C926E7">
      <w:pPr>
        <w:pStyle w:val="BodyText"/>
        <w:spacing w:before="120"/>
      </w:pPr>
      <w:r w:rsidRPr="00AD4B3F">
        <w:t>Having regard to the AEMC’s recommendations and the</w:t>
      </w:r>
      <w:r w:rsidR="0057098B" w:rsidRPr="00AD4B3F">
        <w:t xml:space="preserve"> assessment framework set out in section 2.3, the GMRG has considered the relative merits of the four options in </w:t>
      </w:r>
      <w:r w:rsidR="0057098B" w:rsidRPr="00AD4B3F">
        <w:fldChar w:fldCharType="begin"/>
      </w:r>
      <w:r w:rsidR="0057098B" w:rsidRPr="00AD4B3F">
        <w:instrText xml:space="preserve"> REF _Ref494723049 \h </w:instrText>
      </w:r>
      <w:r w:rsidR="00AD4B3F">
        <w:instrText xml:space="preserve"> \* MERGEFORMAT </w:instrText>
      </w:r>
      <w:r w:rsidR="0057098B" w:rsidRPr="00AD4B3F">
        <w:fldChar w:fldCharType="separate"/>
      </w:r>
      <w:r w:rsidR="00272B32">
        <w:t xml:space="preserve">Table </w:t>
      </w:r>
      <w:r w:rsidR="00272B32">
        <w:rPr>
          <w:noProof/>
        </w:rPr>
        <w:t>3.1</w:t>
      </w:r>
      <w:r w:rsidR="0057098B" w:rsidRPr="00AD4B3F">
        <w:fldChar w:fldCharType="end"/>
      </w:r>
      <w:r w:rsidR="0057098B" w:rsidRPr="00AD4B3F">
        <w:t>.</w:t>
      </w:r>
      <w:r w:rsidR="006B7AC6">
        <w:t xml:space="preserve"> </w:t>
      </w:r>
    </w:p>
    <w:p w14:paraId="6D2AFF69" w14:textId="6FF1B2C7" w:rsidR="003A798C" w:rsidRDefault="009C62E7" w:rsidP="00494FA3">
      <w:pPr>
        <w:pStyle w:val="BodyText"/>
      </w:pPr>
      <w:r w:rsidRPr="00AD4B3F">
        <w:t xml:space="preserve">As noted in </w:t>
      </w:r>
      <w:r w:rsidRPr="00AD4B3F">
        <w:fldChar w:fldCharType="begin"/>
      </w:r>
      <w:r w:rsidRPr="00AD4B3F">
        <w:instrText xml:space="preserve"> REF _Ref494723049 \h </w:instrText>
      </w:r>
      <w:r w:rsidR="00AD4B3F">
        <w:instrText xml:space="preserve"> \* MERGEFORMAT </w:instrText>
      </w:r>
      <w:r w:rsidRPr="00AD4B3F">
        <w:fldChar w:fldCharType="separate"/>
      </w:r>
      <w:r w:rsidR="00272B32">
        <w:t xml:space="preserve">Table </w:t>
      </w:r>
      <w:r w:rsidR="00272B32">
        <w:rPr>
          <w:noProof/>
        </w:rPr>
        <w:t>3.1</w:t>
      </w:r>
      <w:r w:rsidRPr="00AD4B3F">
        <w:fldChar w:fldCharType="end"/>
      </w:r>
      <w:r w:rsidRPr="00AD4B3F">
        <w:t xml:space="preserve">, the hybrid option </w:t>
      </w:r>
      <w:r w:rsidR="0035688B">
        <w:t xml:space="preserve">(Option 4) </w:t>
      </w:r>
      <w:r w:rsidRPr="00AD4B3F">
        <w:t xml:space="preserve">does not appear to </w:t>
      </w:r>
      <w:r w:rsidR="008F0A64" w:rsidRPr="00AD4B3F">
        <w:t xml:space="preserve">comply with the AEMC’s recommendation that all renominations </w:t>
      </w:r>
      <w:r w:rsidR="00907A3A">
        <w:t xml:space="preserve">(including firm and implied rights) </w:t>
      </w:r>
      <w:r w:rsidR="008F0A64" w:rsidRPr="00AD4B3F">
        <w:t>be accommodated and that the auction product be curtailed before the firm product. Of the remaining three options, the second priority firm</w:t>
      </w:r>
      <w:r w:rsidR="008F0A64">
        <w:t xml:space="preserve"> auction product </w:t>
      </w:r>
      <w:r w:rsidR="0035688B">
        <w:t xml:space="preserve">(Option 1) </w:t>
      </w:r>
      <w:r w:rsidR="00752A55">
        <w:t xml:space="preserve">is </w:t>
      </w:r>
      <w:r w:rsidR="008F0A64">
        <w:t xml:space="preserve">more consistent with the AEMC’s recommendations </w:t>
      </w:r>
      <w:r w:rsidR="00AD4B3F">
        <w:t xml:space="preserve">regarding nominations and renomination rights, the curtailment order and as available and interruptible rights, </w:t>
      </w:r>
      <w:r w:rsidR="00752A55">
        <w:t xml:space="preserve">than the other two options. </w:t>
      </w:r>
      <w:r w:rsidR="005653AD">
        <w:t xml:space="preserve">It is also subject to </w:t>
      </w:r>
      <w:r w:rsidR="00763CB5">
        <w:t xml:space="preserve">a </w:t>
      </w:r>
      <w:r w:rsidR="005653AD">
        <w:t>lowe</w:t>
      </w:r>
      <w:r w:rsidR="00763CB5">
        <w:t>r</w:t>
      </w:r>
      <w:r w:rsidR="005653AD">
        <w:t xml:space="preserve"> </w:t>
      </w:r>
      <w:r w:rsidR="00763CB5">
        <w:t xml:space="preserve">level </w:t>
      </w:r>
      <w:r w:rsidR="005653AD">
        <w:t xml:space="preserve">of curtailment and gaming risk and will provide shippers with firm capacity rights the strongest incentive to release any spare capacity they may have prior to the auction. </w:t>
      </w:r>
      <w:r w:rsidR="00763CB5">
        <w:t>It can therefore be considered more consistent with</w:t>
      </w:r>
      <w:r w:rsidR="003A798C">
        <w:t>:</w:t>
      </w:r>
      <w:r w:rsidR="00763CB5">
        <w:t xml:space="preserve"> </w:t>
      </w:r>
    </w:p>
    <w:p w14:paraId="0C8BBEFD" w14:textId="512E4E6C" w:rsidR="003A798C" w:rsidRDefault="003A798C" w:rsidP="003A798C">
      <w:pPr>
        <w:pStyle w:val="ListBullet"/>
        <w:rPr>
          <w:rFonts w:eastAsiaTheme="minorEastAsia"/>
        </w:rPr>
      </w:pPr>
      <w:r>
        <w:rPr>
          <w:rFonts w:eastAsiaTheme="minorEastAsia"/>
        </w:rPr>
        <w:t>the NGO, because it will allow capacity in the short-term to be allocated to those that value it most and, in so doing, promote the efficient use of natural gas services and the long-term interests of consumers of natural gas;</w:t>
      </w:r>
    </w:p>
    <w:p w14:paraId="682A94B3" w14:textId="4EBF4929" w:rsidR="003A798C" w:rsidRDefault="003A798C" w:rsidP="003A798C">
      <w:pPr>
        <w:pStyle w:val="ListBullet"/>
        <w:rPr>
          <w:rFonts w:eastAsiaTheme="minorEastAsia"/>
        </w:rPr>
      </w:pPr>
      <w:r>
        <w:rPr>
          <w:rFonts w:eastAsiaTheme="minorEastAsia"/>
        </w:rPr>
        <w:t xml:space="preserve">the broader objectives of the capacity trading reforms, which are to </w:t>
      </w:r>
      <w:r>
        <w:t>improve the efficiency with which transportation capacity is allocated and used and foster the development of a more liquid market for secondary capacity; and</w:t>
      </w:r>
    </w:p>
    <w:p w14:paraId="449777FC" w14:textId="4176AC72" w:rsidR="003A798C" w:rsidRDefault="003A798C" w:rsidP="003A798C">
      <w:pPr>
        <w:pStyle w:val="ListBullet"/>
        <w:rPr>
          <w:rFonts w:eastAsiaTheme="minorEastAsia"/>
        </w:rPr>
      </w:pPr>
      <w:proofErr w:type="gramStart"/>
      <w:r>
        <w:rPr>
          <w:rFonts w:eastAsiaTheme="minorEastAsia"/>
        </w:rPr>
        <w:t>the</w:t>
      </w:r>
      <w:proofErr w:type="gramEnd"/>
      <w:r>
        <w:rPr>
          <w:rFonts w:eastAsiaTheme="minorEastAsia"/>
        </w:rPr>
        <w:t xml:space="preserve"> Energy Council’s Vision of the direction gas market development should take and a number of the outcomes it expected to pursue in the next phase of gas market reform (i.e. outcomes 2(b) and 3(b)– see</w:t>
      </w:r>
      <w:r w:rsidRPr="003957AA">
        <w:rPr>
          <w:rFonts w:eastAsiaTheme="minorEastAsia"/>
        </w:rPr>
        <w:t xml:space="preserve"> </w:t>
      </w:r>
      <w:r w:rsidRPr="003957AA">
        <w:rPr>
          <w:rFonts w:eastAsiaTheme="minorEastAsia"/>
        </w:rPr>
        <w:fldChar w:fldCharType="begin"/>
      </w:r>
      <w:r w:rsidRPr="003957AA">
        <w:rPr>
          <w:rFonts w:eastAsiaTheme="minorEastAsia"/>
        </w:rPr>
        <w:instrText xml:space="preserve"> REF _Ref482330736 \h  \* MERGEFORMAT </w:instrText>
      </w:r>
      <w:r w:rsidRPr="003957AA">
        <w:rPr>
          <w:rFonts w:eastAsiaTheme="minorEastAsia"/>
        </w:rPr>
      </w:r>
      <w:r w:rsidRPr="003957AA">
        <w:rPr>
          <w:rFonts w:eastAsiaTheme="minorEastAsia"/>
        </w:rPr>
        <w:fldChar w:fldCharType="separate"/>
      </w:r>
      <w:r w:rsidR="00272B32" w:rsidRPr="00272B32">
        <w:t xml:space="preserve">Box </w:t>
      </w:r>
      <w:r w:rsidR="00272B32" w:rsidRPr="00272B32">
        <w:rPr>
          <w:noProof/>
        </w:rPr>
        <w:t>1.1</w:t>
      </w:r>
      <w:r w:rsidRPr="003957AA">
        <w:rPr>
          <w:rFonts w:eastAsiaTheme="minorEastAsia"/>
        </w:rPr>
        <w:fldChar w:fldCharType="end"/>
      </w:r>
      <w:r>
        <w:rPr>
          <w:rFonts w:eastAsiaTheme="minorEastAsia"/>
        </w:rPr>
        <w:t>).</w:t>
      </w:r>
    </w:p>
    <w:p w14:paraId="3C15E57A" w14:textId="7A505313" w:rsidR="002533DC" w:rsidRDefault="003A798C" w:rsidP="00494FA3">
      <w:pPr>
        <w:pStyle w:val="BodyText"/>
      </w:pPr>
      <w:r>
        <w:t xml:space="preserve">As to the arguments </w:t>
      </w:r>
      <w:r w:rsidR="003259D7">
        <w:t>some</w:t>
      </w:r>
      <w:r>
        <w:t xml:space="preserve"> project team members raised </w:t>
      </w:r>
      <w:r w:rsidR="003259D7">
        <w:t xml:space="preserve">in support of their claim that a lower quality </w:t>
      </w:r>
      <w:r w:rsidR="002533DC">
        <w:t xml:space="preserve">auction </w:t>
      </w:r>
      <w:r w:rsidR="003259D7">
        <w:t>product</w:t>
      </w:r>
      <w:r w:rsidR="002533DC">
        <w:t xml:space="preserve"> should be adopted, the GMRG is not convinced that the adoption of a second priority firm auction product will devalue firm rights in primary GTAs</w:t>
      </w:r>
      <w:r w:rsidR="003975C3">
        <w:t>,</w:t>
      </w:r>
      <w:r w:rsidR="002533DC">
        <w:t xml:space="preserve"> or reduce the incentive for efficient investment in pipelines</w:t>
      </w:r>
      <w:r w:rsidR="0010305B">
        <w:t>,</w:t>
      </w:r>
      <w:r w:rsidR="002533DC">
        <w:t xml:space="preserve"> because:</w:t>
      </w:r>
    </w:p>
    <w:p w14:paraId="2A07A0D1" w14:textId="33CA1DC9" w:rsidR="002533DC" w:rsidRDefault="002533DC" w:rsidP="002533DC">
      <w:pPr>
        <w:pStyle w:val="ListBullet"/>
      </w:pPr>
      <w:r>
        <w:t>the proposed auction product will be subordinate to firm transportation rights; and</w:t>
      </w:r>
    </w:p>
    <w:p w14:paraId="1B9CC15F" w14:textId="67F621E5" w:rsidR="002533DC" w:rsidRPr="00045AEF" w:rsidRDefault="002533DC" w:rsidP="002533DC">
      <w:pPr>
        <w:pStyle w:val="ListBullet"/>
        <w:rPr>
          <w:rFonts w:asciiTheme="majorHAnsi" w:hAnsiTheme="majorHAnsi" w:cstheme="majorHAnsi"/>
          <w:color w:val="000000"/>
        </w:rPr>
      </w:pPr>
      <w:proofErr w:type="gramStart"/>
      <w:r>
        <w:t>shippers</w:t>
      </w:r>
      <w:proofErr w:type="gramEnd"/>
      <w:r>
        <w:t xml:space="preserve"> that rely on purchasing capacity through the auction </w:t>
      </w:r>
      <w:r w:rsidR="001C2033">
        <w:t>would</w:t>
      </w:r>
      <w:r w:rsidR="003975C3">
        <w:t>, as the AEMC noted,</w:t>
      </w:r>
      <w:r w:rsidR="001C2033">
        <w:t xml:space="preserve"> </w:t>
      </w:r>
      <w:r>
        <w:t>be subject to price and volume risk (i.e.</w:t>
      </w:r>
      <w:r w:rsidRPr="00045AEF">
        <w:rPr>
          <w:rFonts w:asciiTheme="majorHAnsi" w:hAnsiTheme="majorHAnsi" w:cstheme="majorHAnsi"/>
          <w:color w:val="000000"/>
        </w:rPr>
        <w:t xml:space="preserve"> </w:t>
      </w:r>
      <w:r w:rsidR="001C2033">
        <w:rPr>
          <w:rFonts w:asciiTheme="majorHAnsi" w:hAnsiTheme="majorHAnsi" w:cstheme="majorHAnsi"/>
          <w:color w:val="000000"/>
        </w:rPr>
        <w:t xml:space="preserve">if </w:t>
      </w:r>
      <w:r w:rsidRPr="00045AEF">
        <w:rPr>
          <w:rFonts w:asciiTheme="majorHAnsi" w:hAnsiTheme="majorHAnsi" w:cstheme="majorHAnsi"/>
          <w:color w:val="000000"/>
        </w:rPr>
        <w:t>demand for capacity is high, the auction would clear at a high price</w:t>
      </w:r>
      <w:r>
        <w:rPr>
          <w:rFonts w:asciiTheme="majorHAnsi" w:hAnsiTheme="majorHAnsi" w:cstheme="majorHAnsi"/>
          <w:color w:val="000000"/>
        </w:rPr>
        <w:t xml:space="preserve"> and there is </w:t>
      </w:r>
      <w:r w:rsidR="001C2033">
        <w:rPr>
          <w:rFonts w:asciiTheme="majorHAnsi" w:hAnsiTheme="majorHAnsi" w:cstheme="majorHAnsi"/>
          <w:color w:val="000000"/>
        </w:rPr>
        <w:t xml:space="preserve">also </w:t>
      </w:r>
      <w:r>
        <w:rPr>
          <w:rFonts w:asciiTheme="majorHAnsi" w:hAnsiTheme="majorHAnsi" w:cstheme="majorHAnsi"/>
          <w:color w:val="000000"/>
        </w:rPr>
        <w:t xml:space="preserve">a risk no </w:t>
      </w:r>
      <w:r w:rsidRPr="00045AEF">
        <w:rPr>
          <w:rFonts w:asciiTheme="majorHAnsi" w:hAnsiTheme="majorHAnsi" w:cstheme="majorHAnsi"/>
          <w:color w:val="000000"/>
        </w:rPr>
        <w:t xml:space="preserve">capacity </w:t>
      </w:r>
      <w:r w:rsidR="001C2033">
        <w:rPr>
          <w:rFonts w:asciiTheme="majorHAnsi" w:hAnsiTheme="majorHAnsi" w:cstheme="majorHAnsi"/>
          <w:color w:val="000000"/>
        </w:rPr>
        <w:t xml:space="preserve">would be </w:t>
      </w:r>
      <w:r w:rsidRPr="00045AEF">
        <w:rPr>
          <w:rFonts w:asciiTheme="majorHAnsi" w:hAnsiTheme="majorHAnsi" w:cstheme="majorHAnsi"/>
          <w:color w:val="000000"/>
        </w:rPr>
        <w:t xml:space="preserve">available </w:t>
      </w:r>
      <w:r>
        <w:rPr>
          <w:rFonts w:asciiTheme="majorHAnsi" w:hAnsiTheme="majorHAnsi" w:cstheme="majorHAnsi"/>
          <w:color w:val="000000"/>
        </w:rPr>
        <w:t xml:space="preserve">in </w:t>
      </w:r>
      <w:r w:rsidRPr="00045AEF">
        <w:rPr>
          <w:rFonts w:asciiTheme="majorHAnsi" w:hAnsiTheme="majorHAnsi" w:cstheme="majorHAnsi"/>
          <w:color w:val="000000"/>
        </w:rPr>
        <w:t>the auction</w:t>
      </w:r>
      <w:r>
        <w:rPr>
          <w:rFonts w:asciiTheme="majorHAnsi" w:hAnsiTheme="majorHAnsi" w:cstheme="majorHAnsi"/>
          <w:color w:val="000000"/>
        </w:rPr>
        <w:t>)</w:t>
      </w:r>
      <w:r w:rsidRPr="00045AEF">
        <w:rPr>
          <w:rFonts w:asciiTheme="majorHAnsi" w:hAnsiTheme="majorHAnsi" w:cstheme="majorHAnsi"/>
          <w:color w:val="000000"/>
        </w:rPr>
        <w:t>.</w:t>
      </w:r>
      <w:r w:rsidR="001C2033" w:rsidRPr="001C2033">
        <w:rPr>
          <w:rStyle w:val="FootnoteReference"/>
        </w:rPr>
        <w:t xml:space="preserve"> </w:t>
      </w:r>
      <w:r w:rsidR="001C2033">
        <w:rPr>
          <w:rStyle w:val="FootnoteReference"/>
        </w:rPr>
        <w:footnoteReference w:id="41"/>
      </w:r>
      <w:r w:rsidRPr="00045AEF">
        <w:rPr>
          <w:rFonts w:asciiTheme="majorHAnsi" w:hAnsiTheme="majorHAnsi" w:cstheme="majorHAnsi"/>
          <w:color w:val="000000"/>
        </w:rPr>
        <w:t xml:space="preserve"> </w:t>
      </w:r>
    </w:p>
    <w:p w14:paraId="5360959A" w14:textId="27D08D4D" w:rsidR="0010305B" w:rsidRDefault="002533DC" w:rsidP="002533DC">
      <w:pPr>
        <w:pStyle w:val="BodyText"/>
      </w:pPr>
      <w:r>
        <w:t xml:space="preserve">The GMRG therefore expects firm rights in primary GTAs to continue </w:t>
      </w:r>
      <w:r w:rsidR="001C2033">
        <w:t xml:space="preserve">to be valued and used by shippers, although as the AEMC noted, the introduction of the auction may enable </w:t>
      </w:r>
      <w:r w:rsidRPr="00045AEF">
        <w:t>shippers to fine-tune their capacity requirements</w:t>
      </w:r>
      <w:r w:rsidR="001C2033">
        <w:t xml:space="preserve">, which may result in lower levels of capacity being contracted in the future. While some project team members have claimed this will have a deleterious effect on pipeline investment, it is important to recognise that </w:t>
      </w:r>
      <w:r w:rsidR="0010305B">
        <w:t xml:space="preserve">investment is not synonymous with dynamic efficiency and that if </w:t>
      </w:r>
      <w:r w:rsidR="001C2033">
        <w:t>de</w:t>
      </w:r>
      <w:r w:rsidR="0010305B">
        <w:t>-</w:t>
      </w:r>
      <w:r w:rsidR="001C2033">
        <w:t xml:space="preserve">contracting </w:t>
      </w:r>
      <w:r w:rsidR="0010305B">
        <w:t xml:space="preserve">results in a reduction in unnecessary investment, this would be efficient. </w:t>
      </w:r>
    </w:p>
    <w:p w14:paraId="06C99DF0" w14:textId="1112269A" w:rsidR="0010305B" w:rsidRPr="008F0A64" w:rsidRDefault="0010305B" w:rsidP="0010305B">
      <w:pPr>
        <w:pStyle w:val="BodyText"/>
        <w:rPr>
          <w:sz w:val="16"/>
          <w:szCs w:val="16"/>
          <w:lang w:eastAsia="fr-CA"/>
        </w:rPr>
      </w:pPr>
      <w:r>
        <w:t>The GMRG is also not convinced that the adoption of a second priority firm auction product will discourage prospective shippers from entering into secondary capacity trades, because this product is still a lower quality product than the firm rights that can be procured through a secondary trade.</w:t>
      </w:r>
      <w:r w:rsidR="00907A3A">
        <w:t xml:space="preserve"> </w:t>
      </w:r>
      <w:r w:rsidR="00F8246A">
        <w:t xml:space="preserve">It will also only be available on a day-ahead basis. </w:t>
      </w:r>
      <w:r w:rsidR="008D0BFF">
        <w:t xml:space="preserve">As highlighted by the analysis undertaken by </w:t>
      </w:r>
      <w:proofErr w:type="spellStart"/>
      <w:r w:rsidR="008D0BFF">
        <w:t>EnergyEdge</w:t>
      </w:r>
      <w:proofErr w:type="spellEnd"/>
      <w:r w:rsidR="008D0BFF">
        <w:t xml:space="preserve">, if </w:t>
      </w:r>
      <w:r w:rsidR="00907A3A">
        <w:t xml:space="preserve">the product quality is too low and the curtailment risk is perceived to be too high, then there is unlikely to be much demand for the auction product. If this occurs, then </w:t>
      </w:r>
      <w:r w:rsidR="00042278">
        <w:t xml:space="preserve">the </w:t>
      </w:r>
      <w:r w:rsidR="00907A3A">
        <w:t xml:space="preserve">incentive that the AEMC thought the auction would provide firm capacity holders to release spare capacity and the expected benefits of the capacity trading reforms may fail to materialise. </w:t>
      </w:r>
    </w:p>
    <w:p w14:paraId="78DEFF65" w14:textId="69962CF9" w:rsidR="00F10A7A" w:rsidRDefault="0063371A" w:rsidP="0063371A">
      <w:pPr>
        <w:pStyle w:val="BodyText"/>
      </w:pPr>
      <w:r>
        <w:t xml:space="preserve">As the preceding points highlight, the </w:t>
      </w:r>
      <w:r w:rsidR="00763CB5">
        <w:t>GMRG</w:t>
      </w:r>
      <w:r>
        <w:t xml:space="preserve"> is of the view that the auction product should be a </w:t>
      </w:r>
      <w:r w:rsidR="00752A55">
        <w:t>second priority firm product</w:t>
      </w:r>
      <w:r w:rsidR="00F10A7A">
        <w:t xml:space="preserve">. </w:t>
      </w:r>
      <w:r>
        <w:t xml:space="preserve">This </w:t>
      </w:r>
      <w:r w:rsidR="00F10A7A">
        <w:t xml:space="preserve">is, however, </w:t>
      </w:r>
      <w:r>
        <w:t xml:space="preserve">a preliminary view only at this stage and the GMRG is </w:t>
      </w:r>
      <w:r w:rsidR="00F10A7A">
        <w:t xml:space="preserve">interested in hearing </w:t>
      </w:r>
      <w:r>
        <w:t xml:space="preserve">other </w:t>
      </w:r>
      <w:r w:rsidR="00F10A7A">
        <w:t>stakeholders’ view</w:t>
      </w:r>
      <w:r w:rsidR="00042278">
        <w:t>s</w:t>
      </w:r>
      <w:r w:rsidR="00F10A7A">
        <w:t xml:space="preserve"> on this </w:t>
      </w:r>
      <w:r>
        <w:t>option</w:t>
      </w:r>
      <w:r w:rsidR="00752A55">
        <w:t xml:space="preserve">. </w:t>
      </w:r>
      <w:r w:rsidR="00AD4B3F">
        <w:t>T</w:t>
      </w:r>
      <w:r w:rsidR="00752A55">
        <w:t xml:space="preserve">he GMRG </w:t>
      </w:r>
      <w:r>
        <w:t xml:space="preserve">is also interested in hearing whether there are any other risk management tools that stakeholders </w:t>
      </w:r>
      <w:r w:rsidR="008D0BFF">
        <w:t>believe</w:t>
      </w:r>
      <w:r>
        <w:t xml:space="preserve"> could be used to manage the curtailment risks that will be associated with this product. </w:t>
      </w:r>
      <w:r w:rsidR="00F10A7A">
        <w:t xml:space="preserve">As noted </w:t>
      </w:r>
      <w:r>
        <w:t>previously</w:t>
      </w:r>
      <w:r w:rsidR="00F10A7A">
        <w:t xml:space="preserve">, the project team has given some thought to </w:t>
      </w:r>
      <w:r>
        <w:t xml:space="preserve">this issue. </w:t>
      </w:r>
      <w:r w:rsidR="00F10A7A">
        <w:t xml:space="preserve">NERA has also identified some options to manage curtailment risk in the auction design, which is discussed in further detail in section </w:t>
      </w:r>
      <w:r w:rsidR="00907A3A">
        <w:t>4</w:t>
      </w:r>
      <w:r w:rsidR="00F10A7A">
        <w:t>.5. While there are a number of tools that auction participants can have recourse to, none of them will completely eradicate the risk of curtailment. The GMRG is therefore interested in hearing whether stakeholders have any other suggestions.</w:t>
      </w:r>
    </w:p>
    <w:tbl>
      <w:tblPr>
        <w:tblStyle w:val="PullOutBoxTable"/>
        <w:tblW w:w="5000" w:type="pct"/>
        <w:shd w:val="clear" w:color="auto" w:fill="B7E7FF"/>
        <w:tblLook w:val="0600" w:firstRow="0" w:lastRow="0" w:firstColumn="0" w:lastColumn="0" w:noHBand="1" w:noVBand="1"/>
        <w:tblCaption w:val="Box 3.4: Questions on the priority of the auction product"/>
        <w:tblDescription w:val="Questions on the priority of the auction product"/>
      </w:tblPr>
      <w:tblGrid>
        <w:gridCol w:w="8788"/>
      </w:tblGrid>
      <w:tr w:rsidR="00DE1291" w:rsidRPr="00C926E7" w14:paraId="42370174" w14:textId="77777777" w:rsidTr="00E413FB">
        <w:trPr>
          <w:tblHeader/>
        </w:trPr>
        <w:tc>
          <w:tcPr>
            <w:tcW w:w="5000" w:type="pct"/>
            <w:shd w:val="clear" w:color="auto" w:fill="auto"/>
          </w:tcPr>
          <w:p w14:paraId="5B2554E7" w14:textId="28BC4B88" w:rsidR="00F10A7A" w:rsidRPr="00E413FB" w:rsidRDefault="00F10A7A" w:rsidP="00E413FB">
            <w:pPr>
              <w:pStyle w:val="ListNumber"/>
              <w:numPr>
                <w:ilvl w:val="0"/>
                <w:numId w:val="0"/>
              </w:numPr>
              <w:spacing w:before="0" w:after="0"/>
              <w:ind w:left="360" w:hanging="360"/>
              <w:rPr>
                <w:rFonts w:eastAsiaTheme="majorEastAsia"/>
                <w:b/>
                <w:sz w:val="21"/>
                <w:szCs w:val="21"/>
              </w:rPr>
            </w:pPr>
            <w:r w:rsidRPr="00E413FB">
              <w:rPr>
                <w:rFonts w:eastAsiaTheme="majorEastAsia"/>
                <w:b/>
                <w:sz w:val="21"/>
                <w:szCs w:val="21"/>
              </w:rPr>
              <w:t xml:space="preserve"> </w:t>
            </w:r>
            <w:r w:rsidR="00E413FB" w:rsidRPr="00E413FB">
              <w:rPr>
                <w:b/>
              </w:rPr>
              <w:t xml:space="preserve">Box </w:t>
            </w:r>
            <w:r w:rsidR="00E413FB" w:rsidRPr="00E413FB">
              <w:rPr>
                <w:b/>
              </w:rPr>
              <w:fldChar w:fldCharType="begin"/>
            </w:r>
            <w:r w:rsidR="00E413FB" w:rsidRPr="00E413FB">
              <w:rPr>
                <w:b/>
              </w:rPr>
              <w:instrText xml:space="preserve"> STYLEREF 1 \s </w:instrText>
            </w:r>
            <w:r w:rsidR="00E413FB" w:rsidRPr="00E413FB">
              <w:rPr>
                <w:b/>
              </w:rPr>
              <w:fldChar w:fldCharType="separate"/>
            </w:r>
            <w:r w:rsidR="00E413FB" w:rsidRPr="00E413FB">
              <w:rPr>
                <w:b/>
                <w:noProof/>
              </w:rPr>
              <w:t>3</w:t>
            </w:r>
            <w:r w:rsidR="00E413FB" w:rsidRPr="00E413FB">
              <w:rPr>
                <w:b/>
                <w:noProof/>
              </w:rPr>
              <w:fldChar w:fldCharType="end"/>
            </w:r>
            <w:r w:rsidR="00E413FB" w:rsidRPr="00E413FB">
              <w:rPr>
                <w:b/>
              </w:rPr>
              <w:t>.</w:t>
            </w:r>
            <w:r w:rsidR="00E413FB" w:rsidRPr="00E413FB">
              <w:rPr>
                <w:b/>
              </w:rPr>
              <w:fldChar w:fldCharType="begin"/>
            </w:r>
            <w:r w:rsidR="00E413FB" w:rsidRPr="00E413FB">
              <w:rPr>
                <w:b/>
              </w:rPr>
              <w:instrText xml:space="preserve"> SEQ Box \* ARABIC \s 1 </w:instrText>
            </w:r>
            <w:r w:rsidR="00E413FB" w:rsidRPr="00E413FB">
              <w:rPr>
                <w:b/>
              </w:rPr>
              <w:fldChar w:fldCharType="separate"/>
            </w:r>
            <w:r w:rsidR="00E413FB" w:rsidRPr="00E413FB">
              <w:rPr>
                <w:b/>
                <w:noProof/>
              </w:rPr>
              <w:t>4</w:t>
            </w:r>
            <w:r w:rsidR="00E413FB" w:rsidRPr="00E413FB">
              <w:rPr>
                <w:b/>
                <w:noProof/>
              </w:rPr>
              <w:fldChar w:fldCharType="end"/>
            </w:r>
            <w:r w:rsidR="00E413FB" w:rsidRPr="00E413FB">
              <w:rPr>
                <w:b/>
              </w:rPr>
              <w:t xml:space="preserve">: </w:t>
            </w:r>
            <w:r w:rsidR="00E413FB" w:rsidRPr="00E413FB">
              <w:rPr>
                <w:b/>
                <w:bCs/>
              </w:rPr>
              <w:t>Questions on the priority of the auction product</w:t>
            </w:r>
          </w:p>
        </w:tc>
      </w:tr>
      <w:tr w:rsidR="00E413FB" w:rsidRPr="00C926E7" w14:paraId="541A1CD6" w14:textId="77777777" w:rsidTr="00CD09FD">
        <w:tc>
          <w:tcPr>
            <w:tcW w:w="5000" w:type="pct"/>
            <w:shd w:val="clear" w:color="auto" w:fill="B7E7FF"/>
          </w:tcPr>
          <w:p w14:paraId="0CEB1612" w14:textId="77777777" w:rsidR="00E413FB" w:rsidRPr="00C926E7" w:rsidRDefault="00E413FB" w:rsidP="00E413FB">
            <w:pPr>
              <w:pStyle w:val="ListNumber"/>
              <w:numPr>
                <w:ilvl w:val="0"/>
                <w:numId w:val="20"/>
              </w:numPr>
              <w:spacing w:before="60" w:after="40"/>
              <w:ind w:left="357" w:hanging="357"/>
              <w:rPr>
                <w:rFonts w:eastAsiaTheme="majorEastAsia"/>
                <w:sz w:val="21"/>
                <w:szCs w:val="21"/>
              </w:rPr>
            </w:pPr>
            <w:r w:rsidRPr="00C926E7">
              <w:rPr>
                <w:rFonts w:eastAsiaTheme="majorEastAsia"/>
                <w:sz w:val="21"/>
                <w:szCs w:val="21"/>
              </w:rPr>
              <w:t>Do you agree with the proposal to adopt a second priority firm auction product? If not:</w:t>
            </w:r>
          </w:p>
          <w:p w14:paraId="31BA6750" w14:textId="77777777" w:rsidR="00E413FB" w:rsidRPr="00C926E7" w:rsidRDefault="00E413FB" w:rsidP="00E413FB">
            <w:pPr>
              <w:pStyle w:val="ListBullet2"/>
              <w:spacing w:before="60" w:after="40"/>
              <w:rPr>
                <w:rFonts w:eastAsiaTheme="majorEastAsia"/>
                <w:sz w:val="21"/>
                <w:szCs w:val="21"/>
              </w:rPr>
            </w:pPr>
            <w:r w:rsidRPr="00C926E7">
              <w:rPr>
                <w:rFonts w:eastAsiaTheme="majorEastAsia"/>
                <w:sz w:val="21"/>
                <w:szCs w:val="21"/>
              </w:rPr>
              <w:t xml:space="preserve">please explain why you think this option should not be selected; and </w:t>
            </w:r>
          </w:p>
          <w:p w14:paraId="571A396F" w14:textId="77777777" w:rsidR="00E413FB" w:rsidRPr="00C926E7" w:rsidRDefault="00E413FB" w:rsidP="00E413FB">
            <w:pPr>
              <w:pStyle w:val="ListBullet2"/>
              <w:spacing w:before="60" w:after="40"/>
              <w:rPr>
                <w:rFonts w:eastAsiaTheme="majorEastAsia"/>
                <w:sz w:val="21"/>
                <w:szCs w:val="21"/>
              </w:rPr>
            </w:pPr>
            <w:proofErr w:type="gramStart"/>
            <w:r w:rsidRPr="00C926E7">
              <w:rPr>
                <w:rFonts w:eastAsiaTheme="majorEastAsia"/>
                <w:sz w:val="21"/>
                <w:szCs w:val="21"/>
              </w:rPr>
              <w:t>please</w:t>
            </w:r>
            <w:proofErr w:type="gramEnd"/>
            <w:r w:rsidRPr="00C926E7">
              <w:rPr>
                <w:rFonts w:eastAsiaTheme="majorEastAsia"/>
                <w:sz w:val="21"/>
                <w:szCs w:val="21"/>
              </w:rPr>
              <w:t xml:space="preserve"> set out the option you think should be adopted and why you think it is more consistent with the AEMC’s recommendations and the assessment framework set out in section 2.3 than the second priority firm auction product.</w:t>
            </w:r>
          </w:p>
          <w:p w14:paraId="174F3111" w14:textId="241A3B35" w:rsidR="00E413FB" w:rsidRPr="00C926E7" w:rsidRDefault="00E413FB" w:rsidP="00E413FB">
            <w:pPr>
              <w:pStyle w:val="ListNumber"/>
              <w:numPr>
                <w:ilvl w:val="0"/>
                <w:numId w:val="20"/>
              </w:numPr>
              <w:spacing w:before="60" w:after="40"/>
              <w:ind w:left="357" w:hanging="357"/>
              <w:rPr>
                <w:rFonts w:eastAsiaTheme="majorEastAsia"/>
                <w:sz w:val="21"/>
                <w:szCs w:val="21"/>
              </w:rPr>
            </w:pPr>
            <w:r w:rsidRPr="00C926E7">
              <w:rPr>
                <w:rFonts w:eastAsiaTheme="majorEastAsia"/>
                <w:sz w:val="21"/>
                <w:szCs w:val="21"/>
              </w:rPr>
              <w:t>Are there any other tools that you think should be available to auction participants to manage curtailment risk?</w:t>
            </w:r>
          </w:p>
        </w:tc>
      </w:tr>
    </w:tbl>
    <w:p w14:paraId="638FFC43" w14:textId="6CA1F235" w:rsidR="00705190" w:rsidRDefault="00705190" w:rsidP="00705190">
      <w:pPr>
        <w:pStyle w:val="Heading2"/>
        <w:spacing w:before="240"/>
      </w:pPr>
      <w:bookmarkStart w:id="77" w:name="_Toc495351632"/>
      <w:bookmarkEnd w:id="70"/>
      <w:r>
        <w:t>Other features of the auction product</w:t>
      </w:r>
      <w:bookmarkEnd w:id="77"/>
      <w:r>
        <w:t xml:space="preserve"> </w:t>
      </w:r>
    </w:p>
    <w:p w14:paraId="25CD91D3" w14:textId="77777777" w:rsidR="00705190" w:rsidRDefault="00705190" w:rsidP="00705190">
      <w:pPr>
        <w:pStyle w:val="BodyText"/>
      </w:pPr>
      <w:r>
        <w:t>In addition to considering the firmness of the auction product, the Day-Ahead Auction project team considered whether the auction product should have any maximum hourly quantity (MHQ) flexibility, renomination rights or an imbalance allowance.</w:t>
      </w:r>
    </w:p>
    <w:p w14:paraId="5A600C50" w14:textId="77777777" w:rsidR="00705190" w:rsidRDefault="00705190" w:rsidP="00705190">
      <w:pPr>
        <w:pStyle w:val="BodyText"/>
      </w:pPr>
      <w:r>
        <w:t>In short, project team members agreed that:</w:t>
      </w:r>
    </w:p>
    <w:p w14:paraId="31C54FE6" w14:textId="77777777" w:rsidR="00705190" w:rsidRDefault="00705190" w:rsidP="00705190">
      <w:pPr>
        <w:pStyle w:val="ListBullet"/>
      </w:pPr>
      <w:r>
        <w:t>the MHQ factor for the auction product should be the same as that specified in the service provider’s operational GTA for the relevant facility; and</w:t>
      </w:r>
    </w:p>
    <w:p w14:paraId="7997078A" w14:textId="77777777" w:rsidR="00705190" w:rsidRDefault="00705190" w:rsidP="00705190">
      <w:pPr>
        <w:pStyle w:val="ListBullet"/>
      </w:pPr>
      <w:proofErr w:type="gramStart"/>
      <w:r>
        <w:t>the</w:t>
      </w:r>
      <w:proofErr w:type="gramEnd"/>
      <w:r>
        <w:t xml:space="preserve"> auction product should have a reasonable endeavours renomination right.</w:t>
      </w:r>
    </w:p>
    <w:p w14:paraId="320922EF" w14:textId="030F66C8" w:rsidR="00705190" w:rsidRPr="00BD7306" w:rsidRDefault="00705190" w:rsidP="00705190">
      <w:pPr>
        <w:pStyle w:val="ListBullet"/>
        <w:numPr>
          <w:ilvl w:val="0"/>
          <w:numId w:val="0"/>
        </w:numPr>
      </w:pPr>
      <w:r>
        <w:t>There was, however, some debate about whether the auction product should have an imbalance</w:t>
      </w:r>
      <w:r>
        <w:rPr>
          <w:rStyle w:val="FootnoteReference"/>
        </w:rPr>
        <w:footnoteReference w:id="42"/>
      </w:r>
      <w:r>
        <w:t xml:space="preserve"> allowance, or if the allowance would remain with the firm capacity holders whose capacity has been released in the auction. </w:t>
      </w:r>
    </w:p>
    <w:p w14:paraId="238DF096" w14:textId="399EF82A" w:rsidR="00705190" w:rsidRDefault="00705190" w:rsidP="00705190">
      <w:pPr>
        <w:pStyle w:val="BodyText"/>
      </w:pPr>
      <w:r w:rsidRPr="00BD7306">
        <w:t xml:space="preserve">The GMRG agrees with the position the project team reached on MHQ and renomination rights. In relation to imbalance allowances, the </w:t>
      </w:r>
      <w:r>
        <w:t xml:space="preserve">GMRG’s preliminary view is that the auction product should have an equivalent allowance to that which would apply to secondary capacity trades (as specified in the service provider’s operational GTA), so that auction winners have some ability to manage the inevitable variation between receipts </w:t>
      </w:r>
      <w:r w:rsidR="00055169">
        <w:t xml:space="preserve">and deliveries. </w:t>
      </w:r>
      <w:r>
        <w:t xml:space="preserve">One potential problem with this proposal is that if it results in the imbalance allowance of market operator service (MOS) providers in the STTM being reduced and </w:t>
      </w:r>
      <w:r w:rsidR="00F8246A">
        <w:t xml:space="preserve">if </w:t>
      </w:r>
      <w:r>
        <w:t>this is the only mechanism by which MOS providers provide balancing services, then it may affect their ability to provide this service. The GMRG is therefore interested in hearing from stakeholders about whether this proposal is feasible and if there are any other issues associated with providing auction winners an imbalance allowance.</w:t>
      </w:r>
    </w:p>
    <w:tbl>
      <w:tblPr>
        <w:tblStyle w:val="PullOutBoxTable"/>
        <w:tblW w:w="5000" w:type="pct"/>
        <w:shd w:val="clear" w:color="auto" w:fill="B7E7FF"/>
        <w:tblLook w:val="0600" w:firstRow="0" w:lastRow="0" w:firstColumn="0" w:lastColumn="0" w:noHBand="1" w:noVBand="1"/>
        <w:tblCaption w:val="Box 3.5: Questions on other elements of the auction product "/>
        <w:tblDescription w:val="Questions on other elements of the auction product "/>
      </w:tblPr>
      <w:tblGrid>
        <w:gridCol w:w="8788"/>
      </w:tblGrid>
      <w:tr w:rsidR="00705190" w:rsidRPr="002F5B6B" w14:paraId="52249185" w14:textId="77777777" w:rsidTr="00E413FB">
        <w:trPr>
          <w:trHeight w:val="259"/>
          <w:tblHeader/>
        </w:trPr>
        <w:tc>
          <w:tcPr>
            <w:tcW w:w="5000" w:type="pct"/>
            <w:shd w:val="clear" w:color="auto" w:fill="auto"/>
          </w:tcPr>
          <w:p w14:paraId="129DFDF6" w14:textId="50AED9A6" w:rsidR="00705190" w:rsidRPr="00E413FB" w:rsidRDefault="00E413FB" w:rsidP="00E413FB">
            <w:pPr>
              <w:pStyle w:val="ListBullet2"/>
              <w:keepNext/>
              <w:numPr>
                <w:ilvl w:val="0"/>
                <w:numId w:val="0"/>
              </w:numPr>
              <w:spacing w:before="0" w:after="0"/>
              <w:rPr>
                <w:rFonts w:eastAsiaTheme="majorEastAsia"/>
                <w:b/>
                <w:sz w:val="20"/>
                <w:szCs w:val="20"/>
              </w:rPr>
            </w:pPr>
            <w:r w:rsidRPr="00E413FB">
              <w:rPr>
                <w:rFonts w:eastAsiaTheme="majorEastAsia"/>
                <w:b/>
                <w:szCs w:val="20"/>
              </w:rPr>
              <w:t>Box 3.5: Questions on other elements of the auction product</w:t>
            </w:r>
          </w:p>
        </w:tc>
      </w:tr>
      <w:tr w:rsidR="00E413FB" w:rsidRPr="002F5B6B" w14:paraId="436D0D4A" w14:textId="77777777" w:rsidTr="00C11F1C">
        <w:tc>
          <w:tcPr>
            <w:tcW w:w="5000" w:type="pct"/>
            <w:shd w:val="clear" w:color="auto" w:fill="B7E7FF"/>
          </w:tcPr>
          <w:p w14:paraId="073802EA" w14:textId="77777777" w:rsidR="00E413FB" w:rsidRPr="00BD7306" w:rsidRDefault="00E413FB" w:rsidP="00E413FB">
            <w:pPr>
              <w:pStyle w:val="ListNumber"/>
              <w:keepNext/>
              <w:numPr>
                <w:ilvl w:val="0"/>
                <w:numId w:val="20"/>
              </w:numPr>
              <w:spacing w:before="0" w:after="40"/>
              <w:ind w:left="357" w:hanging="357"/>
              <w:rPr>
                <w:rFonts w:eastAsiaTheme="majorEastAsia"/>
                <w:sz w:val="20"/>
                <w:szCs w:val="20"/>
              </w:rPr>
            </w:pPr>
            <w:r>
              <w:rPr>
                <w:rFonts w:eastAsiaTheme="majorEastAsia"/>
                <w:sz w:val="21"/>
                <w:szCs w:val="21"/>
              </w:rPr>
              <w:t>Do you think the auction product should have:</w:t>
            </w:r>
          </w:p>
          <w:p w14:paraId="0AD480E3" w14:textId="77777777" w:rsidR="00E413FB" w:rsidRPr="00BD7306" w:rsidRDefault="00E413FB" w:rsidP="00E413FB">
            <w:pPr>
              <w:pStyle w:val="ListBullet2"/>
              <w:keepNext/>
              <w:rPr>
                <w:rFonts w:eastAsiaTheme="majorEastAsia"/>
                <w:sz w:val="21"/>
                <w:szCs w:val="21"/>
              </w:rPr>
            </w:pPr>
            <w:proofErr w:type="gramStart"/>
            <w:r>
              <w:rPr>
                <w:rFonts w:eastAsiaTheme="majorEastAsia"/>
                <w:sz w:val="21"/>
                <w:szCs w:val="21"/>
              </w:rPr>
              <w:t>t</w:t>
            </w:r>
            <w:r w:rsidRPr="00BD7306">
              <w:rPr>
                <w:rFonts w:eastAsiaTheme="majorEastAsia"/>
                <w:sz w:val="21"/>
                <w:szCs w:val="21"/>
              </w:rPr>
              <w:t>he</w:t>
            </w:r>
            <w:proofErr w:type="gramEnd"/>
            <w:r w:rsidRPr="00BD7306">
              <w:rPr>
                <w:rFonts w:eastAsiaTheme="majorEastAsia"/>
                <w:sz w:val="21"/>
                <w:szCs w:val="21"/>
              </w:rPr>
              <w:t xml:space="preserve"> same MHQ factor as that specified in the service provider’s operational GTA? </w:t>
            </w:r>
            <w:r>
              <w:rPr>
                <w:rFonts w:eastAsiaTheme="majorEastAsia"/>
                <w:sz w:val="21"/>
                <w:szCs w:val="21"/>
              </w:rPr>
              <w:t>If not, please explain why</w:t>
            </w:r>
            <w:r w:rsidRPr="00BD7306">
              <w:rPr>
                <w:rFonts w:eastAsiaTheme="majorEastAsia"/>
                <w:sz w:val="21"/>
                <w:szCs w:val="21"/>
              </w:rPr>
              <w:t>.</w:t>
            </w:r>
          </w:p>
          <w:p w14:paraId="15612895" w14:textId="77777777" w:rsidR="00E413FB" w:rsidRPr="00BD7306" w:rsidRDefault="00E413FB" w:rsidP="00E413FB">
            <w:pPr>
              <w:pStyle w:val="ListBullet2"/>
              <w:keepNext/>
              <w:rPr>
                <w:rFonts w:eastAsiaTheme="majorEastAsia"/>
                <w:sz w:val="21"/>
                <w:szCs w:val="21"/>
              </w:rPr>
            </w:pPr>
            <w:proofErr w:type="gramStart"/>
            <w:r w:rsidRPr="00BD7306">
              <w:rPr>
                <w:rFonts w:eastAsiaTheme="majorEastAsia"/>
                <w:sz w:val="21"/>
                <w:szCs w:val="21"/>
              </w:rPr>
              <w:t>a</w:t>
            </w:r>
            <w:proofErr w:type="gramEnd"/>
            <w:r w:rsidRPr="00BD7306">
              <w:rPr>
                <w:rFonts w:eastAsiaTheme="majorEastAsia"/>
                <w:sz w:val="21"/>
                <w:szCs w:val="21"/>
              </w:rPr>
              <w:t xml:space="preserve"> </w:t>
            </w:r>
            <w:r>
              <w:rPr>
                <w:rFonts w:eastAsiaTheme="majorEastAsia"/>
                <w:sz w:val="21"/>
                <w:szCs w:val="21"/>
              </w:rPr>
              <w:t>‘</w:t>
            </w:r>
            <w:r w:rsidRPr="00BD7306">
              <w:rPr>
                <w:rFonts w:eastAsiaTheme="majorEastAsia"/>
                <w:sz w:val="21"/>
                <w:szCs w:val="21"/>
              </w:rPr>
              <w:t>reasonable endeavours</w:t>
            </w:r>
            <w:r>
              <w:rPr>
                <w:rFonts w:eastAsiaTheme="majorEastAsia"/>
                <w:sz w:val="21"/>
                <w:szCs w:val="21"/>
              </w:rPr>
              <w:t>’</w:t>
            </w:r>
            <w:r w:rsidRPr="00BD7306">
              <w:rPr>
                <w:rFonts w:eastAsiaTheme="majorEastAsia"/>
                <w:sz w:val="21"/>
                <w:szCs w:val="21"/>
              </w:rPr>
              <w:t xml:space="preserve"> renomination right? </w:t>
            </w:r>
            <w:r>
              <w:rPr>
                <w:rFonts w:eastAsiaTheme="majorEastAsia"/>
                <w:sz w:val="21"/>
                <w:szCs w:val="21"/>
              </w:rPr>
              <w:t>If not, please explain why</w:t>
            </w:r>
            <w:r w:rsidRPr="00BD7306">
              <w:rPr>
                <w:rFonts w:eastAsiaTheme="majorEastAsia"/>
                <w:sz w:val="21"/>
                <w:szCs w:val="21"/>
              </w:rPr>
              <w:t>.</w:t>
            </w:r>
          </w:p>
          <w:p w14:paraId="4B5EA4BC" w14:textId="77777777" w:rsidR="00E413FB" w:rsidRPr="00884280" w:rsidRDefault="00E413FB" w:rsidP="00E413FB">
            <w:pPr>
              <w:pStyle w:val="ListNumber"/>
              <w:keepNext/>
              <w:numPr>
                <w:ilvl w:val="0"/>
                <w:numId w:val="20"/>
              </w:numPr>
              <w:spacing w:before="0" w:after="40"/>
              <w:ind w:left="357" w:hanging="357"/>
              <w:rPr>
                <w:rFonts w:eastAsiaTheme="majorEastAsia"/>
                <w:sz w:val="20"/>
                <w:szCs w:val="20"/>
              </w:rPr>
            </w:pPr>
            <w:r>
              <w:rPr>
                <w:rFonts w:eastAsiaTheme="majorEastAsia"/>
                <w:sz w:val="21"/>
                <w:szCs w:val="21"/>
              </w:rPr>
              <w:t xml:space="preserve">Do you think the auction product should have </w:t>
            </w:r>
            <w:r w:rsidRPr="00BD7306">
              <w:rPr>
                <w:rFonts w:eastAsiaTheme="majorEastAsia"/>
                <w:sz w:val="21"/>
                <w:szCs w:val="21"/>
              </w:rPr>
              <w:t xml:space="preserve">an imbalance allowance equivalent to that specified in the service provider’s operational GTA? </w:t>
            </w:r>
          </w:p>
          <w:p w14:paraId="70DBCC86" w14:textId="77777777" w:rsidR="00280C5E" w:rsidRDefault="00E413FB" w:rsidP="00280C5E">
            <w:pPr>
              <w:pStyle w:val="ListBullet2"/>
              <w:keepNext/>
              <w:rPr>
                <w:rFonts w:eastAsiaTheme="majorEastAsia"/>
                <w:sz w:val="21"/>
                <w:szCs w:val="21"/>
              </w:rPr>
            </w:pPr>
            <w:r w:rsidRPr="00884280">
              <w:rPr>
                <w:rFonts w:eastAsiaTheme="majorEastAsia"/>
                <w:sz w:val="21"/>
                <w:szCs w:val="21"/>
              </w:rPr>
              <w:t xml:space="preserve">What, if any, effect do you think this </w:t>
            </w:r>
            <w:r>
              <w:rPr>
                <w:rFonts w:eastAsiaTheme="majorEastAsia"/>
                <w:sz w:val="21"/>
                <w:szCs w:val="21"/>
              </w:rPr>
              <w:t xml:space="preserve">would </w:t>
            </w:r>
            <w:r w:rsidRPr="00884280">
              <w:rPr>
                <w:rFonts w:eastAsiaTheme="majorEastAsia"/>
                <w:sz w:val="21"/>
                <w:szCs w:val="21"/>
              </w:rPr>
              <w:t xml:space="preserve">have on a </w:t>
            </w:r>
            <w:r>
              <w:rPr>
                <w:rFonts w:eastAsiaTheme="majorEastAsia"/>
                <w:sz w:val="21"/>
                <w:szCs w:val="21"/>
              </w:rPr>
              <w:t xml:space="preserve">MOS provider’s </w:t>
            </w:r>
            <w:r w:rsidRPr="00884280">
              <w:rPr>
                <w:rFonts w:eastAsiaTheme="majorEastAsia"/>
                <w:sz w:val="21"/>
                <w:szCs w:val="21"/>
              </w:rPr>
              <w:t xml:space="preserve">ability to provide </w:t>
            </w:r>
            <w:r>
              <w:rPr>
                <w:rFonts w:eastAsiaTheme="majorEastAsia"/>
                <w:sz w:val="21"/>
                <w:szCs w:val="21"/>
              </w:rPr>
              <w:t>balancing services in the STTM</w:t>
            </w:r>
            <w:r w:rsidRPr="00884280">
              <w:rPr>
                <w:rFonts w:eastAsiaTheme="majorEastAsia"/>
                <w:sz w:val="21"/>
                <w:szCs w:val="21"/>
              </w:rPr>
              <w:t>?</w:t>
            </w:r>
            <w:r>
              <w:rPr>
                <w:rFonts w:eastAsiaTheme="majorEastAsia"/>
                <w:sz w:val="21"/>
                <w:szCs w:val="21"/>
              </w:rPr>
              <w:t xml:space="preserve"> If you think it will be problematic, are there any measures that you think could be employed to address this issue, while also providing auction winners with some level of an imbalance allowance?</w:t>
            </w:r>
          </w:p>
          <w:p w14:paraId="35B6DDF0" w14:textId="3B42360D" w:rsidR="00E413FB" w:rsidRPr="00280C5E" w:rsidRDefault="00E413FB" w:rsidP="00280C5E">
            <w:pPr>
              <w:pStyle w:val="ListBullet2"/>
              <w:keepNext/>
              <w:rPr>
                <w:rFonts w:eastAsiaTheme="majorEastAsia"/>
                <w:sz w:val="21"/>
                <w:szCs w:val="21"/>
              </w:rPr>
            </w:pPr>
            <w:r w:rsidRPr="00280C5E">
              <w:rPr>
                <w:rFonts w:eastAsiaTheme="majorEastAsia"/>
                <w:sz w:val="21"/>
                <w:szCs w:val="21"/>
              </w:rPr>
              <w:t>Are there any other issues that the GMRG should be aware of in relation to this proposal?</w:t>
            </w:r>
          </w:p>
        </w:tc>
      </w:tr>
    </w:tbl>
    <w:p w14:paraId="7ED0D7DD" w14:textId="1F5BF4EC" w:rsidR="004E1521" w:rsidRDefault="00AA265D" w:rsidP="004E1521">
      <w:pPr>
        <w:pStyle w:val="Heading2"/>
        <w:spacing w:before="240"/>
      </w:pPr>
      <w:bookmarkStart w:id="78" w:name="_Ref494707689"/>
      <w:bookmarkStart w:id="79" w:name="_Ref495223392"/>
      <w:bookmarkStart w:id="80" w:name="_Toc495351633"/>
      <w:r>
        <w:t xml:space="preserve">Zonal versus point-to-point </w:t>
      </w:r>
      <w:bookmarkEnd w:id="78"/>
      <w:r w:rsidR="00705190">
        <w:t>auction products</w:t>
      </w:r>
      <w:bookmarkEnd w:id="79"/>
      <w:bookmarkEnd w:id="80"/>
    </w:p>
    <w:p w14:paraId="51AD57BD" w14:textId="6DC82BC1" w:rsidR="00623B58" w:rsidRDefault="007164A3" w:rsidP="004E1521">
      <w:pPr>
        <w:pStyle w:val="BodyText"/>
      </w:pPr>
      <w:r>
        <w:t xml:space="preserve">The AEMC’s recommendations did not specify whether the auction should be conducted on a zonal or point-to-point basis. This issue was, however, considered to some extent when AEMO and APGA presented their initial proposals to operate the auction. </w:t>
      </w:r>
    </w:p>
    <w:p w14:paraId="58D92CE1" w14:textId="4DF2823F" w:rsidR="00BF2B5B" w:rsidRDefault="007164A3" w:rsidP="00623B58">
      <w:pPr>
        <w:pStyle w:val="BodyText"/>
      </w:pPr>
      <w:r>
        <w:t xml:space="preserve">At the time these proposals were developed, AEMO proposed to conduct the auction between key points (or zones), while APGA proposed to conduct the auction between </w:t>
      </w:r>
      <w:r w:rsidR="009807EC">
        <w:t xml:space="preserve">individual </w:t>
      </w:r>
      <w:r>
        <w:t xml:space="preserve">receipt and delivery points. </w:t>
      </w:r>
      <w:r w:rsidR="00623B58">
        <w:t xml:space="preserve">Following the decision to accord AEMO responsibility for operating the auction, the Day-Ahead Auction project team proceeded on the basis that the zonal </w:t>
      </w:r>
      <w:r w:rsidR="0046188C">
        <w:t>approach</w:t>
      </w:r>
      <w:r w:rsidR="00623B58">
        <w:t xml:space="preserve"> developed for the capacity trading platform would also apply in the auction.</w:t>
      </w:r>
      <w:r>
        <w:t xml:space="preserve"> </w:t>
      </w:r>
      <w:r w:rsidR="00623B58">
        <w:t xml:space="preserve">Under this </w:t>
      </w:r>
      <w:r w:rsidR="0046188C">
        <w:t>approach</w:t>
      </w:r>
      <w:r w:rsidR="00623B58">
        <w:t xml:space="preserve">, auction </w:t>
      </w:r>
      <w:r w:rsidR="0046188C">
        <w:t xml:space="preserve">participants </w:t>
      </w:r>
      <w:r w:rsidR="00623B58">
        <w:t>would be able to acquire capacity on a zone-to-zone basis and have secondary firm rights at all the receipt and delivery points within the zones.</w:t>
      </w:r>
      <w:r w:rsidR="00623B58">
        <w:rPr>
          <w:rStyle w:val="FootnoteReference"/>
        </w:rPr>
        <w:footnoteReference w:id="43"/>
      </w:r>
      <w:r w:rsidR="00623B58">
        <w:t xml:space="preserve"> </w:t>
      </w:r>
      <w:r w:rsidR="00BF2B5B">
        <w:t>Secondary firm rights are required in this case because:</w:t>
      </w:r>
    </w:p>
    <w:p w14:paraId="21192BF1" w14:textId="16E4634E" w:rsidR="00BF2B5B" w:rsidRDefault="00BF2B5B" w:rsidP="00BF2B5B">
      <w:pPr>
        <w:pStyle w:val="ListBullet"/>
      </w:pPr>
      <w:r>
        <w:t xml:space="preserve">the contracted but un-nominated capacity released through the auction may be released from different receipt or delivery points in the zone to those the auction winner intends to use; and </w:t>
      </w:r>
    </w:p>
    <w:p w14:paraId="5DB77E90" w14:textId="77777777" w:rsidR="00BF2B5B" w:rsidRDefault="00BF2B5B" w:rsidP="00BF2B5B">
      <w:pPr>
        <w:pStyle w:val="ListBullet"/>
      </w:pPr>
      <w:proofErr w:type="gramStart"/>
      <w:r>
        <w:t>the</w:t>
      </w:r>
      <w:proofErr w:type="gramEnd"/>
      <w:r>
        <w:t xml:space="preserve"> capacity of individual receipt and delivery points within a zone will usually be lower than the zonal capacity.</w:t>
      </w:r>
    </w:p>
    <w:p w14:paraId="3AC34CF3" w14:textId="22C3344D" w:rsidR="00823696" w:rsidRDefault="00823696" w:rsidP="004E1521">
      <w:pPr>
        <w:pStyle w:val="BodyText"/>
      </w:pPr>
      <w:r>
        <w:t xml:space="preserve">Further detail on the zonal model and secondary firm rights </w:t>
      </w:r>
      <w:r w:rsidR="008B1412">
        <w:t xml:space="preserve">concept can be found in Chapter 4 of the </w:t>
      </w:r>
      <w:r w:rsidR="008B1412" w:rsidRPr="008B1412">
        <w:rPr>
          <w:i/>
        </w:rPr>
        <w:t>Standardisation Related Reforms and the Capacity Trading Platform Consultation Paper</w:t>
      </w:r>
      <w:r w:rsidR="008B1412">
        <w:t>.</w:t>
      </w:r>
      <w:r w:rsidR="00705190">
        <w:rPr>
          <w:rStyle w:val="FootnoteReference"/>
        </w:rPr>
        <w:footnoteReference w:id="44"/>
      </w:r>
    </w:p>
    <w:p w14:paraId="5CCCBDF9" w14:textId="54FA3C36" w:rsidR="004E1521" w:rsidRDefault="00623B58" w:rsidP="004E1521">
      <w:pPr>
        <w:pStyle w:val="BodyText"/>
      </w:pPr>
      <w:r>
        <w:t xml:space="preserve">Through subsequent discussions with NERA, it has become clear that a point-to-point </w:t>
      </w:r>
      <w:r w:rsidR="0046188C">
        <w:t xml:space="preserve">approach with some zoning of substitutable points </w:t>
      </w:r>
      <w:r w:rsidR="004F542A">
        <w:t xml:space="preserve">(for example, </w:t>
      </w:r>
      <w:r w:rsidR="0046188C">
        <w:t>in the STTM</w:t>
      </w:r>
      <w:r w:rsidR="004F542A">
        <w:t>)</w:t>
      </w:r>
      <w:r w:rsidR="0046188C">
        <w:t xml:space="preserve"> would be simpler to implement and more straightforward for auction participants, service providers (who need </w:t>
      </w:r>
      <w:r w:rsidR="00E340A7">
        <w:t xml:space="preserve">to </w:t>
      </w:r>
      <w:r w:rsidR="0046188C">
        <w:t>calculate the auction quantity) and AEMO</w:t>
      </w:r>
      <w:r>
        <w:t xml:space="preserve">. </w:t>
      </w:r>
    </w:p>
    <w:p w14:paraId="4AD56691" w14:textId="0093511A" w:rsidR="00CC224F" w:rsidRDefault="00BF2B5B" w:rsidP="004E1521">
      <w:pPr>
        <w:pStyle w:val="BodyText"/>
      </w:pPr>
      <w:r>
        <w:t xml:space="preserve">Under the point-to-point approach, the contracted but un-nominated capacity at individual receipt and delivery points and </w:t>
      </w:r>
      <w:r w:rsidR="00A508F8">
        <w:t xml:space="preserve">the </w:t>
      </w:r>
      <w:r>
        <w:t xml:space="preserve">pipeline segments </w:t>
      </w:r>
      <w:r w:rsidR="00A508F8">
        <w:t xml:space="preserve">connecting receipt and delivery points </w:t>
      </w:r>
      <w:r>
        <w:t>would be released into the auction</w:t>
      </w:r>
      <w:r w:rsidR="00A508F8">
        <w:t>.</w:t>
      </w:r>
      <w:r>
        <w:t xml:space="preserve"> </w:t>
      </w:r>
      <w:r w:rsidR="00A508F8">
        <w:t>A</w:t>
      </w:r>
      <w:r>
        <w:t xml:space="preserve">uction participants would </w:t>
      </w:r>
      <w:r w:rsidR="00A508F8">
        <w:t xml:space="preserve">then </w:t>
      </w:r>
      <w:r>
        <w:t xml:space="preserve">submit bids for individual </w:t>
      </w:r>
      <w:r w:rsidR="00A508F8">
        <w:t>receipt and delivery points and the capacity of the pipeline between these points would be allocated through the auction algorithm</w:t>
      </w:r>
      <w:r>
        <w:t xml:space="preserve">. </w:t>
      </w:r>
      <w:r w:rsidR="00CC224F">
        <w:t xml:space="preserve">For example, if an auction participant wanted to transport 10 TJ of gas on the Roma to Brisbane Pipeline between Wallumbilla run 2 and Dalby, it would </w:t>
      </w:r>
      <w:r w:rsidR="002A2DED">
        <w:t xml:space="preserve">submit </w:t>
      </w:r>
      <w:r w:rsidR="00CC224F">
        <w:t>bid</w:t>
      </w:r>
      <w:r w:rsidR="002A2DED">
        <w:t>s</w:t>
      </w:r>
      <w:r w:rsidR="00CC224F">
        <w:t xml:space="preserve"> for 10 TJ of capacity at the Wallumbilla run 2 receipt point and </w:t>
      </w:r>
      <w:r w:rsidR="002A2DED">
        <w:t xml:space="preserve">10 TJ of capacity at the </w:t>
      </w:r>
      <w:r w:rsidR="00CC224F">
        <w:t xml:space="preserve">Dalby delivery point. If there is sufficient contracted but un-nominated capacity on the Roma to Brisbane Pipeline between these two points and the auction participant was successful in the auction, then it would be allocated 10 TJ of capacity at the Wallumbilla run 2 receipt point, </w:t>
      </w:r>
      <w:r w:rsidR="002A2DED">
        <w:t xml:space="preserve">10 TJ at </w:t>
      </w:r>
      <w:r w:rsidR="00CC224F">
        <w:t xml:space="preserve">the Dalby delivery point and </w:t>
      </w:r>
      <w:r w:rsidR="002A2DED">
        <w:t xml:space="preserve">10 TJ on </w:t>
      </w:r>
      <w:r w:rsidR="00CC224F">
        <w:t>the pipeline segment between these two points.</w:t>
      </w:r>
    </w:p>
    <w:p w14:paraId="7372C056" w14:textId="627FE740" w:rsidR="00BF2B5B" w:rsidRDefault="00CC224F" w:rsidP="004E1521">
      <w:pPr>
        <w:pStyle w:val="BodyText"/>
      </w:pPr>
      <w:r>
        <w:t>Under the point-to-point approach, i</w:t>
      </w:r>
      <w:r w:rsidR="00BF2B5B">
        <w:t xml:space="preserve">f an auction participant wins capacity at its selected points then, in a similar manner to the zonal approach, it will have secondary firm rights at these points. Secondary firm rights are required in this case to deal with the risk that the firm contract holders renominate their receipt or delivery point capacity upwards on the day. </w:t>
      </w:r>
    </w:p>
    <w:p w14:paraId="02F40F96" w14:textId="5871DA47" w:rsidR="00DB5A7C" w:rsidRDefault="00DB5A7C" w:rsidP="008300A5">
      <w:pPr>
        <w:pStyle w:val="BodyText"/>
      </w:pPr>
      <w:r>
        <w:t xml:space="preserve">While the GMRG can see merit in using </w:t>
      </w:r>
      <w:r w:rsidR="002A2DED">
        <w:t>more of a</w:t>
      </w:r>
      <w:r>
        <w:t xml:space="preserve"> point-to-point approach in the auction, it is interested in hearing whether stakeholders have any co</w:t>
      </w:r>
      <w:r w:rsidRPr="008300A5">
        <w:t>ncerns about</w:t>
      </w:r>
      <w:r w:rsidR="008300A5" w:rsidRPr="008300A5">
        <w:t xml:space="preserve"> t</w:t>
      </w:r>
      <w:r w:rsidRPr="008300A5">
        <w:t xml:space="preserve">he proposal to use different approaches for the </w:t>
      </w:r>
      <w:r w:rsidR="00705190">
        <w:t xml:space="preserve">capacity </w:t>
      </w:r>
      <w:r w:rsidRPr="008300A5">
        <w:t>trading platform and auction</w:t>
      </w:r>
      <w:r w:rsidR="008B1412">
        <w:t xml:space="preserve">. In this regard, it is worth noting that </w:t>
      </w:r>
      <w:r>
        <w:t xml:space="preserve">the zonal model </w:t>
      </w:r>
      <w:r w:rsidR="008B1412">
        <w:t xml:space="preserve">has been proposed </w:t>
      </w:r>
      <w:r>
        <w:t xml:space="preserve">for the trading platform to maximise the </w:t>
      </w:r>
      <w:r w:rsidR="00137BC2">
        <w:t xml:space="preserve">pool </w:t>
      </w:r>
      <w:r>
        <w:t xml:space="preserve">of potential buyers and sellers of secondary capacity. </w:t>
      </w:r>
      <w:r w:rsidR="00137BC2">
        <w:t>Th</w:t>
      </w:r>
      <w:r w:rsidR="00705190">
        <w:t>is</w:t>
      </w:r>
      <w:r w:rsidR="00137BC2">
        <w:t xml:space="preserve"> pooling benefit </w:t>
      </w:r>
      <w:r>
        <w:t>is not, however, required in the day-ahead auction</w:t>
      </w:r>
      <w:r w:rsidR="00137BC2">
        <w:t xml:space="preserve"> because all of the contracted but un-nominated capacity will be aggregated and released through the auction. </w:t>
      </w:r>
      <w:r w:rsidR="00144CFC">
        <w:t>So,</w:t>
      </w:r>
      <w:r>
        <w:t xml:space="preserve"> from </w:t>
      </w:r>
      <w:r w:rsidR="00137BC2">
        <w:t xml:space="preserve">this </w:t>
      </w:r>
      <w:r>
        <w:t xml:space="preserve">perspective there is no need for the </w:t>
      </w:r>
      <w:r w:rsidR="00137BC2">
        <w:t xml:space="preserve">same </w:t>
      </w:r>
      <w:r>
        <w:t xml:space="preserve">approach to be </w:t>
      </w:r>
      <w:r w:rsidR="00137BC2">
        <w:t>employed</w:t>
      </w:r>
      <w:r w:rsidR="008300A5">
        <w:t xml:space="preserve">. However, </w:t>
      </w:r>
      <w:r w:rsidR="00137BC2">
        <w:t xml:space="preserve">if the zonal approach results in trading platform users being exposed to a greater level of delivery risk than auction participants, this would need to be considered further given the </w:t>
      </w:r>
      <w:r w:rsidR="00DF08E7">
        <w:t>potential for the different approaches to distort shippers’ decisions to use these two mechanisms</w:t>
      </w:r>
      <w:r w:rsidR="00137BC2">
        <w:t xml:space="preserve">. </w:t>
      </w:r>
    </w:p>
    <w:p w14:paraId="4A241E1A" w14:textId="0C35DBF8" w:rsidR="008300A5" w:rsidRPr="00597DE7" w:rsidRDefault="00137BC2" w:rsidP="008300A5">
      <w:pPr>
        <w:pStyle w:val="BodyText"/>
        <w:rPr>
          <w:rFonts w:ascii="Book Antiqua" w:hAnsi="Book Antiqua"/>
        </w:rPr>
      </w:pPr>
      <w:bookmarkStart w:id="81" w:name="_Hlk494631470"/>
      <w:r w:rsidRPr="00597DE7">
        <w:t>T</w:t>
      </w:r>
      <w:r w:rsidR="00DB5A7C" w:rsidRPr="00597DE7">
        <w:t xml:space="preserve">he </w:t>
      </w:r>
      <w:r w:rsidR="008300A5" w:rsidRPr="00597DE7">
        <w:t xml:space="preserve">GMRG is also interested in understanding the </w:t>
      </w:r>
      <w:r w:rsidR="00DB5A7C" w:rsidRPr="00597DE7">
        <w:t xml:space="preserve">potential for </w:t>
      </w:r>
      <w:r w:rsidR="008300A5" w:rsidRPr="00597DE7">
        <w:t xml:space="preserve">the point-to-point approach to result in commercial in-confidence </w:t>
      </w:r>
      <w:r w:rsidR="00DB5A7C" w:rsidRPr="00597DE7">
        <w:t xml:space="preserve">information </w:t>
      </w:r>
      <w:r w:rsidRPr="00597DE7">
        <w:t>be</w:t>
      </w:r>
      <w:r w:rsidR="008300A5" w:rsidRPr="00597DE7">
        <w:t>ing</w:t>
      </w:r>
      <w:r w:rsidRPr="00597DE7">
        <w:t xml:space="preserve"> published</w:t>
      </w:r>
      <w:r w:rsidR="00705190">
        <w:t xml:space="preserve"> if information on the contracted but un-nominated capacity at each point is published prior to the auction</w:t>
      </w:r>
      <w:r w:rsidR="00597DE7" w:rsidRPr="00597DE7">
        <w:t xml:space="preserve">. </w:t>
      </w:r>
      <w:r w:rsidRPr="00597DE7">
        <w:t xml:space="preserve">The GMRG understands that a similar issue was considered by the AEMC </w:t>
      </w:r>
      <w:r w:rsidR="008300A5" w:rsidRPr="00597DE7">
        <w:t>in its recent BB rule change</w:t>
      </w:r>
      <w:r w:rsidR="002A40EC" w:rsidRPr="00597DE7">
        <w:t xml:space="preserve">. In this case the AEMC </w:t>
      </w:r>
      <w:r w:rsidR="008300A5" w:rsidRPr="00597DE7">
        <w:t xml:space="preserve">considered whether disaggregated nomination information should be published on the BB but concluded that the </w:t>
      </w:r>
      <w:r w:rsidR="002A40EC" w:rsidRPr="00597DE7">
        <w:t xml:space="preserve">publication of </w:t>
      </w:r>
      <w:r w:rsidR="008300A5" w:rsidRPr="00597DE7">
        <w:t xml:space="preserve">this type of </w:t>
      </w:r>
      <w:r w:rsidR="002A40EC" w:rsidRPr="00597DE7">
        <w:t xml:space="preserve">information could adversely affect competition in the </w:t>
      </w:r>
      <w:r w:rsidR="00705190">
        <w:t xml:space="preserve">NEM by </w:t>
      </w:r>
      <w:r w:rsidR="00705190" w:rsidRPr="00597DE7">
        <w:t>reveal</w:t>
      </w:r>
      <w:r w:rsidR="00705190">
        <w:t>ing</w:t>
      </w:r>
      <w:r w:rsidR="00705190" w:rsidRPr="00597DE7">
        <w:t xml:space="preserve"> a gas-fired generator’s intended electricity generation</w:t>
      </w:r>
      <w:r w:rsidR="002A40EC" w:rsidRPr="00597DE7">
        <w:t xml:space="preserve">. The </w:t>
      </w:r>
      <w:r w:rsidR="008300A5" w:rsidRPr="00597DE7">
        <w:t xml:space="preserve">final rule therefore requires AEMO to aggregate </w:t>
      </w:r>
      <w:r w:rsidR="002A40EC" w:rsidRPr="00597DE7">
        <w:t xml:space="preserve">this information </w:t>
      </w:r>
      <w:r w:rsidR="008300A5" w:rsidRPr="00597DE7">
        <w:t>in a manner, which so far as practicable, does not directly or indirectly disclose a nomination made by a ‘market generating unit’ as defined in the National Electricity Rules (NER).</w:t>
      </w:r>
      <w:r w:rsidR="008B1412">
        <w:rPr>
          <w:rStyle w:val="FootnoteReference"/>
        </w:rPr>
        <w:footnoteReference w:id="45"/>
      </w:r>
      <w:r w:rsidR="002A40EC" w:rsidRPr="00597DE7">
        <w:t xml:space="preserve"> </w:t>
      </w:r>
    </w:p>
    <w:p w14:paraId="2C8F5454" w14:textId="5E08612D" w:rsidR="002A40EC" w:rsidRPr="008300A5" w:rsidRDefault="008300A5" w:rsidP="00597DE7">
      <w:pPr>
        <w:pStyle w:val="BodyText"/>
        <w:rPr>
          <w:rFonts w:ascii="Book Antiqua" w:hAnsi="Book Antiqua"/>
        </w:rPr>
      </w:pPr>
      <w:r w:rsidRPr="008300A5">
        <w:t xml:space="preserve">Given the parallels between </w:t>
      </w:r>
      <w:r w:rsidR="00705190">
        <w:t xml:space="preserve">this </w:t>
      </w:r>
      <w:r w:rsidRPr="008300A5">
        <w:t>rule change and what is being contemplated under the point-to-point approach</w:t>
      </w:r>
      <w:r>
        <w:t>,</w:t>
      </w:r>
      <w:r w:rsidRPr="008300A5">
        <w:t xml:space="preserve"> it is relevant to consider how the confidentiality of information on the contracted but un-nominated capacity at the delivery points servicing ‘market generating units’ could be </w:t>
      </w:r>
      <w:r>
        <w:t>maintained</w:t>
      </w:r>
      <w:r w:rsidRPr="008300A5">
        <w:t xml:space="preserve">. </w:t>
      </w:r>
      <w:r w:rsidR="002A40EC" w:rsidRPr="008300A5">
        <w:t xml:space="preserve">While the zonal approach </w:t>
      </w:r>
      <w:r w:rsidRPr="008300A5">
        <w:t xml:space="preserve">could be used to address </w:t>
      </w:r>
      <w:r w:rsidR="002A40EC" w:rsidRPr="008300A5">
        <w:t xml:space="preserve">this issue, there are other methods that could be used. For example, access to </w:t>
      </w:r>
      <w:r>
        <w:t xml:space="preserve">this </w:t>
      </w:r>
      <w:r w:rsidR="002A40EC" w:rsidRPr="008300A5">
        <w:t xml:space="preserve">information on the </w:t>
      </w:r>
      <w:r>
        <w:t xml:space="preserve">auction platform </w:t>
      </w:r>
      <w:r w:rsidR="002A40EC" w:rsidRPr="008300A5">
        <w:t>could be limited to participants that can demonstrate to AEMO they have permission to use those points.</w:t>
      </w:r>
      <w:r>
        <w:t xml:space="preserve"> The GMRG is interested in hearing stakeholders</w:t>
      </w:r>
      <w:r w:rsidR="00DF08E7">
        <w:t>’</w:t>
      </w:r>
      <w:r>
        <w:t xml:space="preserve"> views on these </w:t>
      </w:r>
      <w:r w:rsidR="008D0BFF">
        <w:t xml:space="preserve">options </w:t>
      </w:r>
      <w:r>
        <w:t>and any other options that may be considered appropriate.</w:t>
      </w:r>
    </w:p>
    <w:tbl>
      <w:tblPr>
        <w:tblStyle w:val="PullOutBoxTable"/>
        <w:tblW w:w="5000" w:type="pct"/>
        <w:shd w:val="clear" w:color="auto" w:fill="B7E7FF"/>
        <w:tblLook w:val="0600" w:firstRow="0" w:lastRow="0" w:firstColumn="0" w:lastColumn="0" w:noHBand="1" w:noVBand="1"/>
        <w:tblCaption w:val="Box 3.6: Questions on contract path specification"/>
        <w:tblDescription w:val="Questions on contract path specification"/>
      </w:tblPr>
      <w:tblGrid>
        <w:gridCol w:w="8788"/>
      </w:tblGrid>
      <w:tr w:rsidR="00E413FB" w:rsidRPr="002A40EC" w14:paraId="75ECE2B6" w14:textId="77777777" w:rsidTr="00DA4FDD">
        <w:trPr>
          <w:tblHeader/>
        </w:trPr>
        <w:tc>
          <w:tcPr>
            <w:tcW w:w="5000" w:type="pct"/>
            <w:shd w:val="clear" w:color="auto" w:fill="auto"/>
          </w:tcPr>
          <w:p w14:paraId="338AFBDB" w14:textId="267956D1" w:rsidR="00E413FB" w:rsidRPr="002A40EC" w:rsidRDefault="00DA4FDD" w:rsidP="00DA4FDD">
            <w:pPr>
              <w:pStyle w:val="ListNumber"/>
              <w:numPr>
                <w:ilvl w:val="0"/>
                <w:numId w:val="0"/>
              </w:numPr>
              <w:spacing w:before="0" w:after="0"/>
              <w:ind w:left="360" w:hanging="360"/>
              <w:rPr>
                <w:rFonts w:eastAsiaTheme="majorEastAsia"/>
                <w:sz w:val="21"/>
                <w:szCs w:val="21"/>
              </w:rPr>
            </w:pPr>
            <w:r w:rsidRPr="00E413FB">
              <w:rPr>
                <w:b/>
              </w:rPr>
              <w:t xml:space="preserve">Box </w:t>
            </w:r>
            <w:r w:rsidRPr="00E413FB">
              <w:rPr>
                <w:b/>
              </w:rPr>
              <w:fldChar w:fldCharType="begin"/>
            </w:r>
            <w:r w:rsidRPr="00E413FB">
              <w:rPr>
                <w:b/>
              </w:rPr>
              <w:instrText xml:space="preserve"> STYLEREF 1 \s </w:instrText>
            </w:r>
            <w:r w:rsidRPr="00E413FB">
              <w:rPr>
                <w:b/>
              </w:rPr>
              <w:fldChar w:fldCharType="separate"/>
            </w:r>
            <w:r w:rsidRPr="00E413FB">
              <w:rPr>
                <w:b/>
                <w:noProof/>
              </w:rPr>
              <w:t>3</w:t>
            </w:r>
            <w:r w:rsidRPr="00E413FB">
              <w:rPr>
                <w:b/>
                <w:noProof/>
              </w:rPr>
              <w:fldChar w:fldCharType="end"/>
            </w:r>
            <w:r w:rsidRPr="00E413FB">
              <w:rPr>
                <w:b/>
              </w:rPr>
              <w:t>.</w:t>
            </w:r>
            <w:r w:rsidRPr="00E413FB">
              <w:rPr>
                <w:b/>
              </w:rPr>
              <w:fldChar w:fldCharType="begin"/>
            </w:r>
            <w:r w:rsidRPr="00E413FB">
              <w:rPr>
                <w:b/>
              </w:rPr>
              <w:instrText xml:space="preserve"> SEQ Box \* ARABIC \s 1 </w:instrText>
            </w:r>
            <w:r w:rsidRPr="00E413FB">
              <w:rPr>
                <w:b/>
              </w:rPr>
              <w:fldChar w:fldCharType="separate"/>
            </w:r>
            <w:r w:rsidRPr="00E413FB">
              <w:rPr>
                <w:b/>
                <w:noProof/>
              </w:rPr>
              <w:t>6</w:t>
            </w:r>
            <w:r w:rsidRPr="00E413FB">
              <w:rPr>
                <w:b/>
                <w:noProof/>
              </w:rPr>
              <w:fldChar w:fldCharType="end"/>
            </w:r>
            <w:r w:rsidRPr="00E413FB">
              <w:rPr>
                <w:b/>
              </w:rPr>
              <w:t xml:space="preserve">: </w:t>
            </w:r>
            <w:r w:rsidRPr="00E413FB">
              <w:rPr>
                <w:b/>
                <w:bCs/>
              </w:rPr>
              <w:t>Questions on contract path specification</w:t>
            </w:r>
          </w:p>
        </w:tc>
      </w:tr>
      <w:tr w:rsidR="00DA4FDD" w:rsidRPr="002A40EC" w14:paraId="7C6C72E3" w14:textId="77777777" w:rsidTr="00DA4FDD">
        <w:trPr>
          <w:tblHeader/>
        </w:trPr>
        <w:tc>
          <w:tcPr>
            <w:tcW w:w="5000" w:type="pct"/>
            <w:shd w:val="clear" w:color="auto" w:fill="B7E7FF"/>
          </w:tcPr>
          <w:p w14:paraId="39C96185" w14:textId="77777777" w:rsidR="00DA4FDD" w:rsidRPr="002A40EC" w:rsidRDefault="00DA4FDD" w:rsidP="00DA4FDD">
            <w:pPr>
              <w:pStyle w:val="ListNumber"/>
              <w:numPr>
                <w:ilvl w:val="0"/>
                <w:numId w:val="20"/>
              </w:numPr>
              <w:spacing w:before="60" w:after="60"/>
              <w:ind w:left="357" w:hanging="357"/>
              <w:rPr>
                <w:rFonts w:eastAsiaTheme="majorEastAsia"/>
                <w:sz w:val="21"/>
                <w:szCs w:val="21"/>
              </w:rPr>
            </w:pPr>
            <w:r w:rsidRPr="002A40EC">
              <w:rPr>
                <w:rFonts w:eastAsiaTheme="majorEastAsia"/>
                <w:sz w:val="21"/>
                <w:szCs w:val="21"/>
              </w:rPr>
              <w:t xml:space="preserve">Do you think a zonal or point-to-point contract path </w:t>
            </w:r>
            <w:r>
              <w:rPr>
                <w:rFonts w:eastAsiaTheme="majorEastAsia"/>
                <w:sz w:val="21"/>
                <w:szCs w:val="21"/>
              </w:rPr>
              <w:t xml:space="preserve">approach </w:t>
            </w:r>
            <w:r w:rsidRPr="002A40EC">
              <w:rPr>
                <w:rFonts w:eastAsiaTheme="majorEastAsia"/>
                <w:sz w:val="21"/>
                <w:szCs w:val="21"/>
              </w:rPr>
              <w:t>should be employed in the auction?</w:t>
            </w:r>
          </w:p>
          <w:p w14:paraId="7DAF04C7" w14:textId="77777777" w:rsidR="00DA4FDD" w:rsidRPr="002A40EC" w:rsidRDefault="00DA4FDD" w:rsidP="00DA4FDD">
            <w:pPr>
              <w:pStyle w:val="ListNumber"/>
              <w:numPr>
                <w:ilvl w:val="0"/>
                <w:numId w:val="20"/>
              </w:numPr>
              <w:spacing w:before="60" w:after="60"/>
              <w:ind w:left="357" w:hanging="357"/>
              <w:rPr>
                <w:rFonts w:eastAsiaTheme="majorEastAsia"/>
                <w:sz w:val="21"/>
                <w:szCs w:val="21"/>
              </w:rPr>
            </w:pPr>
            <w:r w:rsidRPr="002A40EC">
              <w:rPr>
                <w:rFonts w:eastAsiaTheme="majorEastAsia"/>
                <w:sz w:val="21"/>
                <w:szCs w:val="21"/>
              </w:rPr>
              <w:t xml:space="preserve">If you think a point-to-point approach should be employed, do you have any concerns </w:t>
            </w:r>
            <w:r>
              <w:rPr>
                <w:rFonts w:eastAsiaTheme="majorEastAsia"/>
                <w:sz w:val="21"/>
                <w:szCs w:val="21"/>
              </w:rPr>
              <w:t>with</w:t>
            </w:r>
            <w:r w:rsidRPr="002A40EC">
              <w:rPr>
                <w:rFonts w:eastAsiaTheme="majorEastAsia"/>
                <w:sz w:val="21"/>
                <w:szCs w:val="21"/>
              </w:rPr>
              <w:t>:</w:t>
            </w:r>
          </w:p>
          <w:p w14:paraId="3E5741DA" w14:textId="77777777" w:rsidR="00DA4FDD" w:rsidRPr="002A40EC" w:rsidRDefault="00DA4FDD" w:rsidP="00DA4FDD">
            <w:pPr>
              <w:pStyle w:val="ListBullet2"/>
              <w:spacing w:before="60" w:after="60"/>
              <w:rPr>
                <w:rFonts w:eastAsiaTheme="majorEastAsia"/>
                <w:sz w:val="21"/>
                <w:szCs w:val="21"/>
              </w:rPr>
            </w:pPr>
            <w:proofErr w:type="gramStart"/>
            <w:r w:rsidRPr="002A40EC">
              <w:rPr>
                <w:sz w:val="21"/>
                <w:szCs w:val="21"/>
              </w:rPr>
              <w:t>the</w:t>
            </w:r>
            <w:proofErr w:type="gramEnd"/>
            <w:r w:rsidRPr="002A40EC">
              <w:rPr>
                <w:sz w:val="21"/>
                <w:szCs w:val="21"/>
              </w:rPr>
              <w:t xml:space="preserve"> proposal to use different approaches for the trading platform and auction? If so, please explain why.</w:t>
            </w:r>
          </w:p>
          <w:p w14:paraId="34860FE7" w14:textId="77777777" w:rsidR="00DA4FDD" w:rsidRPr="00E110AC" w:rsidRDefault="00DA4FDD" w:rsidP="00DA4FDD">
            <w:pPr>
              <w:pStyle w:val="ListBullet2"/>
              <w:spacing w:before="60" w:after="60"/>
              <w:rPr>
                <w:rFonts w:eastAsiaTheme="majorEastAsia"/>
                <w:sz w:val="21"/>
                <w:szCs w:val="21"/>
              </w:rPr>
            </w:pPr>
            <w:proofErr w:type="gramStart"/>
            <w:r w:rsidRPr="002A40EC">
              <w:rPr>
                <w:sz w:val="21"/>
                <w:szCs w:val="21"/>
              </w:rPr>
              <w:t>the</w:t>
            </w:r>
            <w:proofErr w:type="gramEnd"/>
            <w:r w:rsidRPr="002A40EC">
              <w:rPr>
                <w:sz w:val="21"/>
                <w:szCs w:val="21"/>
              </w:rPr>
              <w:t xml:space="preserve"> potential for </w:t>
            </w:r>
            <w:r>
              <w:rPr>
                <w:sz w:val="21"/>
                <w:szCs w:val="21"/>
              </w:rPr>
              <w:t xml:space="preserve">the publication of </w:t>
            </w:r>
            <w:r w:rsidRPr="002A40EC">
              <w:rPr>
                <w:sz w:val="21"/>
                <w:szCs w:val="21"/>
              </w:rPr>
              <w:t xml:space="preserve">information </w:t>
            </w:r>
            <w:r>
              <w:rPr>
                <w:sz w:val="21"/>
                <w:szCs w:val="21"/>
              </w:rPr>
              <w:t>on contracted but un-nominated capacity at delivery points servicing market generating units to adversely affect competition in the NEM</w:t>
            </w:r>
            <w:r w:rsidRPr="002A40EC">
              <w:rPr>
                <w:sz w:val="21"/>
                <w:szCs w:val="21"/>
              </w:rPr>
              <w:t>? If so, please explain why and how you think this could be addressed.</w:t>
            </w:r>
          </w:p>
          <w:p w14:paraId="706C0E45" w14:textId="161CE43E" w:rsidR="00DA4FDD" w:rsidRPr="00E413FB" w:rsidRDefault="00DA4FDD" w:rsidP="00DA4FDD">
            <w:pPr>
              <w:pStyle w:val="ListNumber"/>
              <w:numPr>
                <w:ilvl w:val="0"/>
                <w:numId w:val="20"/>
              </w:numPr>
              <w:spacing w:before="60" w:after="60"/>
              <w:ind w:left="357" w:hanging="357"/>
              <w:rPr>
                <w:b/>
              </w:rPr>
            </w:pPr>
            <w:r>
              <w:rPr>
                <w:rFonts w:eastAsiaTheme="majorEastAsia"/>
                <w:sz w:val="21"/>
                <w:szCs w:val="21"/>
              </w:rPr>
              <w:t>Are there any other complexities associated with the point-to-point approach or technical requirements the GMRG should factor into its consideration of this issue?</w:t>
            </w:r>
          </w:p>
        </w:tc>
      </w:tr>
    </w:tbl>
    <w:p w14:paraId="22E98B29" w14:textId="5EA18585" w:rsidR="00BD7306" w:rsidRPr="000809B0" w:rsidRDefault="00BD7306" w:rsidP="00CC224F">
      <w:pPr>
        <w:pStyle w:val="Heading2"/>
      </w:pPr>
      <w:bookmarkStart w:id="82" w:name="_Toc495351634"/>
      <w:bookmarkEnd w:id="81"/>
      <w:r w:rsidRPr="000809B0">
        <w:t xml:space="preserve">Summary of the GMRG’s preliminary view on </w:t>
      </w:r>
      <w:r>
        <w:t>product</w:t>
      </w:r>
      <w:r w:rsidRPr="000809B0">
        <w:t xml:space="preserve"> </w:t>
      </w:r>
      <w:r w:rsidR="00705190">
        <w:t>design</w:t>
      </w:r>
      <w:bookmarkEnd w:id="82"/>
    </w:p>
    <w:p w14:paraId="748C6741" w14:textId="13ADC505" w:rsidR="00BD7306" w:rsidRDefault="00BD7306" w:rsidP="00B63D8F">
      <w:pPr>
        <w:pStyle w:val="BodyText"/>
        <w:spacing w:before="120" w:after="0"/>
      </w:pPr>
      <w:r>
        <w:fldChar w:fldCharType="begin"/>
      </w:r>
      <w:r>
        <w:instrText xml:space="preserve"> REF _Ref494601086 \h </w:instrText>
      </w:r>
      <w:r>
        <w:fldChar w:fldCharType="separate"/>
      </w:r>
      <w:r w:rsidR="00272B32">
        <w:t xml:space="preserve">Table </w:t>
      </w:r>
      <w:r w:rsidR="00272B32">
        <w:rPr>
          <w:noProof/>
        </w:rPr>
        <w:t>3</w:t>
      </w:r>
      <w:r w:rsidR="00272B32">
        <w:t>.</w:t>
      </w:r>
      <w:r w:rsidR="00272B32">
        <w:rPr>
          <w:noProof/>
        </w:rPr>
        <w:t>2</w:t>
      </w:r>
      <w:r>
        <w:fldChar w:fldCharType="end"/>
      </w:r>
      <w:r>
        <w:t xml:space="preserve"> summarises the GMRG’s preliminary view on the design of the day-ahead auction product.</w:t>
      </w:r>
      <w:r w:rsidR="00933FF7">
        <w:t xml:space="preserve"> Table A.2 in Appendix A shows how these preliminary views compare with the AEMC’s recommendations.</w:t>
      </w:r>
    </w:p>
    <w:p w14:paraId="51B6FA6F" w14:textId="0A49A1F4" w:rsidR="00BD7306" w:rsidRDefault="00BD7306" w:rsidP="00CC224F">
      <w:pPr>
        <w:pStyle w:val="Caption"/>
        <w:keepLines w:val="0"/>
        <w:widowControl w:val="0"/>
        <w:spacing w:before="120" w:after="0"/>
        <w:ind w:right="85"/>
      </w:pPr>
      <w:bookmarkStart w:id="83" w:name="_Ref494601086"/>
      <w:r>
        <w:t xml:space="preserve">Table </w:t>
      </w:r>
      <w:r w:rsidR="00115A93">
        <w:fldChar w:fldCharType="begin"/>
      </w:r>
      <w:r w:rsidR="00115A93">
        <w:instrText xml:space="preserve"> STYLEREF 1 \s </w:instrText>
      </w:r>
      <w:r w:rsidR="00115A93">
        <w:fldChar w:fldCharType="separate"/>
      </w:r>
      <w:r w:rsidR="00272B32">
        <w:rPr>
          <w:noProof/>
        </w:rPr>
        <w:t>3</w:t>
      </w:r>
      <w:r w:rsidR="00115A93">
        <w:rPr>
          <w:noProof/>
        </w:rPr>
        <w:fldChar w:fldCharType="end"/>
      </w:r>
      <w:r w:rsidR="009A057E">
        <w:t>.</w:t>
      </w:r>
      <w:r w:rsidR="00115A93">
        <w:fldChar w:fldCharType="begin"/>
      </w:r>
      <w:r w:rsidR="00115A93">
        <w:instrText xml:space="preserve"> SEQ Table \* ARABIC \s 1 </w:instrText>
      </w:r>
      <w:r w:rsidR="00115A93">
        <w:fldChar w:fldCharType="separate"/>
      </w:r>
      <w:r w:rsidR="00272B32">
        <w:rPr>
          <w:noProof/>
        </w:rPr>
        <w:t>2</w:t>
      </w:r>
      <w:r w:rsidR="00115A93">
        <w:rPr>
          <w:noProof/>
        </w:rPr>
        <w:fldChar w:fldCharType="end"/>
      </w:r>
      <w:bookmarkEnd w:id="83"/>
      <w:r>
        <w:t xml:space="preserve">: Summary of the GMRG’s preliminary view on </w:t>
      </w:r>
      <w:r w:rsidR="003957AA">
        <w:t>product to be auctioned</w:t>
      </w:r>
    </w:p>
    <w:tbl>
      <w:tblPr>
        <w:tblStyle w:val="TableGrid"/>
        <w:tblW w:w="5081" w:type="pct"/>
        <w:tblLook w:val="04A0" w:firstRow="1" w:lastRow="0" w:firstColumn="1" w:lastColumn="0" w:noHBand="0" w:noVBand="1"/>
        <w:tblCaption w:val="Table 3.2: Summary of the GMRG’s preliminary view on product to be auctioned"/>
        <w:tblDescription w:val="Summary of the GMRG’s preliminary view on product to be auctioned"/>
      </w:tblPr>
      <w:tblGrid>
        <w:gridCol w:w="2695"/>
        <w:gridCol w:w="6235"/>
      </w:tblGrid>
      <w:tr w:rsidR="00BD7306" w:rsidRPr="00DB3577" w14:paraId="504CA499" w14:textId="77777777" w:rsidTr="00E110AC">
        <w:trPr>
          <w:cnfStyle w:val="100000000000" w:firstRow="1" w:lastRow="0" w:firstColumn="0" w:lastColumn="0" w:oddVBand="0" w:evenVBand="0" w:oddHBand="0" w:evenHBand="0" w:firstRowFirstColumn="0" w:firstRowLastColumn="0" w:lastRowFirstColumn="0" w:lastRowLastColumn="0"/>
          <w:cantSplit/>
          <w:tblHeader/>
        </w:trPr>
        <w:tc>
          <w:tcPr>
            <w:tcW w:w="1509" w:type="pct"/>
            <w:tcBorders>
              <w:bottom w:val="single" w:sz="4" w:space="0" w:color="auto"/>
            </w:tcBorders>
            <w:shd w:val="clear" w:color="auto" w:fill="0099CC"/>
          </w:tcPr>
          <w:p w14:paraId="73B2532E" w14:textId="77777777" w:rsidR="00BD7306" w:rsidRPr="00DB3577" w:rsidRDefault="00BD7306" w:rsidP="00917A06">
            <w:pPr>
              <w:pStyle w:val="TableHeading"/>
              <w:widowControl w:val="0"/>
              <w:spacing w:before="20" w:after="0"/>
              <w:rPr>
                <w:szCs w:val="18"/>
              </w:rPr>
            </w:pPr>
            <w:r w:rsidRPr="00DB3577">
              <w:rPr>
                <w:szCs w:val="18"/>
              </w:rPr>
              <w:t>Design Element</w:t>
            </w:r>
          </w:p>
        </w:tc>
        <w:tc>
          <w:tcPr>
            <w:tcW w:w="3491" w:type="pct"/>
            <w:tcBorders>
              <w:bottom w:val="single" w:sz="4" w:space="0" w:color="auto"/>
            </w:tcBorders>
            <w:shd w:val="clear" w:color="auto" w:fill="0099CC"/>
          </w:tcPr>
          <w:p w14:paraId="1B2E0A44" w14:textId="77777777" w:rsidR="00BD7306" w:rsidRPr="00DB3577" w:rsidRDefault="00BD7306" w:rsidP="00917A06">
            <w:pPr>
              <w:pStyle w:val="TableHeading"/>
              <w:widowControl w:val="0"/>
              <w:spacing w:before="20" w:after="0"/>
              <w:rPr>
                <w:szCs w:val="18"/>
              </w:rPr>
            </w:pPr>
            <w:r w:rsidRPr="00DB3577">
              <w:rPr>
                <w:szCs w:val="18"/>
              </w:rPr>
              <w:t>Preliminary View</w:t>
            </w:r>
          </w:p>
        </w:tc>
      </w:tr>
      <w:tr w:rsidR="00ED6BD2" w:rsidRPr="00ED6BD2" w14:paraId="4C0FD8F1" w14:textId="77777777" w:rsidTr="00E110AC">
        <w:trPr>
          <w:cnfStyle w:val="100000000000" w:firstRow="1" w:lastRow="0" w:firstColumn="0" w:lastColumn="0" w:oddVBand="0" w:evenVBand="0" w:oddHBand="0" w:evenHBand="0" w:firstRowFirstColumn="0" w:firstRowLastColumn="0" w:lastRowFirstColumn="0" w:lastRowLastColumn="0"/>
          <w:cantSplit/>
          <w:tblHeader/>
        </w:trPr>
        <w:tc>
          <w:tcPr>
            <w:tcW w:w="1509" w:type="pct"/>
            <w:shd w:val="clear" w:color="auto" w:fill="auto"/>
          </w:tcPr>
          <w:p w14:paraId="1C105F01" w14:textId="58110D53" w:rsidR="00BD7306" w:rsidRPr="00ED6BD2" w:rsidRDefault="00BD7306" w:rsidP="00917A06">
            <w:pPr>
              <w:pStyle w:val="TableBodyText"/>
              <w:widowControl w:val="0"/>
              <w:spacing w:before="20" w:after="0"/>
              <w:rPr>
                <w:b w:val="0"/>
                <w:color w:val="auto"/>
                <w:szCs w:val="18"/>
              </w:rPr>
            </w:pPr>
            <w:r w:rsidRPr="00ED6BD2">
              <w:rPr>
                <w:b w:val="0"/>
                <w:color w:val="auto"/>
                <w:szCs w:val="18"/>
              </w:rPr>
              <w:t>Products to be auctioned</w:t>
            </w:r>
          </w:p>
        </w:tc>
        <w:tc>
          <w:tcPr>
            <w:tcW w:w="3491" w:type="pct"/>
            <w:shd w:val="clear" w:color="auto" w:fill="auto"/>
          </w:tcPr>
          <w:p w14:paraId="673AB7A2" w14:textId="36E36FD0" w:rsidR="00ED6BD2" w:rsidRPr="00ED6BD2" w:rsidRDefault="00ED6BD2" w:rsidP="00917A06">
            <w:pPr>
              <w:pStyle w:val="TableBullet1"/>
              <w:widowControl w:val="0"/>
              <w:spacing w:before="20" w:after="0"/>
              <w:rPr>
                <w:b w:val="0"/>
                <w:color w:val="auto"/>
              </w:rPr>
            </w:pPr>
            <w:r>
              <w:rPr>
                <w:b w:val="0"/>
                <w:color w:val="auto"/>
              </w:rPr>
              <w:t>F</w:t>
            </w:r>
            <w:r w:rsidRPr="00ED6BD2">
              <w:rPr>
                <w:b w:val="0"/>
                <w:color w:val="auto"/>
              </w:rPr>
              <w:t>orward haul transportation services (with separate products offered in both directions on bi-directional pipelines)</w:t>
            </w:r>
            <w:r>
              <w:rPr>
                <w:b w:val="0"/>
                <w:color w:val="auto"/>
              </w:rPr>
              <w:t xml:space="preserve">. </w:t>
            </w:r>
          </w:p>
          <w:p w14:paraId="52A3AC2D" w14:textId="0DFD836E" w:rsidR="00ED6BD2" w:rsidRPr="00ED6BD2" w:rsidRDefault="00ED6BD2" w:rsidP="00917A06">
            <w:pPr>
              <w:pStyle w:val="TableBullet1"/>
              <w:widowControl w:val="0"/>
              <w:spacing w:before="20" w:after="0"/>
              <w:rPr>
                <w:b w:val="0"/>
                <w:color w:val="auto"/>
              </w:rPr>
            </w:pPr>
            <w:r>
              <w:rPr>
                <w:b w:val="0"/>
                <w:color w:val="auto"/>
              </w:rPr>
              <w:t>C</w:t>
            </w:r>
            <w:r w:rsidRPr="00ED6BD2">
              <w:rPr>
                <w:b w:val="0"/>
                <w:color w:val="auto"/>
              </w:rPr>
              <w:t>ompression services.</w:t>
            </w:r>
          </w:p>
          <w:p w14:paraId="517D3966" w14:textId="357C9AFF" w:rsidR="00ED6BD2" w:rsidRPr="00ED6BD2" w:rsidRDefault="00ED6BD2" w:rsidP="00917A06">
            <w:pPr>
              <w:pStyle w:val="TableBullet1"/>
              <w:widowControl w:val="0"/>
              <w:spacing w:before="20" w:after="0"/>
              <w:rPr>
                <w:color w:val="auto"/>
                <w:szCs w:val="18"/>
              </w:rPr>
            </w:pPr>
            <w:r>
              <w:rPr>
                <w:rFonts w:eastAsiaTheme="majorEastAsia"/>
                <w:b w:val="0"/>
                <w:color w:val="auto"/>
              </w:rPr>
              <w:t>I</w:t>
            </w:r>
            <w:r w:rsidRPr="00ED6BD2">
              <w:rPr>
                <w:rFonts w:eastAsiaTheme="majorEastAsia"/>
                <w:b w:val="0"/>
                <w:color w:val="auto"/>
              </w:rPr>
              <w:t>nterruptible backhaul service</w:t>
            </w:r>
            <w:r>
              <w:rPr>
                <w:rFonts w:eastAsiaTheme="majorEastAsia"/>
                <w:b w:val="0"/>
                <w:color w:val="auto"/>
              </w:rPr>
              <w:t>s on</w:t>
            </w:r>
            <w:r w:rsidRPr="00ED6BD2">
              <w:rPr>
                <w:rFonts w:eastAsiaTheme="majorEastAsia"/>
                <w:b w:val="0"/>
                <w:color w:val="auto"/>
              </w:rPr>
              <w:t xml:space="preserve"> </w:t>
            </w:r>
            <w:r>
              <w:rPr>
                <w:rFonts w:eastAsiaTheme="majorEastAsia"/>
                <w:b w:val="0"/>
                <w:color w:val="auto"/>
              </w:rPr>
              <w:t>single direction pipelines.</w:t>
            </w:r>
          </w:p>
        </w:tc>
      </w:tr>
      <w:tr w:rsidR="00BD7306" w:rsidRPr="00DB3577" w14:paraId="0F12BDEA" w14:textId="77777777" w:rsidTr="00E110AC">
        <w:trPr>
          <w:cnfStyle w:val="100000000000" w:firstRow="1" w:lastRow="0" w:firstColumn="0" w:lastColumn="0" w:oddVBand="0" w:evenVBand="0" w:oddHBand="0" w:evenHBand="0" w:firstRowFirstColumn="0" w:firstRowLastColumn="0" w:lastRowFirstColumn="0" w:lastRowLastColumn="0"/>
          <w:cantSplit/>
          <w:tblHeader/>
        </w:trPr>
        <w:tc>
          <w:tcPr>
            <w:tcW w:w="1509" w:type="pct"/>
            <w:shd w:val="clear" w:color="auto" w:fill="auto"/>
          </w:tcPr>
          <w:p w14:paraId="17027C0E" w14:textId="1337893F" w:rsidR="00BD7306" w:rsidRPr="00C926E7" w:rsidRDefault="00C926E7" w:rsidP="00917A06">
            <w:pPr>
              <w:pStyle w:val="TableBodyText"/>
              <w:widowControl w:val="0"/>
              <w:spacing w:before="20" w:after="0"/>
              <w:rPr>
                <w:b w:val="0"/>
                <w:color w:val="auto"/>
                <w:szCs w:val="18"/>
              </w:rPr>
            </w:pPr>
            <w:r>
              <w:rPr>
                <w:b w:val="0"/>
                <w:color w:val="auto"/>
                <w:szCs w:val="18"/>
              </w:rPr>
              <w:t xml:space="preserve">Priority </w:t>
            </w:r>
            <w:r w:rsidR="00BD7306" w:rsidRPr="00C926E7">
              <w:rPr>
                <w:b w:val="0"/>
                <w:color w:val="auto"/>
                <w:szCs w:val="18"/>
              </w:rPr>
              <w:t xml:space="preserve">of the </w:t>
            </w:r>
            <w:r>
              <w:rPr>
                <w:b w:val="0"/>
                <w:color w:val="auto"/>
                <w:szCs w:val="18"/>
              </w:rPr>
              <w:t xml:space="preserve">auction </w:t>
            </w:r>
            <w:r w:rsidR="00BD7306" w:rsidRPr="00C926E7">
              <w:rPr>
                <w:b w:val="0"/>
                <w:color w:val="auto"/>
                <w:szCs w:val="18"/>
              </w:rPr>
              <w:t>product</w:t>
            </w:r>
            <w:r w:rsidR="00900F88" w:rsidRPr="00C926E7">
              <w:rPr>
                <w:b w:val="0"/>
                <w:color w:val="auto"/>
                <w:szCs w:val="18"/>
              </w:rPr>
              <w:t xml:space="preserve"> </w:t>
            </w:r>
          </w:p>
        </w:tc>
        <w:tc>
          <w:tcPr>
            <w:tcW w:w="3491" w:type="pct"/>
            <w:shd w:val="clear" w:color="auto" w:fill="auto"/>
          </w:tcPr>
          <w:p w14:paraId="48D1F11B" w14:textId="28B7902E" w:rsidR="00C926E7" w:rsidRPr="00C926E7" w:rsidRDefault="00C926E7" w:rsidP="00917A06">
            <w:pPr>
              <w:pStyle w:val="TableBullet1"/>
              <w:widowControl w:val="0"/>
              <w:spacing w:before="20" w:after="0"/>
              <w:rPr>
                <w:b w:val="0"/>
                <w:color w:val="auto"/>
                <w:szCs w:val="18"/>
              </w:rPr>
            </w:pPr>
            <w:r w:rsidRPr="00C926E7">
              <w:rPr>
                <w:b w:val="0"/>
                <w:color w:val="auto"/>
                <w:szCs w:val="18"/>
              </w:rPr>
              <w:t xml:space="preserve">The auction product should be a second priority firm product, which </w:t>
            </w:r>
            <w:r w:rsidR="002A2DED">
              <w:rPr>
                <w:b w:val="0"/>
                <w:color w:val="auto"/>
                <w:szCs w:val="18"/>
              </w:rPr>
              <w:t xml:space="preserve">in relation to the contracted but un-nominated capacity </w:t>
            </w:r>
            <w:r w:rsidRPr="00C926E7">
              <w:rPr>
                <w:b w:val="0"/>
                <w:color w:val="auto"/>
                <w:szCs w:val="18"/>
              </w:rPr>
              <w:t xml:space="preserve">will </w:t>
            </w:r>
            <w:r w:rsidRPr="00C926E7">
              <w:rPr>
                <w:b w:val="0"/>
                <w:color w:val="auto"/>
              </w:rPr>
              <w:t xml:space="preserve">rank </w:t>
            </w:r>
            <w:r w:rsidRPr="00C926E7">
              <w:rPr>
                <w:b w:val="0"/>
                <w:i/>
                <w:color w:val="auto"/>
              </w:rPr>
              <w:t>below</w:t>
            </w:r>
            <w:r w:rsidRPr="00C926E7">
              <w:rPr>
                <w:b w:val="0"/>
                <w:color w:val="auto"/>
              </w:rPr>
              <w:t xml:space="preserve"> firm transportation rights, but above all the other transportation rights (e.g. as available and interruptible rights) from a scheduling, curtailment and renomination rights perspective</w:t>
            </w:r>
            <w:r>
              <w:rPr>
                <w:b w:val="0"/>
                <w:color w:val="auto"/>
              </w:rPr>
              <w:t>.</w:t>
            </w:r>
          </w:p>
          <w:p w14:paraId="2FE38C9F" w14:textId="17BEDC7C" w:rsidR="00C926E7" w:rsidRPr="00C926E7" w:rsidRDefault="00C926E7" w:rsidP="00917A06">
            <w:pPr>
              <w:pStyle w:val="TableBullet1"/>
              <w:widowControl w:val="0"/>
              <w:spacing w:before="20" w:after="0"/>
              <w:rPr>
                <w:b w:val="0"/>
                <w:color w:val="auto"/>
                <w:szCs w:val="18"/>
              </w:rPr>
            </w:pPr>
            <w:r>
              <w:rPr>
                <w:b w:val="0"/>
                <w:color w:val="auto"/>
              </w:rPr>
              <w:t>Nominations and renominations by shippers with firm transportation rights will be accommodated, but will not be accommodated in relation to other rights.</w:t>
            </w:r>
          </w:p>
          <w:p w14:paraId="555DEB25" w14:textId="393B3B1B" w:rsidR="00C926E7" w:rsidRPr="00C926E7" w:rsidRDefault="00C926E7" w:rsidP="00917A06">
            <w:pPr>
              <w:pStyle w:val="TableBullet1"/>
              <w:widowControl w:val="0"/>
              <w:spacing w:before="20" w:after="0"/>
              <w:rPr>
                <w:b w:val="0"/>
                <w:color w:val="auto"/>
                <w:szCs w:val="18"/>
              </w:rPr>
            </w:pPr>
            <w:r>
              <w:rPr>
                <w:b w:val="0"/>
                <w:color w:val="auto"/>
                <w:szCs w:val="18"/>
              </w:rPr>
              <w:t xml:space="preserve">As available and interruptible products will not be phased out, but </w:t>
            </w:r>
            <w:r w:rsidR="002A2DED">
              <w:rPr>
                <w:b w:val="0"/>
                <w:color w:val="auto"/>
                <w:szCs w:val="18"/>
              </w:rPr>
              <w:t xml:space="preserve">in relation to contracted but un-nominated capacity </w:t>
            </w:r>
            <w:r>
              <w:rPr>
                <w:b w:val="0"/>
                <w:color w:val="auto"/>
                <w:szCs w:val="18"/>
              </w:rPr>
              <w:t xml:space="preserve">they will be scheduled after the auction product so they don’t compete with the rights allocated in the auction. </w:t>
            </w:r>
          </w:p>
        </w:tc>
      </w:tr>
      <w:tr w:rsidR="00705190" w:rsidRPr="00DB3577" w14:paraId="4931606D" w14:textId="77777777" w:rsidTr="00C11F1C">
        <w:trPr>
          <w:cnfStyle w:val="100000000000" w:firstRow="1" w:lastRow="0" w:firstColumn="0" w:lastColumn="0" w:oddVBand="0" w:evenVBand="0" w:oddHBand="0" w:evenHBand="0" w:firstRowFirstColumn="0" w:firstRowLastColumn="0" w:lastRowFirstColumn="0" w:lastRowLastColumn="0"/>
          <w:cantSplit/>
          <w:tblHeader/>
        </w:trPr>
        <w:tc>
          <w:tcPr>
            <w:tcW w:w="1509" w:type="pct"/>
            <w:shd w:val="clear" w:color="auto" w:fill="auto"/>
          </w:tcPr>
          <w:p w14:paraId="6F30B908" w14:textId="77777777" w:rsidR="00705190" w:rsidRPr="00DB3577" w:rsidRDefault="00705190" w:rsidP="00917A06">
            <w:pPr>
              <w:pStyle w:val="TableBodyText"/>
              <w:widowControl w:val="0"/>
              <w:spacing w:before="20" w:after="0"/>
              <w:rPr>
                <w:b w:val="0"/>
                <w:color w:val="auto"/>
                <w:szCs w:val="18"/>
              </w:rPr>
            </w:pPr>
            <w:r>
              <w:rPr>
                <w:b w:val="0"/>
                <w:color w:val="auto"/>
                <w:szCs w:val="18"/>
              </w:rPr>
              <w:t>Other features of the auction product</w:t>
            </w:r>
          </w:p>
        </w:tc>
        <w:tc>
          <w:tcPr>
            <w:tcW w:w="3491" w:type="pct"/>
            <w:shd w:val="clear" w:color="auto" w:fill="auto"/>
          </w:tcPr>
          <w:p w14:paraId="3B376556" w14:textId="77777777" w:rsidR="00705190" w:rsidRDefault="00705190" w:rsidP="00917A06">
            <w:pPr>
              <w:pStyle w:val="TableBullet1"/>
              <w:widowControl w:val="0"/>
              <w:spacing w:before="20" w:after="0"/>
              <w:rPr>
                <w:b w:val="0"/>
                <w:color w:val="auto"/>
                <w:szCs w:val="18"/>
              </w:rPr>
            </w:pPr>
            <w:r>
              <w:rPr>
                <w:b w:val="0"/>
                <w:color w:val="auto"/>
                <w:szCs w:val="18"/>
              </w:rPr>
              <w:t>MHQ factor to be based on the factor set out in the service provider’s operational GTA.</w:t>
            </w:r>
          </w:p>
          <w:p w14:paraId="573770C7" w14:textId="77777777" w:rsidR="00705190" w:rsidRDefault="00705190" w:rsidP="00917A06">
            <w:pPr>
              <w:pStyle w:val="TableBullet1"/>
              <w:widowControl w:val="0"/>
              <w:spacing w:before="20" w:after="0"/>
              <w:rPr>
                <w:b w:val="0"/>
                <w:color w:val="auto"/>
                <w:szCs w:val="18"/>
              </w:rPr>
            </w:pPr>
            <w:r>
              <w:rPr>
                <w:b w:val="0"/>
                <w:color w:val="auto"/>
                <w:szCs w:val="18"/>
              </w:rPr>
              <w:t>Reasonable endeavours renomination rights.</w:t>
            </w:r>
          </w:p>
          <w:p w14:paraId="04EE68A6" w14:textId="77777777" w:rsidR="00705190" w:rsidRPr="00DB3577" w:rsidRDefault="00705190" w:rsidP="00917A06">
            <w:pPr>
              <w:pStyle w:val="TableBullet1"/>
              <w:widowControl w:val="0"/>
              <w:spacing w:before="20" w:after="0"/>
              <w:rPr>
                <w:b w:val="0"/>
                <w:color w:val="auto"/>
                <w:szCs w:val="18"/>
              </w:rPr>
            </w:pPr>
            <w:r>
              <w:rPr>
                <w:b w:val="0"/>
                <w:color w:val="auto"/>
                <w:szCs w:val="18"/>
              </w:rPr>
              <w:t>Imbalance allowance to be based on the allowance specified in the service provider’s operational GTA.</w:t>
            </w:r>
          </w:p>
        </w:tc>
      </w:tr>
      <w:tr w:rsidR="00E110AC" w:rsidRPr="00E110AC" w14:paraId="59E4AFC5" w14:textId="77777777" w:rsidTr="00E110AC">
        <w:trPr>
          <w:cnfStyle w:val="100000000000" w:firstRow="1" w:lastRow="0" w:firstColumn="0" w:lastColumn="0" w:oddVBand="0" w:evenVBand="0" w:oddHBand="0" w:evenHBand="0" w:firstRowFirstColumn="0" w:firstRowLastColumn="0" w:lastRowFirstColumn="0" w:lastRowLastColumn="0"/>
          <w:cantSplit/>
          <w:tblHeader/>
        </w:trPr>
        <w:tc>
          <w:tcPr>
            <w:tcW w:w="1509" w:type="pct"/>
            <w:shd w:val="clear" w:color="auto" w:fill="auto"/>
          </w:tcPr>
          <w:p w14:paraId="5D0C7AD2" w14:textId="18CF7B65" w:rsidR="00BD7306" w:rsidRPr="00E110AC" w:rsidRDefault="00900F88" w:rsidP="00917A06">
            <w:pPr>
              <w:pStyle w:val="TableBodyText"/>
              <w:widowControl w:val="0"/>
              <w:spacing w:before="20" w:after="0"/>
              <w:rPr>
                <w:b w:val="0"/>
                <w:color w:val="auto"/>
                <w:szCs w:val="18"/>
              </w:rPr>
            </w:pPr>
            <w:r w:rsidRPr="00E110AC">
              <w:rPr>
                <w:b w:val="0"/>
                <w:color w:val="auto"/>
                <w:szCs w:val="18"/>
              </w:rPr>
              <w:t>Zonal or point-to-point contract paths</w:t>
            </w:r>
          </w:p>
        </w:tc>
        <w:tc>
          <w:tcPr>
            <w:tcW w:w="3491" w:type="pct"/>
            <w:shd w:val="clear" w:color="auto" w:fill="auto"/>
          </w:tcPr>
          <w:p w14:paraId="439F5129" w14:textId="45B21BC1" w:rsidR="00BD7306" w:rsidRPr="00E110AC" w:rsidRDefault="00F15ECA" w:rsidP="00917A06">
            <w:pPr>
              <w:pStyle w:val="TableBullet1"/>
              <w:widowControl w:val="0"/>
              <w:spacing w:before="20" w:after="0"/>
              <w:rPr>
                <w:b w:val="0"/>
                <w:color w:val="auto"/>
              </w:rPr>
            </w:pPr>
            <w:r w:rsidRPr="00E110AC">
              <w:rPr>
                <w:b w:val="0"/>
                <w:color w:val="auto"/>
              </w:rPr>
              <w:t>Point-to-point contract path</w:t>
            </w:r>
            <w:r w:rsidR="00E110AC" w:rsidRPr="00E110AC">
              <w:rPr>
                <w:b w:val="0"/>
                <w:color w:val="auto"/>
              </w:rPr>
              <w:t>s</w:t>
            </w:r>
            <w:r w:rsidRPr="00E110AC">
              <w:rPr>
                <w:b w:val="0"/>
                <w:color w:val="auto"/>
              </w:rPr>
              <w:t xml:space="preserve"> </w:t>
            </w:r>
            <w:r w:rsidR="00E110AC" w:rsidRPr="00E110AC">
              <w:rPr>
                <w:b w:val="0"/>
                <w:color w:val="auto"/>
              </w:rPr>
              <w:t>(</w:t>
            </w:r>
            <w:r w:rsidRPr="00E110AC">
              <w:rPr>
                <w:b w:val="0"/>
                <w:color w:val="auto"/>
              </w:rPr>
              <w:t xml:space="preserve">with </w:t>
            </w:r>
            <w:r w:rsidR="00E110AC" w:rsidRPr="00E110AC">
              <w:rPr>
                <w:b w:val="0"/>
                <w:color w:val="auto"/>
              </w:rPr>
              <w:t xml:space="preserve">zoning of substitutable points) and secondary firm rights at </w:t>
            </w:r>
            <w:r w:rsidR="00E110AC">
              <w:rPr>
                <w:b w:val="0"/>
                <w:color w:val="auto"/>
              </w:rPr>
              <w:t xml:space="preserve">selected </w:t>
            </w:r>
            <w:r w:rsidR="00E110AC" w:rsidRPr="00E110AC">
              <w:rPr>
                <w:b w:val="0"/>
                <w:color w:val="auto"/>
              </w:rPr>
              <w:t xml:space="preserve">receipt and delivery points. </w:t>
            </w:r>
          </w:p>
          <w:p w14:paraId="42D0A8B3" w14:textId="2CA491EC" w:rsidR="00E110AC" w:rsidRPr="00E110AC" w:rsidRDefault="00E110AC" w:rsidP="00917A06">
            <w:pPr>
              <w:pStyle w:val="TableBullet1"/>
              <w:widowControl w:val="0"/>
              <w:spacing w:before="20" w:after="0"/>
              <w:rPr>
                <w:b w:val="0"/>
                <w:color w:val="auto"/>
              </w:rPr>
            </w:pPr>
            <w:r>
              <w:rPr>
                <w:b w:val="0"/>
                <w:color w:val="auto"/>
              </w:rPr>
              <w:t>M</w:t>
            </w:r>
            <w:r w:rsidRPr="00E110AC">
              <w:rPr>
                <w:b w:val="0"/>
                <w:color w:val="auto"/>
              </w:rPr>
              <w:t xml:space="preserve">easures should be implemented to </w:t>
            </w:r>
            <w:r w:rsidR="008300A5">
              <w:rPr>
                <w:b w:val="0"/>
                <w:color w:val="auto"/>
              </w:rPr>
              <w:t xml:space="preserve">ensure that information on </w:t>
            </w:r>
            <w:r w:rsidRPr="00E110AC">
              <w:rPr>
                <w:b w:val="0"/>
                <w:color w:val="auto"/>
              </w:rPr>
              <w:t xml:space="preserve">the </w:t>
            </w:r>
            <w:r>
              <w:rPr>
                <w:b w:val="0"/>
                <w:color w:val="auto"/>
              </w:rPr>
              <w:t xml:space="preserve">contracted but un-nominated capacity at delivery points </w:t>
            </w:r>
            <w:r w:rsidR="008300A5">
              <w:rPr>
                <w:b w:val="0"/>
                <w:color w:val="auto"/>
              </w:rPr>
              <w:t xml:space="preserve">does not directly or indirectly disclose a nomination made by a market generating unit as defined in the NER. </w:t>
            </w:r>
          </w:p>
        </w:tc>
      </w:tr>
    </w:tbl>
    <w:p w14:paraId="288FC072" w14:textId="77777777" w:rsidR="00990B69" w:rsidRPr="004D26A8" w:rsidRDefault="00990B69" w:rsidP="00B543A9">
      <w:pPr>
        <w:pStyle w:val="BodyText"/>
        <w:rPr>
          <w:sz w:val="2"/>
          <w:szCs w:val="2"/>
        </w:rPr>
      </w:pPr>
      <w:r w:rsidRPr="004D26A8">
        <w:rPr>
          <w:sz w:val="2"/>
          <w:szCs w:val="2"/>
        </w:rPr>
        <w:br w:type="page"/>
      </w:r>
    </w:p>
    <w:p w14:paraId="4EF7BE17" w14:textId="77777777" w:rsidR="003416C5" w:rsidRDefault="003416C5" w:rsidP="000438A1">
      <w:pPr>
        <w:pStyle w:val="Heading1"/>
        <w:ind w:right="-143"/>
      </w:pPr>
      <w:bookmarkStart w:id="84" w:name="_Toc495351635"/>
      <w:r>
        <w:t>Auction Design</w:t>
      </w:r>
      <w:bookmarkEnd w:id="84"/>
      <w:r>
        <w:t xml:space="preserve"> </w:t>
      </w:r>
    </w:p>
    <w:p w14:paraId="2D9EA84C" w14:textId="1399D97A" w:rsidR="009C10FD" w:rsidRDefault="00D37607" w:rsidP="009C10FD">
      <w:pPr>
        <w:pStyle w:val="BodyText"/>
      </w:pPr>
      <w:bookmarkStart w:id="85" w:name="_Toc487694844"/>
      <w:bookmarkStart w:id="86" w:name="_Toc490711310"/>
      <w:r>
        <w:t xml:space="preserve">In </w:t>
      </w:r>
      <w:r w:rsidR="006B3497">
        <w:t xml:space="preserve">the </w:t>
      </w:r>
      <w:r w:rsidR="006B3497" w:rsidRPr="006B3497">
        <w:rPr>
          <w:i/>
        </w:rPr>
        <w:t>East Coast Review</w:t>
      </w:r>
      <w:r w:rsidR="006B3497">
        <w:t xml:space="preserve"> the </w:t>
      </w:r>
      <w:r>
        <w:t xml:space="preserve">AEMC made a number of recommendations about the </w:t>
      </w:r>
      <w:r w:rsidR="006B3497">
        <w:t>design of the day-ahead auction</w:t>
      </w:r>
      <w:r w:rsidR="003E716A">
        <w:t xml:space="preserve"> of contracted but un-nominated capacity</w:t>
      </w:r>
      <w:r>
        <w:t xml:space="preserve">. These recommendations are summarised in </w:t>
      </w:r>
      <w:r>
        <w:fldChar w:fldCharType="begin"/>
      </w:r>
      <w:r>
        <w:instrText xml:space="preserve"> REF _Ref493404171 \h </w:instrText>
      </w:r>
      <w:r>
        <w:fldChar w:fldCharType="separate"/>
      </w:r>
      <w:r w:rsidR="00272B32">
        <w:t xml:space="preserve">Table </w:t>
      </w:r>
      <w:r w:rsidR="00272B32">
        <w:rPr>
          <w:noProof/>
        </w:rPr>
        <w:t>4</w:t>
      </w:r>
      <w:r w:rsidR="00272B32">
        <w:t>.</w:t>
      </w:r>
      <w:r w:rsidR="00272B32">
        <w:rPr>
          <w:noProof/>
        </w:rPr>
        <w:t>1</w:t>
      </w:r>
      <w:r>
        <w:fldChar w:fldCharType="end"/>
      </w:r>
      <w:r>
        <w:t>.</w:t>
      </w:r>
    </w:p>
    <w:p w14:paraId="74406297" w14:textId="604D86CE" w:rsidR="006B3497" w:rsidRDefault="00D37607" w:rsidP="00D37607">
      <w:pPr>
        <w:pStyle w:val="Caption"/>
        <w:spacing w:after="0"/>
      </w:pPr>
      <w:bookmarkStart w:id="87" w:name="_Ref493404171"/>
      <w:r>
        <w:t xml:space="preserve">Table </w:t>
      </w:r>
      <w:r w:rsidR="00115A93">
        <w:fldChar w:fldCharType="begin"/>
      </w:r>
      <w:r w:rsidR="00115A93">
        <w:instrText xml:space="preserve"> STYLEREF 1 \s </w:instrText>
      </w:r>
      <w:r w:rsidR="00115A93">
        <w:fldChar w:fldCharType="separate"/>
      </w:r>
      <w:r w:rsidR="00272B32">
        <w:rPr>
          <w:noProof/>
        </w:rPr>
        <w:t>4</w:t>
      </w:r>
      <w:r w:rsidR="00115A93">
        <w:rPr>
          <w:noProof/>
        </w:rPr>
        <w:fldChar w:fldCharType="end"/>
      </w:r>
      <w:r w:rsidR="009A057E">
        <w:t>.</w:t>
      </w:r>
      <w:r w:rsidR="00115A93">
        <w:fldChar w:fldCharType="begin"/>
      </w:r>
      <w:r w:rsidR="00115A93">
        <w:instrText xml:space="preserve"> SEQ Table \* ARABIC \s 1 </w:instrText>
      </w:r>
      <w:r w:rsidR="00115A93">
        <w:fldChar w:fldCharType="separate"/>
      </w:r>
      <w:r w:rsidR="00272B32">
        <w:rPr>
          <w:noProof/>
        </w:rPr>
        <w:t>1</w:t>
      </w:r>
      <w:r w:rsidR="00115A93">
        <w:rPr>
          <w:noProof/>
        </w:rPr>
        <w:fldChar w:fldCharType="end"/>
      </w:r>
      <w:bookmarkEnd w:id="87"/>
      <w:r>
        <w:t>: AEMC recommendations on auction design</w:t>
      </w:r>
    </w:p>
    <w:tbl>
      <w:tblPr>
        <w:tblStyle w:val="TableGrid"/>
        <w:tblW w:w="8789" w:type="dxa"/>
        <w:tblLook w:val="04A0" w:firstRow="1" w:lastRow="0" w:firstColumn="1" w:lastColumn="0" w:noHBand="0" w:noVBand="1"/>
        <w:tblCaption w:val="Table 4.1: AEMC recommendations on auction design"/>
        <w:tblDescription w:val="AEMC recommendations on auction design"/>
      </w:tblPr>
      <w:tblGrid>
        <w:gridCol w:w="2127"/>
        <w:gridCol w:w="4819"/>
        <w:gridCol w:w="1843"/>
      </w:tblGrid>
      <w:tr w:rsidR="00D37607" w:rsidRPr="00D37607" w14:paraId="5A301515" w14:textId="77777777" w:rsidTr="00390E2A">
        <w:trPr>
          <w:cnfStyle w:val="100000000000" w:firstRow="1" w:lastRow="0" w:firstColumn="0" w:lastColumn="0" w:oddVBand="0" w:evenVBand="0" w:oddHBand="0" w:evenHBand="0" w:firstRowFirstColumn="0" w:firstRowLastColumn="0" w:lastRowFirstColumn="0" w:lastRowLastColumn="0"/>
          <w:tblHeader/>
        </w:trPr>
        <w:tc>
          <w:tcPr>
            <w:tcW w:w="6946" w:type="dxa"/>
            <w:gridSpan w:val="2"/>
            <w:tcBorders>
              <w:bottom w:val="single" w:sz="4" w:space="0" w:color="auto"/>
            </w:tcBorders>
            <w:shd w:val="clear" w:color="auto" w:fill="0099CC"/>
          </w:tcPr>
          <w:p w14:paraId="621D3684" w14:textId="0E815E6B" w:rsidR="00D37607" w:rsidRPr="00D37607" w:rsidRDefault="00D37607" w:rsidP="00D37607">
            <w:pPr>
              <w:pStyle w:val="TableBodyText"/>
              <w:rPr>
                <w:sz w:val="19"/>
                <w:szCs w:val="19"/>
              </w:rPr>
            </w:pPr>
            <w:r w:rsidRPr="00D37607">
              <w:rPr>
                <w:sz w:val="19"/>
                <w:szCs w:val="19"/>
              </w:rPr>
              <w:t>AEMC Recommendation</w:t>
            </w:r>
          </w:p>
        </w:tc>
        <w:tc>
          <w:tcPr>
            <w:tcW w:w="1843" w:type="dxa"/>
            <w:tcBorders>
              <w:bottom w:val="single" w:sz="4" w:space="0" w:color="auto"/>
            </w:tcBorders>
            <w:shd w:val="clear" w:color="auto" w:fill="0099CC"/>
          </w:tcPr>
          <w:p w14:paraId="2AAA168E" w14:textId="442925DC" w:rsidR="00D37607" w:rsidRPr="00D37607" w:rsidRDefault="00D37607" w:rsidP="00D37607">
            <w:pPr>
              <w:pStyle w:val="TableBodyText"/>
              <w:rPr>
                <w:sz w:val="19"/>
                <w:szCs w:val="19"/>
              </w:rPr>
            </w:pPr>
            <w:r w:rsidRPr="00D37607">
              <w:rPr>
                <w:sz w:val="19"/>
                <w:szCs w:val="19"/>
              </w:rPr>
              <w:t>Classification</w:t>
            </w:r>
          </w:p>
        </w:tc>
      </w:tr>
      <w:tr w:rsidR="00907A3A" w:rsidRPr="00D37607" w14:paraId="19F94AA8" w14:textId="77777777" w:rsidTr="00907A3A">
        <w:tc>
          <w:tcPr>
            <w:tcW w:w="2127" w:type="dxa"/>
            <w:tcBorders>
              <w:bottom w:val="single" w:sz="4" w:space="0" w:color="auto"/>
            </w:tcBorders>
            <w:shd w:val="clear" w:color="auto" w:fill="E1E2E7" w:themeFill="background2"/>
          </w:tcPr>
          <w:p w14:paraId="230CB315" w14:textId="77777777" w:rsidR="00907A3A" w:rsidRPr="00D37607" w:rsidRDefault="00907A3A" w:rsidP="00042278">
            <w:pPr>
              <w:pStyle w:val="TableBodyText"/>
              <w:rPr>
                <w:b/>
                <w:sz w:val="19"/>
                <w:szCs w:val="19"/>
              </w:rPr>
            </w:pPr>
            <w:r>
              <w:rPr>
                <w:b/>
                <w:sz w:val="19"/>
                <w:szCs w:val="19"/>
              </w:rPr>
              <w:t>Auction quantity</w:t>
            </w:r>
          </w:p>
        </w:tc>
        <w:tc>
          <w:tcPr>
            <w:tcW w:w="4819" w:type="dxa"/>
            <w:tcBorders>
              <w:bottom w:val="single" w:sz="4" w:space="0" w:color="auto"/>
            </w:tcBorders>
            <w:shd w:val="clear" w:color="auto" w:fill="E1E2E7" w:themeFill="background2"/>
          </w:tcPr>
          <w:p w14:paraId="393EE5E0" w14:textId="0FF6BEFF" w:rsidR="00907A3A" w:rsidRPr="00D37607" w:rsidRDefault="003975C3" w:rsidP="00042278">
            <w:pPr>
              <w:pStyle w:val="TableBodyText"/>
              <w:rPr>
                <w:sz w:val="19"/>
                <w:szCs w:val="19"/>
              </w:rPr>
            </w:pPr>
            <w:r>
              <w:rPr>
                <w:sz w:val="19"/>
                <w:szCs w:val="19"/>
              </w:rPr>
              <w:t>At least a</w:t>
            </w:r>
            <w:r w:rsidR="00907A3A">
              <w:rPr>
                <w:sz w:val="19"/>
                <w:szCs w:val="19"/>
              </w:rPr>
              <w:t>ll technically feasible contracted but un-nominated capacity to be released through the auction</w:t>
            </w:r>
            <w:r w:rsidR="00055169">
              <w:rPr>
                <w:sz w:val="19"/>
                <w:szCs w:val="19"/>
              </w:rPr>
              <w:t>.</w:t>
            </w:r>
          </w:p>
        </w:tc>
        <w:tc>
          <w:tcPr>
            <w:tcW w:w="1843" w:type="dxa"/>
            <w:tcBorders>
              <w:bottom w:val="single" w:sz="4" w:space="0" w:color="auto"/>
            </w:tcBorders>
            <w:shd w:val="clear" w:color="auto" w:fill="E1E2E7" w:themeFill="background2"/>
          </w:tcPr>
          <w:p w14:paraId="3D059386" w14:textId="77777777" w:rsidR="00907A3A" w:rsidRPr="00D37607" w:rsidRDefault="00907A3A" w:rsidP="00042278">
            <w:pPr>
              <w:pStyle w:val="TableBodyText"/>
              <w:rPr>
                <w:sz w:val="19"/>
                <w:szCs w:val="19"/>
              </w:rPr>
            </w:pPr>
            <w:r w:rsidRPr="00D37607">
              <w:rPr>
                <w:sz w:val="19"/>
                <w:szCs w:val="19"/>
              </w:rPr>
              <w:t>Required outcome</w:t>
            </w:r>
          </w:p>
        </w:tc>
      </w:tr>
      <w:tr w:rsidR="009B15D8" w:rsidRPr="00D37607" w14:paraId="52FFEC3C" w14:textId="77777777" w:rsidTr="00907A3A">
        <w:trPr>
          <w:cnfStyle w:val="000000010000" w:firstRow="0" w:lastRow="0" w:firstColumn="0" w:lastColumn="0" w:oddVBand="0" w:evenVBand="0" w:oddHBand="0" w:evenHBand="1" w:firstRowFirstColumn="0" w:firstRowLastColumn="0" w:lastRowFirstColumn="0" w:lastRowLastColumn="0"/>
          <w:trHeight w:val="540"/>
        </w:trPr>
        <w:tc>
          <w:tcPr>
            <w:tcW w:w="2127" w:type="dxa"/>
            <w:vMerge w:val="restart"/>
            <w:shd w:val="clear" w:color="auto" w:fill="FFFFFF" w:themeFill="background1"/>
            <w:vAlign w:val="center"/>
          </w:tcPr>
          <w:p w14:paraId="5891259E" w14:textId="49F4A58E" w:rsidR="009B15D8" w:rsidRPr="00D37607" w:rsidRDefault="009B15D8" w:rsidP="00AD5238">
            <w:pPr>
              <w:pStyle w:val="TableBodyText"/>
              <w:rPr>
                <w:b/>
                <w:sz w:val="19"/>
                <w:szCs w:val="19"/>
              </w:rPr>
            </w:pPr>
            <w:r w:rsidRPr="00D37607">
              <w:rPr>
                <w:b/>
                <w:sz w:val="19"/>
                <w:szCs w:val="19"/>
              </w:rPr>
              <w:t>Auction format</w:t>
            </w:r>
          </w:p>
        </w:tc>
        <w:tc>
          <w:tcPr>
            <w:tcW w:w="4819" w:type="dxa"/>
            <w:tcBorders>
              <w:bottom w:val="single" w:sz="4" w:space="0" w:color="auto"/>
            </w:tcBorders>
            <w:shd w:val="clear" w:color="auto" w:fill="FFFFFF" w:themeFill="background1"/>
            <w:vAlign w:val="center"/>
          </w:tcPr>
          <w:p w14:paraId="535D1097" w14:textId="25C439C3" w:rsidR="009B15D8" w:rsidRPr="00D37607" w:rsidRDefault="009B15D8" w:rsidP="00AD5238">
            <w:pPr>
              <w:pStyle w:val="TableBodyText"/>
              <w:rPr>
                <w:sz w:val="19"/>
                <w:szCs w:val="19"/>
              </w:rPr>
            </w:pPr>
            <w:r w:rsidRPr="00D37607">
              <w:rPr>
                <w:sz w:val="19"/>
                <w:szCs w:val="19"/>
              </w:rPr>
              <w:t>Combinatorial auction where multiple buyers and sellers can simultaneously coordinate trades, managing the complementarities between different pipeline segments.</w:t>
            </w:r>
          </w:p>
        </w:tc>
        <w:tc>
          <w:tcPr>
            <w:tcW w:w="1843" w:type="dxa"/>
            <w:vMerge w:val="restart"/>
            <w:shd w:val="clear" w:color="auto" w:fill="FFFFFF" w:themeFill="background1"/>
            <w:vAlign w:val="center"/>
          </w:tcPr>
          <w:p w14:paraId="345243CD" w14:textId="73E8AA4E" w:rsidR="009B15D8" w:rsidRPr="00D37607" w:rsidRDefault="009B15D8" w:rsidP="00AD5238">
            <w:pPr>
              <w:pStyle w:val="TableBodyText"/>
              <w:rPr>
                <w:sz w:val="19"/>
                <w:szCs w:val="19"/>
              </w:rPr>
            </w:pPr>
            <w:r w:rsidRPr="00D37607">
              <w:rPr>
                <w:sz w:val="19"/>
                <w:szCs w:val="19"/>
              </w:rPr>
              <w:t>Preferred outcome</w:t>
            </w:r>
          </w:p>
        </w:tc>
      </w:tr>
      <w:tr w:rsidR="009B15D8" w:rsidRPr="00D37607" w14:paraId="0A820F6F" w14:textId="77777777" w:rsidTr="0012639B">
        <w:tc>
          <w:tcPr>
            <w:tcW w:w="2127" w:type="dxa"/>
            <w:vMerge/>
            <w:tcBorders>
              <w:bottom w:val="single" w:sz="4" w:space="0" w:color="auto"/>
            </w:tcBorders>
          </w:tcPr>
          <w:p w14:paraId="13339D75" w14:textId="61A67869" w:rsidR="009B15D8" w:rsidRPr="00D37607" w:rsidRDefault="009B15D8" w:rsidP="00D37607">
            <w:pPr>
              <w:pStyle w:val="TableBodyText"/>
              <w:rPr>
                <w:b/>
                <w:sz w:val="19"/>
                <w:szCs w:val="19"/>
              </w:rPr>
            </w:pPr>
          </w:p>
        </w:tc>
        <w:tc>
          <w:tcPr>
            <w:tcW w:w="4819" w:type="dxa"/>
            <w:tcBorders>
              <w:bottom w:val="single" w:sz="4" w:space="0" w:color="auto"/>
            </w:tcBorders>
            <w:shd w:val="clear" w:color="auto" w:fill="FFFFFF" w:themeFill="background1"/>
          </w:tcPr>
          <w:p w14:paraId="3E2C41E8" w14:textId="39F39D53" w:rsidR="009B15D8" w:rsidRPr="00D37607" w:rsidRDefault="009B15D8" w:rsidP="00D37607">
            <w:pPr>
              <w:pStyle w:val="TableBodyText"/>
              <w:rPr>
                <w:sz w:val="19"/>
                <w:szCs w:val="19"/>
              </w:rPr>
            </w:pPr>
            <w:r w:rsidRPr="00D37607">
              <w:rPr>
                <w:sz w:val="19"/>
                <w:szCs w:val="19"/>
              </w:rPr>
              <w:t xml:space="preserve">Single round auction to reduce complexity and opportunities for anti-competitive behaviour between participants. </w:t>
            </w:r>
          </w:p>
        </w:tc>
        <w:tc>
          <w:tcPr>
            <w:tcW w:w="1843" w:type="dxa"/>
            <w:vMerge/>
            <w:tcBorders>
              <w:bottom w:val="single" w:sz="4" w:space="0" w:color="auto"/>
            </w:tcBorders>
          </w:tcPr>
          <w:p w14:paraId="42E94828" w14:textId="0192458C" w:rsidR="009B15D8" w:rsidRPr="00D37607" w:rsidRDefault="009B15D8" w:rsidP="00D37607">
            <w:pPr>
              <w:pStyle w:val="TableBodyText"/>
              <w:rPr>
                <w:sz w:val="19"/>
                <w:szCs w:val="19"/>
              </w:rPr>
            </w:pPr>
          </w:p>
        </w:tc>
      </w:tr>
      <w:tr w:rsidR="0012639B" w:rsidRPr="00D37607" w14:paraId="2F5A3D94" w14:textId="77777777" w:rsidTr="0012639B">
        <w:trPr>
          <w:cnfStyle w:val="000000010000" w:firstRow="0" w:lastRow="0" w:firstColumn="0" w:lastColumn="0" w:oddVBand="0" w:evenVBand="0" w:oddHBand="0" w:evenHBand="1" w:firstRowFirstColumn="0" w:firstRowLastColumn="0" w:lastRowFirstColumn="0" w:lastRowLastColumn="0"/>
          <w:trHeight w:val="420"/>
        </w:trPr>
        <w:tc>
          <w:tcPr>
            <w:tcW w:w="2127" w:type="dxa"/>
            <w:tcBorders>
              <w:bottom w:val="single" w:sz="4" w:space="0" w:color="auto"/>
            </w:tcBorders>
          </w:tcPr>
          <w:p w14:paraId="6A1EB4BF" w14:textId="77777777" w:rsidR="0012639B" w:rsidRDefault="0012639B" w:rsidP="00643B8D">
            <w:pPr>
              <w:pStyle w:val="TableBodyText"/>
              <w:rPr>
                <w:b/>
                <w:sz w:val="19"/>
                <w:szCs w:val="19"/>
              </w:rPr>
            </w:pPr>
            <w:r>
              <w:rPr>
                <w:b/>
                <w:sz w:val="19"/>
                <w:szCs w:val="19"/>
              </w:rPr>
              <w:t>Reserve price</w:t>
            </w:r>
          </w:p>
        </w:tc>
        <w:tc>
          <w:tcPr>
            <w:tcW w:w="4819" w:type="dxa"/>
            <w:tcBorders>
              <w:bottom w:val="single" w:sz="4" w:space="0" w:color="auto"/>
            </w:tcBorders>
          </w:tcPr>
          <w:p w14:paraId="3708ED90" w14:textId="2333E7AA" w:rsidR="0012639B" w:rsidRPr="00D37607" w:rsidRDefault="0012639B" w:rsidP="00643B8D">
            <w:pPr>
              <w:pStyle w:val="TableBodyText"/>
              <w:rPr>
                <w:sz w:val="19"/>
                <w:szCs w:val="19"/>
              </w:rPr>
            </w:pPr>
            <w:r>
              <w:rPr>
                <w:sz w:val="19"/>
                <w:szCs w:val="19"/>
              </w:rPr>
              <w:t xml:space="preserve">Reserve price of zero dollars </w:t>
            </w:r>
            <w:r w:rsidRPr="00D37607">
              <w:rPr>
                <w:sz w:val="19"/>
                <w:szCs w:val="19"/>
              </w:rPr>
              <w:t>with compressor fuel provided by shippers in-kind</w:t>
            </w:r>
            <w:r w:rsidR="00055169">
              <w:rPr>
                <w:sz w:val="19"/>
                <w:szCs w:val="19"/>
              </w:rPr>
              <w:t>.</w:t>
            </w:r>
          </w:p>
        </w:tc>
        <w:tc>
          <w:tcPr>
            <w:tcW w:w="1843" w:type="dxa"/>
            <w:tcBorders>
              <w:bottom w:val="single" w:sz="4" w:space="0" w:color="auto"/>
            </w:tcBorders>
          </w:tcPr>
          <w:p w14:paraId="6C8E6F8C" w14:textId="77777777" w:rsidR="0012639B" w:rsidRPr="00D37607" w:rsidRDefault="0012639B" w:rsidP="00643B8D">
            <w:pPr>
              <w:pStyle w:val="TableBodyText"/>
              <w:rPr>
                <w:sz w:val="19"/>
                <w:szCs w:val="19"/>
              </w:rPr>
            </w:pPr>
            <w:r w:rsidRPr="00D37607">
              <w:rPr>
                <w:sz w:val="19"/>
                <w:szCs w:val="19"/>
              </w:rPr>
              <w:t>Required outcome</w:t>
            </w:r>
          </w:p>
        </w:tc>
      </w:tr>
      <w:tr w:rsidR="00D37607" w:rsidRPr="00D37607" w14:paraId="1BC1799B" w14:textId="77777777" w:rsidTr="009B15D8">
        <w:tc>
          <w:tcPr>
            <w:tcW w:w="2127" w:type="dxa"/>
            <w:tcBorders>
              <w:left w:val="nil"/>
              <w:bottom w:val="single" w:sz="4" w:space="0" w:color="auto"/>
            </w:tcBorders>
            <w:shd w:val="clear" w:color="auto" w:fill="auto"/>
          </w:tcPr>
          <w:p w14:paraId="73E94163" w14:textId="77777777" w:rsidR="00D37607" w:rsidRPr="00D37607" w:rsidRDefault="00D37607" w:rsidP="003E716A">
            <w:pPr>
              <w:pStyle w:val="TableBodyText"/>
              <w:rPr>
                <w:b/>
                <w:sz w:val="19"/>
                <w:szCs w:val="19"/>
              </w:rPr>
            </w:pPr>
            <w:r w:rsidRPr="00D37607">
              <w:rPr>
                <w:b/>
                <w:sz w:val="19"/>
                <w:szCs w:val="19"/>
              </w:rPr>
              <w:t>Pricing rule</w:t>
            </w:r>
          </w:p>
        </w:tc>
        <w:tc>
          <w:tcPr>
            <w:tcW w:w="4819" w:type="dxa"/>
            <w:tcBorders>
              <w:bottom w:val="single" w:sz="4" w:space="0" w:color="auto"/>
            </w:tcBorders>
            <w:shd w:val="clear" w:color="auto" w:fill="auto"/>
          </w:tcPr>
          <w:p w14:paraId="567E6082" w14:textId="77777777" w:rsidR="00D37607" w:rsidRPr="00D37607" w:rsidRDefault="00D37607" w:rsidP="003E716A">
            <w:pPr>
              <w:pStyle w:val="TableBodyText"/>
              <w:rPr>
                <w:sz w:val="19"/>
                <w:szCs w:val="19"/>
              </w:rPr>
            </w:pPr>
            <w:r w:rsidRPr="00D37607">
              <w:rPr>
                <w:sz w:val="19"/>
                <w:szCs w:val="19"/>
              </w:rPr>
              <w:t xml:space="preserve">Bidders pay the value of their winning bids ("first-price" rule) to reduce complexity. </w:t>
            </w:r>
          </w:p>
        </w:tc>
        <w:tc>
          <w:tcPr>
            <w:tcW w:w="1843" w:type="dxa"/>
            <w:tcBorders>
              <w:bottom w:val="single" w:sz="4" w:space="0" w:color="auto"/>
            </w:tcBorders>
            <w:shd w:val="clear" w:color="auto" w:fill="auto"/>
          </w:tcPr>
          <w:p w14:paraId="49494AA5" w14:textId="77777777" w:rsidR="00D37607" w:rsidRPr="00D37607" w:rsidRDefault="00D37607" w:rsidP="003E716A">
            <w:pPr>
              <w:pStyle w:val="TableBodyText"/>
              <w:rPr>
                <w:sz w:val="19"/>
                <w:szCs w:val="19"/>
              </w:rPr>
            </w:pPr>
            <w:r w:rsidRPr="00D37607">
              <w:rPr>
                <w:sz w:val="19"/>
                <w:szCs w:val="19"/>
              </w:rPr>
              <w:t>Preferred outcome</w:t>
            </w:r>
          </w:p>
        </w:tc>
      </w:tr>
      <w:tr w:rsidR="00D37607" w:rsidRPr="00D37607" w14:paraId="328F8BB4" w14:textId="77777777" w:rsidTr="009B15D8">
        <w:trPr>
          <w:cnfStyle w:val="000000010000" w:firstRow="0" w:lastRow="0" w:firstColumn="0" w:lastColumn="0" w:oddVBand="0" w:evenVBand="0" w:oddHBand="0" w:evenHBand="1" w:firstRowFirstColumn="0" w:firstRowLastColumn="0" w:lastRowFirstColumn="0" w:lastRowLastColumn="0"/>
        </w:trPr>
        <w:tc>
          <w:tcPr>
            <w:tcW w:w="2127" w:type="dxa"/>
            <w:tcBorders>
              <w:bottom w:val="single" w:sz="4" w:space="0" w:color="auto"/>
            </w:tcBorders>
          </w:tcPr>
          <w:p w14:paraId="338EDFC0" w14:textId="301664B6" w:rsidR="00651999" w:rsidRPr="00D37607" w:rsidRDefault="00651999" w:rsidP="00D37607">
            <w:pPr>
              <w:pStyle w:val="TableBodyText"/>
              <w:rPr>
                <w:b/>
                <w:sz w:val="19"/>
                <w:szCs w:val="19"/>
              </w:rPr>
            </w:pPr>
            <w:r w:rsidRPr="00D37607">
              <w:rPr>
                <w:b/>
                <w:sz w:val="19"/>
                <w:szCs w:val="19"/>
              </w:rPr>
              <w:t>Determination of winning bids</w:t>
            </w:r>
          </w:p>
        </w:tc>
        <w:tc>
          <w:tcPr>
            <w:tcW w:w="4819" w:type="dxa"/>
            <w:tcBorders>
              <w:bottom w:val="single" w:sz="4" w:space="0" w:color="auto"/>
            </w:tcBorders>
          </w:tcPr>
          <w:p w14:paraId="0B2A8EBD" w14:textId="7600B46E" w:rsidR="00651999" w:rsidRPr="00D37607" w:rsidRDefault="00651999" w:rsidP="00D37607">
            <w:pPr>
              <w:pStyle w:val="TableBodyText"/>
              <w:rPr>
                <w:sz w:val="19"/>
                <w:szCs w:val="19"/>
              </w:rPr>
            </w:pPr>
            <w:r w:rsidRPr="00D37607">
              <w:rPr>
                <w:sz w:val="19"/>
                <w:szCs w:val="19"/>
              </w:rPr>
              <w:t xml:space="preserve">Winning combination of bids determined using a profit maximisation algorithm (constrained by requirement that at least all contracted but un-nominated capacity is put on sale in auction). </w:t>
            </w:r>
          </w:p>
        </w:tc>
        <w:tc>
          <w:tcPr>
            <w:tcW w:w="1843" w:type="dxa"/>
            <w:tcBorders>
              <w:bottom w:val="single" w:sz="4" w:space="0" w:color="auto"/>
            </w:tcBorders>
          </w:tcPr>
          <w:p w14:paraId="7AB2A5CC" w14:textId="1416C99D" w:rsidR="00651999" w:rsidRPr="00D37607" w:rsidRDefault="00651999" w:rsidP="00D37607">
            <w:pPr>
              <w:pStyle w:val="TableBodyText"/>
              <w:rPr>
                <w:sz w:val="19"/>
                <w:szCs w:val="19"/>
              </w:rPr>
            </w:pPr>
            <w:r w:rsidRPr="00D37607">
              <w:rPr>
                <w:sz w:val="19"/>
                <w:szCs w:val="19"/>
              </w:rPr>
              <w:t>Preferred outcome</w:t>
            </w:r>
          </w:p>
        </w:tc>
      </w:tr>
      <w:tr w:rsidR="00651999" w:rsidRPr="00D37607" w14:paraId="7BC262CF" w14:textId="77777777" w:rsidTr="00907A3A">
        <w:tc>
          <w:tcPr>
            <w:tcW w:w="2127" w:type="dxa"/>
            <w:tcBorders>
              <w:bottom w:val="single" w:sz="4" w:space="0" w:color="auto"/>
            </w:tcBorders>
            <w:shd w:val="clear" w:color="auto" w:fill="auto"/>
          </w:tcPr>
          <w:p w14:paraId="2F05896F" w14:textId="352C3410" w:rsidR="00651999" w:rsidRPr="00D37607" w:rsidRDefault="00651999" w:rsidP="00D37607">
            <w:pPr>
              <w:pStyle w:val="TableBodyText"/>
              <w:rPr>
                <w:b/>
                <w:sz w:val="19"/>
                <w:szCs w:val="19"/>
              </w:rPr>
            </w:pPr>
            <w:r w:rsidRPr="00D37607">
              <w:rPr>
                <w:b/>
                <w:sz w:val="19"/>
                <w:szCs w:val="19"/>
              </w:rPr>
              <w:t>Allocation of auction residue</w:t>
            </w:r>
          </w:p>
        </w:tc>
        <w:tc>
          <w:tcPr>
            <w:tcW w:w="4819" w:type="dxa"/>
            <w:tcBorders>
              <w:bottom w:val="single" w:sz="4" w:space="0" w:color="auto"/>
            </w:tcBorders>
            <w:shd w:val="clear" w:color="auto" w:fill="auto"/>
          </w:tcPr>
          <w:p w14:paraId="02762CA3" w14:textId="0FA4698E" w:rsidR="00651999" w:rsidRPr="00D37607" w:rsidRDefault="00D37607" w:rsidP="00D37607">
            <w:pPr>
              <w:pStyle w:val="TableBodyText"/>
              <w:rPr>
                <w:sz w:val="19"/>
                <w:szCs w:val="19"/>
              </w:rPr>
            </w:pPr>
            <w:r w:rsidRPr="00D37607">
              <w:rPr>
                <w:sz w:val="19"/>
                <w:szCs w:val="19"/>
              </w:rPr>
              <w:t xml:space="preserve">Preferred method to allocate to service providers after the costs of running the auction have been recovered. </w:t>
            </w:r>
          </w:p>
        </w:tc>
        <w:tc>
          <w:tcPr>
            <w:tcW w:w="1843" w:type="dxa"/>
            <w:tcBorders>
              <w:bottom w:val="single" w:sz="4" w:space="0" w:color="auto"/>
            </w:tcBorders>
            <w:shd w:val="clear" w:color="auto" w:fill="auto"/>
          </w:tcPr>
          <w:p w14:paraId="0A9B1D5E" w14:textId="1312ACA1" w:rsidR="00651999" w:rsidRPr="00D37607" w:rsidRDefault="008F0DF9" w:rsidP="00D37607">
            <w:pPr>
              <w:pStyle w:val="TableBodyText"/>
              <w:rPr>
                <w:sz w:val="19"/>
                <w:szCs w:val="19"/>
              </w:rPr>
            </w:pPr>
            <w:r>
              <w:rPr>
                <w:sz w:val="19"/>
                <w:szCs w:val="19"/>
              </w:rPr>
              <w:t>Preferred outcome</w:t>
            </w:r>
          </w:p>
        </w:tc>
      </w:tr>
      <w:tr w:rsidR="00AD794C" w:rsidRPr="00D37607" w14:paraId="0712C420" w14:textId="77777777" w:rsidTr="00907A3A">
        <w:trPr>
          <w:cnfStyle w:val="000000010000" w:firstRow="0" w:lastRow="0" w:firstColumn="0" w:lastColumn="0" w:oddVBand="0" w:evenVBand="0" w:oddHBand="0" w:evenHBand="1" w:firstRowFirstColumn="0" w:firstRowLastColumn="0" w:lastRowFirstColumn="0" w:lastRowLastColumn="0"/>
        </w:trPr>
        <w:tc>
          <w:tcPr>
            <w:tcW w:w="2127" w:type="dxa"/>
          </w:tcPr>
          <w:p w14:paraId="1D16C4A6" w14:textId="57442152" w:rsidR="00AD794C" w:rsidRDefault="00AD794C" w:rsidP="00AD794C">
            <w:pPr>
              <w:pStyle w:val="TableBodyText"/>
              <w:rPr>
                <w:b/>
                <w:sz w:val="19"/>
                <w:szCs w:val="19"/>
              </w:rPr>
            </w:pPr>
            <w:r>
              <w:rPr>
                <w:b/>
                <w:sz w:val="19"/>
                <w:szCs w:val="19"/>
              </w:rPr>
              <w:t>Auction timing</w:t>
            </w:r>
          </w:p>
        </w:tc>
        <w:tc>
          <w:tcPr>
            <w:tcW w:w="4819" w:type="dxa"/>
          </w:tcPr>
          <w:p w14:paraId="0D82C2D7" w14:textId="7360FF2B" w:rsidR="00AD794C" w:rsidRDefault="00AD794C" w:rsidP="00AD794C">
            <w:pPr>
              <w:pStyle w:val="TableBodyText"/>
              <w:rPr>
                <w:sz w:val="19"/>
                <w:szCs w:val="19"/>
              </w:rPr>
            </w:pPr>
            <w:r>
              <w:rPr>
                <w:sz w:val="19"/>
                <w:szCs w:val="19"/>
              </w:rPr>
              <w:t>Auction to be conducted on a daily basis</w:t>
            </w:r>
            <w:r w:rsidRPr="00D37607">
              <w:rPr>
                <w:sz w:val="19"/>
                <w:szCs w:val="19"/>
              </w:rPr>
              <w:t>, shortly after nomination cut-off time</w:t>
            </w:r>
            <w:r w:rsidR="00055169">
              <w:rPr>
                <w:sz w:val="19"/>
                <w:szCs w:val="19"/>
              </w:rPr>
              <w:t>.</w:t>
            </w:r>
          </w:p>
        </w:tc>
        <w:tc>
          <w:tcPr>
            <w:tcW w:w="1843" w:type="dxa"/>
          </w:tcPr>
          <w:p w14:paraId="6C795DDC" w14:textId="09A863DE" w:rsidR="00AD794C" w:rsidRPr="00D37607" w:rsidRDefault="00AD794C" w:rsidP="00AD794C">
            <w:pPr>
              <w:pStyle w:val="TableBodyText"/>
              <w:rPr>
                <w:sz w:val="19"/>
                <w:szCs w:val="19"/>
              </w:rPr>
            </w:pPr>
            <w:r w:rsidRPr="00D37607">
              <w:rPr>
                <w:sz w:val="19"/>
                <w:szCs w:val="19"/>
              </w:rPr>
              <w:t>Required outcome</w:t>
            </w:r>
          </w:p>
        </w:tc>
      </w:tr>
    </w:tbl>
    <w:p w14:paraId="293D241C" w14:textId="41E2FC91" w:rsidR="00721A02" w:rsidRPr="00721A02" w:rsidRDefault="00721A02" w:rsidP="00721A02">
      <w:pPr>
        <w:pStyle w:val="BodyText"/>
        <w:spacing w:before="0"/>
        <w:rPr>
          <w:rFonts w:asciiTheme="majorHAnsi" w:eastAsiaTheme="majorEastAsia" w:hAnsiTheme="majorHAnsi" w:cstheme="majorBidi"/>
          <w:sz w:val="18"/>
          <w:szCs w:val="18"/>
        </w:rPr>
      </w:pPr>
      <w:r w:rsidRPr="00721A02">
        <w:rPr>
          <w:rFonts w:asciiTheme="majorHAnsi" w:eastAsiaTheme="majorEastAsia" w:hAnsiTheme="majorHAnsi" w:cstheme="majorBidi"/>
          <w:sz w:val="18"/>
          <w:szCs w:val="18"/>
        </w:rPr>
        <w:t xml:space="preserve">Source: AEMC, </w:t>
      </w:r>
      <w:r w:rsidRPr="00721A02">
        <w:rPr>
          <w:sz w:val="18"/>
          <w:szCs w:val="18"/>
        </w:rPr>
        <w:t xml:space="preserve">Stage 2 Final Report: </w:t>
      </w:r>
      <w:r w:rsidRPr="00721A02">
        <w:rPr>
          <w:rFonts w:cs="Arial"/>
          <w:i/>
          <w:iCs/>
          <w:sz w:val="18"/>
          <w:szCs w:val="18"/>
        </w:rPr>
        <w:t>East Coast Review</w:t>
      </w:r>
      <w:r w:rsidRPr="00721A02">
        <w:rPr>
          <w:rFonts w:cs="Arial"/>
          <w:iCs/>
          <w:sz w:val="18"/>
          <w:szCs w:val="18"/>
        </w:rPr>
        <w:t>, 23 May 2016,</w:t>
      </w:r>
      <w:r w:rsidRPr="00721A02">
        <w:rPr>
          <w:sz w:val="18"/>
          <w:szCs w:val="18"/>
        </w:rPr>
        <w:t xml:space="preserve"> p. 16.</w:t>
      </w:r>
    </w:p>
    <w:p w14:paraId="423415EC" w14:textId="2056333F" w:rsidR="003E716A" w:rsidRDefault="00D37607" w:rsidP="00D37607">
      <w:pPr>
        <w:pStyle w:val="BodyText"/>
        <w:rPr>
          <w:rFonts w:asciiTheme="majorHAnsi" w:eastAsiaTheme="majorEastAsia" w:hAnsiTheme="majorHAnsi" w:cstheme="majorBidi"/>
        </w:rPr>
      </w:pPr>
      <w:r>
        <w:rPr>
          <w:rFonts w:asciiTheme="majorHAnsi" w:eastAsiaTheme="majorEastAsia" w:hAnsiTheme="majorHAnsi" w:cstheme="majorBidi"/>
        </w:rPr>
        <w:t>The</w:t>
      </w:r>
      <w:r w:rsidR="0012639B">
        <w:rPr>
          <w:rFonts w:asciiTheme="majorHAnsi" w:eastAsiaTheme="majorEastAsia" w:hAnsiTheme="majorHAnsi" w:cstheme="majorBidi"/>
        </w:rPr>
        <w:t xml:space="preserve"> AEMC’s</w:t>
      </w:r>
      <w:r>
        <w:rPr>
          <w:rFonts w:asciiTheme="majorHAnsi" w:eastAsiaTheme="majorEastAsia" w:hAnsiTheme="majorHAnsi" w:cstheme="majorBidi"/>
        </w:rPr>
        <w:t xml:space="preserve"> recommendations have been considered by the Day-Ahead Auction project team and </w:t>
      </w:r>
      <w:r w:rsidR="00B63D8F">
        <w:rPr>
          <w:rFonts w:asciiTheme="majorHAnsi" w:eastAsiaTheme="majorEastAsia" w:hAnsiTheme="majorHAnsi" w:cstheme="majorBidi"/>
        </w:rPr>
        <w:t xml:space="preserve">by NERA, </w:t>
      </w:r>
      <w:r w:rsidR="003E716A">
        <w:rPr>
          <w:rFonts w:asciiTheme="majorHAnsi" w:eastAsiaTheme="majorEastAsia" w:hAnsiTheme="majorHAnsi" w:cstheme="majorBidi"/>
        </w:rPr>
        <w:t>the GMRG’s auction design expert</w:t>
      </w:r>
      <w:r w:rsidR="00B63D8F">
        <w:rPr>
          <w:rFonts w:asciiTheme="majorHAnsi" w:eastAsiaTheme="majorEastAsia" w:hAnsiTheme="majorHAnsi" w:cstheme="majorBidi"/>
        </w:rPr>
        <w:t xml:space="preserve"> </w:t>
      </w:r>
      <w:r w:rsidR="003E716A">
        <w:rPr>
          <w:rFonts w:asciiTheme="majorHAnsi" w:eastAsiaTheme="majorEastAsia" w:hAnsiTheme="majorHAnsi" w:cstheme="majorBidi"/>
        </w:rPr>
        <w:t xml:space="preserve">and are discussed in </w:t>
      </w:r>
      <w:r w:rsidR="0012639B">
        <w:rPr>
          <w:rFonts w:asciiTheme="majorHAnsi" w:eastAsiaTheme="majorEastAsia" w:hAnsiTheme="majorHAnsi" w:cstheme="majorBidi"/>
        </w:rPr>
        <w:t xml:space="preserve">further detail in </w:t>
      </w:r>
      <w:r w:rsidR="003E716A">
        <w:rPr>
          <w:rFonts w:asciiTheme="majorHAnsi" w:eastAsiaTheme="majorEastAsia" w:hAnsiTheme="majorHAnsi" w:cstheme="majorBidi"/>
        </w:rPr>
        <w:t>the remainder of this chapter.</w:t>
      </w:r>
      <w:r w:rsidR="006B7AC6">
        <w:rPr>
          <w:rFonts w:asciiTheme="majorHAnsi" w:eastAsiaTheme="majorEastAsia" w:hAnsiTheme="majorHAnsi" w:cstheme="majorBidi"/>
        </w:rPr>
        <w:t xml:space="preserve"> </w:t>
      </w:r>
    </w:p>
    <w:p w14:paraId="4AD7A748" w14:textId="77777777" w:rsidR="00907A3A" w:rsidRPr="0032168C" w:rsidRDefault="00907A3A" w:rsidP="00907A3A">
      <w:pPr>
        <w:pStyle w:val="Heading2"/>
        <w:spacing w:after="120"/>
      </w:pPr>
      <w:bookmarkStart w:id="88" w:name="_Ref494450740"/>
      <w:bookmarkStart w:id="89" w:name="_Toc495351636"/>
      <w:bookmarkStart w:id="90" w:name="_Ref494450523"/>
      <w:r w:rsidRPr="0032168C">
        <w:t>Auction quantity</w:t>
      </w:r>
      <w:bookmarkEnd w:id="88"/>
      <w:bookmarkEnd w:id="89"/>
    </w:p>
    <w:p w14:paraId="4E395EA8" w14:textId="77777777" w:rsidR="00907A3A" w:rsidRDefault="00907A3A" w:rsidP="00907A3A">
      <w:pPr>
        <w:pStyle w:val="BodyText"/>
        <w:spacing w:before="120"/>
      </w:pPr>
      <w:r>
        <w:t>A required outcome of the day-ahead auction is that all contracted but un-nominated capacity (within technical constraints) should be released through the auction. In making this recommendation, the AEMC noted that it will:</w:t>
      </w:r>
      <w:r>
        <w:rPr>
          <w:rStyle w:val="FootnoteReference"/>
        </w:rPr>
        <w:footnoteReference w:id="46"/>
      </w:r>
      <w:r>
        <w:t xml:space="preserve"> </w:t>
      </w:r>
    </w:p>
    <w:p w14:paraId="09F12348" w14:textId="77777777" w:rsidR="00907A3A" w:rsidRDefault="00907A3A" w:rsidP="00907A3A">
      <w:pPr>
        <w:pStyle w:val="Quote"/>
      </w:pPr>
      <w:r>
        <w:t>“</w:t>
      </w:r>
      <w:proofErr w:type="gramStart"/>
      <w:r>
        <w:t>support</w:t>
      </w:r>
      <w:proofErr w:type="gramEnd"/>
      <w:r>
        <w:t xml:space="preserve"> the rationale for the day-ahead auction of increasing market liquidity by providing access to all available capacity and preventing pipeline owners from restricting supply and hence increasing the price outcomes of the auction.”</w:t>
      </w:r>
    </w:p>
    <w:p w14:paraId="02E3493E" w14:textId="77777777" w:rsidR="00907A3A" w:rsidRDefault="00907A3A" w:rsidP="00907A3A">
      <w:pPr>
        <w:pStyle w:val="BodyText"/>
      </w:pPr>
      <w:r>
        <w:t>The AEMC went on to add that determining the quantity of contracted but un-nominated capacity “should be a relatively trivial calculation” and set out in either the NGR, or determined by service providers through a process approved by the AER.</w:t>
      </w:r>
      <w:r>
        <w:rPr>
          <w:rStyle w:val="FootnoteReference"/>
        </w:rPr>
        <w:footnoteReference w:id="47"/>
      </w:r>
    </w:p>
    <w:p w14:paraId="647D78F5" w14:textId="71F08E46" w:rsidR="00907A3A" w:rsidRDefault="00907A3A" w:rsidP="00907A3A">
      <w:pPr>
        <w:pStyle w:val="BodyText"/>
      </w:pPr>
      <w:r>
        <w:t xml:space="preserve">If, as proposed in section </w:t>
      </w:r>
      <w:r>
        <w:rPr>
          <w:highlight w:val="yellow"/>
        </w:rPr>
        <w:fldChar w:fldCharType="begin"/>
      </w:r>
      <w:r>
        <w:instrText xml:space="preserve"> REF _Ref494707689 \r \h </w:instrText>
      </w:r>
      <w:r>
        <w:rPr>
          <w:highlight w:val="yellow"/>
        </w:rPr>
      </w:r>
      <w:r>
        <w:rPr>
          <w:highlight w:val="yellow"/>
        </w:rPr>
        <w:fldChar w:fldCharType="separate"/>
      </w:r>
      <w:r w:rsidR="00272B32">
        <w:t>3.4</w:t>
      </w:r>
      <w:r>
        <w:rPr>
          <w:highlight w:val="yellow"/>
        </w:rPr>
        <w:fldChar w:fldCharType="end"/>
      </w:r>
      <w:r>
        <w:t>, the auction product is available on a receipt and delivery point basis then the service provider’s daily calculation of the contracted but un-nominated capacity should be relatively straightforward. For example, if Shipper A has reserved capacity of 20 TJ/day at receipt point A and delivery point B but only nominates to use 10</w:t>
      </w:r>
      <w:r w:rsidR="008D0BFF">
        <w:t> </w:t>
      </w:r>
      <w:r>
        <w:t xml:space="preserve">TJ </w:t>
      </w:r>
      <w:r w:rsidR="008D0BFF">
        <w:t xml:space="preserve">on </w:t>
      </w:r>
      <w:r>
        <w:t>gas day D, then 10 TJ/day of capacity at receipt point A, delivery point B and the pipeline segment connecting these two points would be released into the auction.</w:t>
      </w:r>
    </w:p>
    <w:p w14:paraId="3C963A01" w14:textId="6EFF8A76" w:rsidR="00907A3A" w:rsidRDefault="00907A3A" w:rsidP="00907A3A">
      <w:pPr>
        <w:pStyle w:val="BodyText"/>
      </w:pPr>
      <w:r>
        <w:t xml:space="preserve">One potential complexity with this calculation that needs to be considered is whether the nominations a service provider receives for as available or interruptible capacity prior to nomination cut-off time should be included in the calculation. </w:t>
      </w:r>
      <w:r w:rsidR="003975C3">
        <w:t xml:space="preserve">As section </w:t>
      </w:r>
      <w:r w:rsidR="003975C3">
        <w:rPr>
          <w:highlight w:val="yellow"/>
        </w:rPr>
        <w:fldChar w:fldCharType="begin"/>
      </w:r>
      <w:r w:rsidR="003975C3">
        <w:instrText xml:space="preserve"> REF _Ref494707756 \r \h </w:instrText>
      </w:r>
      <w:r w:rsidR="003975C3">
        <w:rPr>
          <w:highlight w:val="yellow"/>
        </w:rPr>
      </w:r>
      <w:r w:rsidR="003975C3">
        <w:rPr>
          <w:highlight w:val="yellow"/>
        </w:rPr>
        <w:fldChar w:fldCharType="separate"/>
      </w:r>
      <w:r w:rsidR="00272B32">
        <w:t>3.2</w:t>
      </w:r>
      <w:r w:rsidR="003975C3">
        <w:rPr>
          <w:highlight w:val="yellow"/>
        </w:rPr>
        <w:fldChar w:fldCharType="end"/>
      </w:r>
      <w:r w:rsidR="003975C3">
        <w:t xml:space="preserve"> highlights t</w:t>
      </w:r>
      <w:r>
        <w:t>his will, in turn, depend on whether the auction product is:</w:t>
      </w:r>
    </w:p>
    <w:p w14:paraId="6A3C1187" w14:textId="5967980C" w:rsidR="00907A3A" w:rsidRDefault="00907A3A" w:rsidP="00907A3A">
      <w:pPr>
        <w:pStyle w:val="ListBullet"/>
      </w:pPr>
      <w:r w:rsidRPr="00B50941">
        <w:rPr>
          <w:b/>
        </w:rPr>
        <w:t xml:space="preserve">a </w:t>
      </w:r>
      <w:r>
        <w:rPr>
          <w:b/>
        </w:rPr>
        <w:t xml:space="preserve">second priority </w:t>
      </w:r>
      <w:r w:rsidRPr="00B50941">
        <w:rPr>
          <w:b/>
        </w:rPr>
        <w:t>firm product</w:t>
      </w:r>
      <w:r w:rsidR="003975C3">
        <w:rPr>
          <w:b/>
        </w:rPr>
        <w:t xml:space="preserve"> (Option 1)</w:t>
      </w:r>
      <w:r>
        <w:t xml:space="preserve">: In this case the calculation would </w:t>
      </w:r>
      <w:r w:rsidRPr="00B50941">
        <w:rPr>
          <w:i/>
        </w:rPr>
        <w:t>exclude</w:t>
      </w:r>
      <w:r>
        <w:t xml:space="preserve"> as available and interruptible nominations because the auction product would be scheduled </w:t>
      </w:r>
      <w:r w:rsidR="003975C3">
        <w:t>ahead</w:t>
      </w:r>
      <w:r>
        <w:t xml:space="preserve"> </w:t>
      </w:r>
      <w:r w:rsidR="003975C3">
        <w:t xml:space="preserve">of </w:t>
      </w:r>
      <w:r>
        <w:t xml:space="preserve">these services </w:t>
      </w:r>
      <w:r w:rsidR="003975C3">
        <w:t>when allocating the contracted but un-nominated capacity</w:t>
      </w:r>
      <w:r>
        <w:t>;</w:t>
      </w:r>
    </w:p>
    <w:p w14:paraId="1D7947BB" w14:textId="05638BA2" w:rsidR="00907A3A" w:rsidRDefault="00907A3A" w:rsidP="00907A3A">
      <w:pPr>
        <w:pStyle w:val="ListBullet"/>
      </w:pPr>
      <w:r>
        <w:rPr>
          <w:b/>
        </w:rPr>
        <w:t xml:space="preserve">a second priority </w:t>
      </w:r>
      <w:r w:rsidRPr="00B50941">
        <w:rPr>
          <w:b/>
        </w:rPr>
        <w:t>as available product</w:t>
      </w:r>
      <w:r w:rsidR="003975C3">
        <w:rPr>
          <w:b/>
        </w:rPr>
        <w:t xml:space="preserve"> (Option 2)</w:t>
      </w:r>
      <w:r>
        <w:rPr>
          <w:b/>
        </w:rPr>
        <w:t>:</w:t>
      </w:r>
      <w:r>
        <w:t xml:space="preserve"> In this case the calculation would </w:t>
      </w:r>
      <w:r w:rsidRPr="00B50941">
        <w:rPr>
          <w:i/>
        </w:rPr>
        <w:t>include</w:t>
      </w:r>
      <w:r>
        <w:t xml:space="preserve"> as available nominations but </w:t>
      </w:r>
      <w:r w:rsidRPr="00B50941">
        <w:rPr>
          <w:i/>
        </w:rPr>
        <w:t>exclude</w:t>
      </w:r>
      <w:r>
        <w:t xml:space="preserve"> interruptible nominations because the auction product would be scheduled after as available services but before interruptible services </w:t>
      </w:r>
      <w:r w:rsidR="003975C3">
        <w:t>when allocating the contracted but un-nominated capacity</w:t>
      </w:r>
      <w:r>
        <w:t>; or</w:t>
      </w:r>
    </w:p>
    <w:p w14:paraId="50C182AF" w14:textId="15F55139" w:rsidR="00907A3A" w:rsidRDefault="00907A3A" w:rsidP="00907A3A">
      <w:pPr>
        <w:pStyle w:val="ListBullet"/>
      </w:pPr>
      <w:proofErr w:type="gramStart"/>
      <w:r>
        <w:rPr>
          <w:b/>
        </w:rPr>
        <w:t>a</w:t>
      </w:r>
      <w:proofErr w:type="gramEnd"/>
      <w:r>
        <w:rPr>
          <w:b/>
        </w:rPr>
        <w:t xml:space="preserve"> second priority </w:t>
      </w:r>
      <w:r w:rsidRPr="00B50941">
        <w:rPr>
          <w:b/>
        </w:rPr>
        <w:t>interruptible product</w:t>
      </w:r>
      <w:r w:rsidR="003975C3">
        <w:rPr>
          <w:b/>
        </w:rPr>
        <w:t xml:space="preserve"> (Option 3)</w:t>
      </w:r>
      <w:r>
        <w:rPr>
          <w:b/>
        </w:rPr>
        <w:t>:</w:t>
      </w:r>
      <w:r>
        <w:t xml:space="preserve"> In this case the calculation would </w:t>
      </w:r>
      <w:r w:rsidRPr="00B50941">
        <w:rPr>
          <w:i/>
        </w:rPr>
        <w:t>include</w:t>
      </w:r>
      <w:r>
        <w:t xml:space="preserve"> as available and interruptible nominations because the auction product would be scheduled after these products </w:t>
      </w:r>
      <w:r w:rsidR="003975C3">
        <w:t>when allocating the contracted but un-nominated capacity</w:t>
      </w:r>
      <w:r>
        <w:t xml:space="preserve">. </w:t>
      </w:r>
    </w:p>
    <w:p w14:paraId="2ABF64CB" w14:textId="02A9953B" w:rsidR="00907A3A" w:rsidRDefault="00907A3A" w:rsidP="00907A3A">
      <w:pPr>
        <w:pStyle w:val="BodyText"/>
      </w:pPr>
      <w:r>
        <w:t xml:space="preserve">The effect that product design will have on the calculation of the auction quantity can be seen in </w:t>
      </w:r>
      <w:r>
        <w:fldChar w:fldCharType="begin"/>
      </w:r>
      <w:r>
        <w:instrText xml:space="preserve"> REF _Ref494434312 \h </w:instrText>
      </w:r>
      <w:r>
        <w:fldChar w:fldCharType="separate"/>
      </w:r>
      <w:r w:rsidR="00272B32">
        <w:t xml:space="preserve">Figure </w:t>
      </w:r>
      <w:r w:rsidR="00272B32">
        <w:rPr>
          <w:noProof/>
        </w:rPr>
        <w:t>4</w:t>
      </w:r>
      <w:r w:rsidR="00272B32">
        <w:t>.</w:t>
      </w:r>
      <w:r w:rsidR="00272B32">
        <w:rPr>
          <w:noProof/>
        </w:rPr>
        <w:t>1</w:t>
      </w:r>
      <w:r>
        <w:fldChar w:fldCharType="end"/>
      </w:r>
      <w:r>
        <w:t xml:space="preserve">, which also highlights the effect that a bottom up or top down approach to scheduling as available and interruptible nominations received prior to nomination cut-off time will have on the auction quantity. As this figure highlights: </w:t>
      </w:r>
    </w:p>
    <w:p w14:paraId="0B8A84D5" w14:textId="77777777" w:rsidR="00907A3A" w:rsidRDefault="00907A3A" w:rsidP="00907A3A">
      <w:pPr>
        <w:pStyle w:val="ListBullet"/>
        <w:spacing w:before="60" w:after="60"/>
      </w:pPr>
      <w:r>
        <w:t>the auction quantity is greatest under the second priority firm product design and lowest under the second priority interruptible product design; and</w:t>
      </w:r>
    </w:p>
    <w:p w14:paraId="5C16A4FC" w14:textId="77777777" w:rsidR="00907A3A" w:rsidRDefault="00907A3A" w:rsidP="00907A3A">
      <w:pPr>
        <w:pStyle w:val="ListBullet"/>
        <w:spacing w:before="60" w:after="60"/>
      </w:pPr>
      <w:proofErr w:type="gramStart"/>
      <w:r>
        <w:t>if</w:t>
      </w:r>
      <w:proofErr w:type="gramEnd"/>
      <w:r>
        <w:t xml:space="preserve"> there is spare primary capacity available then the top down approach to scheduling will maximise the auction quantity available under the second priority as available and interruptible product design options.</w:t>
      </w:r>
    </w:p>
    <w:p w14:paraId="6BC44DEE" w14:textId="7AED790B" w:rsidR="00907A3A" w:rsidRDefault="00907A3A" w:rsidP="00907A3A">
      <w:pPr>
        <w:pStyle w:val="Caption"/>
        <w:spacing w:after="0"/>
      </w:pPr>
      <w:bookmarkStart w:id="91" w:name="_Ref494434312"/>
      <w:r>
        <w:t xml:space="preserve">Figure </w:t>
      </w:r>
      <w:r w:rsidR="00115A93">
        <w:fldChar w:fldCharType="begin"/>
      </w:r>
      <w:r w:rsidR="00115A93">
        <w:instrText xml:space="preserve"> STYLEREF 1 \s </w:instrText>
      </w:r>
      <w:r w:rsidR="00115A93">
        <w:fldChar w:fldCharType="separate"/>
      </w:r>
      <w:r w:rsidR="00272B32">
        <w:rPr>
          <w:noProof/>
        </w:rPr>
        <w:t>4</w:t>
      </w:r>
      <w:r w:rsidR="00115A93">
        <w:rPr>
          <w:noProof/>
        </w:rPr>
        <w:fldChar w:fldCharType="end"/>
      </w:r>
      <w:r>
        <w:t>.</w:t>
      </w:r>
      <w:r w:rsidR="00115A93">
        <w:fldChar w:fldCharType="begin"/>
      </w:r>
      <w:r w:rsidR="00115A93">
        <w:instrText xml:space="preserve"> SEQ Figure \* ARABIC \s 1 </w:instrText>
      </w:r>
      <w:r w:rsidR="00115A93">
        <w:fldChar w:fldCharType="separate"/>
      </w:r>
      <w:r w:rsidR="00272B32">
        <w:rPr>
          <w:noProof/>
        </w:rPr>
        <w:t>1</w:t>
      </w:r>
      <w:r w:rsidR="00115A93">
        <w:rPr>
          <w:noProof/>
        </w:rPr>
        <w:fldChar w:fldCharType="end"/>
      </w:r>
      <w:bookmarkEnd w:id="91"/>
      <w:r>
        <w:t xml:space="preserve">: Auction quantity calculations </w:t>
      </w:r>
    </w:p>
    <w:tbl>
      <w:tblPr>
        <w:tblStyle w:val="TableGrid"/>
        <w:tblW w:w="0" w:type="auto"/>
        <w:tblLook w:val="04A0" w:firstRow="1" w:lastRow="0" w:firstColumn="1" w:lastColumn="0" w:noHBand="0" w:noVBand="1"/>
        <w:tblCaption w:val="Figure 4.1: Auction quantity calculations "/>
        <w:tblDescription w:val="Auction quantity calculations "/>
      </w:tblPr>
      <w:tblGrid>
        <w:gridCol w:w="8788"/>
      </w:tblGrid>
      <w:tr w:rsidR="00907A3A" w:rsidRPr="0072309A" w14:paraId="31FE0306" w14:textId="77777777" w:rsidTr="00610057">
        <w:trPr>
          <w:cnfStyle w:val="100000000000" w:firstRow="1" w:lastRow="0" w:firstColumn="0" w:lastColumn="0" w:oddVBand="0" w:evenVBand="0" w:oddHBand="0" w:evenHBand="0" w:firstRowFirstColumn="0" w:firstRowLastColumn="0" w:lastRowFirstColumn="0" w:lastRowLastColumn="0"/>
          <w:tblHeader/>
        </w:trPr>
        <w:tc>
          <w:tcPr>
            <w:tcW w:w="8788" w:type="dxa"/>
            <w:shd w:val="clear" w:color="auto" w:fill="E1E2E7" w:themeFill="background2"/>
          </w:tcPr>
          <w:p w14:paraId="64EEA35D" w14:textId="77777777" w:rsidR="00907A3A" w:rsidRPr="0072309A" w:rsidRDefault="00907A3A" w:rsidP="00042278">
            <w:pPr>
              <w:pStyle w:val="BodyText"/>
              <w:keepNext/>
              <w:spacing w:before="0" w:after="0" w:line="240" w:lineRule="auto"/>
              <w:jc w:val="center"/>
              <w:rPr>
                <w:color w:val="auto"/>
              </w:rPr>
            </w:pPr>
            <w:r w:rsidRPr="0072309A">
              <w:rPr>
                <w:color w:val="auto"/>
              </w:rPr>
              <w:t>Second priority firm product</w:t>
            </w:r>
          </w:p>
        </w:tc>
      </w:tr>
      <w:tr w:rsidR="00907A3A" w14:paraId="7CE666FF" w14:textId="77777777" w:rsidTr="00042278">
        <w:tc>
          <w:tcPr>
            <w:tcW w:w="8788" w:type="dxa"/>
          </w:tcPr>
          <w:p w14:paraId="78C6C7A8" w14:textId="77777777" w:rsidR="00907A3A" w:rsidRDefault="00907A3A" w:rsidP="00042278">
            <w:pPr>
              <w:pStyle w:val="BodyText"/>
              <w:keepNext/>
              <w:spacing w:before="0" w:after="0" w:line="240" w:lineRule="auto"/>
            </w:pPr>
            <w:r>
              <w:rPr>
                <w:noProof/>
              </w:rPr>
              <w:drawing>
                <wp:inline distT="0" distB="0" distL="0" distR="0" wp14:anchorId="10AAB132" wp14:editId="29CF6C26">
                  <wp:extent cx="5040000" cy="2628000"/>
                  <wp:effectExtent l="0" t="0" r="0" b="1270"/>
                  <wp:docPr id="16" name="Picture 16" descr="Second priority firm product" title="Second priority firm product "/>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040000" cy="2628000"/>
                          </a:xfrm>
                          <a:prstGeom prst="rect">
                            <a:avLst/>
                          </a:prstGeom>
                          <a:noFill/>
                        </pic:spPr>
                      </pic:pic>
                    </a:graphicData>
                  </a:graphic>
                </wp:inline>
              </w:drawing>
            </w:r>
          </w:p>
        </w:tc>
      </w:tr>
    </w:tbl>
    <w:p w14:paraId="6FE8988C" w14:textId="77777777" w:rsidR="00610057" w:rsidRPr="005C6C6C" w:rsidRDefault="00610057" w:rsidP="005C6C6C">
      <w:pPr>
        <w:spacing w:line="240" w:lineRule="auto"/>
        <w:rPr>
          <w:sz w:val="8"/>
        </w:rPr>
      </w:pPr>
    </w:p>
    <w:tbl>
      <w:tblPr>
        <w:tblStyle w:val="TableGrid"/>
        <w:tblW w:w="0" w:type="auto"/>
        <w:tblLook w:val="04A0" w:firstRow="1" w:lastRow="0" w:firstColumn="1" w:lastColumn="0" w:noHBand="0" w:noVBand="1"/>
        <w:tblCaption w:val="Figure 4.1: Auction quantity calculations "/>
        <w:tblDescription w:val="Auction quantity calculations "/>
      </w:tblPr>
      <w:tblGrid>
        <w:gridCol w:w="8788"/>
      </w:tblGrid>
      <w:tr w:rsidR="00907A3A" w:rsidRPr="0072309A" w14:paraId="5B10FD13" w14:textId="77777777" w:rsidTr="005C6C6C">
        <w:trPr>
          <w:cnfStyle w:val="100000000000" w:firstRow="1" w:lastRow="0" w:firstColumn="0" w:lastColumn="0" w:oddVBand="0" w:evenVBand="0" w:oddHBand="0" w:evenHBand="0" w:firstRowFirstColumn="0" w:firstRowLastColumn="0" w:lastRowFirstColumn="0" w:lastRowLastColumn="0"/>
          <w:tblHeader/>
        </w:trPr>
        <w:tc>
          <w:tcPr>
            <w:tcW w:w="8788" w:type="dxa"/>
            <w:shd w:val="clear" w:color="auto" w:fill="E1E2E7" w:themeFill="background2"/>
          </w:tcPr>
          <w:p w14:paraId="2E0A454A" w14:textId="77777777" w:rsidR="00907A3A" w:rsidRPr="0072309A" w:rsidRDefault="00907A3A" w:rsidP="00042278">
            <w:pPr>
              <w:pStyle w:val="BodyText"/>
              <w:keepNext/>
              <w:spacing w:before="0" w:after="0" w:line="240" w:lineRule="auto"/>
              <w:jc w:val="center"/>
              <w:rPr>
                <w:b w:val="0"/>
              </w:rPr>
            </w:pPr>
            <w:r w:rsidRPr="005C6C6C">
              <w:rPr>
                <w:color w:val="auto"/>
              </w:rPr>
              <w:t>Second priority as available product</w:t>
            </w:r>
          </w:p>
        </w:tc>
      </w:tr>
      <w:tr w:rsidR="00907A3A" w14:paraId="156DD6E9" w14:textId="77777777" w:rsidTr="00042278">
        <w:tc>
          <w:tcPr>
            <w:tcW w:w="8788" w:type="dxa"/>
          </w:tcPr>
          <w:p w14:paraId="35C9AFE6" w14:textId="77777777" w:rsidR="00907A3A" w:rsidRDefault="00907A3A" w:rsidP="00042278">
            <w:pPr>
              <w:pStyle w:val="BodyText"/>
              <w:spacing w:before="0" w:after="0" w:line="240" w:lineRule="auto"/>
            </w:pPr>
            <w:r>
              <w:rPr>
                <w:noProof/>
              </w:rPr>
              <w:drawing>
                <wp:inline distT="0" distB="0" distL="0" distR="0" wp14:anchorId="1CEB8ECD" wp14:editId="1DEC7248">
                  <wp:extent cx="5040000" cy="2628000"/>
                  <wp:effectExtent l="0" t="0" r="0" b="1270"/>
                  <wp:docPr id="15" name="Picture 15" descr="Second priority as available product" title="Second priority as available produ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040000" cy="2628000"/>
                          </a:xfrm>
                          <a:prstGeom prst="rect">
                            <a:avLst/>
                          </a:prstGeom>
                          <a:noFill/>
                        </pic:spPr>
                      </pic:pic>
                    </a:graphicData>
                  </a:graphic>
                </wp:inline>
              </w:drawing>
            </w:r>
          </w:p>
        </w:tc>
      </w:tr>
    </w:tbl>
    <w:p w14:paraId="575CA2C1" w14:textId="77777777" w:rsidR="005C6C6C" w:rsidRPr="005C6C6C" w:rsidRDefault="005C6C6C">
      <w:pPr>
        <w:rPr>
          <w:sz w:val="8"/>
        </w:rPr>
      </w:pPr>
    </w:p>
    <w:tbl>
      <w:tblPr>
        <w:tblStyle w:val="TableGrid"/>
        <w:tblW w:w="0" w:type="auto"/>
        <w:tblLook w:val="04A0" w:firstRow="1" w:lastRow="0" w:firstColumn="1" w:lastColumn="0" w:noHBand="0" w:noVBand="1"/>
        <w:tblCaption w:val="Figure 4.1: Auction quantity calculations "/>
        <w:tblDescription w:val="Auction quantity calculations "/>
      </w:tblPr>
      <w:tblGrid>
        <w:gridCol w:w="8788"/>
      </w:tblGrid>
      <w:tr w:rsidR="00907A3A" w:rsidRPr="0072309A" w14:paraId="2193FCDC" w14:textId="77777777" w:rsidTr="005C6C6C">
        <w:trPr>
          <w:cnfStyle w:val="100000000000" w:firstRow="1" w:lastRow="0" w:firstColumn="0" w:lastColumn="0" w:oddVBand="0" w:evenVBand="0" w:oddHBand="0" w:evenHBand="0" w:firstRowFirstColumn="0" w:firstRowLastColumn="0" w:lastRowFirstColumn="0" w:lastRowLastColumn="0"/>
          <w:tblHeader/>
        </w:trPr>
        <w:tc>
          <w:tcPr>
            <w:tcW w:w="8788" w:type="dxa"/>
            <w:shd w:val="clear" w:color="auto" w:fill="E1E2E7" w:themeFill="background2"/>
          </w:tcPr>
          <w:p w14:paraId="31DA5FA5" w14:textId="77777777" w:rsidR="00907A3A" w:rsidRPr="005C6C6C" w:rsidRDefault="00907A3A" w:rsidP="00042278">
            <w:pPr>
              <w:pStyle w:val="BodyText"/>
              <w:keepNext/>
              <w:spacing w:before="0" w:after="0" w:line="240" w:lineRule="auto"/>
              <w:jc w:val="center"/>
            </w:pPr>
            <w:r w:rsidRPr="005C6C6C">
              <w:rPr>
                <w:color w:val="auto"/>
              </w:rPr>
              <w:t>Second priority interruptible product</w:t>
            </w:r>
          </w:p>
        </w:tc>
      </w:tr>
      <w:tr w:rsidR="00907A3A" w14:paraId="63F8F9BC" w14:textId="77777777" w:rsidTr="00042278">
        <w:tc>
          <w:tcPr>
            <w:tcW w:w="8788" w:type="dxa"/>
          </w:tcPr>
          <w:p w14:paraId="45583513" w14:textId="77777777" w:rsidR="00907A3A" w:rsidRDefault="00907A3A" w:rsidP="00042278">
            <w:pPr>
              <w:pStyle w:val="BodyText"/>
              <w:spacing w:before="0" w:after="0" w:line="240" w:lineRule="auto"/>
            </w:pPr>
            <w:r>
              <w:rPr>
                <w:noProof/>
              </w:rPr>
              <w:drawing>
                <wp:inline distT="0" distB="0" distL="0" distR="0" wp14:anchorId="7CB28126" wp14:editId="63A76D4D">
                  <wp:extent cx="5040000" cy="2628000"/>
                  <wp:effectExtent l="0" t="0" r="0" b="1270"/>
                  <wp:docPr id="14" name="Picture 14" descr="Second priority interruptible product" title="Second priority interruptible produ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040000" cy="2628000"/>
                          </a:xfrm>
                          <a:prstGeom prst="rect">
                            <a:avLst/>
                          </a:prstGeom>
                          <a:noFill/>
                        </pic:spPr>
                      </pic:pic>
                    </a:graphicData>
                  </a:graphic>
                </wp:inline>
              </w:drawing>
            </w:r>
          </w:p>
        </w:tc>
      </w:tr>
    </w:tbl>
    <w:p w14:paraId="61918759" w14:textId="1FC3DF73" w:rsidR="00907A3A" w:rsidRDefault="00907A3A" w:rsidP="00907A3A">
      <w:pPr>
        <w:pStyle w:val="BodyText"/>
      </w:pPr>
      <w:r>
        <w:t xml:space="preserve">These options were discussed with the Day-Ahead Auction project team, but in a similar manner to product design, the team was unable to reach consensus on whether as available or interruptible nominations received prior to nomination cut-off should be included in the calculation of contracted but un-nominated capacity. </w:t>
      </w:r>
      <w:r w:rsidR="00A93ABB">
        <w:t xml:space="preserve">A number </w:t>
      </w:r>
      <w:r>
        <w:t xml:space="preserve">of </w:t>
      </w:r>
      <w:r w:rsidR="00A93ABB">
        <w:t>p</w:t>
      </w:r>
      <w:r>
        <w:t>roject team members did, however, think there was value in employing a top-down approach to scheduling as available and interruptible nominations if there is spare primary capacity available.</w:t>
      </w:r>
    </w:p>
    <w:p w14:paraId="27024A4F" w14:textId="193B801B" w:rsidR="00907A3A" w:rsidRPr="00D903C5" w:rsidRDefault="00907A3A" w:rsidP="00907A3A">
      <w:pPr>
        <w:pStyle w:val="BodyText"/>
      </w:pPr>
      <w:r w:rsidRPr="00D903C5">
        <w:t xml:space="preserve">As noted in section </w:t>
      </w:r>
      <w:r w:rsidRPr="00D903C5">
        <w:fldChar w:fldCharType="begin"/>
      </w:r>
      <w:r w:rsidRPr="00D903C5">
        <w:instrText xml:space="preserve"> REF _Ref494707756 \r \h </w:instrText>
      </w:r>
      <w:r>
        <w:instrText xml:space="preserve"> \* MERGEFORMAT </w:instrText>
      </w:r>
      <w:r w:rsidRPr="00D903C5">
        <w:fldChar w:fldCharType="separate"/>
      </w:r>
      <w:r w:rsidR="00272B32">
        <w:t>3.2</w:t>
      </w:r>
      <w:r w:rsidRPr="00D903C5">
        <w:fldChar w:fldCharType="end"/>
      </w:r>
      <w:r w:rsidRPr="00D903C5">
        <w:t xml:space="preserve">, the GMRG’s preliminary view is that the auction product should be a second priority firm product. The GMRG is therefore of the view that as available and interruptible nominations received prior to nomination cut-off should not be included in the calculation of contracted but un-nominated capacity. </w:t>
      </w:r>
    </w:p>
    <w:p w14:paraId="1DE97E89" w14:textId="77777777" w:rsidR="00907A3A" w:rsidRDefault="00907A3A" w:rsidP="00907A3A">
      <w:pPr>
        <w:pStyle w:val="BodyText"/>
      </w:pPr>
      <w:r w:rsidRPr="00D903C5">
        <w:t>If this preliminary view is maintained in the GMRG’s final recommendation then no further</w:t>
      </w:r>
      <w:r>
        <w:t xml:space="preserve"> consideration will need to be given to whether a top down or bottom up approach to scheduling as available or interruptible products should be employed, because they will be scheduled after the auction product. If, however, a decision is made to adopt a second priority as available or interruptible auction product, then further consideration will need to be given to this issue. In this regard, it is worth noting that like the majority of project team members, the GMRG thinks there would be merit in trying to maximise the volume of capacity released in the auction by employing a top down approach to scheduling if spare primary capacity is available. The GMRG is, however, interested in understanding whether there are any technical reasons why this approach could not be employed. </w:t>
      </w:r>
    </w:p>
    <w:p w14:paraId="1CA86D51" w14:textId="77777777" w:rsidR="00CC224F" w:rsidRDefault="00907A3A" w:rsidP="003E48D8">
      <w:pPr>
        <w:pStyle w:val="BodyText"/>
      </w:pPr>
      <w:r>
        <w:t>The GMRG is also interested in stakeholders’ views on whether</w:t>
      </w:r>
      <w:r w:rsidR="00CC224F">
        <w:t>:</w:t>
      </w:r>
      <w:r>
        <w:t xml:space="preserve"> </w:t>
      </w:r>
    </w:p>
    <w:p w14:paraId="11CD18B1" w14:textId="77777777" w:rsidR="00CC224F" w:rsidRDefault="00907A3A" w:rsidP="003E48D8">
      <w:pPr>
        <w:pStyle w:val="ListBullet"/>
        <w:ind w:left="357" w:hanging="357"/>
      </w:pPr>
      <w:r>
        <w:t>there are any other factors that service providers would need to take into account when calculating the auction quantity for each product</w:t>
      </w:r>
      <w:r w:rsidR="00CC224F">
        <w:t>;</w:t>
      </w:r>
    </w:p>
    <w:p w14:paraId="062724DF" w14:textId="2CFA7FF2" w:rsidR="00CC224F" w:rsidRDefault="00CC224F" w:rsidP="003E48D8">
      <w:pPr>
        <w:pStyle w:val="ListBullet"/>
        <w:ind w:left="357" w:hanging="357"/>
      </w:pPr>
      <w:r>
        <w:t xml:space="preserve">there are any specific calculation issues that the GRMG would need to consider if the point-to-point approach is used (see section </w:t>
      </w:r>
      <w:r>
        <w:fldChar w:fldCharType="begin"/>
      </w:r>
      <w:r>
        <w:instrText xml:space="preserve"> REF _Ref495223392 \r \h </w:instrText>
      </w:r>
      <w:r>
        <w:fldChar w:fldCharType="separate"/>
      </w:r>
      <w:r w:rsidR="00272B32">
        <w:t>3.4</w:t>
      </w:r>
      <w:r>
        <w:fldChar w:fldCharType="end"/>
      </w:r>
      <w:r>
        <w:t xml:space="preserve">); or </w:t>
      </w:r>
    </w:p>
    <w:p w14:paraId="21A80C56" w14:textId="396A6741" w:rsidR="00907A3A" w:rsidRDefault="00907A3A" w:rsidP="003E48D8">
      <w:pPr>
        <w:pStyle w:val="ListBullet"/>
        <w:spacing w:line="240" w:lineRule="auto"/>
        <w:ind w:left="357" w:hanging="357"/>
      </w:pPr>
      <w:proofErr w:type="gramStart"/>
      <w:r>
        <w:t>the</w:t>
      </w:r>
      <w:proofErr w:type="gramEnd"/>
      <w:r>
        <w:t xml:space="preserve"> method used to calculate the auction quantity should be specified in the NGR.</w:t>
      </w:r>
      <w:r w:rsidR="00CC224F">
        <w:t xml:space="preserve"> </w:t>
      </w:r>
    </w:p>
    <w:tbl>
      <w:tblPr>
        <w:tblStyle w:val="PullOutBoxTable"/>
        <w:tblW w:w="5000" w:type="pct"/>
        <w:shd w:val="clear" w:color="auto" w:fill="B7E7FF"/>
        <w:tblCellMar>
          <w:top w:w="85" w:type="dxa"/>
          <w:bottom w:w="85" w:type="dxa"/>
        </w:tblCellMar>
        <w:tblLook w:val="0620" w:firstRow="1" w:lastRow="0" w:firstColumn="0" w:lastColumn="0" w:noHBand="1" w:noVBand="1"/>
        <w:tblCaption w:val="Box 4.1: Questions on the calculation of auction quantity"/>
        <w:tblDescription w:val="Questions on the calculation of auction quantity"/>
      </w:tblPr>
      <w:tblGrid>
        <w:gridCol w:w="8788"/>
      </w:tblGrid>
      <w:tr w:rsidR="00390E2A" w:rsidRPr="008D0BFF" w14:paraId="22BA95A7" w14:textId="77777777" w:rsidTr="003E48D8">
        <w:trPr>
          <w:trHeight w:val="20"/>
          <w:tblHeader/>
        </w:trPr>
        <w:tc>
          <w:tcPr>
            <w:tcW w:w="5000" w:type="pct"/>
            <w:shd w:val="clear" w:color="auto" w:fill="auto"/>
          </w:tcPr>
          <w:p w14:paraId="509C9986" w14:textId="15E96441" w:rsidR="00390E2A" w:rsidRPr="00390E2A" w:rsidRDefault="005C6C6C" w:rsidP="003E48D8">
            <w:pPr>
              <w:pStyle w:val="ListBullet"/>
              <w:numPr>
                <w:ilvl w:val="0"/>
                <w:numId w:val="0"/>
              </w:numPr>
              <w:spacing w:before="0" w:after="0"/>
              <w:rPr>
                <w:sz w:val="21"/>
                <w:szCs w:val="21"/>
              </w:rPr>
            </w:pPr>
            <w:r w:rsidRPr="00390E2A">
              <w:rPr>
                <w:b/>
              </w:rPr>
              <w:t xml:space="preserve">Box </w:t>
            </w:r>
            <w:r w:rsidRPr="00390E2A">
              <w:rPr>
                <w:b/>
              </w:rPr>
              <w:fldChar w:fldCharType="begin"/>
            </w:r>
            <w:r w:rsidRPr="00390E2A">
              <w:rPr>
                <w:b/>
              </w:rPr>
              <w:instrText xml:space="preserve"> STYLEREF 1 \s </w:instrText>
            </w:r>
            <w:r w:rsidRPr="00390E2A">
              <w:rPr>
                <w:b/>
              </w:rPr>
              <w:fldChar w:fldCharType="separate"/>
            </w:r>
            <w:r w:rsidRPr="00390E2A">
              <w:rPr>
                <w:b/>
                <w:noProof/>
              </w:rPr>
              <w:t>4</w:t>
            </w:r>
            <w:r w:rsidRPr="00390E2A">
              <w:rPr>
                <w:b/>
                <w:noProof/>
              </w:rPr>
              <w:fldChar w:fldCharType="end"/>
            </w:r>
            <w:r w:rsidRPr="00390E2A">
              <w:rPr>
                <w:b/>
              </w:rPr>
              <w:t>.</w:t>
            </w:r>
            <w:r w:rsidRPr="00390E2A">
              <w:rPr>
                <w:b/>
              </w:rPr>
              <w:fldChar w:fldCharType="begin"/>
            </w:r>
            <w:r w:rsidRPr="00390E2A">
              <w:rPr>
                <w:b/>
              </w:rPr>
              <w:instrText xml:space="preserve"> SEQ Box \* ARABIC \s 1 </w:instrText>
            </w:r>
            <w:r w:rsidRPr="00390E2A">
              <w:rPr>
                <w:b/>
              </w:rPr>
              <w:fldChar w:fldCharType="separate"/>
            </w:r>
            <w:r w:rsidRPr="00390E2A">
              <w:rPr>
                <w:b/>
                <w:noProof/>
              </w:rPr>
              <w:t>1</w:t>
            </w:r>
            <w:r w:rsidRPr="00390E2A">
              <w:rPr>
                <w:b/>
                <w:noProof/>
              </w:rPr>
              <w:fldChar w:fldCharType="end"/>
            </w:r>
            <w:r w:rsidRPr="00390E2A">
              <w:rPr>
                <w:b/>
              </w:rPr>
              <w:t xml:space="preserve">: </w:t>
            </w:r>
            <w:r w:rsidRPr="00390E2A">
              <w:rPr>
                <w:b/>
                <w:bCs/>
              </w:rPr>
              <w:t>Questions on the calculation of auction quantity</w:t>
            </w:r>
          </w:p>
        </w:tc>
      </w:tr>
      <w:tr w:rsidR="005C6C6C" w:rsidRPr="008D0BFF" w14:paraId="41182CEA" w14:textId="77777777" w:rsidTr="003E48D8">
        <w:trPr>
          <w:trHeight w:val="542"/>
          <w:tblHeader/>
        </w:trPr>
        <w:tc>
          <w:tcPr>
            <w:tcW w:w="5000" w:type="pct"/>
            <w:shd w:val="clear" w:color="auto" w:fill="B7E7FF"/>
          </w:tcPr>
          <w:p w14:paraId="737E692E" w14:textId="77777777" w:rsidR="005C6C6C" w:rsidRPr="008D0BFF" w:rsidRDefault="005C6C6C" w:rsidP="003E48D8">
            <w:pPr>
              <w:pStyle w:val="ListNumber"/>
              <w:numPr>
                <w:ilvl w:val="0"/>
                <w:numId w:val="20"/>
              </w:numPr>
              <w:spacing w:before="60" w:after="0"/>
              <w:ind w:left="357" w:hanging="357"/>
              <w:rPr>
                <w:rFonts w:eastAsiaTheme="majorEastAsia"/>
                <w:sz w:val="21"/>
                <w:szCs w:val="21"/>
              </w:rPr>
            </w:pPr>
            <w:r w:rsidRPr="008D0BFF">
              <w:rPr>
                <w:rFonts w:eastAsiaTheme="majorEastAsia"/>
                <w:sz w:val="21"/>
                <w:szCs w:val="21"/>
              </w:rPr>
              <w:t xml:space="preserve">Do you agree that the calculation of the contracted but un-nominated capacity will simply involve deducting the actual nominations from the reserved capacity for each product (e.g. at receipt points, delivery points, pipeline segments and compression), or are there other complexities that </w:t>
            </w:r>
            <w:r w:rsidRPr="008D0BFF">
              <w:rPr>
                <w:sz w:val="21"/>
                <w:szCs w:val="21"/>
              </w:rPr>
              <w:t>service providers will need to deal with that have not yet been identified?</w:t>
            </w:r>
            <w:r w:rsidRPr="008D0BFF">
              <w:rPr>
                <w:rFonts w:eastAsiaTheme="majorEastAsia"/>
                <w:sz w:val="21"/>
                <w:szCs w:val="21"/>
              </w:rPr>
              <w:t xml:space="preserve"> </w:t>
            </w:r>
          </w:p>
          <w:p w14:paraId="5395FEAC" w14:textId="77777777" w:rsidR="005C6C6C" w:rsidRPr="008D0BFF" w:rsidRDefault="005C6C6C" w:rsidP="003E48D8">
            <w:pPr>
              <w:pStyle w:val="ListNumber"/>
              <w:numPr>
                <w:ilvl w:val="0"/>
                <w:numId w:val="20"/>
              </w:numPr>
              <w:spacing w:before="60" w:after="0"/>
              <w:ind w:left="357" w:hanging="357"/>
              <w:rPr>
                <w:rFonts w:eastAsiaTheme="majorEastAsia"/>
                <w:sz w:val="21"/>
                <w:szCs w:val="21"/>
              </w:rPr>
            </w:pPr>
            <w:r w:rsidRPr="008D0BFF">
              <w:rPr>
                <w:rFonts w:eastAsiaTheme="majorEastAsia"/>
                <w:sz w:val="21"/>
                <w:szCs w:val="21"/>
              </w:rPr>
              <w:t xml:space="preserve">Given your view on product design, do you think </w:t>
            </w:r>
            <w:r w:rsidRPr="008D0BFF">
              <w:rPr>
                <w:sz w:val="21"/>
                <w:szCs w:val="21"/>
              </w:rPr>
              <w:t>as available or interruptible nominations received prior to nomination cut-off should be included in the calculation of contracted but un-nominated capacity?</w:t>
            </w:r>
          </w:p>
          <w:p w14:paraId="094F92F1" w14:textId="77777777" w:rsidR="003E48D8" w:rsidRDefault="005C6C6C" w:rsidP="003E48D8">
            <w:pPr>
              <w:pStyle w:val="ListBullet"/>
              <w:numPr>
                <w:ilvl w:val="0"/>
                <w:numId w:val="20"/>
              </w:numPr>
              <w:spacing w:before="60" w:after="0"/>
              <w:ind w:left="357" w:hanging="357"/>
              <w:rPr>
                <w:sz w:val="21"/>
                <w:szCs w:val="21"/>
              </w:rPr>
            </w:pPr>
            <w:r w:rsidRPr="008D0BFF">
              <w:rPr>
                <w:rFonts w:eastAsiaTheme="majorEastAsia"/>
                <w:sz w:val="21"/>
                <w:szCs w:val="21"/>
              </w:rPr>
              <w:t>If the auction product is defined as a second priority as available or interruptible product, do you think service providers should be required to employ a top down approach to scheduling these services, or are there technical reasons why this approach can’t be employed?</w:t>
            </w:r>
            <w:r w:rsidR="003E48D8" w:rsidRPr="008D0BFF">
              <w:rPr>
                <w:sz w:val="21"/>
                <w:szCs w:val="21"/>
              </w:rPr>
              <w:t xml:space="preserve"> </w:t>
            </w:r>
          </w:p>
          <w:p w14:paraId="36005B85" w14:textId="4CC4D5A2" w:rsidR="003E48D8" w:rsidRPr="008D0BFF" w:rsidRDefault="003E48D8" w:rsidP="003E48D8">
            <w:pPr>
              <w:pStyle w:val="ListBullet"/>
              <w:numPr>
                <w:ilvl w:val="0"/>
                <w:numId w:val="20"/>
              </w:numPr>
              <w:spacing w:before="60" w:after="0"/>
              <w:ind w:left="357" w:hanging="357"/>
              <w:rPr>
                <w:sz w:val="21"/>
                <w:szCs w:val="21"/>
              </w:rPr>
            </w:pPr>
            <w:r w:rsidRPr="008D0BFF">
              <w:rPr>
                <w:sz w:val="21"/>
                <w:szCs w:val="21"/>
              </w:rPr>
              <w:t>Are there any other factors that service providers would need to take into account when calculating the auction quantity for each product?</w:t>
            </w:r>
          </w:p>
          <w:p w14:paraId="7817B8C4" w14:textId="1289868C" w:rsidR="005C6C6C" w:rsidRPr="003E48D8" w:rsidRDefault="003E48D8" w:rsidP="003E48D8">
            <w:pPr>
              <w:pStyle w:val="ListBullet"/>
              <w:numPr>
                <w:ilvl w:val="0"/>
                <w:numId w:val="20"/>
              </w:numPr>
              <w:spacing w:before="60" w:after="0"/>
              <w:ind w:left="357" w:hanging="357"/>
              <w:rPr>
                <w:sz w:val="21"/>
                <w:szCs w:val="21"/>
              </w:rPr>
            </w:pPr>
            <w:r w:rsidRPr="008D0BFF">
              <w:rPr>
                <w:sz w:val="21"/>
                <w:szCs w:val="21"/>
              </w:rPr>
              <w:t>Are there any specifi</w:t>
            </w:r>
            <w:r>
              <w:rPr>
                <w:sz w:val="21"/>
                <w:szCs w:val="21"/>
              </w:rPr>
              <w:t>c calculation issues that the G</w:t>
            </w:r>
            <w:r w:rsidRPr="008D0BFF">
              <w:rPr>
                <w:sz w:val="21"/>
                <w:szCs w:val="21"/>
              </w:rPr>
              <w:t>M</w:t>
            </w:r>
            <w:r>
              <w:rPr>
                <w:sz w:val="21"/>
                <w:szCs w:val="21"/>
              </w:rPr>
              <w:t>R</w:t>
            </w:r>
            <w:r w:rsidRPr="008D0BFF">
              <w:rPr>
                <w:sz w:val="21"/>
                <w:szCs w:val="21"/>
              </w:rPr>
              <w:t>G would need to consider if the point-to-point approach is used?</w:t>
            </w:r>
          </w:p>
        </w:tc>
      </w:tr>
    </w:tbl>
    <w:p w14:paraId="3FCCF790" w14:textId="77777777" w:rsidR="003E48D8" w:rsidRDefault="003E48D8"/>
    <w:tbl>
      <w:tblPr>
        <w:tblStyle w:val="PullOutBoxTable"/>
        <w:tblW w:w="5000" w:type="pct"/>
        <w:shd w:val="clear" w:color="auto" w:fill="B7E7FF"/>
        <w:tblCellMar>
          <w:top w:w="85" w:type="dxa"/>
          <w:bottom w:w="85" w:type="dxa"/>
        </w:tblCellMar>
        <w:tblLook w:val="0620" w:firstRow="1" w:lastRow="0" w:firstColumn="0" w:lastColumn="0" w:noHBand="1" w:noVBand="1"/>
        <w:tblCaption w:val="Box 4.1: Questions on the calculation of auction quantity"/>
        <w:tblDescription w:val="Questions on the calculation of auction quantity"/>
      </w:tblPr>
      <w:tblGrid>
        <w:gridCol w:w="8788"/>
      </w:tblGrid>
      <w:tr w:rsidR="003E48D8" w:rsidRPr="008D0BFF" w14:paraId="49AB92F5" w14:textId="77777777" w:rsidTr="003E48D8">
        <w:trPr>
          <w:trHeight w:val="542"/>
          <w:tblHeader/>
        </w:trPr>
        <w:tc>
          <w:tcPr>
            <w:tcW w:w="5000" w:type="pct"/>
            <w:shd w:val="clear" w:color="auto" w:fill="B7E7FF"/>
          </w:tcPr>
          <w:p w14:paraId="3F2D5891" w14:textId="0BD58A3B" w:rsidR="003E48D8" w:rsidRPr="008D0BFF" w:rsidRDefault="003E48D8" w:rsidP="003E48D8">
            <w:pPr>
              <w:pStyle w:val="ListBullet"/>
              <w:numPr>
                <w:ilvl w:val="0"/>
                <w:numId w:val="20"/>
              </w:numPr>
              <w:spacing w:before="60" w:after="0"/>
              <w:ind w:left="357" w:hanging="357"/>
              <w:rPr>
                <w:rFonts w:eastAsiaTheme="majorEastAsia"/>
                <w:sz w:val="21"/>
                <w:szCs w:val="21"/>
              </w:rPr>
            </w:pPr>
            <w:r w:rsidRPr="003E48D8">
              <w:rPr>
                <w:rFonts w:eastAsiaTheme="majorEastAsia"/>
                <w:sz w:val="21"/>
                <w:szCs w:val="21"/>
              </w:rPr>
              <w:t>Do you think the method service providers are to use when calculating the auction quantity should be specified in the NGR, or do you think service providers should be able to develop their own method and have it approved by the AER?</w:t>
            </w:r>
          </w:p>
        </w:tc>
      </w:tr>
    </w:tbl>
    <w:p w14:paraId="2B00EBF1" w14:textId="3296200A" w:rsidR="003E716A" w:rsidRPr="00A51172" w:rsidRDefault="003E716A" w:rsidP="003E716A">
      <w:pPr>
        <w:pStyle w:val="Heading2"/>
      </w:pPr>
      <w:bookmarkStart w:id="92" w:name="_Toc495351637"/>
      <w:r w:rsidRPr="00A51172">
        <w:t>Auction format</w:t>
      </w:r>
      <w:bookmarkEnd w:id="90"/>
      <w:bookmarkEnd w:id="92"/>
    </w:p>
    <w:p w14:paraId="1CC8B3A0" w14:textId="1261B854" w:rsidR="00935285" w:rsidRDefault="00935285" w:rsidP="00935285">
      <w:pPr>
        <w:pStyle w:val="BodyText"/>
      </w:pPr>
      <w:r>
        <w:t xml:space="preserve">The AEMC’s preferred outcomes for the day-ahead auction </w:t>
      </w:r>
      <w:r w:rsidR="008B1E4F">
        <w:t xml:space="preserve">format </w:t>
      </w:r>
      <w:r>
        <w:t>are that:</w:t>
      </w:r>
      <w:r w:rsidR="00155ABB">
        <w:rPr>
          <w:rStyle w:val="FootnoteReference"/>
        </w:rPr>
        <w:footnoteReference w:id="48"/>
      </w:r>
    </w:p>
    <w:p w14:paraId="399EE5E4" w14:textId="45FE2365" w:rsidR="00935285" w:rsidRDefault="008B1E4F" w:rsidP="008B1E4F">
      <w:pPr>
        <w:pStyle w:val="ListBullet"/>
      </w:pPr>
      <w:r>
        <w:t>a</w:t>
      </w:r>
      <w:r w:rsidR="00935285">
        <w:t xml:space="preserve"> combinatorial auction </w:t>
      </w:r>
      <w:r>
        <w:t xml:space="preserve">format </w:t>
      </w:r>
      <w:r w:rsidR="00935285">
        <w:t xml:space="preserve">be employed so that </w:t>
      </w:r>
      <w:r>
        <w:t xml:space="preserve">auction participants </w:t>
      </w:r>
      <w:r w:rsidR="00935285">
        <w:t>can co-ordinate trades and manage complementarities between pipeline</w:t>
      </w:r>
      <w:r w:rsidR="00E87E88">
        <w:t>s</w:t>
      </w:r>
      <w:r w:rsidR="00935285">
        <w:t>; and</w:t>
      </w:r>
    </w:p>
    <w:p w14:paraId="39AA8561" w14:textId="17C4297C" w:rsidR="00935285" w:rsidRDefault="008B1E4F" w:rsidP="008B1E4F">
      <w:pPr>
        <w:pStyle w:val="ListBullet"/>
      </w:pPr>
      <w:proofErr w:type="gramStart"/>
      <w:r>
        <w:t>a</w:t>
      </w:r>
      <w:proofErr w:type="gramEnd"/>
      <w:r>
        <w:t xml:space="preserve"> </w:t>
      </w:r>
      <w:r w:rsidR="00935285">
        <w:t>sing</w:t>
      </w:r>
      <w:r>
        <w:t>l</w:t>
      </w:r>
      <w:r w:rsidR="00935285">
        <w:t xml:space="preserve">e round </w:t>
      </w:r>
      <w:r>
        <w:t xml:space="preserve">of bidding be allowed </w:t>
      </w:r>
      <w:r w:rsidR="00935285">
        <w:t>to reduce the complexity associated with the auction and minimise the opportunities for anti-competitive behaviour.</w:t>
      </w:r>
    </w:p>
    <w:p w14:paraId="1DD97BE8" w14:textId="4CDB85B7" w:rsidR="008B1E4F" w:rsidRDefault="00E87E88" w:rsidP="008B1E4F">
      <w:pPr>
        <w:pStyle w:val="BodyText"/>
      </w:pPr>
      <w:r>
        <w:t xml:space="preserve">A combinatorial auction is required in this context, because the day-ahead auction will include capacity at receipt points, delivery points, pipeline segments and compression services (jointly referred to as ‘products’ in the following discussion). To transport gas from one point to another, auction participants will need to win the same quantity of all products that connect </w:t>
      </w:r>
      <w:r w:rsidR="00643B8D">
        <w:t xml:space="preserve">the receipt and delivery </w:t>
      </w:r>
      <w:r>
        <w:t>points. If bidders compete for individual products</w:t>
      </w:r>
      <w:r w:rsidRPr="00937F11">
        <w:t xml:space="preserve"> in an auction, they run the risk of winning capacity at only a subset of them</w:t>
      </w:r>
      <w:r>
        <w:t>, which would be of no value</w:t>
      </w:r>
      <w:r w:rsidR="003975C3">
        <w:t xml:space="preserve"> to them</w:t>
      </w:r>
      <w:r>
        <w:t xml:space="preserve">. The combinatorial auction format, which allows bidders to submit bids for packages or combinations of products, </w:t>
      </w:r>
      <w:r w:rsidR="007005ED">
        <w:t>reduces</w:t>
      </w:r>
      <w:r>
        <w:t xml:space="preserve"> </w:t>
      </w:r>
      <w:r w:rsidR="007005ED">
        <w:t>this</w:t>
      </w:r>
      <w:r>
        <w:t xml:space="preserve"> </w:t>
      </w:r>
      <w:r w:rsidR="007005ED">
        <w:t>aggregation risk</w:t>
      </w:r>
      <w:r>
        <w:t xml:space="preserve"> because it allows participants to </w:t>
      </w:r>
      <w:r w:rsidR="008B1E4F">
        <w:t xml:space="preserve">make their bid for one </w:t>
      </w:r>
      <w:r>
        <w:t xml:space="preserve">product </w:t>
      </w:r>
      <w:r w:rsidR="008B1E4F">
        <w:t xml:space="preserve">conditional upon obtaining other </w:t>
      </w:r>
      <w:r>
        <w:t>products</w:t>
      </w:r>
      <w:r w:rsidR="008B1E4F" w:rsidRPr="008B1E4F">
        <w:t xml:space="preserve">. </w:t>
      </w:r>
    </w:p>
    <w:p w14:paraId="0E9F4C59" w14:textId="01B3B733" w:rsidR="006E2ED6" w:rsidRDefault="007005ED" w:rsidP="008B1E4F">
      <w:pPr>
        <w:pStyle w:val="BodyText"/>
      </w:pPr>
      <w:r>
        <w:t>There are two types of combinatorial auction formats</w:t>
      </w:r>
      <w:r w:rsidR="006E2ED6">
        <w:t xml:space="preserve"> that could be </w:t>
      </w:r>
      <w:r w:rsidR="00643B8D">
        <w:t>used</w:t>
      </w:r>
      <w:r w:rsidR="006E2ED6">
        <w:t xml:space="preserve"> in this context</w:t>
      </w:r>
      <w:r>
        <w:t>:</w:t>
      </w:r>
      <w:r w:rsidR="006E2ED6">
        <w:t xml:space="preserve"> </w:t>
      </w:r>
    </w:p>
    <w:p w14:paraId="0FCD1D81" w14:textId="4BDD823A" w:rsidR="006E2ED6" w:rsidRDefault="00643B8D" w:rsidP="006E2ED6">
      <w:pPr>
        <w:pStyle w:val="ListBullet"/>
      </w:pPr>
      <w:r>
        <w:rPr>
          <w:b/>
        </w:rPr>
        <w:t>P</w:t>
      </w:r>
      <w:r w:rsidR="007005ED" w:rsidRPr="003441FE">
        <w:rPr>
          <w:b/>
        </w:rPr>
        <w:t>artial combinatorial auction</w:t>
      </w:r>
      <w:r w:rsidR="003441FE">
        <w:t xml:space="preserve">: </w:t>
      </w:r>
      <w:r w:rsidR="005C28E8">
        <w:t>A partial combinatorial auction</w:t>
      </w:r>
      <w:r>
        <w:t xml:space="preserve"> </w:t>
      </w:r>
      <w:r w:rsidR="005C28E8">
        <w:t xml:space="preserve">is a linear-programming based auction mechanism that allows participants to bid the same quantity across a number of products at the same time. Under </w:t>
      </w:r>
      <w:r w:rsidR="006E2ED6">
        <w:t xml:space="preserve">this auction format a </w:t>
      </w:r>
      <w:r w:rsidR="005C28E8">
        <w:t xml:space="preserve">participant’s </w:t>
      </w:r>
      <w:r w:rsidR="006E2ED6">
        <w:t>bid may be partially filled</w:t>
      </w:r>
      <w:r w:rsidR="005C28E8">
        <w:t xml:space="preserve">, but </w:t>
      </w:r>
      <w:r w:rsidR="003441FE">
        <w:t xml:space="preserve">if this occurs then it will </w:t>
      </w:r>
      <w:r w:rsidR="005C28E8">
        <w:t>win the same quantity for all products included in the bid.</w:t>
      </w:r>
      <w:r w:rsidR="006E2ED6">
        <w:t xml:space="preserve"> </w:t>
      </w:r>
      <w:r>
        <w:t xml:space="preserve">While this auction format can accommodate simple </w:t>
      </w:r>
      <w:r w:rsidR="00144CFC">
        <w:t>demand,</w:t>
      </w:r>
      <w:r>
        <w:t xml:space="preserve"> it cannot accommodate substitutable or complementary demand without modification. This auction format is currently used in the </w:t>
      </w:r>
      <w:r w:rsidR="002421F8">
        <w:t xml:space="preserve">inter-regional </w:t>
      </w:r>
      <w:r>
        <w:t>Settlement Residue Auction (SRA)</w:t>
      </w:r>
      <w:r w:rsidR="002421F8">
        <w:t>, which AEMO is proposing to use as the basis for the day-ahead auction</w:t>
      </w:r>
      <w:r>
        <w:t>.</w:t>
      </w:r>
    </w:p>
    <w:p w14:paraId="390734DD" w14:textId="79CB0849" w:rsidR="006E2ED6" w:rsidRDefault="00643B8D" w:rsidP="006E2ED6">
      <w:pPr>
        <w:pStyle w:val="ListBullet"/>
      </w:pPr>
      <w:r>
        <w:rPr>
          <w:b/>
        </w:rPr>
        <w:t>F</w:t>
      </w:r>
      <w:r w:rsidR="007005ED" w:rsidRPr="003441FE">
        <w:rPr>
          <w:b/>
        </w:rPr>
        <w:t>ully combinatorial auction</w:t>
      </w:r>
      <w:r w:rsidR="003441FE">
        <w:rPr>
          <w:b/>
        </w:rPr>
        <w:t>:</w:t>
      </w:r>
      <w:r w:rsidR="006E2ED6" w:rsidRPr="003441FE">
        <w:rPr>
          <w:b/>
        </w:rPr>
        <w:t xml:space="preserve"> </w:t>
      </w:r>
      <w:r w:rsidR="005C28E8">
        <w:t xml:space="preserve">A fully combinatorial auction is an integer linear programming based auction mechanism that allows participants to bid for mutually-exclusive packages and only win </w:t>
      </w:r>
      <w:r w:rsidR="006E2ED6">
        <w:t>bid</w:t>
      </w:r>
      <w:r w:rsidR="005C28E8">
        <w:t>s</w:t>
      </w:r>
      <w:r w:rsidR="006E2ED6">
        <w:t xml:space="preserve"> </w:t>
      </w:r>
      <w:r w:rsidR="005C28E8">
        <w:t xml:space="preserve">in their entirety. </w:t>
      </w:r>
      <w:r w:rsidR="003441FE">
        <w:t>It therefore shields auction participants from aggregation risk</w:t>
      </w:r>
      <w:r>
        <w:t xml:space="preserve"> and can also accommodate simple, substitutable and complementary demand.</w:t>
      </w:r>
    </w:p>
    <w:p w14:paraId="1F1E678A" w14:textId="25339C41" w:rsidR="00925982" w:rsidRDefault="00925982" w:rsidP="008B1E4F">
      <w:pPr>
        <w:pStyle w:val="BodyText"/>
      </w:pPr>
      <w:r>
        <w:t xml:space="preserve">The choice between these two auction formats will depend on the nature of demand that auction participants are expected to have and the level of aggregation risk that auction participants are expected to be exposed to. </w:t>
      </w:r>
      <w:r w:rsidR="00273FA9">
        <w:fldChar w:fldCharType="begin"/>
      </w:r>
      <w:r w:rsidR="00273FA9">
        <w:instrText xml:space="preserve"> REF _Ref494002519 \h </w:instrText>
      </w:r>
      <w:r w:rsidR="00273FA9">
        <w:fldChar w:fldCharType="separate"/>
      </w:r>
      <w:r w:rsidR="00272B32">
        <w:t xml:space="preserve">Box </w:t>
      </w:r>
      <w:r w:rsidR="00272B32">
        <w:rPr>
          <w:noProof/>
        </w:rPr>
        <w:t>4</w:t>
      </w:r>
      <w:r w:rsidR="00272B32">
        <w:t>.</w:t>
      </w:r>
      <w:r w:rsidR="00272B32">
        <w:rPr>
          <w:noProof/>
        </w:rPr>
        <w:t>2</w:t>
      </w:r>
      <w:r w:rsidR="00273FA9">
        <w:fldChar w:fldCharType="end"/>
      </w:r>
      <w:r w:rsidR="00273FA9">
        <w:t xml:space="preserve"> provides f</w:t>
      </w:r>
      <w:r>
        <w:t xml:space="preserve">urther detail </w:t>
      </w:r>
      <w:r w:rsidR="00273FA9">
        <w:t xml:space="preserve">on the different types of demand that auction participants may want to express in the auction, while </w:t>
      </w:r>
      <w:r>
        <w:fldChar w:fldCharType="begin"/>
      </w:r>
      <w:r>
        <w:instrText xml:space="preserve"> REF _Ref494008446 \h </w:instrText>
      </w:r>
      <w:r>
        <w:fldChar w:fldCharType="separate"/>
      </w:r>
      <w:r w:rsidR="00272B32">
        <w:t xml:space="preserve">Table </w:t>
      </w:r>
      <w:r w:rsidR="00272B32">
        <w:rPr>
          <w:noProof/>
        </w:rPr>
        <w:t>4</w:t>
      </w:r>
      <w:r w:rsidR="00272B32">
        <w:t>.</w:t>
      </w:r>
      <w:r w:rsidR="00272B32">
        <w:rPr>
          <w:noProof/>
        </w:rPr>
        <w:t>2</w:t>
      </w:r>
      <w:r>
        <w:fldChar w:fldCharType="end"/>
      </w:r>
      <w:r>
        <w:t xml:space="preserve"> provides further detail on the differences between </w:t>
      </w:r>
      <w:r w:rsidR="00273FA9">
        <w:t xml:space="preserve">the partial and fully combinatorial </w:t>
      </w:r>
      <w:r>
        <w:t>auction formats.</w:t>
      </w:r>
      <w:r w:rsidR="00643B8D">
        <w:t xml:space="preserve"> </w:t>
      </w:r>
    </w:p>
    <w:p w14:paraId="7AD47D53" w14:textId="2688100E" w:rsidR="00A94C5D" w:rsidRDefault="00A94C5D" w:rsidP="00D94EF8">
      <w:pPr>
        <w:pStyle w:val="Caption"/>
        <w:spacing w:after="0"/>
      </w:pPr>
    </w:p>
    <w:tbl>
      <w:tblPr>
        <w:tblStyle w:val="PullOutBoxTable"/>
        <w:tblW w:w="5000" w:type="pct"/>
        <w:tblLook w:val="0600" w:firstRow="0" w:lastRow="0" w:firstColumn="0" w:lastColumn="0" w:noHBand="1" w:noVBand="1"/>
        <w:tblCaption w:val="Box 4.2: Potential demand profiles "/>
        <w:tblDescription w:val="Potential demand profiles "/>
      </w:tblPr>
      <w:tblGrid>
        <w:gridCol w:w="8788"/>
      </w:tblGrid>
      <w:tr w:rsidR="00A94C5D" w:rsidRPr="00CC224F" w14:paraId="668AA633" w14:textId="77777777" w:rsidTr="00390E2A">
        <w:trPr>
          <w:tblHeader/>
        </w:trPr>
        <w:tc>
          <w:tcPr>
            <w:tcW w:w="5000" w:type="pct"/>
            <w:shd w:val="clear" w:color="auto" w:fill="auto"/>
          </w:tcPr>
          <w:p w14:paraId="20B8A47A" w14:textId="4CDCBD3B" w:rsidR="0000171C" w:rsidRPr="00390E2A" w:rsidRDefault="0000171C" w:rsidP="00390E2A">
            <w:pPr>
              <w:pStyle w:val="BodyText"/>
              <w:spacing w:before="140" w:after="0"/>
              <w:rPr>
                <w:b/>
                <w:sz w:val="19"/>
                <w:szCs w:val="19"/>
              </w:rPr>
            </w:pPr>
            <w:r w:rsidRPr="00390E2A">
              <w:rPr>
                <w:b/>
                <w:sz w:val="19"/>
                <w:szCs w:val="19"/>
              </w:rPr>
              <w:t xml:space="preserve"> </w:t>
            </w:r>
            <w:bookmarkStart w:id="93" w:name="_Ref494002519"/>
            <w:r w:rsidR="00390E2A" w:rsidRPr="00390E2A">
              <w:rPr>
                <w:b/>
              </w:rPr>
              <w:t xml:space="preserve">Box </w:t>
            </w:r>
            <w:r w:rsidR="00390E2A" w:rsidRPr="00390E2A">
              <w:rPr>
                <w:b/>
              </w:rPr>
              <w:fldChar w:fldCharType="begin"/>
            </w:r>
            <w:r w:rsidR="00390E2A" w:rsidRPr="00390E2A">
              <w:rPr>
                <w:b/>
              </w:rPr>
              <w:instrText xml:space="preserve"> STYLEREF 1 \s </w:instrText>
            </w:r>
            <w:r w:rsidR="00390E2A" w:rsidRPr="00390E2A">
              <w:rPr>
                <w:b/>
              </w:rPr>
              <w:fldChar w:fldCharType="separate"/>
            </w:r>
            <w:r w:rsidR="00390E2A" w:rsidRPr="00390E2A">
              <w:rPr>
                <w:b/>
                <w:noProof/>
              </w:rPr>
              <w:t>4</w:t>
            </w:r>
            <w:r w:rsidR="00390E2A" w:rsidRPr="00390E2A">
              <w:rPr>
                <w:b/>
                <w:noProof/>
              </w:rPr>
              <w:fldChar w:fldCharType="end"/>
            </w:r>
            <w:r w:rsidR="00390E2A" w:rsidRPr="00390E2A">
              <w:rPr>
                <w:b/>
              </w:rPr>
              <w:t>.</w:t>
            </w:r>
            <w:r w:rsidR="00390E2A" w:rsidRPr="00390E2A">
              <w:rPr>
                <w:b/>
              </w:rPr>
              <w:fldChar w:fldCharType="begin"/>
            </w:r>
            <w:r w:rsidR="00390E2A" w:rsidRPr="00390E2A">
              <w:rPr>
                <w:b/>
              </w:rPr>
              <w:instrText xml:space="preserve"> SEQ Box \* ARABIC \s 1 </w:instrText>
            </w:r>
            <w:r w:rsidR="00390E2A" w:rsidRPr="00390E2A">
              <w:rPr>
                <w:b/>
              </w:rPr>
              <w:fldChar w:fldCharType="separate"/>
            </w:r>
            <w:r w:rsidR="00390E2A" w:rsidRPr="00390E2A">
              <w:rPr>
                <w:b/>
                <w:noProof/>
              </w:rPr>
              <w:t>2</w:t>
            </w:r>
            <w:r w:rsidR="00390E2A" w:rsidRPr="00390E2A">
              <w:rPr>
                <w:b/>
                <w:noProof/>
              </w:rPr>
              <w:fldChar w:fldCharType="end"/>
            </w:r>
            <w:bookmarkEnd w:id="93"/>
            <w:r w:rsidR="00390E2A" w:rsidRPr="00390E2A">
              <w:rPr>
                <w:b/>
              </w:rPr>
              <w:t>: Potential demand profiles</w:t>
            </w:r>
          </w:p>
        </w:tc>
      </w:tr>
      <w:tr w:rsidR="00390E2A" w:rsidRPr="00CC224F" w14:paraId="27220D07" w14:textId="77777777" w:rsidTr="00A94C5D">
        <w:tc>
          <w:tcPr>
            <w:tcW w:w="5000" w:type="pct"/>
          </w:tcPr>
          <w:p w14:paraId="130B7604" w14:textId="77777777" w:rsidR="00390E2A" w:rsidRPr="00CC224F" w:rsidRDefault="00390E2A" w:rsidP="00390E2A">
            <w:pPr>
              <w:pStyle w:val="BodyText"/>
              <w:spacing w:before="140" w:after="80"/>
              <w:rPr>
                <w:sz w:val="19"/>
                <w:szCs w:val="19"/>
              </w:rPr>
            </w:pPr>
            <w:r w:rsidRPr="00CC224F">
              <w:rPr>
                <w:sz w:val="19"/>
                <w:szCs w:val="19"/>
              </w:rPr>
              <w:fldChar w:fldCharType="begin"/>
            </w:r>
            <w:r w:rsidRPr="00CC224F">
              <w:rPr>
                <w:sz w:val="19"/>
                <w:szCs w:val="19"/>
              </w:rPr>
              <w:instrText xml:space="preserve"> REF _Ref494002561 \h  \* MERGEFORMAT </w:instrText>
            </w:r>
            <w:r w:rsidRPr="00CC224F">
              <w:rPr>
                <w:sz w:val="19"/>
                <w:szCs w:val="19"/>
              </w:rPr>
            </w:r>
            <w:r w:rsidRPr="00CC224F">
              <w:rPr>
                <w:sz w:val="19"/>
                <w:szCs w:val="19"/>
              </w:rPr>
              <w:fldChar w:fldCharType="separate"/>
            </w:r>
            <w:r w:rsidRPr="00CC224F">
              <w:rPr>
                <w:sz w:val="19"/>
                <w:szCs w:val="19"/>
              </w:rPr>
              <w:t xml:space="preserve">Figure </w:t>
            </w:r>
            <w:r>
              <w:rPr>
                <w:noProof/>
                <w:sz w:val="19"/>
                <w:szCs w:val="19"/>
              </w:rPr>
              <w:t>4</w:t>
            </w:r>
            <w:r w:rsidRPr="00CC224F">
              <w:rPr>
                <w:noProof/>
                <w:sz w:val="19"/>
                <w:szCs w:val="19"/>
              </w:rPr>
              <w:t>.</w:t>
            </w:r>
            <w:r>
              <w:rPr>
                <w:noProof/>
                <w:sz w:val="19"/>
                <w:szCs w:val="19"/>
              </w:rPr>
              <w:t>2</w:t>
            </w:r>
            <w:r w:rsidRPr="00CC224F">
              <w:rPr>
                <w:sz w:val="19"/>
                <w:szCs w:val="19"/>
              </w:rPr>
              <w:fldChar w:fldCharType="end"/>
            </w:r>
            <w:r w:rsidRPr="00CC224F">
              <w:rPr>
                <w:sz w:val="19"/>
                <w:szCs w:val="19"/>
              </w:rPr>
              <w:t xml:space="preserve"> illustrates the potential demand profiles that auction participants may have. </w:t>
            </w:r>
          </w:p>
          <w:p w14:paraId="39BB380B" w14:textId="77777777" w:rsidR="00390E2A" w:rsidRPr="00CC224F" w:rsidRDefault="00390E2A" w:rsidP="00390E2A">
            <w:pPr>
              <w:pStyle w:val="Caption"/>
              <w:keepNext w:val="0"/>
              <w:spacing w:before="140" w:after="80"/>
              <w:rPr>
                <w:sz w:val="19"/>
                <w:szCs w:val="19"/>
              </w:rPr>
            </w:pPr>
            <w:bookmarkStart w:id="94" w:name="_Ref494002561"/>
            <w:bookmarkStart w:id="95" w:name="_Toc492998464"/>
            <w:r w:rsidRPr="00CC224F">
              <w:rPr>
                <w:sz w:val="19"/>
                <w:szCs w:val="19"/>
              </w:rPr>
              <w:t xml:space="preserve">Figure </w:t>
            </w:r>
            <w:r w:rsidRPr="00CC224F">
              <w:rPr>
                <w:sz w:val="19"/>
                <w:szCs w:val="19"/>
              </w:rPr>
              <w:fldChar w:fldCharType="begin"/>
            </w:r>
            <w:r w:rsidRPr="00CC224F">
              <w:rPr>
                <w:sz w:val="19"/>
                <w:szCs w:val="19"/>
              </w:rPr>
              <w:instrText xml:space="preserve"> STYLEREF 1 \s </w:instrText>
            </w:r>
            <w:r w:rsidRPr="00CC224F">
              <w:rPr>
                <w:sz w:val="19"/>
                <w:szCs w:val="19"/>
              </w:rPr>
              <w:fldChar w:fldCharType="separate"/>
            </w:r>
            <w:r>
              <w:rPr>
                <w:noProof/>
                <w:sz w:val="19"/>
                <w:szCs w:val="19"/>
              </w:rPr>
              <w:t>4</w:t>
            </w:r>
            <w:r w:rsidRPr="00CC224F">
              <w:rPr>
                <w:sz w:val="19"/>
                <w:szCs w:val="19"/>
              </w:rPr>
              <w:fldChar w:fldCharType="end"/>
            </w:r>
            <w:r w:rsidRPr="00CC224F">
              <w:rPr>
                <w:sz w:val="19"/>
                <w:szCs w:val="19"/>
              </w:rPr>
              <w:t>.</w:t>
            </w:r>
            <w:r w:rsidRPr="00CC224F">
              <w:rPr>
                <w:sz w:val="19"/>
                <w:szCs w:val="19"/>
              </w:rPr>
              <w:fldChar w:fldCharType="begin"/>
            </w:r>
            <w:r w:rsidRPr="00CC224F">
              <w:rPr>
                <w:sz w:val="19"/>
                <w:szCs w:val="19"/>
              </w:rPr>
              <w:instrText xml:space="preserve"> SEQ Figure \* ARABIC \s 1 </w:instrText>
            </w:r>
            <w:r w:rsidRPr="00CC224F">
              <w:rPr>
                <w:sz w:val="19"/>
                <w:szCs w:val="19"/>
              </w:rPr>
              <w:fldChar w:fldCharType="separate"/>
            </w:r>
            <w:r>
              <w:rPr>
                <w:noProof/>
                <w:sz w:val="19"/>
                <w:szCs w:val="19"/>
              </w:rPr>
              <w:t>2</w:t>
            </w:r>
            <w:r w:rsidRPr="00CC224F">
              <w:rPr>
                <w:sz w:val="19"/>
                <w:szCs w:val="19"/>
              </w:rPr>
              <w:fldChar w:fldCharType="end"/>
            </w:r>
            <w:bookmarkEnd w:id="94"/>
            <w:r w:rsidRPr="00CC224F">
              <w:rPr>
                <w:sz w:val="19"/>
                <w:szCs w:val="19"/>
              </w:rPr>
              <w:t>: Potential demand profiles</w:t>
            </w:r>
            <w:bookmarkEnd w:id="95"/>
          </w:p>
          <w:p w14:paraId="5E61C780" w14:textId="77777777" w:rsidR="00390E2A" w:rsidRPr="00CC224F" w:rsidRDefault="00390E2A" w:rsidP="00390E2A">
            <w:pPr>
              <w:spacing w:before="140" w:after="80"/>
              <w:rPr>
                <w:sz w:val="19"/>
                <w:szCs w:val="19"/>
              </w:rPr>
            </w:pPr>
            <w:r w:rsidRPr="00CC224F">
              <w:rPr>
                <w:noProof/>
                <w:sz w:val="19"/>
                <w:szCs w:val="19"/>
              </w:rPr>
              <w:drawing>
                <wp:inline distT="0" distB="0" distL="0" distR="0" wp14:anchorId="61DE0233" wp14:editId="1DFCA52B">
                  <wp:extent cx="4725620" cy="1787410"/>
                  <wp:effectExtent l="0" t="0" r="0" b="3810"/>
                  <wp:docPr id="2" name="Picture 2" descr="Figure 4.2 illustrates the potential demand profiles that auction participants may have. &#10;&#10;" title="Figure 4.2: Potential demand profi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r="1166" b="21506"/>
                          <a:stretch/>
                        </pic:blipFill>
                        <pic:spPr bwMode="auto">
                          <a:xfrm>
                            <a:off x="0" y="0"/>
                            <a:ext cx="4734617" cy="1790813"/>
                          </a:xfrm>
                          <a:prstGeom prst="rect">
                            <a:avLst/>
                          </a:prstGeom>
                          <a:noFill/>
                          <a:ln>
                            <a:noFill/>
                          </a:ln>
                          <a:extLst>
                            <a:ext uri="{53640926-AAD7-44D8-BBD7-CCE9431645EC}">
                              <a14:shadowObscured xmlns:a14="http://schemas.microsoft.com/office/drawing/2010/main"/>
                            </a:ext>
                          </a:extLst>
                        </pic:spPr>
                      </pic:pic>
                    </a:graphicData>
                  </a:graphic>
                </wp:inline>
              </w:drawing>
            </w:r>
          </w:p>
          <w:p w14:paraId="682F5A9B" w14:textId="77777777" w:rsidR="00390E2A" w:rsidRPr="00CC224F" w:rsidRDefault="00390E2A" w:rsidP="00390E2A">
            <w:pPr>
              <w:pStyle w:val="BodyText"/>
              <w:spacing w:before="140" w:after="80"/>
              <w:rPr>
                <w:b/>
                <w:sz w:val="19"/>
                <w:szCs w:val="19"/>
              </w:rPr>
            </w:pPr>
            <w:r w:rsidRPr="00CC224F">
              <w:rPr>
                <w:b/>
                <w:sz w:val="19"/>
                <w:szCs w:val="19"/>
              </w:rPr>
              <w:t>Type 1: Simple demand</w:t>
            </w:r>
          </w:p>
          <w:p w14:paraId="7BB3D5BB" w14:textId="77777777" w:rsidR="00390E2A" w:rsidRPr="00CC224F" w:rsidRDefault="00390E2A" w:rsidP="00390E2A">
            <w:pPr>
              <w:pStyle w:val="BodyText"/>
              <w:spacing w:before="140" w:after="80"/>
              <w:rPr>
                <w:sz w:val="19"/>
                <w:szCs w:val="19"/>
              </w:rPr>
            </w:pPr>
            <w:r w:rsidRPr="00CC224F">
              <w:rPr>
                <w:sz w:val="19"/>
                <w:szCs w:val="19"/>
              </w:rPr>
              <w:t xml:space="preserve">In this case a bidder wants to transport the same amount of gas from A to C, which requires the same capacity to be purchased at receipt point A, segment S1, segment S5 and delivery point C. This type of demand appears to be the most dominant form of demand in the east coast that would need to be accommodated in the day-ahead auction, which could be done under either a partial or fully combinatorial auction. </w:t>
            </w:r>
          </w:p>
          <w:p w14:paraId="3D1B5694" w14:textId="77777777" w:rsidR="00390E2A" w:rsidRPr="00CC224F" w:rsidRDefault="00390E2A" w:rsidP="00390E2A">
            <w:pPr>
              <w:pStyle w:val="BodyText"/>
              <w:spacing w:before="140" w:after="80"/>
              <w:rPr>
                <w:b/>
                <w:sz w:val="19"/>
                <w:szCs w:val="19"/>
              </w:rPr>
            </w:pPr>
            <w:r w:rsidRPr="00CC224F">
              <w:rPr>
                <w:b/>
                <w:sz w:val="19"/>
                <w:szCs w:val="19"/>
              </w:rPr>
              <w:t>Type 2: Substitutable demand</w:t>
            </w:r>
          </w:p>
          <w:p w14:paraId="5CD5381E" w14:textId="77777777" w:rsidR="00390E2A" w:rsidRPr="00CC224F" w:rsidRDefault="00390E2A" w:rsidP="00390E2A">
            <w:pPr>
              <w:pStyle w:val="BodyText"/>
              <w:spacing w:before="140" w:after="80"/>
              <w:rPr>
                <w:sz w:val="19"/>
                <w:szCs w:val="19"/>
              </w:rPr>
            </w:pPr>
            <w:r w:rsidRPr="00CC224F">
              <w:rPr>
                <w:sz w:val="19"/>
                <w:szCs w:val="19"/>
              </w:rPr>
              <w:t>In this case a bidder wants to transport gas from A to B, but there are two different routes (S1-S4 and S2-S3). The two routes may be:</w:t>
            </w:r>
          </w:p>
          <w:p w14:paraId="7AD6B441" w14:textId="77777777" w:rsidR="00390E2A" w:rsidRPr="00CC224F" w:rsidRDefault="00390E2A" w:rsidP="00390E2A">
            <w:pPr>
              <w:pStyle w:val="ListBullet"/>
              <w:spacing w:before="140" w:after="80"/>
              <w:rPr>
                <w:sz w:val="19"/>
                <w:szCs w:val="19"/>
              </w:rPr>
            </w:pPr>
            <w:r w:rsidRPr="00CC224F">
              <w:rPr>
                <w:sz w:val="19"/>
                <w:szCs w:val="19"/>
              </w:rPr>
              <w:t>perfect substitutes in which case the bidder does not have a preference whether gas is transported via S1-S4 or S2-S3; or</w:t>
            </w:r>
          </w:p>
          <w:p w14:paraId="19CE2E42" w14:textId="77777777" w:rsidR="00390E2A" w:rsidRPr="00CC224F" w:rsidRDefault="00390E2A" w:rsidP="00390E2A">
            <w:pPr>
              <w:pStyle w:val="ListBullet"/>
              <w:spacing w:before="140" w:after="80"/>
              <w:rPr>
                <w:b/>
                <w:sz w:val="19"/>
                <w:szCs w:val="19"/>
              </w:rPr>
            </w:pPr>
            <w:proofErr w:type="gramStart"/>
            <w:r w:rsidRPr="00CC224F">
              <w:rPr>
                <w:sz w:val="19"/>
                <w:szCs w:val="19"/>
              </w:rPr>
              <w:t>imperfect</w:t>
            </w:r>
            <w:proofErr w:type="gramEnd"/>
            <w:r w:rsidRPr="00CC224F">
              <w:rPr>
                <w:sz w:val="19"/>
                <w:szCs w:val="19"/>
              </w:rPr>
              <w:t xml:space="preserve"> substitutes in which case the bidder may be willing to pay more for one route.</w:t>
            </w:r>
          </w:p>
          <w:p w14:paraId="15D14B35" w14:textId="77777777" w:rsidR="00390E2A" w:rsidRPr="00CC224F" w:rsidRDefault="00390E2A" w:rsidP="00390E2A">
            <w:pPr>
              <w:pStyle w:val="BodyText"/>
              <w:spacing w:before="140" w:after="80"/>
              <w:rPr>
                <w:sz w:val="19"/>
                <w:szCs w:val="19"/>
              </w:rPr>
            </w:pPr>
            <w:r w:rsidRPr="00CC224F">
              <w:rPr>
                <w:sz w:val="19"/>
                <w:szCs w:val="19"/>
              </w:rPr>
              <w:t xml:space="preserve">In the east coast, there are currently only a small number of substitutable paths that are technically feasible (e.g. gas from the Gippsland, Otway and Bass basins can be transported to Moomba via three different routes or to Sydney and Canberra via two different routes). However, most of these substitutable paths involve transporting gas across the Victorian Declared Transmission System, which will not be subject to the auction. These substitutable paths are therefore likely to be imperfect substitutes.  </w:t>
            </w:r>
          </w:p>
          <w:p w14:paraId="193EF0B2" w14:textId="77777777" w:rsidR="00390E2A" w:rsidRPr="00CC224F" w:rsidRDefault="00390E2A" w:rsidP="00390E2A">
            <w:pPr>
              <w:pStyle w:val="BodyText"/>
              <w:spacing w:before="140" w:after="80"/>
              <w:rPr>
                <w:rFonts w:asciiTheme="minorHAnsi" w:hAnsiTheme="minorHAnsi"/>
                <w:sz w:val="19"/>
                <w:szCs w:val="19"/>
              </w:rPr>
            </w:pPr>
            <w:r w:rsidRPr="00CC224F">
              <w:rPr>
                <w:sz w:val="19"/>
                <w:szCs w:val="19"/>
              </w:rPr>
              <w:t>If this type of demand was commonplace, the day-ahead auction would need to allow participants to bid for mutually exclusive paths at different bid amounts. This could be done under a fully combinatorial auction or a partial combinatorial auction that includes XOR bidding.  Discussions with the Day-Ahead Auction project team, however, suggest that this type of demand is not currently commonplace.</w:t>
            </w:r>
          </w:p>
          <w:p w14:paraId="1EA4983C" w14:textId="77777777" w:rsidR="00390E2A" w:rsidRPr="00CC224F" w:rsidRDefault="00390E2A" w:rsidP="00390E2A">
            <w:pPr>
              <w:pStyle w:val="BodyText"/>
              <w:spacing w:before="140" w:after="80"/>
              <w:rPr>
                <w:b/>
                <w:sz w:val="19"/>
                <w:szCs w:val="19"/>
              </w:rPr>
            </w:pPr>
            <w:r w:rsidRPr="00CC224F">
              <w:rPr>
                <w:b/>
                <w:sz w:val="19"/>
                <w:szCs w:val="19"/>
              </w:rPr>
              <w:t>Type 3: Complementary demand</w:t>
            </w:r>
          </w:p>
          <w:p w14:paraId="2B70F8C9" w14:textId="77777777" w:rsidR="00390E2A" w:rsidRPr="00CC224F" w:rsidRDefault="00390E2A" w:rsidP="00390E2A">
            <w:pPr>
              <w:pStyle w:val="BodyText"/>
              <w:spacing w:before="140" w:after="80"/>
              <w:rPr>
                <w:sz w:val="19"/>
                <w:szCs w:val="19"/>
              </w:rPr>
            </w:pPr>
            <w:r w:rsidRPr="00CC224F">
              <w:rPr>
                <w:sz w:val="19"/>
                <w:szCs w:val="19"/>
              </w:rPr>
              <w:t xml:space="preserve">In this case the bidder wants to transport gas from A to B </w:t>
            </w:r>
            <w:r w:rsidRPr="00CC224F">
              <w:rPr>
                <w:i/>
                <w:sz w:val="19"/>
                <w:szCs w:val="19"/>
              </w:rPr>
              <w:t>and</w:t>
            </w:r>
            <w:r w:rsidRPr="00CC224F">
              <w:rPr>
                <w:sz w:val="19"/>
                <w:szCs w:val="19"/>
              </w:rPr>
              <w:t xml:space="preserve"> C, but has no (or very little) value in transporting gas from A to only one of B or C.</w:t>
            </w:r>
          </w:p>
          <w:p w14:paraId="399513B6" w14:textId="2804F955" w:rsidR="00390E2A" w:rsidRPr="00CC224F" w:rsidRDefault="00390E2A" w:rsidP="00390E2A">
            <w:pPr>
              <w:pStyle w:val="BodyText"/>
              <w:spacing w:before="140" w:after="80"/>
              <w:rPr>
                <w:sz w:val="19"/>
                <w:szCs w:val="19"/>
              </w:rPr>
            </w:pPr>
            <w:r w:rsidRPr="00CC224F">
              <w:rPr>
                <w:sz w:val="19"/>
                <w:szCs w:val="19"/>
              </w:rPr>
              <w:t>While in principle this type of demand could exist, in discussions with the Day-Ahead Auction project team it has become clear that this type of demand is unlikely to arise in practice and if it does, then it would be more appropriately dealt with by contracting directly with service providers than through the day-ahead auction. It has therefore been assumed that this type of demand is unlikely to be an important component in the day-ahead auction.</w:t>
            </w:r>
          </w:p>
        </w:tc>
      </w:tr>
    </w:tbl>
    <w:p w14:paraId="49C481C7" w14:textId="5067A6B0" w:rsidR="00273FA9" w:rsidRDefault="00273FA9" w:rsidP="00273FA9">
      <w:pPr>
        <w:pStyle w:val="Caption"/>
        <w:spacing w:after="0"/>
      </w:pPr>
      <w:bookmarkStart w:id="96" w:name="_Ref494008446"/>
      <w:r>
        <w:t xml:space="preserve">Table </w:t>
      </w:r>
      <w:r w:rsidR="00115A93">
        <w:fldChar w:fldCharType="begin"/>
      </w:r>
      <w:r w:rsidR="00115A93">
        <w:instrText xml:space="preserve"> STYLEREF 1 \s </w:instrText>
      </w:r>
      <w:r w:rsidR="00115A93">
        <w:fldChar w:fldCharType="separate"/>
      </w:r>
      <w:r w:rsidR="00272B32">
        <w:rPr>
          <w:noProof/>
        </w:rPr>
        <w:t>4</w:t>
      </w:r>
      <w:r w:rsidR="00115A93">
        <w:rPr>
          <w:noProof/>
        </w:rPr>
        <w:fldChar w:fldCharType="end"/>
      </w:r>
      <w:r w:rsidR="009A057E">
        <w:t>.</w:t>
      </w:r>
      <w:r w:rsidR="00115A93">
        <w:fldChar w:fldCharType="begin"/>
      </w:r>
      <w:r w:rsidR="00115A93">
        <w:instrText xml:space="preserve"> SEQ Table \* ARABIC \s 1 </w:instrText>
      </w:r>
      <w:r w:rsidR="00115A93">
        <w:fldChar w:fldCharType="separate"/>
      </w:r>
      <w:r w:rsidR="00272B32">
        <w:rPr>
          <w:noProof/>
        </w:rPr>
        <w:t>2</w:t>
      </w:r>
      <w:r w:rsidR="00115A93">
        <w:rPr>
          <w:noProof/>
        </w:rPr>
        <w:fldChar w:fldCharType="end"/>
      </w:r>
      <w:bookmarkEnd w:id="96"/>
      <w:r>
        <w:t>: Partial vs fully combinatorial auction formats</w:t>
      </w:r>
    </w:p>
    <w:tbl>
      <w:tblPr>
        <w:tblStyle w:val="TableGrid"/>
        <w:tblW w:w="8930" w:type="dxa"/>
        <w:tblLook w:val="04A0" w:firstRow="1" w:lastRow="0" w:firstColumn="1" w:lastColumn="0" w:noHBand="0" w:noVBand="1"/>
        <w:tblCaption w:val="Table 4.2: Partial vs fully combinatorial auction formats"/>
        <w:tblDescription w:val="Partial vs fully combinatorial auction formats"/>
      </w:tblPr>
      <w:tblGrid>
        <w:gridCol w:w="1418"/>
        <w:gridCol w:w="3969"/>
        <w:gridCol w:w="3543"/>
      </w:tblGrid>
      <w:tr w:rsidR="00273FA9" w14:paraId="3E8072DA" w14:textId="77777777" w:rsidTr="00BA005F">
        <w:trPr>
          <w:cnfStyle w:val="100000000000" w:firstRow="1" w:lastRow="0" w:firstColumn="0" w:lastColumn="0" w:oddVBand="0" w:evenVBand="0" w:oddHBand="0" w:evenHBand="0" w:firstRowFirstColumn="0" w:firstRowLastColumn="0" w:lastRowFirstColumn="0" w:lastRowLastColumn="0"/>
          <w:tblHeader/>
        </w:trPr>
        <w:tc>
          <w:tcPr>
            <w:tcW w:w="1418" w:type="dxa"/>
            <w:shd w:val="clear" w:color="auto" w:fill="0099CC"/>
          </w:tcPr>
          <w:p w14:paraId="12B39E6A" w14:textId="77777777" w:rsidR="00273FA9" w:rsidRDefault="00273FA9" w:rsidP="001E01DD">
            <w:pPr>
              <w:pStyle w:val="BodyText"/>
              <w:keepNext/>
              <w:spacing w:before="60" w:after="60"/>
              <w:rPr>
                <w:lang w:eastAsia="fr-CA"/>
              </w:rPr>
            </w:pPr>
          </w:p>
        </w:tc>
        <w:tc>
          <w:tcPr>
            <w:tcW w:w="3969" w:type="dxa"/>
            <w:shd w:val="clear" w:color="auto" w:fill="0099CC"/>
          </w:tcPr>
          <w:p w14:paraId="0FD10A4C" w14:textId="77777777" w:rsidR="00273FA9" w:rsidRDefault="00273FA9" w:rsidP="001E01DD">
            <w:pPr>
              <w:pStyle w:val="BodyText"/>
              <w:keepNext/>
              <w:spacing w:before="60" w:after="60"/>
              <w:rPr>
                <w:lang w:eastAsia="fr-CA"/>
              </w:rPr>
            </w:pPr>
            <w:r>
              <w:rPr>
                <w:lang w:eastAsia="fr-CA"/>
              </w:rPr>
              <w:t>Partial combinatorial auction</w:t>
            </w:r>
          </w:p>
        </w:tc>
        <w:tc>
          <w:tcPr>
            <w:tcW w:w="3543" w:type="dxa"/>
            <w:shd w:val="clear" w:color="auto" w:fill="0099CC"/>
          </w:tcPr>
          <w:p w14:paraId="6184CB84" w14:textId="77777777" w:rsidR="00273FA9" w:rsidRDefault="00273FA9" w:rsidP="001E01DD">
            <w:pPr>
              <w:pStyle w:val="BodyText"/>
              <w:keepNext/>
              <w:spacing w:before="60" w:after="60"/>
              <w:rPr>
                <w:lang w:eastAsia="fr-CA"/>
              </w:rPr>
            </w:pPr>
            <w:r>
              <w:rPr>
                <w:lang w:eastAsia="fr-CA"/>
              </w:rPr>
              <w:t>Fully combinatorial auction</w:t>
            </w:r>
          </w:p>
        </w:tc>
      </w:tr>
      <w:tr w:rsidR="00273FA9" w:rsidRPr="00925982" w14:paraId="19CCB01F" w14:textId="77777777" w:rsidTr="001E01DD">
        <w:tc>
          <w:tcPr>
            <w:tcW w:w="1418" w:type="dxa"/>
          </w:tcPr>
          <w:p w14:paraId="60C2DE40" w14:textId="77777777" w:rsidR="00273FA9" w:rsidRPr="00925982" w:rsidRDefault="00273FA9" w:rsidP="001E01DD">
            <w:pPr>
              <w:pStyle w:val="TableBodyText"/>
              <w:keepNext/>
              <w:rPr>
                <w:szCs w:val="18"/>
                <w:lang w:eastAsia="fr-CA"/>
              </w:rPr>
            </w:pPr>
            <w:r w:rsidRPr="00925982">
              <w:rPr>
                <w:szCs w:val="18"/>
                <w:lang w:eastAsia="fr-CA"/>
              </w:rPr>
              <w:t>Description</w:t>
            </w:r>
          </w:p>
        </w:tc>
        <w:tc>
          <w:tcPr>
            <w:tcW w:w="3969" w:type="dxa"/>
          </w:tcPr>
          <w:p w14:paraId="2ED51AE9" w14:textId="77777777" w:rsidR="00273FA9" w:rsidRPr="00925982" w:rsidRDefault="00273FA9" w:rsidP="001E01DD">
            <w:pPr>
              <w:pStyle w:val="TableBullet1"/>
              <w:keepNext/>
              <w:rPr>
                <w:szCs w:val="18"/>
              </w:rPr>
            </w:pPr>
            <w:r w:rsidRPr="00925982">
              <w:rPr>
                <w:szCs w:val="18"/>
              </w:rPr>
              <w:t xml:space="preserve">Bid consists of a quantity, a price per unit and a nomination of the segments included in bid (e.g. S1 only or S1&amp;S5) </w:t>
            </w:r>
          </w:p>
          <w:p w14:paraId="4076386F" w14:textId="77777777" w:rsidR="00273FA9" w:rsidRPr="00925982" w:rsidRDefault="00273FA9" w:rsidP="001E01DD">
            <w:pPr>
              <w:pStyle w:val="TableBullet1"/>
              <w:keepNext/>
              <w:rPr>
                <w:szCs w:val="18"/>
              </w:rPr>
            </w:pPr>
            <w:r w:rsidRPr="00925982">
              <w:rPr>
                <w:szCs w:val="18"/>
              </w:rPr>
              <w:t xml:space="preserve">Bid amount caps the sum of prices paid for transporting one unit at each segment included in the bid </w:t>
            </w:r>
          </w:p>
          <w:p w14:paraId="125FC15C" w14:textId="77777777" w:rsidR="00273FA9" w:rsidRPr="00925982" w:rsidRDefault="00273FA9" w:rsidP="001E01DD">
            <w:pPr>
              <w:pStyle w:val="TableBullet1"/>
              <w:keepNext/>
              <w:rPr>
                <w:szCs w:val="18"/>
              </w:rPr>
            </w:pPr>
            <w:r w:rsidRPr="00925982">
              <w:rPr>
                <w:szCs w:val="18"/>
              </w:rPr>
              <w:t xml:space="preserve">Bidders can submit multiple bids </w:t>
            </w:r>
            <w:r>
              <w:rPr>
                <w:szCs w:val="18"/>
              </w:rPr>
              <w:t xml:space="preserve">- </w:t>
            </w:r>
            <w:r w:rsidRPr="00925982">
              <w:rPr>
                <w:szCs w:val="18"/>
              </w:rPr>
              <w:t xml:space="preserve">more than one of their bids may win </w:t>
            </w:r>
          </w:p>
          <w:p w14:paraId="7E89A163" w14:textId="0B9288FB" w:rsidR="00273FA9" w:rsidRPr="00925982" w:rsidRDefault="00273FA9" w:rsidP="001E01DD">
            <w:pPr>
              <w:pStyle w:val="TableBullet1"/>
              <w:keepNext/>
              <w:rPr>
                <w:szCs w:val="18"/>
              </w:rPr>
            </w:pPr>
            <w:r w:rsidRPr="00925982">
              <w:rPr>
                <w:szCs w:val="18"/>
              </w:rPr>
              <w:t xml:space="preserve">Winning bids </w:t>
            </w:r>
            <w:r w:rsidR="001E0A2D">
              <w:rPr>
                <w:szCs w:val="18"/>
              </w:rPr>
              <w:t xml:space="preserve">determined simultaneously </w:t>
            </w:r>
            <w:r w:rsidR="006A382D">
              <w:rPr>
                <w:szCs w:val="18"/>
              </w:rPr>
              <w:t>using a linear program</w:t>
            </w:r>
            <w:r w:rsidRPr="00925982">
              <w:rPr>
                <w:szCs w:val="18"/>
              </w:rPr>
              <w:t xml:space="preserve"> - maximum value </w:t>
            </w:r>
            <w:r w:rsidR="003975C3">
              <w:rPr>
                <w:szCs w:val="18"/>
              </w:rPr>
              <w:t>∑</w:t>
            </w:r>
            <w:r w:rsidRPr="00925982">
              <w:rPr>
                <w:szCs w:val="18"/>
              </w:rPr>
              <w:t xml:space="preserve">(bid amount * amount allocated to bid) </w:t>
            </w:r>
          </w:p>
          <w:p w14:paraId="0101514C" w14:textId="77777777" w:rsidR="00273FA9" w:rsidRDefault="00273FA9" w:rsidP="001E01DD">
            <w:pPr>
              <w:pStyle w:val="TableBullet1"/>
              <w:keepNext/>
              <w:rPr>
                <w:szCs w:val="18"/>
              </w:rPr>
            </w:pPr>
            <w:r w:rsidRPr="00925982">
              <w:rPr>
                <w:szCs w:val="18"/>
              </w:rPr>
              <w:t xml:space="preserve">If a bidder wins part of its bid, the quantity won across all </w:t>
            </w:r>
            <w:r>
              <w:rPr>
                <w:szCs w:val="18"/>
              </w:rPr>
              <w:t xml:space="preserve">products </w:t>
            </w:r>
            <w:r w:rsidRPr="00925982">
              <w:rPr>
                <w:szCs w:val="18"/>
              </w:rPr>
              <w:t xml:space="preserve">in the bid is the same </w:t>
            </w:r>
          </w:p>
          <w:p w14:paraId="2A988DAD" w14:textId="37F2018B" w:rsidR="00273FA9" w:rsidRPr="00925982" w:rsidRDefault="00273FA9" w:rsidP="001E01DD">
            <w:pPr>
              <w:pStyle w:val="TableBullet1"/>
              <w:keepNext/>
              <w:rPr>
                <w:szCs w:val="18"/>
              </w:rPr>
            </w:pPr>
            <w:r>
              <w:rPr>
                <w:szCs w:val="18"/>
              </w:rPr>
              <w:t>May use a pay as bid or a uniform pay</w:t>
            </w:r>
            <w:r w:rsidR="008F2E35">
              <w:rPr>
                <w:szCs w:val="18"/>
              </w:rPr>
              <w:t>-as-</w:t>
            </w:r>
            <w:r>
              <w:rPr>
                <w:szCs w:val="18"/>
              </w:rPr>
              <w:t>cleared pricing rule.</w:t>
            </w:r>
          </w:p>
          <w:p w14:paraId="3980011D" w14:textId="77777777" w:rsidR="00273FA9" w:rsidRPr="00925982" w:rsidRDefault="00273FA9" w:rsidP="001E01DD">
            <w:pPr>
              <w:pStyle w:val="TableBullet1"/>
              <w:keepNext/>
              <w:rPr>
                <w:szCs w:val="18"/>
                <w:lang w:eastAsia="fr-CA"/>
              </w:rPr>
            </w:pPr>
            <w:r w:rsidRPr="00925982">
              <w:rPr>
                <w:szCs w:val="18"/>
              </w:rPr>
              <w:t xml:space="preserve">The partial combinatorial auction can be coupled with: </w:t>
            </w:r>
          </w:p>
          <w:p w14:paraId="7EB77DA6" w14:textId="77777777" w:rsidR="00273FA9" w:rsidRPr="00925982" w:rsidRDefault="00273FA9" w:rsidP="001E01DD">
            <w:pPr>
              <w:pStyle w:val="TableBullet2"/>
              <w:keepNext/>
              <w:rPr>
                <w:szCs w:val="18"/>
                <w:lang w:eastAsia="fr-CA"/>
              </w:rPr>
            </w:pPr>
            <w:r w:rsidRPr="00925982">
              <w:rPr>
                <w:szCs w:val="18"/>
              </w:rPr>
              <w:t xml:space="preserve">minimum requirements to minimise aggregation risk (i.e. if a participant wins less than the minimum requirement, its bid is discarded); and </w:t>
            </w:r>
          </w:p>
          <w:p w14:paraId="605C562B" w14:textId="0CE189D9" w:rsidR="00273FA9" w:rsidRPr="00925982" w:rsidRDefault="00273FA9" w:rsidP="001E01DD">
            <w:pPr>
              <w:pStyle w:val="TableBullet2"/>
              <w:keepNext/>
              <w:rPr>
                <w:szCs w:val="18"/>
                <w:lang w:eastAsia="fr-CA"/>
              </w:rPr>
            </w:pPr>
            <w:r w:rsidRPr="00925982">
              <w:rPr>
                <w:szCs w:val="18"/>
              </w:rPr>
              <w:t>XOR bidding to accommodate substitutable demand (this form of bidding enables participants to bid for mutually exclusive paths at different bid amounts).</w:t>
            </w:r>
          </w:p>
        </w:tc>
        <w:tc>
          <w:tcPr>
            <w:tcW w:w="3543" w:type="dxa"/>
          </w:tcPr>
          <w:p w14:paraId="51629C0B" w14:textId="5675435C" w:rsidR="00273FA9" w:rsidRPr="00925982" w:rsidRDefault="00273FA9" w:rsidP="001E01DD">
            <w:pPr>
              <w:pStyle w:val="TableBullet1"/>
              <w:keepNext/>
            </w:pPr>
            <w:r w:rsidRPr="00925982">
              <w:t>Bid consists of a quantity for each segment (Q_S1, Q_S2, Q_S3</w:t>
            </w:r>
            <w:r>
              <w:t xml:space="preserve"> </w:t>
            </w:r>
            <w:proofErr w:type="spellStart"/>
            <w:r>
              <w:t>etc</w:t>
            </w:r>
            <w:proofErr w:type="spellEnd"/>
            <w:r>
              <w:t xml:space="preserve">) </w:t>
            </w:r>
            <w:r w:rsidRPr="00925982">
              <w:t xml:space="preserve">and a total bid amount for the entire bid </w:t>
            </w:r>
          </w:p>
          <w:p w14:paraId="4F092577" w14:textId="77777777" w:rsidR="00273FA9" w:rsidRPr="00925982" w:rsidRDefault="00273FA9" w:rsidP="001E01DD">
            <w:pPr>
              <w:pStyle w:val="TableBullet1"/>
              <w:keepNext/>
            </w:pPr>
            <w:r w:rsidRPr="00925982">
              <w:t xml:space="preserve">Bidders can submit multiple </w:t>
            </w:r>
            <w:r w:rsidRPr="00925982">
              <w:rPr>
                <w:i/>
                <w:iCs/>
              </w:rPr>
              <w:t xml:space="preserve">mutually-exclusive </w:t>
            </w:r>
            <w:r w:rsidRPr="00925982">
              <w:t xml:space="preserve">bids – at most one may win </w:t>
            </w:r>
          </w:p>
          <w:p w14:paraId="2CEF2D69" w14:textId="77777777" w:rsidR="00273FA9" w:rsidRDefault="00273FA9" w:rsidP="001E01DD">
            <w:pPr>
              <w:pStyle w:val="TableBullet1"/>
              <w:keepNext/>
            </w:pPr>
            <w:r w:rsidRPr="00925982">
              <w:t>Winning bids are identified using an integer linear</w:t>
            </w:r>
            <w:r>
              <w:t xml:space="preserve"> program (ILP) - maximum value.</w:t>
            </w:r>
          </w:p>
          <w:p w14:paraId="6EADCD30" w14:textId="77777777" w:rsidR="00273FA9" w:rsidRPr="00925982" w:rsidRDefault="00273FA9" w:rsidP="001E01DD">
            <w:pPr>
              <w:pStyle w:val="TableBullet1"/>
              <w:keepNext/>
            </w:pPr>
            <w:r>
              <w:t>May use a pay as bid (first price), second price or pseudo clock pricing rule.</w:t>
            </w:r>
          </w:p>
          <w:p w14:paraId="1CA5A58C" w14:textId="77777777" w:rsidR="00273FA9" w:rsidRPr="00925982" w:rsidRDefault="00273FA9" w:rsidP="001E01DD">
            <w:pPr>
              <w:pStyle w:val="TableBodyText"/>
              <w:keepNext/>
              <w:rPr>
                <w:szCs w:val="18"/>
                <w:lang w:eastAsia="fr-CA"/>
              </w:rPr>
            </w:pPr>
          </w:p>
        </w:tc>
      </w:tr>
      <w:tr w:rsidR="00273FA9" w14:paraId="00855D82" w14:textId="77777777" w:rsidTr="001E01DD">
        <w:trPr>
          <w:cnfStyle w:val="000000010000" w:firstRow="0" w:lastRow="0" w:firstColumn="0" w:lastColumn="0" w:oddVBand="0" w:evenVBand="0" w:oddHBand="0" w:evenHBand="1" w:firstRowFirstColumn="0" w:firstRowLastColumn="0" w:lastRowFirstColumn="0" w:lastRowLastColumn="0"/>
        </w:trPr>
        <w:tc>
          <w:tcPr>
            <w:tcW w:w="1418" w:type="dxa"/>
          </w:tcPr>
          <w:p w14:paraId="5C8D5AF2" w14:textId="77777777" w:rsidR="00273FA9" w:rsidRDefault="00273FA9" w:rsidP="001E01DD">
            <w:pPr>
              <w:pStyle w:val="BodyText"/>
              <w:spacing w:before="60" w:after="60"/>
              <w:rPr>
                <w:lang w:eastAsia="fr-CA"/>
              </w:rPr>
            </w:pPr>
            <w:r>
              <w:rPr>
                <w:lang w:eastAsia="fr-CA"/>
              </w:rPr>
              <w:t>Advantages</w:t>
            </w:r>
          </w:p>
        </w:tc>
        <w:tc>
          <w:tcPr>
            <w:tcW w:w="3969" w:type="dxa"/>
          </w:tcPr>
          <w:p w14:paraId="35E6CCE8" w14:textId="77777777" w:rsidR="00273FA9" w:rsidRDefault="00273FA9" w:rsidP="001E01DD">
            <w:pPr>
              <w:pStyle w:val="TableBullet1"/>
              <w:rPr>
                <w:lang w:eastAsia="fr-CA"/>
              </w:rPr>
            </w:pPr>
            <w:r>
              <w:rPr>
                <w:lang w:eastAsia="fr-CA"/>
              </w:rPr>
              <w:t>Simple for bidders to understand.</w:t>
            </w:r>
          </w:p>
          <w:p w14:paraId="724FB5B2" w14:textId="77777777" w:rsidR="00273FA9" w:rsidRDefault="00273FA9" w:rsidP="001E01DD">
            <w:pPr>
              <w:pStyle w:val="TableBullet1"/>
              <w:rPr>
                <w:lang w:eastAsia="fr-CA"/>
              </w:rPr>
            </w:pPr>
            <w:r>
              <w:rPr>
                <w:lang w:eastAsia="fr-CA"/>
              </w:rPr>
              <w:t>Identification of price for individual products relatively straightforward.</w:t>
            </w:r>
          </w:p>
          <w:p w14:paraId="5CEB8CA3" w14:textId="77777777" w:rsidR="000D7519" w:rsidRDefault="000D7519" w:rsidP="000D7519">
            <w:pPr>
              <w:pStyle w:val="TableBullet1"/>
              <w:rPr>
                <w:lang w:eastAsia="fr-CA"/>
              </w:rPr>
            </w:pPr>
            <w:r>
              <w:rPr>
                <w:lang w:eastAsia="fr-CA"/>
              </w:rPr>
              <w:t>Accommodates simple demand (Type 1).</w:t>
            </w:r>
          </w:p>
          <w:p w14:paraId="29E56200" w14:textId="7A48FBA9" w:rsidR="00273FA9" w:rsidRDefault="00273FA9" w:rsidP="000D7519">
            <w:pPr>
              <w:pStyle w:val="TableBullet1"/>
              <w:rPr>
                <w:lang w:eastAsia="fr-CA"/>
              </w:rPr>
            </w:pPr>
            <w:r>
              <w:rPr>
                <w:lang w:eastAsia="fr-CA"/>
              </w:rPr>
              <w:t>Implementation relatively simple</w:t>
            </w:r>
          </w:p>
        </w:tc>
        <w:tc>
          <w:tcPr>
            <w:tcW w:w="3543" w:type="dxa"/>
          </w:tcPr>
          <w:p w14:paraId="5FED61DB" w14:textId="77777777" w:rsidR="00273FA9" w:rsidRDefault="00273FA9" w:rsidP="001E01DD">
            <w:pPr>
              <w:pStyle w:val="TableBullet1"/>
              <w:rPr>
                <w:lang w:eastAsia="fr-CA"/>
              </w:rPr>
            </w:pPr>
            <w:r>
              <w:rPr>
                <w:lang w:eastAsia="fr-CA"/>
              </w:rPr>
              <w:t>Removes all aggregation risks.</w:t>
            </w:r>
          </w:p>
          <w:p w14:paraId="30CFEFD1" w14:textId="77777777" w:rsidR="00273FA9" w:rsidRDefault="00273FA9" w:rsidP="001E01DD">
            <w:pPr>
              <w:pStyle w:val="TableBullet1"/>
              <w:rPr>
                <w:lang w:eastAsia="fr-CA"/>
              </w:rPr>
            </w:pPr>
            <w:r>
              <w:rPr>
                <w:lang w:eastAsia="fr-CA"/>
              </w:rPr>
              <w:t>Mutually exclusive bids can accommodate:</w:t>
            </w:r>
          </w:p>
          <w:p w14:paraId="342FF5ED" w14:textId="77777777" w:rsidR="00273FA9" w:rsidRDefault="00273FA9" w:rsidP="001E01DD">
            <w:pPr>
              <w:pStyle w:val="TableBullet2"/>
              <w:rPr>
                <w:lang w:eastAsia="fr-CA"/>
              </w:rPr>
            </w:pPr>
            <w:r>
              <w:rPr>
                <w:lang w:eastAsia="fr-CA"/>
              </w:rPr>
              <w:t>simple demand (Type 1);</w:t>
            </w:r>
          </w:p>
          <w:p w14:paraId="2EFA4623" w14:textId="405302B3" w:rsidR="00273FA9" w:rsidRDefault="00273FA9" w:rsidP="001E01DD">
            <w:pPr>
              <w:pStyle w:val="TableBullet2"/>
              <w:rPr>
                <w:lang w:eastAsia="fr-CA"/>
              </w:rPr>
            </w:pPr>
            <w:r>
              <w:rPr>
                <w:lang w:eastAsia="fr-CA"/>
              </w:rPr>
              <w:t>substitutable demand (Type 2); and</w:t>
            </w:r>
          </w:p>
          <w:p w14:paraId="526179AA" w14:textId="77777777" w:rsidR="00273FA9" w:rsidRDefault="00273FA9" w:rsidP="001E01DD">
            <w:pPr>
              <w:pStyle w:val="TableBullet2"/>
              <w:rPr>
                <w:lang w:eastAsia="fr-CA"/>
              </w:rPr>
            </w:pPr>
            <w:proofErr w:type="gramStart"/>
            <w:r>
              <w:rPr>
                <w:lang w:eastAsia="fr-CA"/>
              </w:rPr>
              <w:t>complementary</w:t>
            </w:r>
            <w:proofErr w:type="gramEnd"/>
            <w:r>
              <w:rPr>
                <w:lang w:eastAsia="fr-CA"/>
              </w:rPr>
              <w:t xml:space="preserve"> demand (Type 3).</w:t>
            </w:r>
          </w:p>
        </w:tc>
      </w:tr>
      <w:tr w:rsidR="00273FA9" w14:paraId="70FD7DFB" w14:textId="77777777" w:rsidTr="001E01DD">
        <w:tc>
          <w:tcPr>
            <w:tcW w:w="1418" w:type="dxa"/>
          </w:tcPr>
          <w:p w14:paraId="1760E32D" w14:textId="77777777" w:rsidR="00273FA9" w:rsidRDefault="00273FA9" w:rsidP="001E01DD">
            <w:pPr>
              <w:pStyle w:val="BodyText"/>
              <w:spacing w:before="60" w:after="60"/>
              <w:rPr>
                <w:lang w:eastAsia="fr-CA"/>
              </w:rPr>
            </w:pPr>
            <w:r>
              <w:rPr>
                <w:lang w:eastAsia="fr-CA"/>
              </w:rPr>
              <w:t>Disadvantages</w:t>
            </w:r>
          </w:p>
        </w:tc>
        <w:tc>
          <w:tcPr>
            <w:tcW w:w="3969" w:type="dxa"/>
          </w:tcPr>
          <w:p w14:paraId="7AF7E97F" w14:textId="77777777" w:rsidR="00273FA9" w:rsidRDefault="00273FA9" w:rsidP="001E01DD">
            <w:pPr>
              <w:pStyle w:val="TableBullet1"/>
              <w:rPr>
                <w:lang w:eastAsia="fr-CA"/>
              </w:rPr>
            </w:pPr>
            <w:r>
              <w:rPr>
                <w:lang w:eastAsia="fr-CA"/>
              </w:rPr>
              <w:t>Does not fully remove aggregation risk because participants may win less than the quantity specified in their bids, but this can potentially be accommodated through a minimum requirement.</w:t>
            </w:r>
          </w:p>
          <w:p w14:paraId="13C5A2AA" w14:textId="77777777" w:rsidR="00273FA9" w:rsidRDefault="00273FA9" w:rsidP="001E01DD">
            <w:pPr>
              <w:pStyle w:val="TableBullet1"/>
              <w:rPr>
                <w:lang w:eastAsia="fr-CA"/>
              </w:rPr>
            </w:pPr>
            <w:r>
              <w:rPr>
                <w:lang w:eastAsia="fr-CA"/>
              </w:rPr>
              <w:t xml:space="preserve">Does not accommodate: </w:t>
            </w:r>
          </w:p>
          <w:p w14:paraId="1FFE16D2" w14:textId="2108A5BC" w:rsidR="00273FA9" w:rsidRDefault="00273FA9" w:rsidP="001E01DD">
            <w:pPr>
              <w:pStyle w:val="TableBullet2"/>
              <w:rPr>
                <w:lang w:eastAsia="fr-CA"/>
              </w:rPr>
            </w:pPr>
            <w:r>
              <w:rPr>
                <w:lang w:eastAsia="fr-CA"/>
              </w:rPr>
              <w:t>substitutable demand (Type 2), unless coupled with XOR bidding; or</w:t>
            </w:r>
          </w:p>
          <w:p w14:paraId="71BE3F91" w14:textId="77777777" w:rsidR="00273FA9" w:rsidRDefault="00273FA9" w:rsidP="001E01DD">
            <w:pPr>
              <w:pStyle w:val="TableBullet2"/>
              <w:rPr>
                <w:lang w:eastAsia="fr-CA"/>
              </w:rPr>
            </w:pPr>
            <w:r>
              <w:rPr>
                <w:lang w:eastAsia="fr-CA"/>
              </w:rPr>
              <w:t>complementary demand (Type 3)</w:t>
            </w:r>
          </w:p>
        </w:tc>
        <w:tc>
          <w:tcPr>
            <w:tcW w:w="3543" w:type="dxa"/>
          </w:tcPr>
          <w:p w14:paraId="3F8CBDFB" w14:textId="14D2E61E" w:rsidR="00DF08E7" w:rsidRDefault="00DF08E7" w:rsidP="00DF08E7">
            <w:pPr>
              <w:pStyle w:val="TableBullet1"/>
              <w:rPr>
                <w:lang w:eastAsia="fr-CA"/>
              </w:rPr>
            </w:pPr>
            <w:r>
              <w:rPr>
                <w:lang w:eastAsia="fr-CA"/>
              </w:rPr>
              <w:t xml:space="preserve">Bidding language complex and requires bidders to submit a very large number of bids to express their demand (see </w:t>
            </w:r>
            <w:r>
              <w:rPr>
                <w:lang w:eastAsia="fr-CA"/>
              </w:rPr>
              <w:fldChar w:fldCharType="begin"/>
            </w:r>
            <w:r>
              <w:rPr>
                <w:lang w:eastAsia="fr-CA"/>
              </w:rPr>
              <w:instrText xml:space="preserve"> REF _Ref494180284 \h </w:instrText>
            </w:r>
            <w:r>
              <w:rPr>
                <w:lang w:eastAsia="fr-CA"/>
              </w:rPr>
            </w:r>
            <w:r>
              <w:rPr>
                <w:lang w:eastAsia="fr-CA"/>
              </w:rPr>
              <w:fldChar w:fldCharType="separate"/>
            </w:r>
            <w:r w:rsidR="00272B32">
              <w:t xml:space="preserve">Box </w:t>
            </w:r>
            <w:r w:rsidR="00272B32">
              <w:rPr>
                <w:noProof/>
              </w:rPr>
              <w:t>4</w:t>
            </w:r>
            <w:r w:rsidR="00272B32">
              <w:t>.</w:t>
            </w:r>
            <w:r w:rsidR="00272B32">
              <w:rPr>
                <w:noProof/>
              </w:rPr>
              <w:t>3</w:t>
            </w:r>
            <w:r>
              <w:rPr>
                <w:lang w:eastAsia="fr-CA"/>
              </w:rPr>
              <w:fldChar w:fldCharType="end"/>
            </w:r>
            <w:r>
              <w:rPr>
                <w:lang w:eastAsia="fr-CA"/>
              </w:rPr>
              <w:t xml:space="preserve">) </w:t>
            </w:r>
          </w:p>
          <w:p w14:paraId="1561262B" w14:textId="77777777" w:rsidR="00DF08E7" w:rsidRDefault="00DF08E7" w:rsidP="00DF08E7">
            <w:pPr>
              <w:pStyle w:val="TableBullet1"/>
              <w:rPr>
                <w:lang w:eastAsia="fr-CA"/>
              </w:rPr>
            </w:pPr>
            <w:r>
              <w:rPr>
                <w:lang w:eastAsia="fr-CA"/>
              </w:rPr>
              <w:t>First-price rule requires sophisticated bid strategy and increases complexity for bidders</w:t>
            </w:r>
          </w:p>
          <w:p w14:paraId="4B020D3F" w14:textId="020BD7C9" w:rsidR="00DF08E7" w:rsidRDefault="00DF08E7" w:rsidP="00DF08E7">
            <w:pPr>
              <w:pStyle w:val="TableBullet1"/>
              <w:rPr>
                <w:lang w:eastAsia="fr-CA"/>
              </w:rPr>
            </w:pPr>
            <w:r>
              <w:rPr>
                <w:lang w:eastAsia="fr-CA"/>
              </w:rPr>
              <w:t>Second-price rule is complex to implement</w:t>
            </w:r>
          </w:p>
          <w:p w14:paraId="28C30A9F" w14:textId="77777777" w:rsidR="00DF08E7" w:rsidRDefault="00DF08E7" w:rsidP="00DF08E7">
            <w:pPr>
              <w:pStyle w:val="TableBullet1"/>
              <w:rPr>
                <w:lang w:eastAsia="fr-CA"/>
              </w:rPr>
            </w:pPr>
            <w:r>
              <w:rPr>
                <w:lang w:eastAsia="fr-CA"/>
              </w:rPr>
              <w:t>Pseudo-clock pricing may lead to grossly inefficient allocation</w:t>
            </w:r>
          </w:p>
          <w:p w14:paraId="5D7B3C58" w14:textId="77777777" w:rsidR="00DF08E7" w:rsidRDefault="00DF08E7" w:rsidP="00DF08E7">
            <w:pPr>
              <w:pStyle w:val="TableBullet1"/>
              <w:rPr>
                <w:lang w:eastAsia="fr-CA"/>
              </w:rPr>
            </w:pPr>
            <w:r>
              <w:rPr>
                <w:lang w:eastAsia="fr-CA"/>
              </w:rPr>
              <w:t>First- and second-price rules determine a price for each winning package which complicates the allocation of the auction residue</w:t>
            </w:r>
          </w:p>
          <w:p w14:paraId="7BD3374D" w14:textId="57C5533E" w:rsidR="00273FA9" w:rsidRDefault="00C838C0" w:rsidP="00DF08E7">
            <w:pPr>
              <w:pStyle w:val="TableBullet1"/>
              <w:rPr>
                <w:lang w:eastAsia="fr-CA"/>
              </w:rPr>
            </w:pPr>
            <w:r>
              <w:rPr>
                <w:lang w:eastAsia="fr-CA"/>
              </w:rPr>
              <w:t>Significantly more c</w:t>
            </w:r>
            <w:r w:rsidR="00DF08E7">
              <w:rPr>
                <w:lang w:eastAsia="fr-CA"/>
              </w:rPr>
              <w:t>omplex to implement</w:t>
            </w:r>
            <w:r>
              <w:rPr>
                <w:lang w:eastAsia="fr-CA"/>
              </w:rPr>
              <w:t xml:space="preserve"> than partial format</w:t>
            </w:r>
            <w:r w:rsidR="00DF08E7">
              <w:rPr>
                <w:lang w:eastAsia="fr-CA"/>
              </w:rPr>
              <w:t>.</w:t>
            </w:r>
          </w:p>
        </w:tc>
      </w:tr>
    </w:tbl>
    <w:p w14:paraId="3E555AFB" w14:textId="76C8CDEA" w:rsidR="00DF08E7" w:rsidRDefault="00853546" w:rsidP="00A94C5D">
      <w:pPr>
        <w:pStyle w:val="BodyText"/>
        <w:rPr>
          <w:lang w:eastAsia="fr-CA"/>
        </w:rPr>
      </w:pPr>
      <w:r>
        <w:rPr>
          <w:lang w:eastAsia="fr-CA"/>
        </w:rPr>
        <w:t xml:space="preserve">As the discussion in </w:t>
      </w:r>
      <w:r>
        <w:rPr>
          <w:lang w:eastAsia="fr-CA"/>
        </w:rPr>
        <w:fldChar w:fldCharType="begin"/>
      </w:r>
      <w:r>
        <w:rPr>
          <w:lang w:eastAsia="fr-CA"/>
        </w:rPr>
        <w:instrText xml:space="preserve"> REF _Ref494002519 \h </w:instrText>
      </w:r>
      <w:r>
        <w:rPr>
          <w:lang w:eastAsia="fr-CA"/>
        </w:rPr>
      </w:r>
      <w:r>
        <w:rPr>
          <w:lang w:eastAsia="fr-CA"/>
        </w:rPr>
        <w:fldChar w:fldCharType="separate"/>
      </w:r>
      <w:r w:rsidR="00272B32">
        <w:t xml:space="preserve">Box </w:t>
      </w:r>
      <w:r w:rsidR="00272B32">
        <w:rPr>
          <w:noProof/>
        </w:rPr>
        <w:t>4</w:t>
      </w:r>
      <w:r w:rsidR="00272B32">
        <w:t>.</w:t>
      </w:r>
      <w:r w:rsidR="00272B32">
        <w:rPr>
          <w:noProof/>
        </w:rPr>
        <w:t>2</w:t>
      </w:r>
      <w:r>
        <w:rPr>
          <w:lang w:eastAsia="fr-CA"/>
        </w:rPr>
        <w:fldChar w:fldCharType="end"/>
      </w:r>
      <w:r>
        <w:rPr>
          <w:lang w:eastAsia="fr-CA"/>
        </w:rPr>
        <w:t xml:space="preserve"> highlights, the most dominant form of demand that the day-ahead auction will need to accommodate is </w:t>
      </w:r>
      <w:r w:rsidR="00273FA9">
        <w:rPr>
          <w:lang w:eastAsia="fr-CA"/>
        </w:rPr>
        <w:t>simple demand (</w:t>
      </w:r>
      <w:r>
        <w:rPr>
          <w:lang w:eastAsia="fr-CA"/>
        </w:rPr>
        <w:t>Type 1</w:t>
      </w:r>
      <w:r w:rsidR="00273FA9">
        <w:rPr>
          <w:lang w:eastAsia="fr-CA"/>
        </w:rPr>
        <w:t>)</w:t>
      </w:r>
      <w:r>
        <w:rPr>
          <w:lang w:eastAsia="fr-CA"/>
        </w:rPr>
        <w:t xml:space="preserve">. While this type of demand could be accommodated under either a partial or fully combinatorial auction, a </w:t>
      </w:r>
      <w:r w:rsidR="003441FE">
        <w:rPr>
          <w:lang w:eastAsia="fr-CA"/>
        </w:rPr>
        <w:t xml:space="preserve">fully </w:t>
      </w:r>
      <w:r>
        <w:rPr>
          <w:lang w:eastAsia="fr-CA"/>
        </w:rPr>
        <w:t xml:space="preserve">combinatorial auction </w:t>
      </w:r>
      <w:r w:rsidR="003441FE">
        <w:rPr>
          <w:lang w:eastAsia="fr-CA"/>
        </w:rPr>
        <w:t xml:space="preserve">would add significant complexity for bidders </w:t>
      </w:r>
      <w:r w:rsidR="00A51172">
        <w:rPr>
          <w:lang w:eastAsia="fr-CA"/>
        </w:rPr>
        <w:t xml:space="preserve">(see </w:t>
      </w:r>
      <w:r w:rsidR="00A51172">
        <w:rPr>
          <w:highlight w:val="yellow"/>
          <w:lang w:eastAsia="fr-CA"/>
        </w:rPr>
        <w:fldChar w:fldCharType="begin"/>
      </w:r>
      <w:r w:rsidR="00A51172">
        <w:rPr>
          <w:lang w:eastAsia="fr-CA"/>
        </w:rPr>
        <w:instrText xml:space="preserve"> REF _Ref494180284 \h </w:instrText>
      </w:r>
      <w:r w:rsidR="00A51172">
        <w:rPr>
          <w:highlight w:val="yellow"/>
          <w:lang w:eastAsia="fr-CA"/>
        </w:rPr>
      </w:r>
      <w:r w:rsidR="00A51172">
        <w:rPr>
          <w:highlight w:val="yellow"/>
          <w:lang w:eastAsia="fr-CA"/>
        </w:rPr>
        <w:fldChar w:fldCharType="separate"/>
      </w:r>
      <w:r w:rsidR="00272B32">
        <w:t xml:space="preserve">Box </w:t>
      </w:r>
      <w:r w:rsidR="00272B32">
        <w:rPr>
          <w:noProof/>
        </w:rPr>
        <w:t>4</w:t>
      </w:r>
      <w:r w:rsidR="00272B32">
        <w:t>.</w:t>
      </w:r>
      <w:r w:rsidR="00272B32">
        <w:rPr>
          <w:noProof/>
        </w:rPr>
        <w:t>3</w:t>
      </w:r>
      <w:r w:rsidR="00A51172">
        <w:rPr>
          <w:highlight w:val="yellow"/>
          <w:lang w:eastAsia="fr-CA"/>
        </w:rPr>
        <w:fldChar w:fldCharType="end"/>
      </w:r>
      <w:r w:rsidR="00A51172">
        <w:rPr>
          <w:lang w:eastAsia="fr-CA"/>
        </w:rPr>
        <w:t xml:space="preserve">) </w:t>
      </w:r>
      <w:r w:rsidR="003441FE">
        <w:rPr>
          <w:lang w:eastAsia="fr-CA"/>
        </w:rPr>
        <w:t>and the auctioneer (AEMO)</w:t>
      </w:r>
      <w:r w:rsidR="00A51172">
        <w:rPr>
          <w:lang w:eastAsia="fr-CA"/>
        </w:rPr>
        <w:t>.</w:t>
      </w:r>
      <w:r w:rsidR="003441FE">
        <w:rPr>
          <w:lang w:eastAsia="fr-CA"/>
        </w:rPr>
        <w:t xml:space="preserve"> </w:t>
      </w:r>
      <w:r w:rsidR="00A51172">
        <w:rPr>
          <w:lang w:eastAsia="fr-CA"/>
        </w:rPr>
        <w:t xml:space="preserve">It </w:t>
      </w:r>
      <w:r w:rsidR="003441FE">
        <w:rPr>
          <w:lang w:eastAsia="fr-CA"/>
        </w:rPr>
        <w:t>would also be more complex to implement.</w:t>
      </w:r>
      <w:r w:rsidR="00273FA9">
        <w:rPr>
          <w:lang w:eastAsia="fr-CA"/>
        </w:rPr>
        <w:t xml:space="preserve"> NERA has therefore recommended the adoption of a partial combinatorial auction format</w:t>
      </w:r>
      <w:r w:rsidR="00792EE2">
        <w:rPr>
          <w:lang w:eastAsia="fr-CA"/>
        </w:rPr>
        <w:t xml:space="preserve">, which the Day-Ahead Auction project team </w:t>
      </w:r>
      <w:r w:rsidR="00DF08E7">
        <w:rPr>
          <w:lang w:eastAsia="fr-CA"/>
        </w:rPr>
        <w:t xml:space="preserve">unanimously supported. </w:t>
      </w:r>
    </w:p>
    <w:p w14:paraId="4663EF1C" w14:textId="2C6900B9" w:rsidR="00DF08E7" w:rsidRDefault="008D0BFF" w:rsidP="00A94C5D">
      <w:pPr>
        <w:pStyle w:val="BodyText"/>
        <w:rPr>
          <w:lang w:eastAsia="fr-CA"/>
        </w:rPr>
      </w:pPr>
      <w:r>
        <w:rPr>
          <w:lang w:eastAsia="fr-CA"/>
        </w:rPr>
        <w:t>A</w:t>
      </w:r>
      <w:r w:rsidR="00DF08E7">
        <w:rPr>
          <w:lang w:eastAsia="fr-CA"/>
        </w:rPr>
        <w:t xml:space="preserve">ll project team members agreed that the auction should be as simple as possible and that the partial combinatorial format protects bidders adequately from all conceivable aggregation risks. The Day-Ahead Auction project team did not see any advantage in adopting a fully combinatorial format and unanimously rejected it </w:t>
      </w:r>
      <w:r w:rsidR="00C838C0">
        <w:rPr>
          <w:lang w:eastAsia="fr-CA"/>
        </w:rPr>
        <w:t xml:space="preserve">owing to </w:t>
      </w:r>
      <w:r w:rsidR="00DF08E7">
        <w:rPr>
          <w:lang w:eastAsia="fr-CA"/>
        </w:rPr>
        <w:t xml:space="preserve">its significant additional complexity. </w:t>
      </w:r>
    </w:p>
    <w:tbl>
      <w:tblPr>
        <w:tblStyle w:val="PullOutBoxTable"/>
        <w:tblW w:w="5000" w:type="pct"/>
        <w:tblLook w:val="0620" w:firstRow="1" w:lastRow="0" w:firstColumn="0" w:lastColumn="0" w:noHBand="1" w:noVBand="1"/>
        <w:tblCaption w:val="Box 4.3: Complexity of bidding in fully combinatorial auctions"/>
        <w:tblDescription w:val="Complexity of bidding in fully combinatorial auctions"/>
      </w:tblPr>
      <w:tblGrid>
        <w:gridCol w:w="8788"/>
      </w:tblGrid>
      <w:tr w:rsidR="00A51172" w:rsidRPr="00A51172" w14:paraId="09379502" w14:textId="77777777" w:rsidTr="003974E4">
        <w:trPr>
          <w:trHeight w:val="113"/>
          <w:tblHeader/>
        </w:trPr>
        <w:tc>
          <w:tcPr>
            <w:tcW w:w="5000" w:type="pct"/>
            <w:shd w:val="clear" w:color="auto" w:fill="auto"/>
          </w:tcPr>
          <w:p w14:paraId="3C224180" w14:textId="0AA49458" w:rsidR="00A51172" w:rsidRPr="00390E2A" w:rsidRDefault="00A51172" w:rsidP="00390E2A">
            <w:pPr>
              <w:pStyle w:val="BodyText"/>
              <w:spacing w:before="120" w:after="0"/>
              <w:rPr>
                <w:b/>
                <w:sz w:val="20"/>
                <w:szCs w:val="20"/>
              </w:rPr>
            </w:pPr>
            <w:r w:rsidRPr="00A51172">
              <w:rPr>
                <w:sz w:val="20"/>
                <w:szCs w:val="20"/>
              </w:rPr>
              <w:t xml:space="preserve"> </w:t>
            </w:r>
            <w:bookmarkStart w:id="97" w:name="_Ref494180284"/>
            <w:r w:rsidR="00390E2A" w:rsidRPr="00390E2A">
              <w:rPr>
                <w:b/>
              </w:rPr>
              <w:t xml:space="preserve">Box </w:t>
            </w:r>
            <w:r w:rsidR="00390E2A" w:rsidRPr="00390E2A">
              <w:rPr>
                <w:b/>
              </w:rPr>
              <w:fldChar w:fldCharType="begin"/>
            </w:r>
            <w:r w:rsidR="00390E2A" w:rsidRPr="00390E2A">
              <w:rPr>
                <w:b/>
              </w:rPr>
              <w:instrText xml:space="preserve"> STYLEREF 1 \s </w:instrText>
            </w:r>
            <w:r w:rsidR="00390E2A" w:rsidRPr="00390E2A">
              <w:rPr>
                <w:b/>
              </w:rPr>
              <w:fldChar w:fldCharType="separate"/>
            </w:r>
            <w:r w:rsidR="00390E2A" w:rsidRPr="00390E2A">
              <w:rPr>
                <w:b/>
                <w:noProof/>
              </w:rPr>
              <w:t>4</w:t>
            </w:r>
            <w:r w:rsidR="00390E2A" w:rsidRPr="00390E2A">
              <w:rPr>
                <w:b/>
                <w:noProof/>
              </w:rPr>
              <w:fldChar w:fldCharType="end"/>
            </w:r>
            <w:r w:rsidR="00390E2A" w:rsidRPr="00390E2A">
              <w:rPr>
                <w:b/>
              </w:rPr>
              <w:t>.</w:t>
            </w:r>
            <w:r w:rsidR="00390E2A" w:rsidRPr="00390E2A">
              <w:rPr>
                <w:b/>
              </w:rPr>
              <w:fldChar w:fldCharType="begin"/>
            </w:r>
            <w:r w:rsidR="00390E2A" w:rsidRPr="00390E2A">
              <w:rPr>
                <w:b/>
              </w:rPr>
              <w:instrText xml:space="preserve"> SEQ Box \* ARABIC \s 1 </w:instrText>
            </w:r>
            <w:r w:rsidR="00390E2A" w:rsidRPr="00390E2A">
              <w:rPr>
                <w:b/>
              </w:rPr>
              <w:fldChar w:fldCharType="separate"/>
            </w:r>
            <w:r w:rsidR="00390E2A" w:rsidRPr="00390E2A">
              <w:rPr>
                <w:b/>
                <w:noProof/>
              </w:rPr>
              <w:t>3</w:t>
            </w:r>
            <w:r w:rsidR="00390E2A" w:rsidRPr="00390E2A">
              <w:rPr>
                <w:b/>
                <w:noProof/>
              </w:rPr>
              <w:fldChar w:fldCharType="end"/>
            </w:r>
            <w:bookmarkEnd w:id="97"/>
            <w:r w:rsidR="00390E2A" w:rsidRPr="00390E2A">
              <w:rPr>
                <w:b/>
              </w:rPr>
              <w:t>: Complexity of bidding in fully combinatorial auctions</w:t>
            </w:r>
          </w:p>
        </w:tc>
      </w:tr>
      <w:tr w:rsidR="00390E2A" w:rsidRPr="00A51172" w14:paraId="387764B5" w14:textId="77777777" w:rsidTr="003974E4">
        <w:trPr>
          <w:trHeight w:val="4157"/>
        </w:trPr>
        <w:tc>
          <w:tcPr>
            <w:tcW w:w="5000" w:type="pct"/>
          </w:tcPr>
          <w:p w14:paraId="57971F60" w14:textId="77777777" w:rsidR="00390E2A" w:rsidRPr="00A51172" w:rsidRDefault="00390E2A" w:rsidP="00390E2A">
            <w:pPr>
              <w:pStyle w:val="BodyText"/>
              <w:spacing w:before="120" w:line="264" w:lineRule="auto"/>
              <w:rPr>
                <w:sz w:val="20"/>
                <w:szCs w:val="20"/>
              </w:rPr>
            </w:pPr>
            <w:r w:rsidRPr="00A51172">
              <w:rPr>
                <w:sz w:val="20"/>
                <w:szCs w:val="20"/>
              </w:rPr>
              <w:t>The efficiency of the final allocation under the fully combinatorial auction depends critically on bidders submitting a rich set of bids. In particular, it requires that bidders submit bids for all combinations for which they have positive value. Yet, the bidding language employed by combinatorial auctions can be cumbersome for bidders. In practice, it is unlikely that bidders would submit bids for all possible combinations as there would likely be a very large number.</w:t>
            </w:r>
          </w:p>
          <w:p w14:paraId="797FD766" w14:textId="5B9B955F" w:rsidR="00390E2A" w:rsidRPr="00A51172" w:rsidRDefault="00390E2A" w:rsidP="00390E2A">
            <w:pPr>
              <w:pStyle w:val="BodyText"/>
              <w:spacing w:before="120"/>
              <w:rPr>
                <w:sz w:val="20"/>
                <w:szCs w:val="20"/>
              </w:rPr>
            </w:pPr>
            <w:r w:rsidRPr="00A51172">
              <w:rPr>
                <w:sz w:val="20"/>
                <w:szCs w:val="20"/>
              </w:rPr>
              <w:t>Demand in the auction is also expected to be additive in most parts. That is, auction participants will bid for different routes in the network and for each of these routes, participants would be expected to bid a demand curve with decreasing bid amounts for incremental units. The number of bids required to fully express this demand profile increases exponentially in the number of routes a bidder is interested in as well as the number of increments.</w:t>
            </w:r>
            <w:r w:rsidRPr="00A51172">
              <w:rPr>
                <w:rStyle w:val="FootnoteReference"/>
                <w:sz w:val="20"/>
                <w:szCs w:val="20"/>
              </w:rPr>
              <w:footnoteReference w:id="49"/>
            </w:r>
            <w:r w:rsidRPr="00A51172">
              <w:rPr>
                <w:sz w:val="20"/>
                <w:szCs w:val="20"/>
              </w:rPr>
              <w:t xml:space="preserve"> For example, if an auction participant wants to bid for three different routes and on each of these routes wants to express demand for three different increments, it would need 64 bids. For four routes with four increments each, the participant would need 625 bids and for five routes with five increments, 7,776 bids. It is clearly impractical to require bidders to submit that many bids. In contrast, in the partial combinatorial auction, a bidder would only need 25 bids to bid for five routes with five increments.</w:t>
            </w:r>
          </w:p>
        </w:tc>
      </w:tr>
    </w:tbl>
    <w:p w14:paraId="4D8670FE" w14:textId="13F64CA9" w:rsidR="00643B8D" w:rsidRDefault="00643B8D" w:rsidP="00643B8D">
      <w:pPr>
        <w:pStyle w:val="BodyText"/>
      </w:pPr>
      <w:r>
        <w:rPr>
          <w:lang w:eastAsia="fr-CA"/>
        </w:rPr>
        <w:t xml:space="preserve">Further detail on the partial combinatorial auction format </w:t>
      </w:r>
      <w:r w:rsidR="00C838C0">
        <w:rPr>
          <w:lang w:eastAsia="fr-CA"/>
        </w:rPr>
        <w:t xml:space="preserve">is provided below, along with an overview of </w:t>
      </w:r>
      <w:r>
        <w:rPr>
          <w:lang w:eastAsia="fr-CA"/>
        </w:rPr>
        <w:t xml:space="preserve">two optional features that could be used to allow </w:t>
      </w:r>
      <w:r>
        <w:t xml:space="preserve">participants to express Type 1 and Type 2 demand without exposing them to the risk of winning unusably low quantities (minimum requirement) or </w:t>
      </w:r>
      <w:r w:rsidR="00055169">
        <w:t>substitutable paths (XOR sets).</w:t>
      </w:r>
      <w:r>
        <w:t xml:space="preserve"> A third optional feature is also discussed below, which would enable backhaul capacity to be released </w:t>
      </w:r>
      <w:r w:rsidR="00B63D8F">
        <w:t xml:space="preserve">through the auction </w:t>
      </w:r>
      <w:r>
        <w:t xml:space="preserve">on those pipelines that do not currently operate in a bi-directional manner, if a decision is made that this type of capacity should be released through the auction (see section </w:t>
      </w:r>
      <w:r w:rsidR="00D903C5">
        <w:rPr>
          <w:highlight w:val="yellow"/>
        </w:rPr>
        <w:fldChar w:fldCharType="begin"/>
      </w:r>
      <w:r w:rsidR="00D903C5">
        <w:instrText xml:space="preserve"> REF _Ref494710601 \r \h </w:instrText>
      </w:r>
      <w:r w:rsidR="00D903C5">
        <w:rPr>
          <w:highlight w:val="yellow"/>
        </w:rPr>
      </w:r>
      <w:r w:rsidR="00D903C5">
        <w:rPr>
          <w:highlight w:val="yellow"/>
        </w:rPr>
        <w:fldChar w:fldCharType="separate"/>
      </w:r>
      <w:r w:rsidR="00272B32">
        <w:t>3.1</w:t>
      </w:r>
      <w:r w:rsidR="00D903C5">
        <w:rPr>
          <w:highlight w:val="yellow"/>
        </w:rPr>
        <w:fldChar w:fldCharType="end"/>
      </w:r>
      <w:r>
        <w:t>).</w:t>
      </w:r>
    </w:p>
    <w:p w14:paraId="2C1DC0F1" w14:textId="4A075B5E" w:rsidR="00AD5238" w:rsidRDefault="000A474B" w:rsidP="00D35788">
      <w:pPr>
        <w:pStyle w:val="Heading3"/>
      </w:pPr>
      <w:r>
        <w:t xml:space="preserve">Partial combinatorial </w:t>
      </w:r>
      <w:r w:rsidR="00273FA9">
        <w:t>auction</w:t>
      </w:r>
    </w:p>
    <w:p w14:paraId="5BCED672" w14:textId="29874BA6" w:rsidR="001E0A2D" w:rsidRDefault="00273FA9" w:rsidP="001E0A2D">
      <w:pPr>
        <w:pStyle w:val="BodyText"/>
      </w:pPr>
      <w:r>
        <w:t>Under the partial combinatorial auction format, a bid consists of a bid quantity (</w:t>
      </w:r>
      <w:r w:rsidR="00643B8D">
        <w:t>GJ</w:t>
      </w:r>
      <w:r>
        <w:t>), a bid price ($/GJ) and a nomination of products (receipt and delivery points, pipeline segments and compression services). A bid effectively links demand for different products with bidders being guaranteed to win the same quantity of each product included in a bid. The bid amount can be interpreted as a bidder’s maximum willingness to pay for winning one unit of each product included in the bid.</w:t>
      </w:r>
      <w:r w:rsidR="001E0A2D">
        <w:t xml:space="preserve"> A bidder can submit more than one bid and may win more than one of them. This allows bidders to bid for incremental units at lower bid amounts, effectively mapping out a full demand curve.</w:t>
      </w:r>
    </w:p>
    <w:p w14:paraId="384BFEDC" w14:textId="796D8746" w:rsidR="00273FA9" w:rsidRDefault="00273FA9" w:rsidP="00273FA9">
      <w:pPr>
        <w:pStyle w:val="BodyText"/>
      </w:pPr>
      <w:r>
        <w:t xml:space="preserve">If a bid wins in full, the bidder </w:t>
      </w:r>
      <w:r w:rsidR="001E0A2D">
        <w:t xml:space="preserve">will be </w:t>
      </w:r>
      <w:r>
        <w:t>allocated the specified quantity of all products included in the bid</w:t>
      </w:r>
      <w:r w:rsidR="001E0A2D">
        <w:t xml:space="preserve"> and t</w:t>
      </w:r>
      <w:r>
        <w:t xml:space="preserve">he sum of the prices for all products included in the bid will be less than or equal to the bid price. </w:t>
      </w:r>
      <w:r w:rsidR="001E0A2D">
        <w:t>If, on the other hand, a</w:t>
      </w:r>
      <w:r>
        <w:t xml:space="preserve"> bid </w:t>
      </w:r>
      <w:r w:rsidR="001E0A2D">
        <w:t xml:space="preserve">is only </w:t>
      </w:r>
      <w:r>
        <w:t>partially</w:t>
      </w:r>
      <w:r w:rsidR="001E0A2D">
        <w:t xml:space="preserve"> filled, then </w:t>
      </w:r>
      <w:r>
        <w:t xml:space="preserve">the bidder </w:t>
      </w:r>
      <w:r w:rsidR="001E0A2D">
        <w:t>will win</w:t>
      </w:r>
      <w:r>
        <w:t xml:space="preserve"> the same quantity across all products included in the bid</w:t>
      </w:r>
      <w:r w:rsidR="001E0A2D">
        <w:t xml:space="preserve"> and the </w:t>
      </w:r>
      <w:r>
        <w:t xml:space="preserve">sum of the prices for all products included in the bid will be equal to the bid price. </w:t>
      </w:r>
    </w:p>
    <w:p w14:paraId="48E8BF6D" w14:textId="75353B41" w:rsidR="00273FA9" w:rsidRDefault="00273FA9" w:rsidP="00643B8D">
      <w:pPr>
        <w:pStyle w:val="BodyText"/>
      </w:pPr>
      <w:r>
        <w:t>Winning bids are determined using a linear program</w:t>
      </w:r>
      <w:r w:rsidR="001E0A2D">
        <w:t xml:space="preserve">, which </w:t>
      </w:r>
      <w:r>
        <w:t xml:space="preserve">maximises </w:t>
      </w:r>
      <w:r w:rsidR="001E0A2D">
        <w:t xml:space="preserve">the </w:t>
      </w:r>
      <w:r>
        <w:t xml:space="preserve">total value </w:t>
      </w:r>
      <w:r w:rsidR="001E0A2D">
        <w:t xml:space="preserve">of </w:t>
      </w:r>
      <w:r>
        <w:t>bid amounts subject to not exceeding the available supply of each product. Winning bids are determined simultaneously for all products</w:t>
      </w:r>
      <w:r w:rsidR="00792EE2">
        <w:t xml:space="preserve"> and t</w:t>
      </w:r>
      <w:r>
        <w:t>he lowest accepted bids are usually filled partially.</w:t>
      </w:r>
    </w:p>
    <w:p w14:paraId="2404974F" w14:textId="4EFAFB25" w:rsidR="00273FA9" w:rsidRDefault="001E0A2D" w:rsidP="00643B8D">
      <w:pPr>
        <w:pStyle w:val="BodyText"/>
      </w:pPr>
      <w:r>
        <w:t xml:space="preserve">If </w:t>
      </w:r>
      <w:r w:rsidR="00273FA9">
        <w:t xml:space="preserve">a pay-as-cleared pricing rule </w:t>
      </w:r>
      <w:r>
        <w:t xml:space="preserve">is adopted (see section </w:t>
      </w:r>
      <w:r>
        <w:fldChar w:fldCharType="begin"/>
      </w:r>
      <w:r>
        <w:instrText xml:space="preserve"> REF _Ref494009472 \r \h </w:instrText>
      </w:r>
      <w:r>
        <w:fldChar w:fldCharType="separate"/>
      </w:r>
      <w:r w:rsidR="00272B32">
        <w:t>4.3</w:t>
      </w:r>
      <w:r>
        <w:fldChar w:fldCharType="end"/>
      </w:r>
      <w:r>
        <w:t>)</w:t>
      </w:r>
      <w:r w:rsidR="00643B8D">
        <w:t>,</w:t>
      </w:r>
      <w:r>
        <w:t xml:space="preserve"> then the lowest accepted bids set</w:t>
      </w:r>
      <w:r w:rsidR="00273FA9">
        <w:t xml:space="preserve"> the per-unit prices for all products. This has the following implications:</w:t>
      </w:r>
    </w:p>
    <w:p w14:paraId="5F2D7BF4" w14:textId="5D4BFC30" w:rsidR="00273FA9" w:rsidRDefault="00273FA9" w:rsidP="009B15D8">
      <w:pPr>
        <w:pStyle w:val="ListBullet"/>
      </w:pPr>
      <w:r>
        <w:t xml:space="preserve">If some of the available supply of a product is unsold, </w:t>
      </w:r>
      <w:r w:rsidR="003975C3">
        <w:t xml:space="preserve">the price of the auction product </w:t>
      </w:r>
      <w:r>
        <w:t>is zero.</w:t>
      </w:r>
    </w:p>
    <w:p w14:paraId="6EF919B4" w14:textId="77777777" w:rsidR="00273FA9" w:rsidRDefault="00273FA9" w:rsidP="009B15D8">
      <w:pPr>
        <w:pStyle w:val="ListBullet"/>
      </w:pPr>
      <w:r>
        <w:t xml:space="preserve">The lowest accepted bids impose pricing constraints on all other products. If a lowest accepted bid only includes one product, the price of that product is set to the bid price. If a lowest accepted bid includes more than one product, it imposes a constraint that the sum of the prices of the products included in that bid sum to the bid price. </w:t>
      </w:r>
    </w:p>
    <w:p w14:paraId="655BF4F7" w14:textId="19BAB3B8" w:rsidR="00273FA9" w:rsidRDefault="00273FA9" w:rsidP="00643B8D">
      <w:pPr>
        <w:pStyle w:val="BodyText"/>
      </w:pPr>
      <w:r>
        <w:t xml:space="preserve">Prices are then determined jointly such that they satisfy all of the constraints imposed by the lowest accepted bids. If there is more than one set of prices that jointly satisfies all of these constraints, the set of prices that maximise total auction revenues is selected. If this does not resolve all indeterminacy, a method of random selection determines the final prices, subject to the previous constraints. </w:t>
      </w:r>
    </w:p>
    <w:p w14:paraId="13D19B33" w14:textId="337AAD42" w:rsidR="00273FA9" w:rsidRDefault="001E0A2D" w:rsidP="00643B8D">
      <w:pPr>
        <w:pStyle w:val="BodyText"/>
      </w:pPr>
      <w:r>
        <w:fldChar w:fldCharType="begin"/>
      </w:r>
      <w:r>
        <w:instrText xml:space="preserve"> REF _Ref494009603 \h </w:instrText>
      </w:r>
      <w:r>
        <w:fldChar w:fldCharType="separate"/>
      </w:r>
      <w:r w:rsidR="00272B32">
        <w:t xml:space="preserve">Box </w:t>
      </w:r>
      <w:r w:rsidR="00272B32">
        <w:rPr>
          <w:noProof/>
        </w:rPr>
        <w:t>4</w:t>
      </w:r>
      <w:r w:rsidR="00272B32">
        <w:t>.</w:t>
      </w:r>
      <w:r w:rsidR="00272B32">
        <w:rPr>
          <w:noProof/>
        </w:rPr>
        <w:t>4</w:t>
      </w:r>
      <w:r>
        <w:fldChar w:fldCharType="end"/>
      </w:r>
      <w:r>
        <w:t xml:space="preserve"> provides an example of how the partial combinatorial auction format works</w:t>
      </w:r>
      <w:r w:rsidR="00273FA9">
        <w:t xml:space="preserve">. For simplicity, the example only includes one bid that extends over more than one product. </w:t>
      </w:r>
    </w:p>
    <w:tbl>
      <w:tblPr>
        <w:tblStyle w:val="PullOutBoxTable"/>
        <w:tblW w:w="5000" w:type="pct"/>
        <w:tblLook w:val="0600" w:firstRow="0" w:lastRow="0" w:firstColumn="0" w:lastColumn="0" w:noHBand="1" w:noVBand="1"/>
        <w:tblCaption w:val="Box 4.4: Partial combinatorial auction example"/>
        <w:tblDescription w:val="Partial combinatorial auction example"/>
      </w:tblPr>
      <w:tblGrid>
        <w:gridCol w:w="8788"/>
      </w:tblGrid>
      <w:tr w:rsidR="001E0A2D" w:rsidRPr="001E0A2D" w14:paraId="40BF7E37" w14:textId="77777777" w:rsidTr="00BA005F">
        <w:trPr>
          <w:trHeight w:val="259"/>
          <w:tblHeader/>
        </w:trPr>
        <w:tc>
          <w:tcPr>
            <w:tcW w:w="5000" w:type="pct"/>
            <w:shd w:val="clear" w:color="auto" w:fill="auto"/>
          </w:tcPr>
          <w:p w14:paraId="12CC3FFD" w14:textId="05384262" w:rsidR="001E0A2D" w:rsidRPr="00BA005F" w:rsidRDefault="00BA005F" w:rsidP="00BA005F">
            <w:pPr>
              <w:pStyle w:val="PullOutBoxBodyText"/>
              <w:keepNext/>
              <w:spacing w:before="0"/>
              <w:rPr>
                <w:b/>
                <w:sz w:val="20"/>
                <w:szCs w:val="20"/>
              </w:rPr>
            </w:pPr>
            <w:bookmarkStart w:id="98" w:name="_Ref494009603"/>
            <w:r w:rsidRPr="00BA005F">
              <w:rPr>
                <w:b/>
              </w:rPr>
              <w:t xml:space="preserve">Box </w:t>
            </w:r>
            <w:r w:rsidRPr="00BA005F">
              <w:rPr>
                <w:b/>
              </w:rPr>
              <w:fldChar w:fldCharType="begin"/>
            </w:r>
            <w:r w:rsidRPr="00BA005F">
              <w:rPr>
                <w:b/>
              </w:rPr>
              <w:instrText xml:space="preserve"> STYLEREF 1 \s </w:instrText>
            </w:r>
            <w:r w:rsidRPr="00BA005F">
              <w:rPr>
                <w:b/>
              </w:rPr>
              <w:fldChar w:fldCharType="separate"/>
            </w:r>
            <w:r w:rsidRPr="00BA005F">
              <w:rPr>
                <w:b/>
                <w:noProof/>
              </w:rPr>
              <w:t>4</w:t>
            </w:r>
            <w:r w:rsidRPr="00BA005F">
              <w:rPr>
                <w:b/>
                <w:noProof/>
              </w:rPr>
              <w:fldChar w:fldCharType="end"/>
            </w:r>
            <w:r w:rsidRPr="00BA005F">
              <w:rPr>
                <w:b/>
              </w:rPr>
              <w:t>.</w:t>
            </w:r>
            <w:r w:rsidRPr="00BA005F">
              <w:rPr>
                <w:b/>
              </w:rPr>
              <w:fldChar w:fldCharType="begin"/>
            </w:r>
            <w:r w:rsidRPr="00BA005F">
              <w:rPr>
                <w:b/>
              </w:rPr>
              <w:instrText xml:space="preserve"> SEQ Box \* ARABIC \s 1 </w:instrText>
            </w:r>
            <w:r w:rsidRPr="00BA005F">
              <w:rPr>
                <w:b/>
              </w:rPr>
              <w:fldChar w:fldCharType="separate"/>
            </w:r>
            <w:r w:rsidRPr="00BA005F">
              <w:rPr>
                <w:b/>
                <w:noProof/>
              </w:rPr>
              <w:t>4</w:t>
            </w:r>
            <w:r w:rsidRPr="00BA005F">
              <w:rPr>
                <w:b/>
                <w:noProof/>
              </w:rPr>
              <w:fldChar w:fldCharType="end"/>
            </w:r>
            <w:bookmarkEnd w:id="98"/>
            <w:r w:rsidRPr="00BA005F">
              <w:rPr>
                <w:b/>
              </w:rPr>
              <w:t>: Partial combinatorial auction example</w:t>
            </w:r>
          </w:p>
        </w:tc>
      </w:tr>
      <w:tr w:rsidR="00BA005F" w:rsidRPr="001E0A2D" w14:paraId="6E437FDA" w14:textId="77777777" w:rsidTr="001E0A2D">
        <w:tc>
          <w:tcPr>
            <w:tcW w:w="5000" w:type="pct"/>
          </w:tcPr>
          <w:p w14:paraId="3122B484" w14:textId="77777777" w:rsidR="00BA005F" w:rsidRPr="001E0A2D" w:rsidRDefault="00BA005F" w:rsidP="00BA005F">
            <w:pPr>
              <w:pStyle w:val="BodyText"/>
              <w:keepNext/>
              <w:spacing w:before="0"/>
              <w:rPr>
                <w:sz w:val="20"/>
                <w:szCs w:val="20"/>
              </w:rPr>
            </w:pPr>
            <w:r>
              <w:rPr>
                <w:sz w:val="20"/>
                <w:szCs w:val="20"/>
              </w:rPr>
              <w:t>In this simple example, t</w:t>
            </w:r>
            <w:r w:rsidRPr="001E0A2D">
              <w:rPr>
                <w:sz w:val="20"/>
                <w:szCs w:val="20"/>
              </w:rPr>
              <w:t>here are three products (S1, S2 and S3)</w:t>
            </w:r>
            <w:r>
              <w:rPr>
                <w:sz w:val="20"/>
                <w:szCs w:val="20"/>
              </w:rPr>
              <w:t xml:space="preserve"> that shippers A, B, C and D are bidding for</w:t>
            </w:r>
            <w:r w:rsidRPr="001E0A2D">
              <w:rPr>
                <w:sz w:val="20"/>
                <w:szCs w:val="20"/>
              </w:rPr>
              <w:t>. Each product has capacity C</w:t>
            </w:r>
            <w:r>
              <w:rPr>
                <w:sz w:val="20"/>
                <w:szCs w:val="20"/>
              </w:rPr>
              <w:t xml:space="preserve"> and e</w:t>
            </w:r>
            <w:r w:rsidRPr="001E0A2D">
              <w:rPr>
                <w:sz w:val="20"/>
                <w:szCs w:val="20"/>
              </w:rPr>
              <w:t xml:space="preserve">ach bid consists of a price per unit and the products included in the bid. </w:t>
            </w:r>
            <w:r>
              <w:rPr>
                <w:sz w:val="20"/>
                <w:szCs w:val="20"/>
              </w:rPr>
              <w:t xml:space="preserve">The bids are set out in the table below. </w:t>
            </w:r>
          </w:p>
          <w:p w14:paraId="1B73E893" w14:textId="77777777" w:rsidR="00BA005F" w:rsidRPr="001E0A2D" w:rsidRDefault="00BA005F" w:rsidP="00BA005F">
            <w:pPr>
              <w:keepNext/>
              <w:keepLines/>
              <w:ind w:left="678"/>
              <w:rPr>
                <w:b/>
                <w:sz w:val="20"/>
                <w:szCs w:val="20"/>
              </w:rPr>
            </w:pPr>
            <w:r w:rsidRPr="001E0A2D">
              <w:rPr>
                <w:b/>
                <w:sz w:val="20"/>
                <w:szCs w:val="20"/>
              </w:rPr>
              <w:t>Bids</w:t>
            </w:r>
            <w:r>
              <w:rPr>
                <w:b/>
                <w:sz w:val="20"/>
                <w:szCs w:val="20"/>
              </w:rPr>
              <w:t xml:space="preserve"> for capacity </w:t>
            </w:r>
          </w:p>
          <w:tbl>
            <w:tblPr>
              <w:tblStyle w:val="TableGrid"/>
              <w:tblW w:w="7107" w:type="dxa"/>
              <w:jc w:val="center"/>
              <w:tblLook w:val="04A0" w:firstRow="1" w:lastRow="0" w:firstColumn="1" w:lastColumn="0" w:noHBand="0" w:noVBand="1"/>
              <w:tblCaption w:val="Bids for capacity "/>
              <w:tblDescription w:val="Bids for capacity in a partial combinatorial auction"/>
            </w:tblPr>
            <w:tblGrid>
              <w:gridCol w:w="985"/>
              <w:gridCol w:w="1260"/>
              <w:gridCol w:w="979"/>
              <w:gridCol w:w="1260"/>
              <w:gridCol w:w="1260"/>
              <w:gridCol w:w="1363"/>
            </w:tblGrid>
            <w:tr w:rsidR="00BA005F" w:rsidRPr="001E0A2D" w14:paraId="76DCDC0B" w14:textId="77777777" w:rsidTr="00BA005F">
              <w:trPr>
                <w:cnfStyle w:val="100000000000" w:firstRow="1" w:lastRow="0" w:firstColumn="0" w:lastColumn="0" w:oddVBand="0" w:evenVBand="0" w:oddHBand="0" w:evenHBand="0" w:firstRowFirstColumn="0" w:firstRowLastColumn="0" w:lastRowFirstColumn="0" w:lastRowLastColumn="0"/>
                <w:trHeight w:val="384"/>
                <w:tblHeader/>
                <w:jc w:val="center"/>
              </w:trPr>
              <w:tc>
                <w:tcPr>
                  <w:tcW w:w="985" w:type="dxa"/>
                  <w:tcBorders>
                    <w:right w:val="nil"/>
                  </w:tcBorders>
                  <w:shd w:val="clear" w:color="auto" w:fill="0099CC"/>
                </w:tcPr>
                <w:p w14:paraId="48AE00DB" w14:textId="77777777" w:rsidR="00BA005F" w:rsidRPr="001E0A2D" w:rsidRDefault="00BA005F" w:rsidP="00BA005F">
                  <w:pPr>
                    <w:pStyle w:val="BodyText"/>
                    <w:keepNext/>
                    <w:keepLines/>
                    <w:widowControl w:val="0"/>
                    <w:spacing w:before="40" w:after="0"/>
                    <w:jc w:val="center"/>
                    <w:rPr>
                      <w:b w:val="0"/>
                      <w:color w:val="FFFFFF" w:themeColor="background1"/>
                      <w:szCs w:val="18"/>
                    </w:rPr>
                  </w:pPr>
                  <w:r>
                    <w:rPr>
                      <w:b w:val="0"/>
                      <w:color w:val="FFFFFF" w:themeColor="background1"/>
                      <w:szCs w:val="18"/>
                    </w:rPr>
                    <w:t>Shipper</w:t>
                  </w:r>
                </w:p>
              </w:tc>
              <w:tc>
                <w:tcPr>
                  <w:tcW w:w="1260" w:type="dxa"/>
                  <w:tcBorders>
                    <w:left w:val="nil"/>
                    <w:right w:val="nil"/>
                  </w:tcBorders>
                  <w:shd w:val="clear" w:color="auto" w:fill="0099CC"/>
                </w:tcPr>
                <w:p w14:paraId="5663A6E7" w14:textId="77777777" w:rsidR="00BA005F" w:rsidRPr="001E0A2D" w:rsidRDefault="00BA005F" w:rsidP="00BA005F">
                  <w:pPr>
                    <w:pStyle w:val="BodyText"/>
                    <w:keepNext/>
                    <w:keepLines/>
                    <w:widowControl w:val="0"/>
                    <w:spacing w:before="40" w:after="0"/>
                    <w:jc w:val="center"/>
                    <w:rPr>
                      <w:b w:val="0"/>
                      <w:color w:val="FFFFFF" w:themeColor="background1"/>
                      <w:szCs w:val="18"/>
                    </w:rPr>
                  </w:pPr>
                  <w:r w:rsidRPr="001E0A2D">
                    <w:rPr>
                      <w:b w:val="0"/>
                      <w:color w:val="FFFFFF" w:themeColor="background1"/>
                      <w:szCs w:val="18"/>
                    </w:rPr>
                    <w:t xml:space="preserve">Price </w:t>
                  </w:r>
                  <w:r w:rsidRPr="001E0A2D">
                    <w:rPr>
                      <w:b w:val="0"/>
                      <w:color w:val="FFFFFF" w:themeColor="background1"/>
                      <w:szCs w:val="18"/>
                    </w:rPr>
                    <w:br/>
                    <w:t>(per unit)</w:t>
                  </w:r>
                </w:p>
              </w:tc>
              <w:tc>
                <w:tcPr>
                  <w:tcW w:w="979" w:type="dxa"/>
                  <w:tcBorders>
                    <w:left w:val="nil"/>
                    <w:right w:val="nil"/>
                  </w:tcBorders>
                  <w:shd w:val="clear" w:color="auto" w:fill="0099CC"/>
                </w:tcPr>
                <w:p w14:paraId="4806C17C" w14:textId="77777777" w:rsidR="00BA005F" w:rsidRPr="001E0A2D" w:rsidRDefault="00BA005F" w:rsidP="00BA005F">
                  <w:pPr>
                    <w:pStyle w:val="BodyText"/>
                    <w:keepNext/>
                    <w:keepLines/>
                    <w:widowControl w:val="0"/>
                    <w:spacing w:before="40" w:after="0"/>
                    <w:jc w:val="center"/>
                    <w:rPr>
                      <w:b w:val="0"/>
                      <w:color w:val="FFFFFF" w:themeColor="background1"/>
                      <w:szCs w:val="18"/>
                    </w:rPr>
                  </w:pPr>
                  <w:r w:rsidRPr="001E0A2D">
                    <w:rPr>
                      <w:b w:val="0"/>
                      <w:color w:val="FFFFFF" w:themeColor="background1"/>
                      <w:szCs w:val="18"/>
                    </w:rPr>
                    <w:t>Q</w:t>
                  </w:r>
                </w:p>
              </w:tc>
              <w:tc>
                <w:tcPr>
                  <w:tcW w:w="1260" w:type="dxa"/>
                  <w:tcBorders>
                    <w:left w:val="nil"/>
                    <w:bottom w:val="single" w:sz="4" w:space="0" w:color="auto"/>
                    <w:right w:val="nil"/>
                  </w:tcBorders>
                  <w:shd w:val="clear" w:color="auto" w:fill="0099CC"/>
                </w:tcPr>
                <w:p w14:paraId="46399C85" w14:textId="77777777" w:rsidR="00BA005F" w:rsidRPr="001E0A2D" w:rsidRDefault="00BA005F" w:rsidP="00BA005F">
                  <w:pPr>
                    <w:pStyle w:val="BodyText"/>
                    <w:keepNext/>
                    <w:keepLines/>
                    <w:widowControl w:val="0"/>
                    <w:spacing w:before="40" w:after="0"/>
                    <w:jc w:val="center"/>
                    <w:rPr>
                      <w:b w:val="0"/>
                      <w:color w:val="FFFFFF" w:themeColor="background1"/>
                      <w:szCs w:val="18"/>
                    </w:rPr>
                  </w:pPr>
                  <w:r w:rsidRPr="001E0A2D">
                    <w:rPr>
                      <w:b w:val="0"/>
                      <w:color w:val="FFFFFF" w:themeColor="background1"/>
                      <w:szCs w:val="18"/>
                    </w:rPr>
                    <w:t>S1</w:t>
                  </w:r>
                  <w:r w:rsidRPr="001E0A2D">
                    <w:rPr>
                      <w:b w:val="0"/>
                      <w:color w:val="FFFFFF" w:themeColor="background1"/>
                      <w:szCs w:val="18"/>
                    </w:rPr>
                    <w:br/>
                    <w:t>(C</w:t>
                  </w:r>
                  <w:r w:rsidRPr="001E0A2D">
                    <w:rPr>
                      <w:b w:val="0"/>
                      <w:color w:val="FFFFFF" w:themeColor="background1"/>
                      <w:szCs w:val="18"/>
                      <w:vertAlign w:val="subscript"/>
                    </w:rPr>
                    <w:t>1</w:t>
                  </w:r>
                  <w:r w:rsidRPr="001E0A2D">
                    <w:rPr>
                      <w:b w:val="0"/>
                      <w:color w:val="FFFFFF" w:themeColor="background1"/>
                      <w:szCs w:val="18"/>
                    </w:rPr>
                    <w:t xml:space="preserve"> = 300)</w:t>
                  </w:r>
                </w:p>
              </w:tc>
              <w:tc>
                <w:tcPr>
                  <w:tcW w:w="1260" w:type="dxa"/>
                  <w:tcBorders>
                    <w:left w:val="nil"/>
                    <w:bottom w:val="single" w:sz="4" w:space="0" w:color="auto"/>
                    <w:right w:val="nil"/>
                  </w:tcBorders>
                  <w:shd w:val="clear" w:color="auto" w:fill="0099CC"/>
                </w:tcPr>
                <w:p w14:paraId="2B36786E" w14:textId="77777777" w:rsidR="00BA005F" w:rsidRPr="001E0A2D" w:rsidRDefault="00BA005F" w:rsidP="00BA005F">
                  <w:pPr>
                    <w:pStyle w:val="BodyText"/>
                    <w:keepNext/>
                    <w:keepLines/>
                    <w:widowControl w:val="0"/>
                    <w:spacing w:before="40" w:after="0"/>
                    <w:jc w:val="center"/>
                    <w:rPr>
                      <w:b w:val="0"/>
                      <w:color w:val="FFFFFF" w:themeColor="background1"/>
                      <w:szCs w:val="18"/>
                    </w:rPr>
                  </w:pPr>
                  <w:r w:rsidRPr="001E0A2D">
                    <w:rPr>
                      <w:b w:val="0"/>
                      <w:color w:val="FFFFFF" w:themeColor="background1"/>
                      <w:szCs w:val="18"/>
                    </w:rPr>
                    <w:t>S2</w:t>
                  </w:r>
                  <w:r w:rsidRPr="001E0A2D">
                    <w:rPr>
                      <w:b w:val="0"/>
                      <w:color w:val="FFFFFF" w:themeColor="background1"/>
                      <w:szCs w:val="18"/>
                    </w:rPr>
                    <w:br/>
                    <w:t>(C</w:t>
                  </w:r>
                  <w:r w:rsidRPr="001E0A2D">
                    <w:rPr>
                      <w:b w:val="0"/>
                      <w:color w:val="FFFFFF" w:themeColor="background1"/>
                      <w:szCs w:val="18"/>
                      <w:vertAlign w:val="subscript"/>
                    </w:rPr>
                    <w:t>2</w:t>
                  </w:r>
                  <w:r w:rsidRPr="001E0A2D">
                    <w:rPr>
                      <w:b w:val="0"/>
                      <w:color w:val="FFFFFF" w:themeColor="background1"/>
                      <w:szCs w:val="18"/>
                    </w:rPr>
                    <w:t>=200)</w:t>
                  </w:r>
                </w:p>
              </w:tc>
              <w:tc>
                <w:tcPr>
                  <w:tcW w:w="1363" w:type="dxa"/>
                  <w:tcBorders>
                    <w:left w:val="nil"/>
                    <w:bottom w:val="single" w:sz="4" w:space="0" w:color="auto"/>
                  </w:tcBorders>
                  <w:shd w:val="clear" w:color="auto" w:fill="0099CC"/>
                </w:tcPr>
                <w:p w14:paraId="63B6CCD4" w14:textId="77777777" w:rsidR="00BA005F" w:rsidRPr="001E0A2D" w:rsidRDefault="00BA005F" w:rsidP="00BA005F">
                  <w:pPr>
                    <w:pStyle w:val="BodyText"/>
                    <w:keepNext/>
                    <w:keepLines/>
                    <w:widowControl w:val="0"/>
                    <w:spacing w:before="40" w:after="0"/>
                    <w:jc w:val="center"/>
                    <w:rPr>
                      <w:b w:val="0"/>
                      <w:color w:val="FFFFFF" w:themeColor="background1"/>
                      <w:szCs w:val="18"/>
                      <w:vertAlign w:val="subscript"/>
                    </w:rPr>
                  </w:pPr>
                  <w:r w:rsidRPr="001E0A2D">
                    <w:rPr>
                      <w:b w:val="0"/>
                      <w:color w:val="FFFFFF" w:themeColor="background1"/>
                      <w:szCs w:val="18"/>
                    </w:rPr>
                    <w:t>S3</w:t>
                  </w:r>
                  <w:r w:rsidRPr="001E0A2D">
                    <w:rPr>
                      <w:b w:val="0"/>
                      <w:color w:val="FFFFFF" w:themeColor="background1"/>
                      <w:szCs w:val="18"/>
                    </w:rPr>
                    <w:br/>
                    <w:t>(C</w:t>
                  </w:r>
                  <w:r w:rsidRPr="001E0A2D">
                    <w:rPr>
                      <w:b w:val="0"/>
                      <w:color w:val="FFFFFF" w:themeColor="background1"/>
                      <w:szCs w:val="18"/>
                      <w:vertAlign w:val="subscript"/>
                    </w:rPr>
                    <w:t xml:space="preserve">3 </w:t>
                  </w:r>
                  <w:r w:rsidRPr="001E0A2D">
                    <w:rPr>
                      <w:b w:val="0"/>
                      <w:color w:val="FFFFFF" w:themeColor="background1"/>
                      <w:szCs w:val="18"/>
                    </w:rPr>
                    <w:t>= 150)</w:t>
                  </w:r>
                </w:p>
              </w:tc>
            </w:tr>
            <w:tr w:rsidR="00BA005F" w:rsidRPr="001E0A2D" w14:paraId="64BB9636" w14:textId="77777777" w:rsidTr="00610057">
              <w:trPr>
                <w:jc w:val="center"/>
              </w:trPr>
              <w:tc>
                <w:tcPr>
                  <w:tcW w:w="985" w:type="dxa"/>
                  <w:vAlign w:val="bottom"/>
                </w:tcPr>
                <w:p w14:paraId="11F29BF1" w14:textId="77777777" w:rsidR="00BA005F" w:rsidRPr="001E0A2D" w:rsidRDefault="00BA005F" w:rsidP="00BA005F">
                  <w:pPr>
                    <w:pStyle w:val="BodyText"/>
                    <w:keepNext/>
                    <w:keepLines/>
                    <w:widowControl w:val="0"/>
                    <w:spacing w:before="40" w:after="0"/>
                    <w:jc w:val="center"/>
                    <w:rPr>
                      <w:szCs w:val="18"/>
                    </w:rPr>
                  </w:pPr>
                  <w:r w:rsidRPr="001E0A2D">
                    <w:rPr>
                      <w:szCs w:val="18"/>
                    </w:rPr>
                    <w:t>A</w:t>
                  </w:r>
                </w:p>
              </w:tc>
              <w:tc>
                <w:tcPr>
                  <w:tcW w:w="1260" w:type="dxa"/>
                  <w:vAlign w:val="bottom"/>
                </w:tcPr>
                <w:p w14:paraId="23552F77" w14:textId="77777777" w:rsidR="00BA005F" w:rsidRPr="001E0A2D" w:rsidRDefault="00BA005F" w:rsidP="00BA005F">
                  <w:pPr>
                    <w:pStyle w:val="BodyText"/>
                    <w:keepNext/>
                    <w:keepLines/>
                    <w:widowControl w:val="0"/>
                    <w:spacing w:before="40" w:after="0"/>
                    <w:jc w:val="center"/>
                    <w:rPr>
                      <w:szCs w:val="18"/>
                    </w:rPr>
                  </w:pPr>
                  <w:r w:rsidRPr="001E0A2D">
                    <w:rPr>
                      <w:szCs w:val="18"/>
                    </w:rPr>
                    <w:t>$40</w:t>
                  </w:r>
                </w:p>
              </w:tc>
              <w:tc>
                <w:tcPr>
                  <w:tcW w:w="979" w:type="dxa"/>
                  <w:vAlign w:val="bottom"/>
                </w:tcPr>
                <w:p w14:paraId="160AA394" w14:textId="77777777" w:rsidR="00BA005F" w:rsidRPr="001E0A2D" w:rsidRDefault="00BA005F" w:rsidP="00BA005F">
                  <w:pPr>
                    <w:pStyle w:val="BodyText"/>
                    <w:keepNext/>
                    <w:keepLines/>
                    <w:widowControl w:val="0"/>
                    <w:spacing w:before="40" w:after="0"/>
                    <w:jc w:val="center"/>
                    <w:rPr>
                      <w:szCs w:val="18"/>
                    </w:rPr>
                  </w:pPr>
                  <w:r w:rsidRPr="001E0A2D">
                    <w:rPr>
                      <w:szCs w:val="18"/>
                    </w:rPr>
                    <w:t>100</w:t>
                  </w:r>
                </w:p>
              </w:tc>
              <w:tc>
                <w:tcPr>
                  <w:tcW w:w="1260" w:type="dxa"/>
                  <w:shd w:val="clear" w:color="auto" w:fill="FFFFFF" w:themeFill="background1"/>
                  <w:vAlign w:val="bottom"/>
                </w:tcPr>
                <w:p w14:paraId="313212D9" w14:textId="77777777" w:rsidR="00BA005F" w:rsidRPr="001E0A2D" w:rsidRDefault="00BA005F" w:rsidP="00BA005F">
                  <w:pPr>
                    <w:pStyle w:val="BodyText"/>
                    <w:keepNext/>
                    <w:keepLines/>
                    <w:widowControl w:val="0"/>
                    <w:spacing w:before="40" w:after="0"/>
                    <w:jc w:val="center"/>
                    <w:rPr>
                      <w:szCs w:val="18"/>
                    </w:rPr>
                  </w:pPr>
                  <w:r w:rsidRPr="001E0A2D">
                    <w:rPr>
                      <w:szCs w:val="18"/>
                    </w:rPr>
                    <w:t>X</w:t>
                  </w:r>
                </w:p>
              </w:tc>
              <w:tc>
                <w:tcPr>
                  <w:tcW w:w="1260" w:type="dxa"/>
                  <w:shd w:val="clear" w:color="auto" w:fill="FFFFFF" w:themeFill="background1"/>
                  <w:vAlign w:val="bottom"/>
                </w:tcPr>
                <w:p w14:paraId="6909DD81" w14:textId="77777777" w:rsidR="00BA005F" w:rsidRPr="001E0A2D" w:rsidRDefault="00BA005F" w:rsidP="00BA005F">
                  <w:pPr>
                    <w:pStyle w:val="BodyText"/>
                    <w:keepNext/>
                    <w:keepLines/>
                    <w:widowControl w:val="0"/>
                    <w:spacing w:before="40" w:after="0"/>
                    <w:jc w:val="center"/>
                    <w:rPr>
                      <w:szCs w:val="18"/>
                    </w:rPr>
                  </w:pPr>
                  <w:r w:rsidRPr="001E0A2D">
                    <w:rPr>
                      <w:szCs w:val="18"/>
                    </w:rPr>
                    <w:t>X</w:t>
                  </w:r>
                </w:p>
              </w:tc>
              <w:tc>
                <w:tcPr>
                  <w:tcW w:w="1363" w:type="dxa"/>
                  <w:tcBorders>
                    <w:right w:val="single" w:sz="4" w:space="0" w:color="auto"/>
                  </w:tcBorders>
                  <w:shd w:val="clear" w:color="auto" w:fill="FFFFFF" w:themeFill="background1"/>
                  <w:vAlign w:val="bottom"/>
                </w:tcPr>
                <w:p w14:paraId="3A83936D" w14:textId="77777777" w:rsidR="00BA005F" w:rsidRPr="001E0A2D" w:rsidRDefault="00BA005F" w:rsidP="00BA005F">
                  <w:pPr>
                    <w:pStyle w:val="BodyText"/>
                    <w:keepNext/>
                    <w:keepLines/>
                    <w:widowControl w:val="0"/>
                    <w:spacing w:before="40" w:after="0"/>
                    <w:jc w:val="center"/>
                    <w:rPr>
                      <w:szCs w:val="18"/>
                    </w:rPr>
                  </w:pPr>
                  <w:r w:rsidRPr="001E0A2D">
                    <w:rPr>
                      <w:szCs w:val="18"/>
                    </w:rPr>
                    <w:t>X</w:t>
                  </w:r>
                </w:p>
              </w:tc>
            </w:tr>
            <w:tr w:rsidR="00BA005F" w:rsidRPr="001E0A2D" w14:paraId="47910DD3" w14:textId="77777777" w:rsidTr="00610057">
              <w:trPr>
                <w:cnfStyle w:val="000000010000" w:firstRow="0" w:lastRow="0" w:firstColumn="0" w:lastColumn="0" w:oddVBand="0" w:evenVBand="0" w:oddHBand="0" w:evenHBand="1" w:firstRowFirstColumn="0" w:firstRowLastColumn="0" w:lastRowFirstColumn="0" w:lastRowLastColumn="0"/>
                <w:jc w:val="center"/>
              </w:trPr>
              <w:tc>
                <w:tcPr>
                  <w:tcW w:w="985" w:type="dxa"/>
                  <w:vAlign w:val="bottom"/>
                </w:tcPr>
                <w:p w14:paraId="0B7E78C0" w14:textId="77777777" w:rsidR="00BA005F" w:rsidRPr="001E0A2D" w:rsidRDefault="00BA005F" w:rsidP="00BA005F">
                  <w:pPr>
                    <w:pStyle w:val="BodyText"/>
                    <w:keepNext/>
                    <w:keepLines/>
                    <w:widowControl w:val="0"/>
                    <w:spacing w:before="40" w:after="0"/>
                    <w:jc w:val="center"/>
                    <w:rPr>
                      <w:szCs w:val="18"/>
                    </w:rPr>
                  </w:pPr>
                  <w:r w:rsidRPr="001E0A2D">
                    <w:rPr>
                      <w:szCs w:val="18"/>
                    </w:rPr>
                    <w:t>B</w:t>
                  </w:r>
                </w:p>
              </w:tc>
              <w:tc>
                <w:tcPr>
                  <w:tcW w:w="1260" w:type="dxa"/>
                  <w:vAlign w:val="bottom"/>
                </w:tcPr>
                <w:p w14:paraId="0DEB1D25" w14:textId="77777777" w:rsidR="00BA005F" w:rsidRPr="001E0A2D" w:rsidRDefault="00BA005F" w:rsidP="00BA005F">
                  <w:pPr>
                    <w:pStyle w:val="BodyText"/>
                    <w:keepNext/>
                    <w:keepLines/>
                    <w:widowControl w:val="0"/>
                    <w:spacing w:before="40" w:after="0"/>
                    <w:jc w:val="center"/>
                    <w:rPr>
                      <w:szCs w:val="18"/>
                    </w:rPr>
                  </w:pPr>
                  <w:r w:rsidRPr="001E0A2D">
                    <w:rPr>
                      <w:szCs w:val="18"/>
                    </w:rPr>
                    <w:t>$50</w:t>
                  </w:r>
                </w:p>
              </w:tc>
              <w:tc>
                <w:tcPr>
                  <w:tcW w:w="979" w:type="dxa"/>
                  <w:vAlign w:val="bottom"/>
                </w:tcPr>
                <w:p w14:paraId="0FC9BB2F" w14:textId="77777777" w:rsidR="00BA005F" w:rsidRPr="001E0A2D" w:rsidRDefault="00BA005F" w:rsidP="00BA005F">
                  <w:pPr>
                    <w:pStyle w:val="BodyText"/>
                    <w:keepNext/>
                    <w:keepLines/>
                    <w:widowControl w:val="0"/>
                    <w:spacing w:before="40" w:after="0"/>
                    <w:jc w:val="center"/>
                    <w:rPr>
                      <w:szCs w:val="18"/>
                    </w:rPr>
                  </w:pPr>
                  <w:r w:rsidRPr="001E0A2D">
                    <w:rPr>
                      <w:szCs w:val="18"/>
                    </w:rPr>
                    <w:t>100</w:t>
                  </w:r>
                </w:p>
              </w:tc>
              <w:tc>
                <w:tcPr>
                  <w:tcW w:w="1260" w:type="dxa"/>
                  <w:shd w:val="clear" w:color="auto" w:fill="FFFFFF" w:themeFill="background1"/>
                  <w:vAlign w:val="bottom"/>
                </w:tcPr>
                <w:p w14:paraId="491EAA07" w14:textId="77777777" w:rsidR="00BA005F" w:rsidRPr="001E0A2D" w:rsidRDefault="00BA005F" w:rsidP="00BA005F">
                  <w:pPr>
                    <w:pStyle w:val="BodyText"/>
                    <w:keepNext/>
                    <w:keepLines/>
                    <w:widowControl w:val="0"/>
                    <w:spacing w:before="40" w:after="0"/>
                    <w:jc w:val="center"/>
                    <w:rPr>
                      <w:szCs w:val="18"/>
                    </w:rPr>
                  </w:pPr>
                  <w:r w:rsidRPr="001E0A2D">
                    <w:rPr>
                      <w:szCs w:val="18"/>
                    </w:rPr>
                    <w:t>X</w:t>
                  </w:r>
                </w:p>
              </w:tc>
              <w:tc>
                <w:tcPr>
                  <w:tcW w:w="1260" w:type="dxa"/>
                  <w:tcBorders>
                    <w:bottom w:val="single" w:sz="4" w:space="0" w:color="auto"/>
                  </w:tcBorders>
                  <w:vAlign w:val="bottom"/>
                </w:tcPr>
                <w:p w14:paraId="386DB1F9" w14:textId="77777777" w:rsidR="00BA005F" w:rsidRPr="001E0A2D" w:rsidRDefault="00BA005F" w:rsidP="00BA005F">
                  <w:pPr>
                    <w:pStyle w:val="BodyText"/>
                    <w:keepNext/>
                    <w:keepLines/>
                    <w:widowControl w:val="0"/>
                    <w:spacing w:before="40" w:after="0"/>
                    <w:jc w:val="center"/>
                    <w:rPr>
                      <w:szCs w:val="18"/>
                    </w:rPr>
                  </w:pPr>
                </w:p>
              </w:tc>
              <w:tc>
                <w:tcPr>
                  <w:tcW w:w="1363" w:type="dxa"/>
                  <w:vAlign w:val="bottom"/>
                </w:tcPr>
                <w:p w14:paraId="635178B8" w14:textId="77777777" w:rsidR="00BA005F" w:rsidRPr="001E0A2D" w:rsidRDefault="00BA005F" w:rsidP="00BA005F">
                  <w:pPr>
                    <w:pStyle w:val="BodyText"/>
                    <w:keepNext/>
                    <w:keepLines/>
                    <w:widowControl w:val="0"/>
                    <w:spacing w:before="40" w:after="0"/>
                    <w:jc w:val="center"/>
                    <w:rPr>
                      <w:szCs w:val="18"/>
                    </w:rPr>
                  </w:pPr>
                </w:p>
              </w:tc>
            </w:tr>
            <w:tr w:rsidR="00BA005F" w:rsidRPr="001E0A2D" w14:paraId="1D3FF962" w14:textId="77777777" w:rsidTr="00610057">
              <w:trPr>
                <w:jc w:val="center"/>
              </w:trPr>
              <w:tc>
                <w:tcPr>
                  <w:tcW w:w="985" w:type="dxa"/>
                  <w:vAlign w:val="bottom"/>
                </w:tcPr>
                <w:p w14:paraId="22CC2F78" w14:textId="77777777" w:rsidR="00BA005F" w:rsidRPr="001E0A2D" w:rsidRDefault="00BA005F" w:rsidP="00BA005F">
                  <w:pPr>
                    <w:pStyle w:val="BodyText"/>
                    <w:keepNext/>
                    <w:keepLines/>
                    <w:widowControl w:val="0"/>
                    <w:spacing w:before="40" w:after="0"/>
                    <w:jc w:val="center"/>
                    <w:rPr>
                      <w:szCs w:val="18"/>
                    </w:rPr>
                  </w:pPr>
                  <w:r w:rsidRPr="001E0A2D">
                    <w:rPr>
                      <w:szCs w:val="18"/>
                    </w:rPr>
                    <w:t>C</w:t>
                  </w:r>
                </w:p>
              </w:tc>
              <w:tc>
                <w:tcPr>
                  <w:tcW w:w="1260" w:type="dxa"/>
                  <w:vAlign w:val="bottom"/>
                </w:tcPr>
                <w:p w14:paraId="0E45E3F1" w14:textId="77777777" w:rsidR="00BA005F" w:rsidRPr="001E0A2D" w:rsidRDefault="00BA005F" w:rsidP="00BA005F">
                  <w:pPr>
                    <w:pStyle w:val="BodyText"/>
                    <w:keepNext/>
                    <w:keepLines/>
                    <w:widowControl w:val="0"/>
                    <w:spacing w:before="40" w:after="0"/>
                    <w:jc w:val="center"/>
                    <w:rPr>
                      <w:szCs w:val="18"/>
                    </w:rPr>
                  </w:pPr>
                  <w:r w:rsidRPr="001E0A2D">
                    <w:rPr>
                      <w:szCs w:val="18"/>
                    </w:rPr>
                    <w:t>$30</w:t>
                  </w:r>
                </w:p>
              </w:tc>
              <w:tc>
                <w:tcPr>
                  <w:tcW w:w="979" w:type="dxa"/>
                  <w:vAlign w:val="bottom"/>
                </w:tcPr>
                <w:p w14:paraId="2A4643C2" w14:textId="77777777" w:rsidR="00BA005F" w:rsidRPr="001E0A2D" w:rsidRDefault="00BA005F" w:rsidP="00BA005F">
                  <w:pPr>
                    <w:pStyle w:val="BodyText"/>
                    <w:keepNext/>
                    <w:keepLines/>
                    <w:widowControl w:val="0"/>
                    <w:spacing w:before="40" w:after="0"/>
                    <w:jc w:val="center"/>
                    <w:rPr>
                      <w:szCs w:val="18"/>
                    </w:rPr>
                  </w:pPr>
                  <w:r w:rsidRPr="001E0A2D">
                    <w:rPr>
                      <w:szCs w:val="18"/>
                    </w:rPr>
                    <w:t>160</w:t>
                  </w:r>
                </w:p>
              </w:tc>
              <w:tc>
                <w:tcPr>
                  <w:tcW w:w="1260" w:type="dxa"/>
                  <w:tcBorders>
                    <w:bottom w:val="single" w:sz="4" w:space="0" w:color="auto"/>
                  </w:tcBorders>
                  <w:vAlign w:val="bottom"/>
                </w:tcPr>
                <w:p w14:paraId="64A22D96" w14:textId="77777777" w:rsidR="00BA005F" w:rsidRPr="001E0A2D" w:rsidRDefault="00BA005F" w:rsidP="00BA005F">
                  <w:pPr>
                    <w:pStyle w:val="BodyText"/>
                    <w:keepNext/>
                    <w:keepLines/>
                    <w:widowControl w:val="0"/>
                    <w:spacing w:before="40" w:after="0"/>
                    <w:jc w:val="center"/>
                    <w:rPr>
                      <w:szCs w:val="18"/>
                    </w:rPr>
                  </w:pPr>
                </w:p>
              </w:tc>
              <w:tc>
                <w:tcPr>
                  <w:tcW w:w="1260" w:type="dxa"/>
                  <w:tcBorders>
                    <w:bottom w:val="single" w:sz="4" w:space="0" w:color="auto"/>
                  </w:tcBorders>
                  <w:shd w:val="clear" w:color="auto" w:fill="FFFFFF" w:themeFill="background1"/>
                  <w:vAlign w:val="bottom"/>
                </w:tcPr>
                <w:p w14:paraId="3CBBB19A" w14:textId="77777777" w:rsidR="00BA005F" w:rsidRPr="001E0A2D" w:rsidRDefault="00BA005F" w:rsidP="00BA005F">
                  <w:pPr>
                    <w:pStyle w:val="BodyText"/>
                    <w:keepNext/>
                    <w:keepLines/>
                    <w:widowControl w:val="0"/>
                    <w:spacing w:before="40" w:after="0"/>
                    <w:jc w:val="center"/>
                    <w:rPr>
                      <w:szCs w:val="18"/>
                    </w:rPr>
                  </w:pPr>
                  <w:r w:rsidRPr="001E0A2D">
                    <w:rPr>
                      <w:szCs w:val="18"/>
                    </w:rPr>
                    <w:t>X</w:t>
                  </w:r>
                </w:p>
              </w:tc>
              <w:tc>
                <w:tcPr>
                  <w:tcW w:w="1363" w:type="dxa"/>
                  <w:tcBorders>
                    <w:bottom w:val="single" w:sz="4" w:space="0" w:color="auto"/>
                  </w:tcBorders>
                  <w:vAlign w:val="bottom"/>
                </w:tcPr>
                <w:p w14:paraId="0799402F" w14:textId="77777777" w:rsidR="00BA005F" w:rsidRPr="001E0A2D" w:rsidRDefault="00BA005F" w:rsidP="00BA005F">
                  <w:pPr>
                    <w:pStyle w:val="BodyText"/>
                    <w:keepNext/>
                    <w:keepLines/>
                    <w:widowControl w:val="0"/>
                    <w:spacing w:before="40" w:after="0"/>
                    <w:jc w:val="center"/>
                    <w:rPr>
                      <w:szCs w:val="18"/>
                    </w:rPr>
                  </w:pPr>
                </w:p>
              </w:tc>
            </w:tr>
            <w:tr w:rsidR="00BA005F" w:rsidRPr="001E0A2D" w14:paraId="1196B060" w14:textId="77777777" w:rsidTr="00610057">
              <w:trPr>
                <w:cnfStyle w:val="000000010000" w:firstRow="0" w:lastRow="0" w:firstColumn="0" w:lastColumn="0" w:oddVBand="0" w:evenVBand="0" w:oddHBand="0" w:evenHBand="1" w:firstRowFirstColumn="0" w:firstRowLastColumn="0" w:lastRowFirstColumn="0" w:lastRowLastColumn="0"/>
                <w:jc w:val="center"/>
              </w:trPr>
              <w:tc>
                <w:tcPr>
                  <w:tcW w:w="985" w:type="dxa"/>
                  <w:vAlign w:val="bottom"/>
                </w:tcPr>
                <w:p w14:paraId="3A4EE1D2" w14:textId="77777777" w:rsidR="00BA005F" w:rsidRPr="001E0A2D" w:rsidRDefault="00BA005F" w:rsidP="00BA005F">
                  <w:pPr>
                    <w:pStyle w:val="BodyText"/>
                    <w:keepNext/>
                    <w:keepLines/>
                    <w:widowControl w:val="0"/>
                    <w:spacing w:before="40" w:after="0"/>
                    <w:jc w:val="center"/>
                    <w:rPr>
                      <w:szCs w:val="18"/>
                    </w:rPr>
                  </w:pPr>
                  <w:r w:rsidRPr="001E0A2D">
                    <w:rPr>
                      <w:szCs w:val="18"/>
                    </w:rPr>
                    <w:t>D</w:t>
                  </w:r>
                </w:p>
              </w:tc>
              <w:tc>
                <w:tcPr>
                  <w:tcW w:w="1260" w:type="dxa"/>
                  <w:vAlign w:val="bottom"/>
                </w:tcPr>
                <w:p w14:paraId="7F39F81F" w14:textId="77777777" w:rsidR="00BA005F" w:rsidRPr="001E0A2D" w:rsidRDefault="00BA005F" w:rsidP="00BA005F">
                  <w:pPr>
                    <w:pStyle w:val="BodyText"/>
                    <w:keepNext/>
                    <w:keepLines/>
                    <w:widowControl w:val="0"/>
                    <w:spacing w:before="40" w:after="0"/>
                    <w:jc w:val="center"/>
                    <w:rPr>
                      <w:szCs w:val="18"/>
                    </w:rPr>
                  </w:pPr>
                  <w:r w:rsidRPr="001E0A2D">
                    <w:rPr>
                      <w:szCs w:val="18"/>
                    </w:rPr>
                    <w:t>$20</w:t>
                  </w:r>
                </w:p>
              </w:tc>
              <w:tc>
                <w:tcPr>
                  <w:tcW w:w="979" w:type="dxa"/>
                  <w:vAlign w:val="bottom"/>
                </w:tcPr>
                <w:p w14:paraId="6DF0BE5C" w14:textId="77777777" w:rsidR="00BA005F" w:rsidRPr="001E0A2D" w:rsidRDefault="00BA005F" w:rsidP="00BA005F">
                  <w:pPr>
                    <w:pStyle w:val="BodyText"/>
                    <w:keepNext/>
                    <w:keepLines/>
                    <w:widowControl w:val="0"/>
                    <w:spacing w:before="40" w:after="0"/>
                    <w:jc w:val="center"/>
                    <w:rPr>
                      <w:szCs w:val="18"/>
                    </w:rPr>
                  </w:pPr>
                  <w:r w:rsidRPr="001E0A2D">
                    <w:rPr>
                      <w:szCs w:val="18"/>
                    </w:rPr>
                    <w:t>100</w:t>
                  </w:r>
                </w:p>
              </w:tc>
              <w:tc>
                <w:tcPr>
                  <w:tcW w:w="1260" w:type="dxa"/>
                  <w:shd w:val="clear" w:color="auto" w:fill="auto"/>
                  <w:vAlign w:val="bottom"/>
                </w:tcPr>
                <w:p w14:paraId="47C3CE6D" w14:textId="77777777" w:rsidR="00BA005F" w:rsidRPr="001E0A2D" w:rsidRDefault="00BA005F" w:rsidP="00BA005F">
                  <w:pPr>
                    <w:pStyle w:val="BodyText"/>
                    <w:keepNext/>
                    <w:keepLines/>
                    <w:widowControl w:val="0"/>
                    <w:spacing w:before="40" w:after="0"/>
                    <w:jc w:val="center"/>
                    <w:rPr>
                      <w:szCs w:val="18"/>
                    </w:rPr>
                  </w:pPr>
                </w:p>
              </w:tc>
              <w:tc>
                <w:tcPr>
                  <w:tcW w:w="1260" w:type="dxa"/>
                  <w:shd w:val="clear" w:color="auto" w:fill="auto"/>
                  <w:vAlign w:val="bottom"/>
                </w:tcPr>
                <w:p w14:paraId="3DD300F1" w14:textId="77777777" w:rsidR="00BA005F" w:rsidRPr="001E0A2D" w:rsidRDefault="00BA005F" w:rsidP="00BA005F">
                  <w:pPr>
                    <w:pStyle w:val="BodyText"/>
                    <w:keepNext/>
                    <w:keepLines/>
                    <w:widowControl w:val="0"/>
                    <w:spacing w:before="40" w:after="0"/>
                    <w:jc w:val="center"/>
                    <w:rPr>
                      <w:szCs w:val="18"/>
                    </w:rPr>
                  </w:pPr>
                </w:p>
              </w:tc>
              <w:tc>
                <w:tcPr>
                  <w:tcW w:w="1363" w:type="dxa"/>
                  <w:tcBorders>
                    <w:right w:val="single" w:sz="4" w:space="0" w:color="auto"/>
                  </w:tcBorders>
                  <w:shd w:val="clear" w:color="auto" w:fill="FFFFFF" w:themeFill="background1"/>
                  <w:vAlign w:val="bottom"/>
                </w:tcPr>
                <w:p w14:paraId="62D7F31E" w14:textId="77777777" w:rsidR="00BA005F" w:rsidRPr="001E0A2D" w:rsidRDefault="00BA005F" w:rsidP="00BA005F">
                  <w:pPr>
                    <w:pStyle w:val="BodyText"/>
                    <w:keepNext/>
                    <w:keepLines/>
                    <w:widowControl w:val="0"/>
                    <w:spacing w:before="40" w:after="0"/>
                    <w:jc w:val="center"/>
                    <w:rPr>
                      <w:szCs w:val="18"/>
                    </w:rPr>
                  </w:pPr>
                  <w:r w:rsidRPr="001E0A2D">
                    <w:rPr>
                      <w:szCs w:val="18"/>
                    </w:rPr>
                    <w:t>X</w:t>
                  </w:r>
                </w:p>
              </w:tc>
            </w:tr>
          </w:tbl>
          <w:p w14:paraId="5CF90A9F" w14:textId="77777777" w:rsidR="00BA005F" w:rsidRPr="00D35788" w:rsidRDefault="00BA005F" w:rsidP="00BA005F">
            <w:pPr>
              <w:pStyle w:val="BodyText"/>
              <w:keepNext/>
              <w:keepLines/>
              <w:widowControl w:val="0"/>
              <w:spacing w:before="120"/>
              <w:rPr>
                <w:sz w:val="20"/>
                <w:szCs w:val="20"/>
              </w:rPr>
            </w:pPr>
            <w:r w:rsidRPr="00D35788">
              <w:rPr>
                <w:sz w:val="20"/>
                <w:szCs w:val="20"/>
              </w:rPr>
              <w:t xml:space="preserve">The way in which capacity would be allocated to shippers A, B, C and D under the partial combinatorial auction format is set out in </w:t>
            </w:r>
            <w:r>
              <w:rPr>
                <w:sz w:val="20"/>
                <w:szCs w:val="20"/>
              </w:rPr>
              <w:t>the table below</w:t>
            </w:r>
            <w:r w:rsidRPr="00D35788">
              <w:rPr>
                <w:sz w:val="20"/>
                <w:szCs w:val="20"/>
              </w:rPr>
              <w:t xml:space="preserve">. </w:t>
            </w:r>
          </w:p>
          <w:p w14:paraId="591954FF" w14:textId="77777777" w:rsidR="00BA005F" w:rsidRPr="001E0A2D" w:rsidRDefault="00BA005F" w:rsidP="00BA005F">
            <w:pPr>
              <w:keepNext/>
              <w:keepLines/>
              <w:rPr>
                <w:b/>
                <w:sz w:val="20"/>
                <w:szCs w:val="20"/>
              </w:rPr>
            </w:pPr>
            <w:r w:rsidRPr="001E0A2D">
              <w:rPr>
                <w:b/>
                <w:sz w:val="20"/>
                <w:szCs w:val="20"/>
              </w:rPr>
              <w:t>Allocation of capacity</w:t>
            </w:r>
          </w:p>
          <w:tbl>
            <w:tblPr>
              <w:tblStyle w:val="TableGrid"/>
              <w:tblW w:w="9021" w:type="dxa"/>
              <w:jc w:val="center"/>
              <w:tblBorders>
                <w:left w:val="single" w:sz="4" w:space="0" w:color="auto"/>
                <w:right w:val="single" w:sz="4" w:space="0" w:color="auto"/>
              </w:tblBorders>
              <w:tblLook w:val="04A0" w:firstRow="1" w:lastRow="0" w:firstColumn="1" w:lastColumn="0" w:noHBand="0" w:noVBand="1"/>
              <w:tblCaption w:val="Allocation of capacity"/>
              <w:tblDescription w:val="Allocation of capacity under a combinatorial auction format"/>
            </w:tblPr>
            <w:tblGrid>
              <w:gridCol w:w="985"/>
              <w:gridCol w:w="979"/>
              <w:gridCol w:w="1260"/>
              <w:gridCol w:w="1260"/>
              <w:gridCol w:w="1363"/>
              <w:gridCol w:w="3174"/>
            </w:tblGrid>
            <w:tr w:rsidR="00BA005F" w:rsidRPr="001E0A2D" w14:paraId="0BFCDD82" w14:textId="77777777" w:rsidTr="00610057">
              <w:trPr>
                <w:cnfStyle w:val="100000000000" w:firstRow="1" w:lastRow="0" w:firstColumn="0" w:lastColumn="0" w:oddVBand="0" w:evenVBand="0" w:oddHBand="0" w:evenHBand="0" w:firstRowFirstColumn="0" w:firstRowLastColumn="0" w:lastRowFirstColumn="0" w:lastRowLastColumn="0"/>
                <w:tblHeader/>
                <w:jc w:val="center"/>
              </w:trPr>
              <w:tc>
                <w:tcPr>
                  <w:tcW w:w="985" w:type="dxa"/>
                  <w:tcBorders>
                    <w:left w:val="nil"/>
                    <w:right w:val="nil"/>
                  </w:tcBorders>
                  <w:shd w:val="clear" w:color="auto" w:fill="0099CC"/>
                </w:tcPr>
                <w:p w14:paraId="3BDE8F4E" w14:textId="77777777" w:rsidR="00BA005F" w:rsidRPr="001E0A2D" w:rsidRDefault="00BA005F" w:rsidP="00BA005F">
                  <w:pPr>
                    <w:pStyle w:val="BodyText"/>
                    <w:keepNext/>
                    <w:keepLines/>
                    <w:widowControl w:val="0"/>
                    <w:spacing w:before="20" w:after="20" w:line="240" w:lineRule="auto"/>
                    <w:ind w:left="80"/>
                    <w:jc w:val="center"/>
                    <w:rPr>
                      <w:b w:val="0"/>
                      <w:color w:val="FFFFFF" w:themeColor="background1"/>
                      <w:szCs w:val="18"/>
                    </w:rPr>
                  </w:pPr>
                  <w:r>
                    <w:rPr>
                      <w:b w:val="0"/>
                      <w:color w:val="FFFFFF" w:themeColor="background1"/>
                      <w:szCs w:val="18"/>
                    </w:rPr>
                    <w:t>Shipper</w:t>
                  </w:r>
                </w:p>
              </w:tc>
              <w:tc>
                <w:tcPr>
                  <w:tcW w:w="979" w:type="dxa"/>
                  <w:tcBorders>
                    <w:left w:val="nil"/>
                    <w:right w:val="nil"/>
                  </w:tcBorders>
                  <w:shd w:val="clear" w:color="auto" w:fill="0099CC"/>
                </w:tcPr>
                <w:p w14:paraId="642C86EA" w14:textId="77777777" w:rsidR="00BA005F" w:rsidRPr="001E0A2D" w:rsidRDefault="00BA005F" w:rsidP="00BA005F">
                  <w:pPr>
                    <w:pStyle w:val="BodyText"/>
                    <w:keepNext/>
                    <w:keepLines/>
                    <w:widowControl w:val="0"/>
                    <w:spacing w:before="20" w:after="20" w:line="240" w:lineRule="auto"/>
                    <w:jc w:val="center"/>
                    <w:rPr>
                      <w:b w:val="0"/>
                      <w:color w:val="FFFFFF" w:themeColor="background1"/>
                      <w:szCs w:val="18"/>
                    </w:rPr>
                  </w:pPr>
                  <w:r w:rsidRPr="001E0A2D">
                    <w:rPr>
                      <w:b w:val="0"/>
                      <w:color w:val="FFFFFF" w:themeColor="background1"/>
                      <w:szCs w:val="18"/>
                    </w:rPr>
                    <w:t>Q</w:t>
                  </w:r>
                </w:p>
              </w:tc>
              <w:tc>
                <w:tcPr>
                  <w:tcW w:w="1260" w:type="dxa"/>
                  <w:tcBorders>
                    <w:left w:val="nil"/>
                    <w:bottom w:val="single" w:sz="4" w:space="0" w:color="auto"/>
                    <w:right w:val="nil"/>
                  </w:tcBorders>
                  <w:shd w:val="clear" w:color="auto" w:fill="0099CC"/>
                </w:tcPr>
                <w:p w14:paraId="1B40A836" w14:textId="77777777" w:rsidR="00BA005F" w:rsidRPr="001E0A2D" w:rsidRDefault="00BA005F" w:rsidP="00BA005F">
                  <w:pPr>
                    <w:pStyle w:val="BodyText"/>
                    <w:keepNext/>
                    <w:keepLines/>
                    <w:widowControl w:val="0"/>
                    <w:spacing w:before="20" w:after="20" w:line="240" w:lineRule="auto"/>
                    <w:jc w:val="center"/>
                    <w:rPr>
                      <w:b w:val="0"/>
                      <w:color w:val="FFFFFF" w:themeColor="background1"/>
                      <w:szCs w:val="18"/>
                    </w:rPr>
                  </w:pPr>
                  <w:r w:rsidRPr="001E0A2D">
                    <w:rPr>
                      <w:b w:val="0"/>
                      <w:color w:val="FFFFFF" w:themeColor="background1"/>
                      <w:szCs w:val="18"/>
                    </w:rPr>
                    <w:t>S1</w:t>
                  </w:r>
                  <w:r w:rsidRPr="001E0A2D">
                    <w:rPr>
                      <w:b w:val="0"/>
                      <w:color w:val="FFFFFF" w:themeColor="background1"/>
                      <w:szCs w:val="18"/>
                    </w:rPr>
                    <w:br/>
                    <w:t>(C</w:t>
                  </w:r>
                  <w:r w:rsidRPr="001E0A2D">
                    <w:rPr>
                      <w:b w:val="0"/>
                      <w:color w:val="FFFFFF" w:themeColor="background1"/>
                      <w:szCs w:val="18"/>
                      <w:vertAlign w:val="subscript"/>
                    </w:rPr>
                    <w:t>1</w:t>
                  </w:r>
                  <w:r w:rsidRPr="001E0A2D">
                    <w:rPr>
                      <w:b w:val="0"/>
                      <w:color w:val="FFFFFF" w:themeColor="background1"/>
                      <w:szCs w:val="18"/>
                    </w:rPr>
                    <w:t xml:space="preserve"> = 300)</w:t>
                  </w:r>
                </w:p>
              </w:tc>
              <w:tc>
                <w:tcPr>
                  <w:tcW w:w="1260" w:type="dxa"/>
                  <w:tcBorders>
                    <w:left w:val="nil"/>
                    <w:bottom w:val="single" w:sz="4" w:space="0" w:color="auto"/>
                    <w:right w:val="nil"/>
                  </w:tcBorders>
                  <w:shd w:val="clear" w:color="auto" w:fill="0099CC"/>
                </w:tcPr>
                <w:p w14:paraId="1A81D3FF" w14:textId="77777777" w:rsidR="00BA005F" w:rsidRPr="001E0A2D" w:rsidRDefault="00BA005F" w:rsidP="00BA005F">
                  <w:pPr>
                    <w:pStyle w:val="BodyText"/>
                    <w:keepNext/>
                    <w:keepLines/>
                    <w:widowControl w:val="0"/>
                    <w:spacing w:before="20" w:after="20" w:line="240" w:lineRule="auto"/>
                    <w:jc w:val="center"/>
                    <w:rPr>
                      <w:b w:val="0"/>
                      <w:color w:val="FFFFFF" w:themeColor="background1"/>
                      <w:szCs w:val="18"/>
                    </w:rPr>
                  </w:pPr>
                  <w:r w:rsidRPr="001E0A2D">
                    <w:rPr>
                      <w:b w:val="0"/>
                      <w:color w:val="FFFFFF" w:themeColor="background1"/>
                      <w:szCs w:val="18"/>
                    </w:rPr>
                    <w:t>S2</w:t>
                  </w:r>
                  <w:r w:rsidRPr="001E0A2D">
                    <w:rPr>
                      <w:b w:val="0"/>
                      <w:color w:val="FFFFFF" w:themeColor="background1"/>
                      <w:szCs w:val="18"/>
                    </w:rPr>
                    <w:br/>
                    <w:t>(C</w:t>
                  </w:r>
                  <w:r w:rsidRPr="001E0A2D">
                    <w:rPr>
                      <w:b w:val="0"/>
                      <w:color w:val="FFFFFF" w:themeColor="background1"/>
                      <w:szCs w:val="18"/>
                      <w:vertAlign w:val="subscript"/>
                    </w:rPr>
                    <w:t>2</w:t>
                  </w:r>
                  <w:r w:rsidRPr="001E0A2D">
                    <w:rPr>
                      <w:b w:val="0"/>
                      <w:color w:val="FFFFFF" w:themeColor="background1"/>
                      <w:szCs w:val="18"/>
                    </w:rPr>
                    <w:t>=200)</w:t>
                  </w:r>
                </w:p>
              </w:tc>
              <w:tc>
                <w:tcPr>
                  <w:tcW w:w="1363" w:type="dxa"/>
                  <w:tcBorders>
                    <w:left w:val="nil"/>
                    <w:bottom w:val="single" w:sz="4" w:space="0" w:color="auto"/>
                    <w:right w:val="nil"/>
                  </w:tcBorders>
                  <w:shd w:val="clear" w:color="auto" w:fill="0099CC"/>
                </w:tcPr>
                <w:p w14:paraId="01AE8FD8" w14:textId="77777777" w:rsidR="00BA005F" w:rsidRPr="001E0A2D" w:rsidRDefault="00BA005F" w:rsidP="00BA005F">
                  <w:pPr>
                    <w:pStyle w:val="BodyText"/>
                    <w:keepNext/>
                    <w:keepLines/>
                    <w:widowControl w:val="0"/>
                    <w:spacing w:before="20" w:after="20" w:line="240" w:lineRule="auto"/>
                    <w:jc w:val="center"/>
                    <w:rPr>
                      <w:b w:val="0"/>
                      <w:color w:val="FFFFFF" w:themeColor="background1"/>
                      <w:szCs w:val="18"/>
                      <w:vertAlign w:val="subscript"/>
                    </w:rPr>
                  </w:pPr>
                  <w:r w:rsidRPr="001E0A2D">
                    <w:rPr>
                      <w:b w:val="0"/>
                      <w:color w:val="FFFFFF" w:themeColor="background1"/>
                      <w:szCs w:val="18"/>
                    </w:rPr>
                    <w:t>S3</w:t>
                  </w:r>
                  <w:r w:rsidRPr="001E0A2D">
                    <w:rPr>
                      <w:b w:val="0"/>
                      <w:color w:val="FFFFFF" w:themeColor="background1"/>
                      <w:szCs w:val="18"/>
                    </w:rPr>
                    <w:br/>
                    <w:t>(C</w:t>
                  </w:r>
                  <w:r w:rsidRPr="001E0A2D">
                    <w:rPr>
                      <w:b w:val="0"/>
                      <w:color w:val="FFFFFF" w:themeColor="background1"/>
                      <w:szCs w:val="18"/>
                      <w:vertAlign w:val="subscript"/>
                    </w:rPr>
                    <w:t xml:space="preserve">3 </w:t>
                  </w:r>
                  <w:r w:rsidRPr="001E0A2D">
                    <w:rPr>
                      <w:b w:val="0"/>
                      <w:color w:val="FFFFFF" w:themeColor="background1"/>
                      <w:szCs w:val="18"/>
                    </w:rPr>
                    <w:t>= 150)</w:t>
                  </w:r>
                </w:p>
              </w:tc>
              <w:tc>
                <w:tcPr>
                  <w:tcW w:w="3174" w:type="dxa"/>
                  <w:tcBorders>
                    <w:left w:val="nil"/>
                    <w:right w:val="nil"/>
                  </w:tcBorders>
                  <w:shd w:val="clear" w:color="auto" w:fill="0099CC"/>
                </w:tcPr>
                <w:p w14:paraId="20D0F968" w14:textId="77777777" w:rsidR="00BA005F" w:rsidRPr="001E0A2D" w:rsidRDefault="00BA005F" w:rsidP="00BA005F">
                  <w:pPr>
                    <w:pStyle w:val="BodyText"/>
                    <w:keepNext/>
                    <w:keepLines/>
                    <w:widowControl w:val="0"/>
                    <w:spacing w:before="20" w:after="20" w:line="240" w:lineRule="auto"/>
                    <w:rPr>
                      <w:b w:val="0"/>
                      <w:color w:val="FFFFFF" w:themeColor="background1"/>
                      <w:szCs w:val="18"/>
                    </w:rPr>
                  </w:pPr>
                  <w:r w:rsidRPr="001E0A2D">
                    <w:rPr>
                      <w:b w:val="0"/>
                      <w:color w:val="FFFFFF" w:themeColor="background1"/>
                      <w:szCs w:val="18"/>
                    </w:rPr>
                    <w:t>Comments</w:t>
                  </w:r>
                </w:p>
              </w:tc>
            </w:tr>
            <w:tr w:rsidR="00BA005F" w:rsidRPr="001E0A2D" w14:paraId="6C70FA7C" w14:textId="77777777" w:rsidTr="00610057">
              <w:trPr>
                <w:trHeight w:val="737"/>
                <w:jc w:val="center"/>
              </w:trPr>
              <w:tc>
                <w:tcPr>
                  <w:tcW w:w="985" w:type="dxa"/>
                  <w:vAlign w:val="center"/>
                </w:tcPr>
                <w:p w14:paraId="7ECA7CB8" w14:textId="77777777" w:rsidR="00BA005F" w:rsidRPr="001E0A2D" w:rsidRDefault="00BA005F" w:rsidP="00BA005F">
                  <w:pPr>
                    <w:pStyle w:val="BodyText"/>
                    <w:keepNext/>
                    <w:keepLines/>
                    <w:widowControl w:val="0"/>
                    <w:spacing w:before="20" w:after="20" w:line="240" w:lineRule="auto"/>
                    <w:ind w:left="80"/>
                    <w:jc w:val="center"/>
                    <w:rPr>
                      <w:szCs w:val="18"/>
                    </w:rPr>
                  </w:pPr>
                  <w:r w:rsidRPr="001E0A2D">
                    <w:rPr>
                      <w:szCs w:val="18"/>
                    </w:rPr>
                    <w:t>A</w:t>
                  </w:r>
                </w:p>
              </w:tc>
              <w:tc>
                <w:tcPr>
                  <w:tcW w:w="979" w:type="dxa"/>
                  <w:vAlign w:val="center"/>
                </w:tcPr>
                <w:p w14:paraId="391F9D66" w14:textId="77777777" w:rsidR="00BA005F" w:rsidRPr="001E0A2D" w:rsidRDefault="00BA005F" w:rsidP="00BA005F">
                  <w:pPr>
                    <w:pStyle w:val="BodyText"/>
                    <w:keepNext/>
                    <w:keepLines/>
                    <w:widowControl w:val="0"/>
                    <w:spacing w:before="20" w:after="20" w:line="240" w:lineRule="auto"/>
                    <w:jc w:val="center"/>
                    <w:rPr>
                      <w:szCs w:val="18"/>
                    </w:rPr>
                  </w:pPr>
                  <w:r w:rsidRPr="001E0A2D">
                    <w:rPr>
                      <w:color w:val="FF0000"/>
                      <w:szCs w:val="18"/>
                    </w:rPr>
                    <w:t>50</w:t>
                  </w:r>
                </w:p>
              </w:tc>
              <w:tc>
                <w:tcPr>
                  <w:tcW w:w="1260" w:type="dxa"/>
                  <w:tcBorders>
                    <w:bottom w:val="single" w:sz="4" w:space="0" w:color="auto"/>
                  </w:tcBorders>
                  <w:shd w:val="clear" w:color="auto" w:fill="FFFFFF" w:themeFill="background1"/>
                  <w:vAlign w:val="center"/>
                </w:tcPr>
                <w:p w14:paraId="0CE623F4" w14:textId="77777777" w:rsidR="00BA005F" w:rsidRPr="001E0A2D" w:rsidRDefault="00BA005F" w:rsidP="00BA005F">
                  <w:pPr>
                    <w:pStyle w:val="BodyText"/>
                    <w:keepNext/>
                    <w:keepLines/>
                    <w:widowControl w:val="0"/>
                    <w:spacing w:before="20" w:after="20" w:line="240" w:lineRule="auto"/>
                    <w:jc w:val="center"/>
                    <w:rPr>
                      <w:szCs w:val="18"/>
                    </w:rPr>
                  </w:pPr>
                  <w:r w:rsidRPr="001E0A2D">
                    <w:rPr>
                      <w:szCs w:val="18"/>
                    </w:rPr>
                    <w:t>X</w:t>
                  </w:r>
                </w:p>
              </w:tc>
              <w:tc>
                <w:tcPr>
                  <w:tcW w:w="1260" w:type="dxa"/>
                  <w:shd w:val="clear" w:color="auto" w:fill="FFFFFF" w:themeFill="background1"/>
                  <w:vAlign w:val="center"/>
                </w:tcPr>
                <w:p w14:paraId="73FE0F92" w14:textId="77777777" w:rsidR="00BA005F" w:rsidRPr="001E0A2D" w:rsidRDefault="00BA005F" w:rsidP="00BA005F">
                  <w:pPr>
                    <w:pStyle w:val="BodyText"/>
                    <w:keepNext/>
                    <w:keepLines/>
                    <w:widowControl w:val="0"/>
                    <w:spacing w:before="20" w:after="20" w:line="240" w:lineRule="auto"/>
                    <w:jc w:val="center"/>
                    <w:rPr>
                      <w:szCs w:val="18"/>
                    </w:rPr>
                  </w:pPr>
                  <w:r w:rsidRPr="001E0A2D">
                    <w:rPr>
                      <w:szCs w:val="18"/>
                    </w:rPr>
                    <w:t>X</w:t>
                  </w:r>
                </w:p>
              </w:tc>
              <w:tc>
                <w:tcPr>
                  <w:tcW w:w="1363" w:type="dxa"/>
                  <w:shd w:val="clear" w:color="auto" w:fill="FFFFFF" w:themeFill="background1"/>
                  <w:vAlign w:val="center"/>
                </w:tcPr>
                <w:p w14:paraId="74A83C43" w14:textId="77777777" w:rsidR="00BA005F" w:rsidRPr="001E0A2D" w:rsidRDefault="00BA005F" w:rsidP="00BA005F">
                  <w:pPr>
                    <w:pStyle w:val="BodyText"/>
                    <w:keepNext/>
                    <w:keepLines/>
                    <w:widowControl w:val="0"/>
                    <w:spacing w:before="20" w:after="20" w:line="240" w:lineRule="auto"/>
                    <w:jc w:val="center"/>
                    <w:rPr>
                      <w:szCs w:val="18"/>
                    </w:rPr>
                  </w:pPr>
                  <w:r w:rsidRPr="001E0A2D">
                    <w:rPr>
                      <w:szCs w:val="18"/>
                    </w:rPr>
                    <w:t>X</w:t>
                  </w:r>
                </w:p>
              </w:tc>
              <w:tc>
                <w:tcPr>
                  <w:tcW w:w="3174" w:type="dxa"/>
                  <w:shd w:val="clear" w:color="auto" w:fill="auto"/>
                  <w:vAlign w:val="center"/>
                </w:tcPr>
                <w:p w14:paraId="751CC9A7" w14:textId="77777777" w:rsidR="00BA005F" w:rsidRPr="001E0A2D" w:rsidRDefault="00BA005F" w:rsidP="00BA005F">
                  <w:pPr>
                    <w:pStyle w:val="BodyText"/>
                    <w:keepNext/>
                    <w:keepLines/>
                    <w:widowControl w:val="0"/>
                    <w:spacing w:before="20" w:after="20" w:line="240" w:lineRule="auto"/>
                    <w:rPr>
                      <w:szCs w:val="18"/>
                    </w:rPr>
                  </w:pPr>
                  <w:r w:rsidRPr="001E0A2D">
                    <w:rPr>
                      <w:szCs w:val="18"/>
                    </w:rPr>
                    <w:t>This is the lowest accepted bid for S3. It is only partially filled (50 of a total of 100).</w:t>
                  </w:r>
                </w:p>
              </w:tc>
            </w:tr>
            <w:tr w:rsidR="00BA005F" w:rsidRPr="001E0A2D" w14:paraId="73ECAE7D" w14:textId="77777777" w:rsidTr="00610057">
              <w:trPr>
                <w:cnfStyle w:val="000000010000" w:firstRow="0" w:lastRow="0" w:firstColumn="0" w:lastColumn="0" w:oddVBand="0" w:evenVBand="0" w:oddHBand="0" w:evenHBand="1" w:firstRowFirstColumn="0" w:firstRowLastColumn="0" w:lastRowFirstColumn="0" w:lastRowLastColumn="0"/>
                <w:trHeight w:val="737"/>
                <w:jc w:val="center"/>
              </w:trPr>
              <w:tc>
                <w:tcPr>
                  <w:tcW w:w="985" w:type="dxa"/>
                  <w:vAlign w:val="center"/>
                </w:tcPr>
                <w:p w14:paraId="454659C3" w14:textId="77777777" w:rsidR="00BA005F" w:rsidRPr="001E0A2D" w:rsidRDefault="00BA005F" w:rsidP="00BA005F">
                  <w:pPr>
                    <w:pStyle w:val="BodyText"/>
                    <w:keepNext/>
                    <w:keepLines/>
                    <w:widowControl w:val="0"/>
                    <w:spacing w:before="20" w:after="20" w:line="240" w:lineRule="auto"/>
                    <w:ind w:left="80"/>
                    <w:jc w:val="center"/>
                    <w:rPr>
                      <w:szCs w:val="18"/>
                    </w:rPr>
                  </w:pPr>
                  <w:r w:rsidRPr="001E0A2D">
                    <w:rPr>
                      <w:szCs w:val="18"/>
                    </w:rPr>
                    <w:t>B</w:t>
                  </w:r>
                </w:p>
              </w:tc>
              <w:tc>
                <w:tcPr>
                  <w:tcW w:w="979" w:type="dxa"/>
                  <w:vAlign w:val="center"/>
                </w:tcPr>
                <w:p w14:paraId="36EE6B47" w14:textId="77777777" w:rsidR="00BA005F" w:rsidRPr="001E0A2D" w:rsidRDefault="00BA005F" w:rsidP="00BA005F">
                  <w:pPr>
                    <w:pStyle w:val="BodyText"/>
                    <w:keepNext/>
                    <w:keepLines/>
                    <w:widowControl w:val="0"/>
                    <w:spacing w:before="20" w:after="20" w:line="240" w:lineRule="auto"/>
                    <w:jc w:val="center"/>
                    <w:rPr>
                      <w:szCs w:val="18"/>
                    </w:rPr>
                  </w:pPr>
                  <w:r w:rsidRPr="001E0A2D">
                    <w:rPr>
                      <w:szCs w:val="18"/>
                    </w:rPr>
                    <w:t>100</w:t>
                  </w:r>
                </w:p>
              </w:tc>
              <w:tc>
                <w:tcPr>
                  <w:tcW w:w="1260" w:type="dxa"/>
                  <w:shd w:val="clear" w:color="auto" w:fill="FFFFFF" w:themeFill="background1"/>
                  <w:vAlign w:val="center"/>
                </w:tcPr>
                <w:p w14:paraId="739649AC" w14:textId="77777777" w:rsidR="00BA005F" w:rsidRPr="001E0A2D" w:rsidRDefault="00BA005F" w:rsidP="00BA005F">
                  <w:pPr>
                    <w:pStyle w:val="BodyText"/>
                    <w:keepNext/>
                    <w:keepLines/>
                    <w:widowControl w:val="0"/>
                    <w:spacing w:before="20" w:after="20" w:line="240" w:lineRule="auto"/>
                    <w:jc w:val="center"/>
                    <w:rPr>
                      <w:szCs w:val="18"/>
                    </w:rPr>
                  </w:pPr>
                  <w:r w:rsidRPr="001E0A2D">
                    <w:rPr>
                      <w:szCs w:val="18"/>
                    </w:rPr>
                    <w:t>X</w:t>
                  </w:r>
                </w:p>
              </w:tc>
              <w:tc>
                <w:tcPr>
                  <w:tcW w:w="1260" w:type="dxa"/>
                  <w:tcBorders>
                    <w:bottom w:val="single" w:sz="4" w:space="0" w:color="auto"/>
                  </w:tcBorders>
                  <w:vAlign w:val="center"/>
                </w:tcPr>
                <w:p w14:paraId="6795453E" w14:textId="77777777" w:rsidR="00BA005F" w:rsidRPr="001E0A2D" w:rsidRDefault="00BA005F" w:rsidP="00BA005F">
                  <w:pPr>
                    <w:pStyle w:val="BodyText"/>
                    <w:keepNext/>
                    <w:keepLines/>
                    <w:widowControl w:val="0"/>
                    <w:spacing w:before="20" w:after="20" w:line="240" w:lineRule="auto"/>
                    <w:jc w:val="center"/>
                    <w:rPr>
                      <w:szCs w:val="18"/>
                    </w:rPr>
                  </w:pPr>
                </w:p>
              </w:tc>
              <w:tc>
                <w:tcPr>
                  <w:tcW w:w="1363" w:type="dxa"/>
                  <w:vAlign w:val="center"/>
                </w:tcPr>
                <w:p w14:paraId="648E3BCE" w14:textId="77777777" w:rsidR="00BA005F" w:rsidRPr="001E0A2D" w:rsidRDefault="00BA005F" w:rsidP="00BA005F">
                  <w:pPr>
                    <w:pStyle w:val="BodyText"/>
                    <w:keepNext/>
                    <w:keepLines/>
                    <w:widowControl w:val="0"/>
                    <w:spacing w:before="20" w:after="20" w:line="240" w:lineRule="auto"/>
                    <w:jc w:val="center"/>
                    <w:rPr>
                      <w:szCs w:val="18"/>
                    </w:rPr>
                  </w:pPr>
                </w:p>
              </w:tc>
              <w:tc>
                <w:tcPr>
                  <w:tcW w:w="3174" w:type="dxa"/>
                  <w:shd w:val="clear" w:color="auto" w:fill="auto"/>
                  <w:vAlign w:val="center"/>
                </w:tcPr>
                <w:p w14:paraId="3F993756" w14:textId="77777777" w:rsidR="00BA005F" w:rsidRPr="001E0A2D" w:rsidRDefault="00BA005F" w:rsidP="00BA005F">
                  <w:pPr>
                    <w:pStyle w:val="BodyText"/>
                    <w:keepNext/>
                    <w:keepLines/>
                    <w:widowControl w:val="0"/>
                    <w:spacing w:before="20" w:after="20" w:line="240" w:lineRule="auto"/>
                    <w:jc w:val="center"/>
                    <w:rPr>
                      <w:szCs w:val="18"/>
                    </w:rPr>
                  </w:pPr>
                </w:p>
              </w:tc>
            </w:tr>
            <w:tr w:rsidR="00BA005F" w:rsidRPr="001E0A2D" w14:paraId="599FD1C8" w14:textId="77777777" w:rsidTr="00610057">
              <w:trPr>
                <w:trHeight w:val="737"/>
                <w:jc w:val="center"/>
              </w:trPr>
              <w:tc>
                <w:tcPr>
                  <w:tcW w:w="985" w:type="dxa"/>
                  <w:vAlign w:val="center"/>
                </w:tcPr>
                <w:p w14:paraId="59EEDFDA" w14:textId="77777777" w:rsidR="00BA005F" w:rsidRPr="001E0A2D" w:rsidRDefault="00BA005F" w:rsidP="00BA005F">
                  <w:pPr>
                    <w:pStyle w:val="BodyText"/>
                    <w:keepNext/>
                    <w:keepLines/>
                    <w:widowControl w:val="0"/>
                    <w:spacing w:before="20" w:after="20" w:line="240" w:lineRule="auto"/>
                    <w:ind w:left="80"/>
                    <w:jc w:val="center"/>
                    <w:rPr>
                      <w:szCs w:val="18"/>
                    </w:rPr>
                  </w:pPr>
                  <w:r w:rsidRPr="001E0A2D">
                    <w:rPr>
                      <w:szCs w:val="18"/>
                    </w:rPr>
                    <w:t>C</w:t>
                  </w:r>
                </w:p>
              </w:tc>
              <w:tc>
                <w:tcPr>
                  <w:tcW w:w="979" w:type="dxa"/>
                  <w:vAlign w:val="center"/>
                </w:tcPr>
                <w:p w14:paraId="3C0EA482" w14:textId="77777777" w:rsidR="00BA005F" w:rsidRPr="001E0A2D" w:rsidRDefault="00BA005F" w:rsidP="00BA005F">
                  <w:pPr>
                    <w:pStyle w:val="BodyText"/>
                    <w:keepNext/>
                    <w:keepLines/>
                    <w:widowControl w:val="0"/>
                    <w:spacing w:before="20" w:after="20" w:line="240" w:lineRule="auto"/>
                    <w:jc w:val="center"/>
                    <w:rPr>
                      <w:szCs w:val="18"/>
                    </w:rPr>
                  </w:pPr>
                  <w:r w:rsidRPr="001E0A2D">
                    <w:rPr>
                      <w:color w:val="FF0000"/>
                      <w:szCs w:val="18"/>
                    </w:rPr>
                    <w:t>150</w:t>
                  </w:r>
                </w:p>
              </w:tc>
              <w:tc>
                <w:tcPr>
                  <w:tcW w:w="1260" w:type="dxa"/>
                  <w:vAlign w:val="center"/>
                </w:tcPr>
                <w:p w14:paraId="18C9E1CD" w14:textId="77777777" w:rsidR="00BA005F" w:rsidRPr="001E0A2D" w:rsidRDefault="00BA005F" w:rsidP="00BA005F">
                  <w:pPr>
                    <w:pStyle w:val="BodyText"/>
                    <w:keepNext/>
                    <w:keepLines/>
                    <w:widowControl w:val="0"/>
                    <w:spacing w:before="20" w:after="20" w:line="240" w:lineRule="auto"/>
                    <w:jc w:val="center"/>
                    <w:rPr>
                      <w:szCs w:val="18"/>
                    </w:rPr>
                  </w:pPr>
                </w:p>
              </w:tc>
              <w:tc>
                <w:tcPr>
                  <w:tcW w:w="1260" w:type="dxa"/>
                  <w:shd w:val="clear" w:color="auto" w:fill="FFFFFF" w:themeFill="background1"/>
                  <w:vAlign w:val="center"/>
                </w:tcPr>
                <w:p w14:paraId="13E82F65" w14:textId="77777777" w:rsidR="00BA005F" w:rsidRPr="001E0A2D" w:rsidRDefault="00BA005F" w:rsidP="00BA005F">
                  <w:pPr>
                    <w:pStyle w:val="BodyText"/>
                    <w:keepNext/>
                    <w:keepLines/>
                    <w:widowControl w:val="0"/>
                    <w:spacing w:before="20" w:after="20" w:line="240" w:lineRule="auto"/>
                    <w:jc w:val="center"/>
                    <w:rPr>
                      <w:szCs w:val="18"/>
                    </w:rPr>
                  </w:pPr>
                  <w:r w:rsidRPr="001E0A2D">
                    <w:rPr>
                      <w:szCs w:val="18"/>
                    </w:rPr>
                    <w:t>X</w:t>
                  </w:r>
                </w:p>
              </w:tc>
              <w:tc>
                <w:tcPr>
                  <w:tcW w:w="1363" w:type="dxa"/>
                  <w:tcBorders>
                    <w:bottom w:val="single" w:sz="4" w:space="0" w:color="auto"/>
                  </w:tcBorders>
                  <w:vAlign w:val="center"/>
                </w:tcPr>
                <w:p w14:paraId="4D6EF8D4" w14:textId="77777777" w:rsidR="00BA005F" w:rsidRPr="001E0A2D" w:rsidRDefault="00BA005F" w:rsidP="00BA005F">
                  <w:pPr>
                    <w:pStyle w:val="BodyText"/>
                    <w:keepNext/>
                    <w:keepLines/>
                    <w:widowControl w:val="0"/>
                    <w:spacing w:before="20" w:after="20" w:line="240" w:lineRule="auto"/>
                    <w:jc w:val="center"/>
                    <w:rPr>
                      <w:szCs w:val="18"/>
                    </w:rPr>
                  </w:pPr>
                </w:p>
              </w:tc>
              <w:tc>
                <w:tcPr>
                  <w:tcW w:w="3174" w:type="dxa"/>
                  <w:shd w:val="clear" w:color="auto" w:fill="auto"/>
                  <w:vAlign w:val="center"/>
                </w:tcPr>
                <w:p w14:paraId="354CAD44" w14:textId="77777777" w:rsidR="00BA005F" w:rsidRPr="001E0A2D" w:rsidRDefault="00BA005F" w:rsidP="00BA005F">
                  <w:pPr>
                    <w:pStyle w:val="BodyText"/>
                    <w:keepNext/>
                    <w:keepLines/>
                    <w:widowControl w:val="0"/>
                    <w:spacing w:before="20" w:after="20" w:line="240" w:lineRule="auto"/>
                    <w:rPr>
                      <w:szCs w:val="18"/>
                    </w:rPr>
                  </w:pPr>
                  <w:r w:rsidRPr="001E0A2D">
                    <w:rPr>
                      <w:szCs w:val="18"/>
                    </w:rPr>
                    <w:t>This is the lowest accepted bid. It is only partially filled (150 of a total of 160).</w:t>
                  </w:r>
                </w:p>
              </w:tc>
            </w:tr>
            <w:tr w:rsidR="00BA005F" w:rsidRPr="001E0A2D" w14:paraId="19B51E55" w14:textId="77777777" w:rsidTr="00610057">
              <w:trPr>
                <w:cnfStyle w:val="000000010000" w:firstRow="0" w:lastRow="0" w:firstColumn="0" w:lastColumn="0" w:oddVBand="0" w:evenVBand="0" w:oddHBand="0" w:evenHBand="1" w:firstRowFirstColumn="0" w:firstRowLastColumn="0" w:lastRowFirstColumn="0" w:lastRowLastColumn="0"/>
                <w:trHeight w:val="737"/>
                <w:jc w:val="center"/>
              </w:trPr>
              <w:tc>
                <w:tcPr>
                  <w:tcW w:w="985" w:type="dxa"/>
                  <w:vAlign w:val="center"/>
                </w:tcPr>
                <w:p w14:paraId="633FDBD1" w14:textId="77777777" w:rsidR="00BA005F" w:rsidRPr="001E0A2D" w:rsidRDefault="00BA005F" w:rsidP="00BA005F">
                  <w:pPr>
                    <w:pStyle w:val="BodyText"/>
                    <w:keepNext/>
                    <w:keepLines/>
                    <w:widowControl w:val="0"/>
                    <w:spacing w:before="20" w:after="20" w:line="240" w:lineRule="auto"/>
                    <w:ind w:left="80"/>
                    <w:jc w:val="center"/>
                    <w:rPr>
                      <w:szCs w:val="18"/>
                    </w:rPr>
                  </w:pPr>
                  <w:r w:rsidRPr="001E0A2D">
                    <w:rPr>
                      <w:szCs w:val="18"/>
                    </w:rPr>
                    <w:t>D</w:t>
                  </w:r>
                </w:p>
              </w:tc>
              <w:tc>
                <w:tcPr>
                  <w:tcW w:w="979" w:type="dxa"/>
                  <w:vAlign w:val="center"/>
                </w:tcPr>
                <w:p w14:paraId="23E0CBED" w14:textId="77777777" w:rsidR="00BA005F" w:rsidRPr="001E0A2D" w:rsidRDefault="00BA005F" w:rsidP="00BA005F">
                  <w:pPr>
                    <w:pStyle w:val="BodyText"/>
                    <w:keepNext/>
                    <w:keepLines/>
                    <w:widowControl w:val="0"/>
                    <w:spacing w:before="20" w:after="20" w:line="240" w:lineRule="auto"/>
                    <w:jc w:val="center"/>
                    <w:rPr>
                      <w:szCs w:val="18"/>
                    </w:rPr>
                  </w:pPr>
                  <w:r w:rsidRPr="001E0A2D">
                    <w:rPr>
                      <w:szCs w:val="18"/>
                    </w:rPr>
                    <w:t>100</w:t>
                  </w:r>
                </w:p>
              </w:tc>
              <w:tc>
                <w:tcPr>
                  <w:tcW w:w="1260" w:type="dxa"/>
                  <w:vAlign w:val="center"/>
                </w:tcPr>
                <w:p w14:paraId="01FC0543" w14:textId="77777777" w:rsidR="00BA005F" w:rsidRPr="001E0A2D" w:rsidRDefault="00BA005F" w:rsidP="00BA005F">
                  <w:pPr>
                    <w:pStyle w:val="BodyText"/>
                    <w:keepNext/>
                    <w:keepLines/>
                    <w:widowControl w:val="0"/>
                    <w:spacing w:before="20" w:after="20" w:line="240" w:lineRule="auto"/>
                    <w:jc w:val="center"/>
                    <w:rPr>
                      <w:szCs w:val="18"/>
                    </w:rPr>
                  </w:pPr>
                </w:p>
              </w:tc>
              <w:tc>
                <w:tcPr>
                  <w:tcW w:w="1260" w:type="dxa"/>
                  <w:shd w:val="clear" w:color="auto" w:fill="auto"/>
                  <w:vAlign w:val="center"/>
                </w:tcPr>
                <w:p w14:paraId="3C629DBA" w14:textId="77777777" w:rsidR="00BA005F" w:rsidRPr="001E0A2D" w:rsidRDefault="00BA005F" w:rsidP="00BA005F">
                  <w:pPr>
                    <w:pStyle w:val="BodyText"/>
                    <w:keepNext/>
                    <w:keepLines/>
                    <w:widowControl w:val="0"/>
                    <w:spacing w:before="20" w:after="20" w:line="240" w:lineRule="auto"/>
                    <w:jc w:val="center"/>
                    <w:rPr>
                      <w:szCs w:val="18"/>
                    </w:rPr>
                  </w:pPr>
                </w:p>
              </w:tc>
              <w:tc>
                <w:tcPr>
                  <w:tcW w:w="1363" w:type="dxa"/>
                  <w:shd w:val="clear" w:color="auto" w:fill="FFFFFF" w:themeFill="background1"/>
                  <w:vAlign w:val="center"/>
                </w:tcPr>
                <w:p w14:paraId="2E49BFDE" w14:textId="77777777" w:rsidR="00BA005F" w:rsidRPr="001E0A2D" w:rsidRDefault="00BA005F" w:rsidP="00BA005F">
                  <w:pPr>
                    <w:pStyle w:val="BodyText"/>
                    <w:keepNext/>
                    <w:keepLines/>
                    <w:widowControl w:val="0"/>
                    <w:spacing w:before="20" w:after="20" w:line="240" w:lineRule="auto"/>
                    <w:jc w:val="center"/>
                    <w:rPr>
                      <w:szCs w:val="18"/>
                    </w:rPr>
                  </w:pPr>
                  <w:r w:rsidRPr="001E0A2D">
                    <w:rPr>
                      <w:szCs w:val="18"/>
                    </w:rPr>
                    <w:t>X</w:t>
                  </w:r>
                </w:p>
              </w:tc>
              <w:tc>
                <w:tcPr>
                  <w:tcW w:w="3174" w:type="dxa"/>
                  <w:shd w:val="clear" w:color="auto" w:fill="auto"/>
                  <w:vAlign w:val="center"/>
                </w:tcPr>
                <w:p w14:paraId="5E526337" w14:textId="77777777" w:rsidR="00BA005F" w:rsidRPr="001E0A2D" w:rsidRDefault="00BA005F" w:rsidP="00BA005F">
                  <w:pPr>
                    <w:pStyle w:val="BodyText"/>
                    <w:keepNext/>
                    <w:keepLines/>
                    <w:widowControl w:val="0"/>
                    <w:spacing w:before="20" w:after="20" w:line="240" w:lineRule="auto"/>
                    <w:rPr>
                      <w:szCs w:val="18"/>
                    </w:rPr>
                  </w:pPr>
                </w:p>
              </w:tc>
            </w:tr>
          </w:tbl>
          <w:p w14:paraId="54596531" w14:textId="77777777" w:rsidR="00BA005F" w:rsidRDefault="00BA005F" w:rsidP="00BA005F">
            <w:pPr>
              <w:pStyle w:val="BodyText"/>
              <w:keepNext/>
              <w:keepLines/>
              <w:widowControl w:val="0"/>
              <w:spacing w:before="120"/>
              <w:rPr>
                <w:sz w:val="20"/>
                <w:szCs w:val="20"/>
              </w:rPr>
            </w:pPr>
            <w:r>
              <w:rPr>
                <w:sz w:val="20"/>
                <w:szCs w:val="20"/>
              </w:rPr>
              <w:t xml:space="preserve">In this example, shipper </w:t>
            </w:r>
            <w:r w:rsidRPr="00D35788">
              <w:rPr>
                <w:sz w:val="20"/>
                <w:szCs w:val="20"/>
              </w:rPr>
              <w:t xml:space="preserve">A has a higher bid per unit than </w:t>
            </w:r>
            <w:r>
              <w:rPr>
                <w:sz w:val="20"/>
                <w:szCs w:val="20"/>
              </w:rPr>
              <w:t xml:space="preserve">shipper </w:t>
            </w:r>
            <w:r w:rsidRPr="00D35788">
              <w:rPr>
                <w:sz w:val="20"/>
                <w:szCs w:val="20"/>
              </w:rPr>
              <w:t xml:space="preserve">D, </w:t>
            </w:r>
            <w:r>
              <w:rPr>
                <w:sz w:val="20"/>
                <w:szCs w:val="20"/>
              </w:rPr>
              <w:t xml:space="preserve">but </w:t>
            </w:r>
            <w:r w:rsidRPr="00D35788">
              <w:rPr>
                <w:sz w:val="20"/>
                <w:szCs w:val="20"/>
              </w:rPr>
              <w:t xml:space="preserve">is the lowest accepted bid for S3 and </w:t>
            </w:r>
            <w:r>
              <w:rPr>
                <w:sz w:val="20"/>
                <w:szCs w:val="20"/>
              </w:rPr>
              <w:t>so</w:t>
            </w:r>
            <w:r w:rsidRPr="00D35788">
              <w:rPr>
                <w:sz w:val="20"/>
                <w:szCs w:val="20"/>
              </w:rPr>
              <w:t xml:space="preserve"> </w:t>
            </w:r>
            <w:r>
              <w:rPr>
                <w:sz w:val="20"/>
                <w:szCs w:val="20"/>
              </w:rPr>
              <w:t xml:space="preserve">is </w:t>
            </w:r>
            <w:r w:rsidRPr="00D35788">
              <w:rPr>
                <w:sz w:val="20"/>
                <w:szCs w:val="20"/>
              </w:rPr>
              <w:t>only partially filled. This is because</w:t>
            </w:r>
            <w:r>
              <w:rPr>
                <w:sz w:val="20"/>
                <w:szCs w:val="20"/>
              </w:rPr>
              <w:t xml:space="preserve"> shipper</w:t>
            </w:r>
            <w:r w:rsidRPr="00D35788">
              <w:rPr>
                <w:sz w:val="20"/>
                <w:szCs w:val="20"/>
              </w:rPr>
              <w:t xml:space="preserve"> A competes with </w:t>
            </w:r>
            <w:r>
              <w:rPr>
                <w:sz w:val="20"/>
                <w:szCs w:val="20"/>
              </w:rPr>
              <w:t xml:space="preserve">shipper </w:t>
            </w:r>
            <w:r w:rsidRPr="00D35788">
              <w:rPr>
                <w:sz w:val="20"/>
                <w:szCs w:val="20"/>
              </w:rPr>
              <w:t xml:space="preserve">C for </w:t>
            </w:r>
            <w:r>
              <w:rPr>
                <w:sz w:val="20"/>
                <w:szCs w:val="20"/>
              </w:rPr>
              <w:t xml:space="preserve">capacity at </w:t>
            </w:r>
            <w:r w:rsidRPr="00D35788">
              <w:rPr>
                <w:sz w:val="20"/>
                <w:szCs w:val="20"/>
              </w:rPr>
              <w:t xml:space="preserve">S2 at the same time. Increasing the </w:t>
            </w:r>
            <w:r>
              <w:rPr>
                <w:sz w:val="20"/>
                <w:szCs w:val="20"/>
              </w:rPr>
              <w:t xml:space="preserve">capacity </w:t>
            </w:r>
            <w:r w:rsidRPr="00D35788">
              <w:rPr>
                <w:sz w:val="20"/>
                <w:szCs w:val="20"/>
              </w:rPr>
              <w:t xml:space="preserve">allocated to </w:t>
            </w:r>
            <w:r>
              <w:rPr>
                <w:sz w:val="20"/>
                <w:szCs w:val="20"/>
              </w:rPr>
              <w:t xml:space="preserve">shipper </w:t>
            </w:r>
            <w:r w:rsidRPr="00D35788">
              <w:rPr>
                <w:sz w:val="20"/>
                <w:szCs w:val="20"/>
              </w:rPr>
              <w:t xml:space="preserve">A by one unit, would require </w:t>
            </w:r>
            <w:r>
              <w:rPr>
                <w:sz w:val="20"/>
                <w:szCs w:val="20"/>
              </w:rPr>
              <w:t xml:space="preserve">a reduction in the capacity allocated to shippers </w:t>
            </w:r>
            <w:r w:rsidRPr="00D35788">
              <w:rPr>
                <w:sz w:val="20"/>
                <w:szCs w:val="20"/>
              </w:rPr>
              <w:t xml:space="preserve">C and D by one unit each. While </w:t>
            </w:r>
            <w:r>
              <w:rPr>
                <w:sz w:val="20"/>
                <w:szCs w:val="20"/>
              </w:rPr>
              <w:t xml:space="preserve">shipper </w:t>
            </w:r>
            <w:r w:rsidRPr="00D35788">
              <w:rPr>
                <w:sz w:val="20"/>
                <w:szCs w:val="20"/>
              </w:rPr>
              <w:t xml:space="preserve">A is only willing to pay $40 for one unit of S2 and one unit of S3, </w:t>
            </w:r>
            <w:r>
              <w:rPr>
                <w:sz w:val="20"/>
                <w:szCs w:val="20"/>
              </w:rPr>
              <w:t xml:space="preserve">shippers </w:t>
            </w:r>
            <w:r w:rsidRPr="00D35788">
              <w:rPr>
                <w:sz w:val="20"/>
                <w:szCs w:val="20"/>
              </w:rPr>
              <w:t xml:space="preserve">C and D are willing to spend $30 + $20 = $50 for one unit of S2 and S3. It is </w:t>
            </w:r>
            <w:r>
              <w:rPr>
                <w:sz w:val="20"/>
                <w:szCs w:val="20"/>
              </w:rPr>
              <w:t>therefore</w:t>
            </w:r>
            <w:r w:rsidRPr="00D35788">
              <w:rPr>
                <w:sz w:val="20"/>
                <w:szCs w:val="20"/>
              </w:rPr>
              <w:t xml:space="preserve"> more efficient to constrain </w:t>
            </w:r>
            <w:r>
              <w:rPr>
                <w:sz w:val="20"/>
                <w:szCs w:val="20"/>
              </w:rPr>
              <w:t xml:space="preserve">shipper </w:t>
            </w:r>
            <w:r w:rsidRPr="00D35788">
              <w:rPr>
                <w:sz w:val="20"/>
                <w:szCs w:val="20"/>
              </w:rPr>
              <w:t xml:space="preserve">A rather than </w:t>
            </w:r>
            <w:r>
              <w:rPr>
                <w:sz w:val="20"/>
                <w:szCs w:val="20"/>
              </w:rPr>
              <w:t xml:space="preserve">shipper </w:t>
            </w:r>
            <w:r w:rsidRPr="00D35788">
              <w:rPr>
                <w:sz w:val="20"/>
                <w:szCs w:val="20"/>
              </w:rPr>
              <w:t>D at S3.</w:t>
            </w:r>
          </w:p>
          <w:p w14:paraId="048BD921" w14:textId="77777777" w:rsidR="00BA005F" w:rsidRPr="00D35788" w:rsidRDefault="00BA005F" w:rsidP="00BA005F">
            <w:pPr>
              <w:pStyle w:val="BodyText"/>
              <w:keepNext/>
              <w:keepLines/>
              <w:widowControl w:val="0"/>
              <w:spacing w:before="120"/>
              <w:rPr>
                <w:sz w:val="20"/>
                <w:szCs w:val="20"/>
              </w:rPr>
            </w:pPr>
            <w:r>
              <w:rPr>
                <w:sz w:val="20"/>
                <w:szCs w:val="20"/>
              </w:rPr>
              <w:t>The final prices that would be payable in this example are set out in the table below.</w:t>
            </w:r>
          </w:p>
          <w:p w14:paraId="04156FAE" w14:textId="77777777" w:rsidR="00BA005F" w:rsidRPr="00D35788" w:rsidRDefault="00BA005F" w:rsidP="00BA005F">
            <w:pPr>
              <w:keepNext/>
              <w:keepLines/>
              <w:ind w:left="678"/>
              <w:rPr>
                <w:b/>
                <w:sz w:val="18"/>
                <w:szCs w:val="18"/>
              </w:rPr>
            </w:pPr>
            <w:r w:rsidRPr="00D35788">
              <w:rPr>
                <w:b/>
                <w:sz w:val="20"/>
                <w:szCs w:val="20"/>
              </w:rPr>
              <w:t>Fina</w:t>
            </w:r>
            <w:r w:rsidRPr="00D35788">
              <w:rPr>
                <w:b/>
                <w:sz w:val="18"/>
                <w:szCs w:val="18"/>
              </w:rPr>
              <w:t>l prices</w:t>
            </w:r>
          </w:p>
          <w:tbl>
            <w:tblPr>
              <w:tblStyle w:val="TableGrid"/>
              <w:tblW w:w="7222" w:type="dxa"/>
              <w:jc w:val="center"/>
              <w:tblLook w:val="04A0" w:firstRow="1" w:lastRow="0" w:firstColumn="1" w:lastColumn="0" w:noHBand="0" w:noVBand="1"/>
              <w:tblCaption w:val="Final prices"/>
              <w:tblDescription w:val="The final prices that would be payable in this example are set out in the table below.&#10;&#10;"/>
            </w:tblPr>
            <w:tblGrid>
              <w:gridCol w:w="1296"/>
              <w:gridCol w:w="1274"/>
              <w:gridCol w:w="4652"/>
            </w:tblGrid>
            <w:tr w:rsidR="00BA005F" w:rsidRPr="00D35788" w14:paraId="120A05B8" w14:textId="77777777" w:rsidTr="00EC3620">
              <w:trPr>
                <w:cnfStyle w:val="100000000000" w:firstRow="1" w:lastRow="0" w:firstColumn="0" w:lastColumn="0" w:oddVBand="0" w:evenVBand="0" w:oddHBand="0" w:evenHBand="0" w:firstRowFirstColumn="0" w:firstRowLastColumn="0" w:lastRowFirstColumn="0" w:lastRowLastColumn="0"/>
                <w:tblHeader/>
                <w:jc w:val="center"/>
              </w:trPr>
              <w:tc>
                <w:tcPr>
                  <w:tcW w:w="1296" w:type="dxa"/>
                  <w:tcBorders>
                    <w:bottom w:val="single" w:sz="4" w:space="0" w:color="auto"/>
                    <w:right w:val="nil"/>
                  </w:tcBorders>
                  <w:shd w:val="clear" w:color="auto" w:fill="0099CC"/>
                </w:tcPr>
                <w:p w14:paraId="456A0B86" w14:textId="77777777" w:rsidR="00BA005F" w:rsidRPr="00D35788" w:rsidRDefault="00BA005F" w:rsidP="00BA005F">
                  <w:pPr>
                    <w:pStyle w:val="BodyText"/>
                    <w:keepNext/>
                    <w:keepLines/>
                    <w:widowControl w:val="0"/>
                    <w:spacing w:before="40" w:after="0"/>
                    <w:jc w:val="center"/>
                    <w:rPr>
                      <w:b w:val="0"/>
                      <w:color w:val="FFFFFF" w:themeColor="background1"/>
                      <w:szCs w:val="18"/>
                    </w:rPr>
                  </w:pPr>
                  <w:r w:rsidRPr="00D35788">
                    <w:rPr>
                      <w:b w:val="0"/>
                      <w:color w:val="FFFFFF" w:themeColor="background1"/>
                      <w:szCs w:val="18"/>
                    </w:rPr>
                    <w:t>Product</w:t>
                  </w:r>
                </w:p>
              </w:tc>
              <w:tc>
                <w:tcPr>
                  <w:tcW w:w="1274" w:type="dxa"/>
                  <w:tcBorders>
                    <w:left w:val="nil"/>
                    <w:bottom w:val="single" w:sz="4" w:space="0" w:color="auto"/>
                    <w:right w:val="nil"/>
                  </w:tcBorders>
                  <w:shd w:val="clear" w:color="auto" w:fill="0099CC"/>
                </w:tcPr>
                <w:p w14:paraId="1048FF0E" w14:textId="77777777" w:rsidR="00BA005F" w:rsidRPr="00D35788" w:rsidRDefault="00BA005F" w:rsidP="00BA005F">
                  <w:pPr>
                    <w:pStyle w:val="BodyText"/>
                    <w:keepNext/>
                    <w:keepLines/>
                    <w:widowControl w:val="0"/>
                    <w:spacing w:before="40" w:after="0"/>
                    <w:jc w:val="center"/>
                    <w:rPr>
                      <w:b w:val="0"/>
                      <w:color w:val="FFFFFF" w:themeColor="background1"/>
                      <w:szCs w:val="18"/>
                    </w:rPr>
                  </w:pPr>
                  <w:r w:rsidRPr="00D35788">
                    <w:rPr>
                      <w:b w:val="0"/>
                      <w:color w:val="FFFFFF" w:themeColor="background1"/>
                      <w:szCs w:val="18"/>
                    </w:rPr>
                    <w:t>Price</w:t>
                  </w:r>
                  <w:r>
                    <w:rPr>
                      <w:b w:val="0"/>
                      <w:color w:val="FFFFFF" w:themeColor="background1"/>
                      <w:szCs w:val="18"/>
                    </w:rPr>
                    <w:br/>
                  </w:r>
                  <w:r w:rsidRPr="00D35788">
                    <w:rPr>
                      <w:b w:val="0"/>
                      <w:color w:val="FFFFFF" w:themeColor="background1"/>
                      <w:szCs w:val="18"/>
                    </w:rPr>
                    <w:t>(per unit)</w:t>
                  </w:r>
                </w:p>
              </w:tc>
              <w:tc>
                <w:tcPr>
                  <w:tcW w:w="4652" w:type="dxa"/>
                  <w:tcBorders>
                    <w:left w:val="nil"/>
                    <w:bottom w:val="single" w:sz="4" w:space="0" w:color="auto"/>
                  </w:tcBorders>
                  <w:shd w:val="clear" w:color="auto" w:fill="0099CC"/>
                </w:tcPr>
                <w:p w14:paraId="5B6D7ABA" w14:textId="77777777" w:rsidR="00BA005F" w:rsidRPr="00D35788" w:rsidRDefault="00BA005F" w:rsidP="00BA005F">
                  <w:pPr>
                    <w:pStyle w:val="BodyText"/>
                    <w:keepNext/>
                    <w:keepLines/>
                    <w:widowControl w:val="0"/>
                    <w:spacing w:before="40" w:after="0"/>
                    <w:rPr>
                      <w:b w:val="0"/>
                      <w:color w:val="FFFFFF" w:themeColor="background1"/>
                      <w:szCs w:val="18"/>
                    </w:rPr>
                  </w:pPr>
                  <w:r w:rsidRPr="00D35788">
                    <w:rPr>
                      <w:b w:val="0"/>
                      <w:color w:val="FFFFFF" w:themeColor="background1"/>
                      <w:szCs w:val="18"/>
                    </w:rPr>
                    <w:t>Comments</w:t>
                  </w:r>
                </w:p>
              </w:tc>
            </w:tr>
            <w:tr w:rsidR="00BA005F" w:rsidRPr="00D35788" w14:paraId="66FEEE60" w14:textId="77777777" w:rsidTr="00610057">
              <w:trPr>
                <w:trHeight w:val="247"/>
                <w:jc w:val="center"/>
              </w:trPr>
              <w:tc>
                <w:tcPr>
                  <w:tcW w:w="1296" w:type="dxa"/>
                  <w:shd w:val="clear" w:color="auto" w:fill="auto"/>
                  <w:vAlign w:val="center"/>
                </w:tcPr>
                <w:p w14:paraId="258A16A6" w14:textId="77777777" w:rsidR="00BA005F" w:rsidRPr="00D35788" w:rsidRDefault="00BA005F" w:rsidP="00BA005F">
                  <w:pPr>
                    <w:pStyle w:val="BodyText"/>
                    <w:keepNext/>
                    <w:keepLines/>
                    <w:widowControl w:val="0"/>
                    <w:spacing w:before="40" w:after="0"/>
                    <w:jc w:val="center"/>
                    <w:rPr>
                      <w:szCs w:val="18"/>
                    </w:rPr>
                  </w:pPr>
                  <w:r w:rsidRPr="00D35788">
                    <w:rPr>
                      <w:szCs w:val="18"/>
                    </w:rPr>
                    <w:t>S1</w:t>
                  </w:r>
                </w:p>
              </w:tc>
              <w:tc>
                <w:tcPr>
                  <w:tcW w:w="1274" w:type="dxa"/>
                  <w:shd w:val="clear" w:color="auto" w:fill="auto"/>
                  <w:vAlign w:val="center"/>
                </w:tcPr>
                <w:p w14:paraId="3D9397A0" w14:textId="77777777" w:rsidR="00BA005F" w:rsidRPr="00D35788" w:rsidRDefault="00BA005F" w:rsidP="00BA005F">
                  <w:pPr>
                    <w:pStyle w:val="BodyText"/>
                    <w:keepNext/>
                    <w:keepLines/>
                    <w:widowControl w:val="0"/>
                    <w:spacing w:before="40" w:after="0"/>
                    <w:jc w:val="center"/>
                    <w:rPr>
                      <w:szCs w:val="18"/>
                    </w:rPr>
                  </w:pPr>
                  <w:r w:rsidRPr="00D35788">
                    <w:rPr>
                      <w:szCs w:val="18"/>
                    </w:rPr>
                    <w:t>$0</w:t>
                  </w:r>
                </w:p>
              </w:tc>
              <w:tc>
                <w:tcPr>
                  <w:tcW w:w="4652" w:type="dxa"/>
                  <w:shd w:val="clear" w:color="auto" w:fill="auto"/>
                  <w:vAlign w:val="center"/>
                </w:tcPr>
                <w:p w14:paraId="622CAD3D" w14:textId="77777777" w:rsidR="00BA005F" w:rsidRPr="00D35788" w:rsidRDefault="00BA005F" w:rsidP="00BA005F">
                  <w:pPr>
                    <w:pStyle w:val="BodyText"/>
                    <w:keepNext/>
                    <w:keepLines/>
                    <w:widowControl w:val="0"/>
                    <w:spacing w:before="40" w:after="0"/>
                    <w:rPr>
                      <w:szCs w:val="18"/>
                    </w:rPr>
                  </w:pPr>
                  <w:r w:rsidRPr="00D35788">
                    <w:rPr>
                      <w:szCs w:val="18"/>
                    </w:rPr>
                    <w:t>Total demand bid for this product is less than total capacity (</w:t>
                  </w:r>
                  <w:r>
                    <w:rPr>
                      <w:szCs w:val="18"/>
                    </w:rPr>
                    <w:t>150</w:t>
                  </w:r>
                  <w:r w:rsidRPr="00D35788">
                    <w:rPr>
                      <w:szCs w:val="18"/>
                    </w:rPr>
                    <w:t xml:space="preserve"> &lt; 300)</w:t>
                  </w:r>
                </w:p>
              </w:tc>
            </w:tr>
            <w:tr w:rsidR="00BA005F" w:rsidRPr="00D35788" w14:paraId="32E950D3" w14:textId="77777777" w:rsidTr="00610057">
              <w:trPr>
                <w:cnfStyle w:val="000000010000" w:firstRow="0" w:lastRow="0" w:firstColumn="0" w:lastColumn="0" w:oddVBand="0" w:evenVBand="0" w:oddHBand="0" w:evenHBand="1" w:firstRowFirstColumn="0" w:firstRowLastColumn="0" w:lastRowFirstColumn="0" w:lastRowLastColumn="0"/>
                <w:trHeight w:val="613"/>
                <w:jc w:val="center"/>
              </w:trPr>
              <w:tc>
                <w:tcPr>
                  <w:tcW w:w="1296" w:type="dxa"/>
                  <w:shd w:val="clear" w:color="auto" w:fill="auto"/>
                  <w:vAlign w:val="center"/>
                </w:tcPr>
                <w:p w14:paraId="5D0BC452" w14:textId="77777777" w:rsidR="00BA005F" w:rsidRPr="00D35788" w:rsidRDefault="00BA005F" w:rsidP="00BA005F">
                  <w:pPr>
                    <w:pStyle w:val="BodyText"/>
                    <w:keepNext/>
                    <w:keepLines/>
                    <w:widowControl w:val="0"/>
                    <w:spacing w:before="40" w:after="0"/>
                    <w:jc w:val="center"/>
                    <w:rPr>
                      <w:szCs w:val="18"/>
                    </w:rPr>
                  </w:pPr>
                  <w:r w:rsidRPr="00D35788">
                    <w:rPr>
                      <w:szCs w:val="18"/>
                    </w:rPr>
                    <w:t>S2</w:t>
                  </w:r>
                </w:p>
              </w:tc>
              <w:tc>
                <w:tcPr>
                  <w:tcW w:w="1274" w:type="dxa"/>
                  <w:shd w:val="clear" w:color="auto" w:fill="auto"/>
                  <w:vAlign w:val="center"/>
                </w:tcPr>
                <w:p w14:paraId="277769C3" w14:textId="77777777" w:rsidR="00BA005F" w:rsidRPr="00D35788" w:rsidRDefault="00BA005F" w:rsidP="00BA005F">
                  <w:pPr>
                    <w:pStyle w:val="BodyText"/>
                    <w:keepNext/>
                    <w:keepLines/>
                    <w:widowControl w:val="0"/>
                    <w:spacing w:before="40" w:after="0"/>
                    <w:jc w:val="center"/>
                    <w:rPr>
                      <w:szCs w:val="18"/>
                    </w:rPr>
                  </w:pPr>
                  <w:r w:rsidRPr="00D35788">
                    <w:rPr>
                      <w:szCs w:val="18"/>
                    </w:rPr>
                    <w:t>$30</w:t>
                  </w:r>
                </w:p>
              </w:tc>
              <w:tc>
                <w:tcPr>
                  <w:tcW w:w="4652" w:type="dxa"/>
                  <w:shd w:val="clear" w:color="auto" w:fill="auto"/>
                  <w:vAlign w:val="center"/>
                </w:tcPr>
                <w:p w14:paraId="2B212DDD" w14:textId="77777777" w:rsidR="00BA005F" w:rsidRPr="00D35788" w:rsidRDefault="00BA005F" w:rsidP="00BA005F">
                  <w:pPr>
                    <w:pStyle w:val="BodyText"/>
                    <w:keepNext/>
                    <w:keepLines/>
                    <w:widowControl w:val="0"/>
                    <w:spacing w:before="40" w:after="0"/>
                    <w:rPr>
                      <w:szCs w:val="18"/>
                    </w:rPr>
                  </w:pPr>
                  <w:r w:rsidRPr="00D35788">
                    <w:rPr>
                      <w:szCs w:val="18"/>
                    </w:rPr>
                    <w:t>Bid C is the lowest accepted bid and thus sets the price for this product.</w:t>
                  </w:r>
                </w:p>
              </w:tc>
            </w:tr>
            <w:tr w:rsidR="00BA005F" w:rsidRPr="00D35788" w14:paraId="79168413" w14:textId="77777777" w:rsidTr="00610057">
              <w:trPr>
                <w:trHeight w:val="901"/>
                <w:jc w:val="center"/>
              </w:trPr>
              <w:tc>
                <w:tcPr>
                  <w:tcW w:w="1296" w:type="dxa"/>
                  <w:shd w:val="clear" w:color="auto" w:fill="auto"/>
                  <w:vAlign w:val="center"/>
                </w:tcPr>
                <w:p w14:paraId="3BCE8AD1" w14:textId="77777777" w:rsidR="00BA005F" w:rsidRPr="00D35788" w:rsidRDefault="00BA005F" w:rsidP="00BA005F">
                  <w:pPr>
                    <w:pStyle w:val="BodyText"/>
                    <w:keepNext/>
                    <w:keepLines/>
                    <w:widowControl w:val="0"/>
                    <w:spacing w:before="40" w:after="0"/>
                    <w:jc w:val="center"/>
                    <w:rPr>
                      <w:szCs w:val="18"/>
                    </w:rPr>
                  </w:pPr>
                  <w:r w:rsidRPr="00D35788">
                    <w:rPr>
                      <w:szCs w:val="18"/>
                    </w:rPr>
                    <w:t>S3</w:t>
                  </w:r>
                </w:p>
              </w:tc>
              <w:tc>
                <w:tcPr>
                  <w:tcW w:w="1274" w:type="dxa"/>
                  <w:shd w:val="clear" w:color="auto" w:fill="auto"/>
                  <w:vAlign w:val="center"/>
                </w:tcPr>
                <w:p w14:paraId="7DB0376F" w14:textId="77777777" w:rsidR="00BA005F" w:rsidRPr="00D35788" w:rsidRDefault="00BA005F" w:rsidP="00BA005F">
                  <w:pPr>
                    <w:pStyle w:val="BodyText"/>
                    <w:keepNext/>
                    <w:keepLines/>
                    <w:widowControl w:val="0"/>
                    <w:spacing w:before="40" w:after="0"/>
                    <w:jc w:val="center"/>
                    <w:rPr>
                      <w:szCs w:val="18"/>
                    </w:rPr>
                  </w:pPr>
                  <w:r w:rsidRPr="00D35788">
                    <w:rPr>
                      <w:szCs w:val="18"/>
                    </w:rPr>
                    <w:t>$10</w:t>
                  </w:r>
                </w:p>
              </w:tc>
              <w:tc>
                <w:tcPr>
                  <w:tcW w:w="4652" w:type="dxa"/>
                  <w:shd w:val="clear" w:color="auto" w:fill="auto"/>
                  <w:vAlign w:val="center"/>
                </w:tcPr>
                <w:p w14:paraId="6C4B9069" w14:textId="77777777" w:rsidR="00BA005F" w:rsidRPr="00D35788" w:rsidRDefault="00BA005F" w:rsidP="00BA005F">
                  <w:pPr>
                    <w:pStyle w:val="BodyText"/>
                    <w:keepNext/>
                    <w:keepLines/>
                    <w:widowControl w:val="0"/>
                    <w:spacing w:before="40" w:after="0"/>
                    <w:rPr>
                      <w:szCs w:val="18"/>
                    </w:rPr>
                  </w:pPr>
                  <w:r w:rsidRPr="00D35788">
                    <w:rPr>
                      <w:szCs w:val="18"/>
                    </w:rPr>
                    <w:t>Bid A imposes a price link across all products:</w:t>
                  </w:r>
                </w:p>
                <w:p w14:paraId="29F00C59" w14:textId="77777777" w:rsidR="00BA005F" w:rsidRPr="00D35788" w:rsidRDefault="00BA005F" w:rsidP="00BA005F">
                  <w:pPr>
                    <w:pStyle w:val="BodyText"/>
                    <w:keepNext/>
                    <w:keepLines/>
                    <w:widowControl w:val="0"/>
                    <w:spacing w:before="40" w:after="0"/>
                    <w:rPr>
                      <w:szCs w:val="18"/>
                      <w:lang w:val="en-US"/>
                    </w:rPr>
                  </w:pPr>
                  <w:r w:rsidRPr="00D35788">
                    <w:rPr>
                      <w:szCs w:val="18"/>
                      <w:lang w:val="en-US"/>
                    </w:rPr>
                    <w:t>P</w:t>
                  </w:r>
                  <w:r w:rsidRPr="00D35788">
                    <w:rPr>
                      <w:szCs w:val="18"/>
                      <w:vertAlign w:val="subscript"/>
                      <w:lang w:val="en-US"/>
                    </w:rPr>
                    <w:t>S1</w:t>
                  </w:r>
                  <w:r w:rsidRPr="00D35788">
                    <w:rPr>
                      <w:szCs w:val="18"/>
                      <w:lang w:val="en-US"/>
                    </w:rPr>
                    <w:t>+ P</w:t>
                  </w:r>
                  <w:r w:rsidRPr="00D35788">
                    <w:rPr>
                      <w:szCs w:val="18"/>
                      <w:vertAlign w:val="subscript"/>
                      <w:lang w:val="en-US"/>
                    </w:rPr>
                    <w:t>S2</w:t>
                  </w:r>
                  <w:r w:rsidRPr="00D35788">
                    <w:rPr>
                      <w:szCs w:val="18"/>
                      <w:lang w:val="en-US"/>
                    </w:rPr>
                    <w:t>+ P</w:t>
                  </w:r>
                  <w:r w:rsidRPr="00D35788">
                    <w:rPr>
                      <w:szCs w:val="18"/>
                      <w:vertAlign w:val="subscript"/>
                      <w:lang w:val="en-US"/>
                    </w:rPr>
                    <w:t>S3</w:t>
                  </w:r>
                  <w:r w:rsidRPr="00D35788">
                    <w:rPr>
                      <w:szCs w:val="18"/>
                      <w:lang w:val="en-US"/>
                    </w:rPr>
                    <w:t xml:space="preserve">=$40. </w:t>
                  </w:r>
                  <w:r>
                    <w:rPr>
                      <w:szCs w:val="18"/>
                      <w:lang w:val="en-US"/>
                    </w:rPr>
                    <w:t xml:space="preserve">Because shipper </w:t>
                  </w:r>
                  <w:r w:rsidRPr="00D35788">
                    <w:rPr>
                      <w:szCs w:val="18"/>
                      <w:lang w:val="en-US"/>
                    </w:rPr>
                    <w:t xml:space="preserve">A already spends $30 per unit of S2, it can only afford an additional $10 per unit of S3. </w:t>
                  </w:r>
                </w:p>
              </w:tc>
            </w:tr>
          </w:tbl>
          <w:p w14:paraId="360B658C" w14:textId="77777777" w:rsidR="00BA005F" w:rsidRDefault="00BA005F" w:rsidP="00792EE2">
            <w:pPr>
              <w:pStyle w:val="BodyText"/>
              <w:keepNext/>
              <w:spacing w:before="0"/>
              <w:rPr>
                <w:sz w:val="20"/>
                <w:szCs w:val="20"/>
              </w:rPr>
            </w:pPr>
          </w:p>
        </w:tc>
      </w:tr>
    </w:tbl>
    <w:p w14:paraId="0EC17AC6" w14:textId="77777777" w:rsidR="00792EE2" w:rsidRDefault="00792EE2" w:rsidP="00792EE2">
      <w:pPr>
        <w:pStyle w:val="BodyText"/>
      </w:pPr>
    </w:p>
    <w:p w14:paraId="3AB754ED" w14:textId="1FD37879" w:rsidR="00273FA9" w:rsidRDefault="00D35788" w:rsidP="00A51172">
      <w:pPr>
        <w:pStyle w:val="Heading3"/>
        <w:spacing w:before="240" w:line="240" w:lineRule="auto"/>
        <w:ind w:left="936" w:hanging="936"/>
        <w:contextualSpacing w:val="0"/>
      </w:pPr>
      <w:r>
        <w:t>Optional feature</w:t>
      </w:r>
      <w:r w:rsidR="001E01DD">
        <w:t xml:space="preserve"> 1: Minimum requirements</w:t>
      </w:r>
      <w:r>
        <w:t xml:space="preserve"> </w:t>
      </w:r>
    </w:p>
    <w:p w14:paraId="07AE98FF" w14:textId="44BB3EEB" w:rsidR="00273FA9" w:rsidRDefault="001E01DD" w:rsidP="00273FA9">
      <w:pPr>
        <w:pStyle w:val="BodyText"/>
      </w:pPr>
      <w:r>
        <w:t xml:space="preserve">The partial combinatorial auction allows bidders to express </w:t>
      </w:r>
      <w:r w:rsidR="00643B8D">
        <w:t xml:space="preserve">simple </w:t>
      </w:r>
      <w:r>
        <w:t xml:space="preserve">demand </w:t>
      </w:r>
      <w:r w:rsidR="00643B8D">
        <w:t xml:space="preserve">(Type 1) </w:t>
      </w:r>
      <w:r>
        <w:t xml:space="preserve">and protects them from winning unusable subsets of the products included in their bids. However, there is still a risk that auction participants may win unusably low quantities. To address this risk, the partial combinatorial auction could be coupled with a minimum requirement, as has been done in the </w:t>
      </w:r>
      <w:r w:rsidR="00273FA9">
        <w:t xml:space="preserve">European day-ahead </w:t>
      </w:r>
      <w:r>
        <w:t xml:space="preserve">pipeline capacity </w:t>
      </w:r>
      <w:r w:rsidR="00273FA9">
        <w:t xml:space="preserve">auctions. </w:t>
      </w:r>
      <w:r>
        <w:t>Alternatively, participants could bear this risk, as they currently do in the STTM and DWGM</w:t>
      </w:r>
      <w:r w:rsidR="00273FA9" w:rsidRPr="00DB35AE">
        <w:t>.</w:t>
      </w:r>
      <w:r w:rsidR="00273FA9">
        <w:t xml:space="preserve"> </w:t>
      </w:r>
    </w:p>
    <w:p w14:paraId="50301FF0" w14:textId="1009B073" w:rsidR="00273FA9" w:rsidRDefault="001E01DD" w:rsidP="00273FA9">
      <w:pPr>
        <w:pStyle w:val="BodyText"/>
      </w:pPr>
      <w:r>
        <w:t xml:space="preserve">If a </w:t>
      </w:r>
      <w:r w:rsidR="00273FA9">
        <w:t>minimum requirement</w:t>
      </w:r>
      <w:r>
        <w:t xml:space="preserve"> is adopted, then it could take the form of</w:t>
      </w:r>
      <w:r w:rsidR="00643B8D">
        <w:t xml:space="preserve"> either</w:t>
      </w:r>
      <w:r w:rsidR="00273FA9">
        <w:t>:</w:t>
      </w:r>
    </w:p>
    <w:p w14:paraId="614627F5" w14:textId="449671C7" w:rsidR="00273FA9" w:rsidRDefault="00273FA9" w:rsidP="001E01DD">
      <w:pPr>
        <w:pStyle w:val="ListBullet"/>
      </w:pPr>
      <w:r>
        <w:t xml:space="preserve">a global minimum requirement that applies to all </w:t>
      </w:r>
      <w:r w:rsidR="001E01DD">
        <w:t>participants (e.g. 100 GJ)</w:t>
      </w:r>
      <w:r>
        <w:t>; or</w:t>
      </w:r>
    </w:p>
    <w:p w14:paraId="5B77BFD0" w14:textId="00FF6687" w:rsidR="00273FA9" w:rsidRDefault="001E01DD" w:rsidP="001E01DD">
      <w:pPr>
        <w:pStyle w:val="ListBullet"/>
      </w:pPr>
      <w:proofErr w:type="gramStart"/>
      <w:r>
        <w:t>a</w:t>
      </w:r>
      <w:proofErr w:type="gramEnd"/>
      <w:r>
        <w:t xml:space="preserve"> </w:t>
      </w:r>
      <w:r w:rsidR="00273FA9">
        <w:t>bi</w:t>
      </w:r>
      <w:r>
        <w:t xml:space="preserve">d-specific minimum requirement </w:t>
      </w:r>
      <w:r w:rsidR="00273FA9">
        <w:t xml:space="preserve">that </w:t>
      </w:r>
      <w:r>
        <w:t xml:space="preserve">would be </w:t>
      </w:r>
      <w:r w:rsidR="00273FA9">
        <w:t xml:space="preserve">set by </w:t>
      </w:r>
      <w:r>
        <w:t>individual participants</w:t>
      </w:r>
      <w:r w:rsidR="00273FA9">
        <w:t>.</w:t>
      </w:r>
    </w:p>
    <w:p w14:paraId="3F416DAC" w14:textId="6FAD9459" w:rsidR="00273FA9" w:rsidRDefault="001E01DD" w:rsidP="00643B8D">
      <w:pPr>
        <w:pStyle w:val="BodyText"/>
      </w:pPr>
      <w:r>
        <w:t xml:space="preserve">Irrespective of the form </w:t>
      </w:r>
      <w:r w:rsidR="0077699F">
        <w:t xml:space="preserve">it </w:t>
      </w:r>
      <w:r>
        <w:t xml:space="preserve">takes, </w:t>
      </w:r>
      <w:r w:rsidR="0077699F">
        <w:t xml:space="preserve">if a minimum requirement is adopted then the allocation process in the partial combinatorial auction will need to be modified to deal with </w:t>
      </w:r>
      <w:r w:rsidR="00273FA9">
        <w:t>bid</w:t>
      </w:r>
      <w:r w:rsidR="0077699F">
        <w:t>s that violate</w:t>
      </w:r>
      <w:r w:rsidR="00273FA9">
        <w:t xml:space="preserve"> </w:t>
      </w:r>
      <w:r>
        <w:t xml:space="preserve">the </w:t>
      </w:r>
      <w:r w:rsidR="00273FA9">
        <w:t>minimum requirement</w:t>
      </w:r>
      <w:r w:rsidR="0077699F">
        <w:t xml:space="preserve">. NERA has identified </w:t>
      </w:r>
      <w:r w:rsidR="00273FA9">
        <w:t xml:space="preserve">two </w:t>
      </w:r>
      <w:r w:rsidR="0077699F">
        <w:t xml:space="preserve">potential </w:t>
      </w:r>
      <w:r w:rsidR="00273FA9">
        <w:t>options to deal with this:</w:t>
      </w:r>
    </w:p>
    <w:p w14:paraId="4C194191" w14:textId="25AD9A5B" w:rsidR="00273FA9" w:rsidRDefault="00643B8D" w:rsidP="00894B36">
      <w:pPr>
        <w:pStyle w:val="ListBullet"/>
      </w:pPr>
      <w:r>
        <w:t xml:space="preserve">Option 1: </w:t>
      </w:r>
      <w:r w:rsidR="00273FA9">
        <w:t>Bidders with partially filled bids that do not meet the minimum requirement(s) will not be allocated these bids as winning bids. The winning sol</w:t>
      </w:r>
      <w:r w:rsidR="00894B36">
        <w:t>ution (including prices) would remain</w:t>
      </w:r>
      <w:r w:rsidR="00273FA9">
        <w:t xml:space="preserve"> unchanged and the quantity allocated to these bids </w:t>
      </w:r>
      <w:r w:rsidR="00894B36">
        <w:t xml:space="preserve">would </w:t>
      </w:r>
      <w:r w:rsidR="00273FA9">
        <w:t xml:space="preserve">remain unsold. </w:t>
      </w:r>
    </w:p>
    <w:p w14:paraId="7FF52898" w14:textId="124651AB" w:rsidR="00273FA9" w:rsidRPr="00A22354" w:rsidRDefault="00894B36" w:rsidP="00894B36">
      <w:pPr>
        <w:pStyle w:val="ListBullet"/>
        <w:rPr>
          <w:b/>
        </w:rPr>
      </w:pPr>
      <w:r>
        <w:t xml:space="preserve">Option 2: </w:t>
      </w:r>
      <w:r w:rsidR="00273FA9">
        <w:t>Any partially-filled bids that violate the minimum requirement(s) are discarded and the next best solution is identified through re</w:t>
      </w:r>
      <w:r w:rsidR="0077699F">
        <w:t>-</w:t>
      </w:r>
      <w:r w:rsidR="00273FA9">
        <w:t xml:space="preserve">optimisation. </w:t>
      </w:r>
      <w:r>
        <w:t>I</w:t>
      </w:r>
      <w:r w:rsidR="00273FA9">
        <w:t xml:space="preserve">n practice, </w:t>
      </w:r>
      <w:r>
        <w:t xml:space="preserve">this </w:t>
      </w:r>
      <w:r w:rsidR="00273FA9">
        <w:t xml:space="preserve">means that the next lower bid in the bid stack </w:t>
      </w:r>
      <w:r>
        <w:t xml:space="preserve">would </w:t>
      </w:r>
      <w:r w:rsidR="00273FA9">
        <w:t>be used to fill the remainder</w:t>
      </w:r>
      <w:r w:rsidR="003975C3">
        <w:t>, which would result in a change in price</w:t>
      </w:r>
      <w:r w:rsidR="00273FA9">
        <w:t xml:space="preserve">. </w:t>
      </w:r>
    </w:p>
    <w:p w14:paraId="7B235603" w14:textId="6B8A0932" w:rsidR="00273FA9" w:rsidRDefault="00273FA9" w:rsidP="0077699F">
      <w:pPr>
        <w:pStyle w:val="BodyText"/>
      </w:pPr>
      <w:r>
        <w:t xml:space="preserve">The advantage of </w:t>
      </w:r>
      <w:r w:rsidR="00894B36">
        <w:t>O</w:t>
      </w:r>
      <w:r>
        <w:t>ption 1 is that it does not require re</w:t>
      </w:r>
      <w:r w:rsidR="0077699F">
        <w:t>-</w:t>
      </w:r>
      <w:r>
        <w:t>optimisation and ensures there are no unhappy losers. It generally leads to higher per-unit prices, but a lower total quantity actually sold. This seems acceptable if a global minimum requirement is adopted as the efficiency gain from re</w:t>
      </w:r>
      <w:r w:rsidR="0077699F">
        <w:t>-</w:t>
      </w:r>
      <w:r>
        <w:t xml:space="preserve">optimisation is likely going to be small. However, if bidders can set bid-specific minimum requirements, this option might lead to significant amounts of unsold capacity. </w:t>
      </w:r>
      <w:r w:rsidR="00894B36">
        <w:t>B</w:t>
      </w:r>
      <w:r>
        <w:t xml:space="preserve">id-specific minimum requirements could also be used to drive up the price of unwanted products. </w:t>
      </w:r>
      <w:r w:rsidR="00894B36">
        <w:t>For example, b</w:t>
      </w:r>
      <w:r>
        <w:t>idders may submit relatively high bids with a very large minimum requirement for certain products to drive up the prices paid by their rivals. Such bids are likely to set the price for these products, but unless they meet their minimum requirements, bidders would not have to pay for them.</w:t>
      </w:r>
    </w:p>
    <w:p w14:paraId="15A7A89A" w14:textId="389E3FDF" w:rsidR="00273FA9" w:rsidRDefault="00273FA9" w:rsidP="0077699F">
      <w:pPr>
        <w:pStyle w:val="BodyText"/>
      </w:pPr>
      <w:r>
        <w:t>Option 2, on the other hand, generally leads to lower per-unit prices, but a higher total quantity sold. It is more complex to implement owing to the combinatorial nature of bids and may require an exhaustive search of the bid space to identify the value-maximising solution which respects all minimum requirements. This may lead to a partial unravelling of the combinatorial solution with potentially much lower prices overall.</w:t>
      </w:r>
      <w:r w:rsidRPr="0045720A">
        <w:t xml:space="preserve"> </w:t>
      </w:r>
      <w:r>
        <w:t>As a consequence, this may lead to unhappy losers</w:t>
      </w:r>
      <w:r w:rsidR="0077699F">
        <w:t xml:space="preserve"> (</w:t>
      </w:r>
      <w:r>
        <w:t>i.e. bidders who clearly offered to pay more than the clearing price, but whose bids were discarded as they did not meet their minimum requirement</w:t>
      </w:r>
      <w:r w:rsidR="0077699F">
        <w:t>)</w:t>
      </w:r>
      <w:r>
        <w:t xml:space="preserve">. </w:t>
      </w:r>
    </w:p>
    <w:p w14:paraId="5BFBEAFE" w14:textId="416EF0B4" w:rsidR="00273FA9" w:rsidRDefault="00273FA9" w:rsidP="00894B36">
      <w:pPr>
        <w:pStyle w:val="BodyText"/>
      </w:pPr>
      <w:r>
        <w:t>If a global minimum requirement is applied to all bids, the potential gains from re</w:t>
      </w:r>
      <w:r w:rsidR="0077699F">
        <w:t>-</w:t>
      </w:r>
      <w:r>
        <w:t xml:space="preserve">optimisation </w:t>
      </w:r>
      <w:r w:rsidR="002421F8">
        <w:t>are</w:t>
      </w:r>
      <w:r>
        <w:t xml:space="preserve"> likely </w:t>
      </w:r>
      <w:r w:rsidR="002421F8">
        <w:t xml:space="preserve">to </w:t>
      </w:r>
      <w:r>
        <w:t>be small</w:t>
      </w:r>
      <w:r w:rsidR="0077699F">
        <w:t xml:space="preserve">, so </w:t>
      </w:r>
      <w:r>
        <w:t xml:space="preserve">Option 1 </w:t>
      </w:r>
      <w:r w:rsidR="00DF08E7">
        <w:t xml:space="preserve">seems </w:t>
      </w:r>
      <w:r w:rsidR="0077699F">
        <w:t>preferable</w:t>
      </w:r>
      <w:r>
        <w:t xml:space="preserve">. If </w:t>
      </w:r>
      <w:r w:rsidR="002421F8">
        <w:t>participants</w:t>
      </w:r>
      <w:r>
        <w:t xml:space="preserve"> can set bid-specific minimum requirements, Option 2 </w:t>
      </w:r>
      <w:r w:rsidR="00DF08E7">
        <w:t xml:space="preserve">seems </w:t>
      </w:r>
      <w:r w:rsidR="0077699F">
        <w:t xml:space="preserve">preferable because </w:t>
      </w:r>
      <w:r>
        <w:t>the efficiency gains from re</w:t>
      </w:r>
      <w:r w:rsidR="0077699F">
        <w:t>-</w:t>
      </w:r>
      <w:r>
        <w:t>optimisation co</w:t>
      </w:r>
      <w:r w:rsidR="0077699F">
        <w:t xml:space="preserve">uld be large and </w:t>
      </w:r>
      <w:r w:rsidR="00291DBB">
        <w:t xml:space="preserve">it eliminates </w:t>
      </w:r>
      <w:r>
        <w:t xml:space="preserve">the potential for </w:t>
      </w:r>
      <w:r w:rsidR="0077699F">
        <w:t>gaming</w:t>
      </w:r>
      <w:r>
        <w:t xml:space="preserve">. </w:t>
      </w:r>
    </w:p>
    <w:p w14:paraId="3789437D" w14:textId="04AA1884" w:rsidR="00291DBB" w:rsidRDefault="003A725F" w:rsidP="003A725F">
      <w:pPr>
        <w:pStyle w:val="BodyText"/>
      </w:pPr>
      <w:r>
        <w:t xml:space="preserve">Mixed views were expressed </w:t>
      </w:r>
      <w:r w:rsidR="002421F8">
        <w:t>by the Day-Ahead Auction project team about the need for a minimum requirement. Some team members, for example, were of the view that a minimum requirement was not necessary and that the auction design should avoid any unnecessary complexity. Others, on the other hand, thought that a bid-specific minimum requirement should be incorporated into the auction design</w:t>
      </w:r>
      <w:r w:rsidR="00291DBB">
        <w:t xml:space="preserve"> because it would provide auction participants with some protection against paying for unusable levels of capacity</w:t>
      </w:r>
      <w:r w:rsidR="002421F8">
        <w:t xml:space="preserve">. </w:t>
      </w:r>
      <w:r w:rsidR="00DF08E7">
        <w:t>Project team members that were supportive of a minimum requirement, generally favoured bid-specific minimum requirements because these requirements will likely differ across bidders. The project team did not, however, offer a view on the allocation process (option 1 or 2 above) that should be employed if a minimum requirement is implemented.</w:t>
      </w:r>
    </w:p>
    <w:p w14:paraId="5716740D" w14:textId="4004A0A5" w:rsidR="002421F8" w:rsidRDefault="00C86739" w:rsidP="003A725F">
      <w:pPr>
        <w:pStyle w:val="BodyText"/>
      </w:pPr>
      <w:r>
        <w:t xml:space="preserve">In the </w:t>
      </w:r>
      <w:r w:rsidR="002421F8">
        <w:t>discussion</w:t>
      </w:r>
      <w:r>
        <w:t xml:space="preserve">s that were held on this </w:t>
      </w:r>
      <w:r w:rsidR="002421F8">
        <w:t xml:space="preserve">issue, </w:t>
      </w:r>
      <w:r>
        <w:t xml:space="preserve">it was </w:t>
      </w:r>
      <w:r w:rsidR="002421F8">
        <w:t xml:space="preserve">noted that </w:t>
      </w:r>
      <w:r>
        <w:t xml:space="preserve">adding the </w:t>
      </w:r>
      <w:r w:rsidR="002421F8">
        <w:t xml:space="preserve">minimum requirement </w:t>
      </w:r>
      <w:r>
        <w:t xml:space="preserve">feature to the auction format would </w:t>
      </w:r>
      <w:r w:rsidR="002421F8">
        <w:t xml:space="preserve">increase the complexity of the auction </w:t>
      </w:r>
      <w:r w:rsidR="00291DBB">
        <w:t xml:space="preserve">solver </w:t>
      </w:r>
      <w:r w:rsidR="002421F8">
        <w:t xml:space="preserve">and </w:t>
      </w:r>
      <w:r w:rsidR="00D42410">
        <w:t xml:space="preserve">increase the </w:t>
      </w:r>
      <w:r w:rsidR="00291DBB">
        <w:t>implement</w:t>
      </w:r>
      <w:r w:rsidR="00D42410">
        <w:t>ation costs</w:t>
      </w:r>
      <w:r w:rsidR="00291DBB">
        <w:t xml:space="preserve"> </w:t>
      </w:r>
      <w:r w:rsidR="002421F8">
        <w:t xml:space="preserve">because the SRA solver, which </w:t>
      </w:r>
      <w:r>
        <w:t xml:space="preserve">AEMO </w:t>
      </w:r>
      <w:r w:rsidR="002421F8">
        <w:t xml:space="preserve">is proposing to </w:t>
      </w:r>
      <w:r w:rsidR="00291DBB">
        <w:t xml:space="preserve">leverage </w:t>
      </w:r>
      <w:r w:rsidR="002421F8">
        <w:t xml:space="preserve">for the day-ahead auction, does not </w:t>
      </w:r>
      <w:r>
        <w:t xml:space="preserve">currently </w:t>
      </w:r>
      <w:r w:rsidR="002421F8">
        <w:t>have this feature.</w:t>
      </w:r>
      <w:r w:rsidR="00291DBB">
        <w:t xml:space="preserve"> </w:t>
      </w:r>
    </w:p>
    <w:p w14:paraId="1D283F6B" w14:textId="77777777" w:rsidR="00273FA9" w:rsidRDefault="00273FA9" w:rsidP="000D7519">
      <w:pPr>
        <w:pStyle w:val="Heading3"/>
      </w:pPr>
      <w:bookmarkStart w:id="99" w:name="_Ref492986084"/>
      <w:r>
        <w:t>Optional feature 2: XOR sets</w:t>
      </w:r>
      <w:bookmarkEnd w:id="99"/>
    </w:p>
    <w:p w14:paraId="1BA28B5F" w14:textId="43CBBF0B" w:rsidR="000D7519" w:rsidRDefault="000D7519" w:rsidP="000D7519">
      <w:pPr>
        <w:pStyle w:val="BodyText"/>
      </w:pPr>
      <w:r>
        <w:t>In the simple partial combinatorial auction, bids are not mutually exclusive so participants can win one or more of their bids. It does not therefore allow participants t</w:t>
      </w:r>
      <w:r w:rsidR="00894B36">
        <w:t>o express demand for substitutable routes</w:t>
      </w:r>
      <w:r>
        <w:t xml:space="preserve"> (Type 2 demand). This shortcoming can be overcome by allowing bidders to submit mutually exclusive bids through the inclusion of XOR sets of bids.</w:t>
      </w:r>
    </w:p>
    <w:p w14:paraId="5629581A" w14:textId="17653BBE" w:rsidR="004346DC" w:rsidRDefault="000D7519" w:rsidP="004346DC">
      <w:pPr>
        <w:pStyle w:val="BodyText"/>
      </w:pPr>
      <w:r>
        <w:t xml:space="preserve">XOR sets </w:t>
      </w:r>
      <w:r w:rsidR="00273FA9">
        <w:t xml:space="preserve">allow </w:t>
      </w:r>
      <w:r>
        <w:t xml:space="preserve">participants </w:t>
      </w:r>
      <w:r w:rsidR="00273FA9">
        <w:t>to specify different bid amounts for substitutable routes and ensure</w:t>
      </w:r>
      <w:r>
        <w:t>s</w:t>
      </w:r>
      <w:r w:rsidR="00273FA9">
        <w:t xml:space="preserve"> that they win at most one of </w:t>
      </w:r>
      <w:r>
        <w:t xml:space="preserve">the bids. </w:t>
      </w:r>
      <w:r w:rsidR="00CF14C1">
        <w:t xml:space="preserve">The way in which XOR sets could be used by participants to deal with substitutable routes is shown in </w:t>
      </w:r>
      <w:r>
        <w:fldChar w:fldCharType="begin"/>
      </w:r>
      <w:r>
        <w:instrText xml:space="preserve"> REF _Ref494012140 \h </w:instrText>
      </w:r>
      <w:r>
        <w:fldChar w:fldCharType="separate"/>
      </w:r>
      <w:r w:rsidR="00272B32">
        <w:t xml:space="preserve">Box </w:t>
      </w:r>
      <w:r w:rsidR="00272B32">
        <w:rPr>
          <w:noProof/>
        </w:rPr>
        <w:t>4</w:t>
      </w:r>
      <w:r w:rsidR="00272B32">
        <w:t>.</w:t>
      </w:r>
      <w:r w:rsidR="00272B32">
        <w:rPr>
          <w:noProof/>
        </w:rPr>
        <w:t>5</w:t>
      </w:r>
      <w:r>
        <w:fldChar w:fldCharType="end"/>
      </w:r>
      <w:r>
        <w:t>.</w:t>
      </w:r>
      <w:r w:rsidR="00894B36">
        <w:t xml:space="preserve"> </w:t>
      </w:r>
      <w:r w:rsidR="004346DC">
        <w:t xml:space="preserve">If a decision was made to include XOR sets, then given there are only a small number of substitutable routes in the east coast, the number of XOR sets that a bidder could be allowed to submit could be limited to a specified number (e.g. five) to reduce bid submission and implementation complexity. </w:t>
      </w:r>
    </w:p>
    <w:tbl>
      <w:tblPr>
        <w:tblStyle w:val="PullOutBoxTable"/>
        <w:tblW w:w="5000" w:type="pct"/>
        <w:tblLook w:val="0620" w:firstRow="1" w:lastRow="0" w:firstColumn="0" w:lastColumn="0" w:noHBand="1" w:noVBand="1"/>
        <w:tblCaption w:val="Box 4.5: Example of how XOR sets work"/>
        <w:tblDescription w:val="Example of how XOR sets work"/>
      </w:tblPr>
      <w:tblGrid>
        <w:gridCol w:w="8788"/>
      </w:tblGrid>
      <w:tr w:rsidR="000D7519" w:rsidRPr="000D7519" w14:paraId="098A2A12" w14:textId="77777777" w:rsidTr="003974E4">
        <w:trPr>
          <w:tblHeader/>
        </w:trPr>
        <w:tc>
          <w:tcPr>
            <w:tcW w:w="5000" w:type="pct"/>
            <w:shd w:val="clear" w:color="auto" w:fill="auto"/>
          </w:tcPr>
          <w:p w14:paraId="5BE55F69" w14:textId="06CEF942" w:rsidR="000D7519" w:rsidRPr="00EC3620" w:rsidRDefault="00EC3620" w:rsidP="00EC3620">
            <w:pPr>
              <w:pStyle w:val="PullOutBoxBodyText"/>
              <w:keepNext/>
              <w:spacing w:before="0"/>
              <w:rPr>
                <w:b/>
                <w:sz w:val="20"/>
                <w:szCs w:val="20"/>
              </w:rPr>
            </w:pPr>
            <w:bookmarkStart w:id="100" w:name="_Ref494012140"/>
            <w:r w:rsidRPr="00EC3620">
              <w:rPr>
                <w:b/>
              </w:rPr>
              <w:t xml:space="preserve">Box </w:t>
            </w:r>
            <w:r w:rsidRPr="00EC3620">
              <w:rPr>
                <w:b/>
              </w:rPr>
              <w:fldChar w:fldCharType="begin"/>
            </w:r>
            <w:r w:rsidRPr="00EC3620">
              <w:rPr>
                <w:b/>
              </w:rPr>
              <w:instrText xml:space="preserve"> STYLEREF 1 \s </w:instrText>
            </w:r>
            <w:r w:rsidRPr="00EC3620">
              <w:rPr>
                <w:b/>
              </w:rPr>
              <w:fldChar w:fldCharType="separate"/>
            </w:r>
            <w:r w:rsidRPr="00EC3620">
              <w:rPr>
                <w:b/>
                <w:noProof/>
              </w:rPr>
              <w:t>4</w:t>
            </w:r>
            <w:r w:rsidRPr="00EC3620">
              <w:rPr>
                <w:b/>
                <w:noProof/>
              </w:rPr>
              <w:fldChar w:fldCharType="end"/>
            </w:r>
            <w:r w:rsidRPr="00EC3620">
              <w:rPr>
                <w:b/>
              </w:rPr>
              <w:t>.</w:t>
            </w:r>
            <w:r w:rsidRPr="00EC3620">
              <w:rPr>
                <w:b/>
              </w:rPr>
              <w:fldChar w:fldCharType="begin"/>
            </w:r>
            <w:r w:rsidRPr="00EC3620">
              <w:rPr>
                <w:b/>
              </w:rPr>
              <w:instrText xml:space="preserve"> SEQ Box \* ARABIC \s 1 </w:instrText>
            </w:r>
            <w:r w:rsidRPr="00EC3620">
              <w:rPr>
                <w:b/>
              </w:rPr>
              <w:fldChar w:fldCharType="separate"/>
            </w:r>
            <w:r w:rsidRPr="00EC3620">
              <w:rPr>
                <w:b/>
                <w:noProof/>
              </w:rPr>
              <w:t>5</w:t>
            </w:r>
            <w:r w:rsidRPr="00EC3620">
              <w:rPr>
                <w:b/>
                <w:noProof/>
              </w:rPr>
              <w:fldChar w:fldCharType="end"/>
            </w:r>
            <w:bookmarkEnd w:id="100"/>
            <w:r w:rsidRPr="00EC3620">
              <w:rPr>
                <w:b/>
              </w:rPr>
              <w:t>: Example of how XOR sets work</w:t>
            </w:r>
          </w:p>
        </w:tc>
      </w:tr>
      <w:tr w:rsidR="00EC3620" w:rsidRPr="000D7519" w14:paraId="26F83322" w14:textId="77777777" w:rsidTr="003974E4">
        <w:tc>
          <w:tcPr>
            <w:tcW w:w="5000" w:type="pct"/>
          </w:tcPr>
          <w:p w14:paraId="6B9B1A1A" w14:textId="77777777" w:rsidR="00EC3620" w:rsidRPr="000D7519" w:rsidRDefault="00EC3620" w:rsidP="00EC3620">
            <w:pPr>
              <w:pStyle w:val="BodyText"/>
              <w:keepNext/>
              <w:spacing w:before="120"/>
              <w:rPr>
                <w:sz w:val="20"/>
                <w:szCs w:val="20"/>
              </w:rPr>
            </w:pPr>
            <w:r w:rsidRPr="000D7519">
              <w:rPr>
                <w:sz w:val="20"/>
                <w:szCs w:val="20"/>
              </w:rPr>
              <w:t xml:space="preserve">In this example, </w:t>
            </w:r>
            <w:r>
              <w:rPr>
                <w:sz w:val="20"/>
                <w:szCs w:val="20"/>
              </w:rPr>
              <w:t>the auction participant specifies five bids (B1, B2, B3, B4 and B5) and two XOR sets</w:t>
            </w:r>
            <w:r w:rsidRPr="000D7519">
              <w:rPr>
                <w:sz w:val="20"/>
                <w:szCs w:val="20"/>
              </w:rPr>
              <w:t>:</w:t>
            </w:r>
          </w:p>
          <w:p w14:paraId="384552B4" w14:textId="77777777" w:rsidR="00EC3620" w:rsidRPr="00EE786C" w:rsidRDefault="00EC3620" w:rsidP="00EC3620">
            <w:pPr>
              <w:pStyle w:val="ListBullet"/>
              <w:keepNext/>
              <w:rPr>
                <w:sz w:val="20"/>
                <w:szCs w:val="20"/>
              </w:rPr>
            </w:pPr>
            <w:r>
              <w:rPr>
                <w:sz w:val="20"/>
                <w:szCs w:val="20"/>
              </w:rPr>
              <w:t>XOR S</w:t>
            </w:r>
            <w:r w:rsidRPr="00EE786C">
              <w:rPr>
                <w:sz w:val="20"/>
                <w:szCs w:val="20"/>
              </w:rPr>
              <w:t>et 1 includes B1 and B2</w:t>
            </w:r>
          </w:p>
          <w:p w14:paraId="56829596" w14:textId="77777777" w:rsidR="00EC3620" w:rsidRPr="00EE786C" w:rsidRDefault="00EC3620" w:rsidP="00EC3620">
            <w:pPr>
              <w:pStyle w:val="ListBullet"/>
              <w:keepNext/>
              <w:rPr>
                <w:sz w:val="20"/>
                <w:szCs w:val="20"/>
              </w:rPr>
            </w:pPr>
            <w:r>
              <w:rPr>
                <w:sz w:val="20"/>
                <w:szCs w:val="20"/>
              </w:rPr>
              <w:t>XOR Set 2</w:t>
            </w:r>
            <w:r w:rsidRPr="00EE786C">
              <w:rPr>
                <w:sz w:val="20"/>
                <w:szCs w:val="20"/>
              </w:rPr>
              <w:t xml:space="preserve"> includes B3 and B4</w:t>
            </w:r>
          </w:p>
          <w:p w14:paraId="6AB17F4B" w14:textId="77777777" w:rsidR="00EC3620" w:rsidRPr="00EE786C" w:rsidRDefault="00EC3620" w:rsidP="00EC3620">
            <w:pPr>
              <w:pStyle w:val="ListBullet"/>
              <w:keepNext/>
              <w:rPr>
                <w:sz w:val="20"/>
                <w:szCs w:val="20"/>
              </w:rPr>
            </w:pPr>
            <w:r w:rsidRPr="00EE786C">
              <w:rPr>
                <w:sz w:val="20"/>
                <w:szCs w:val="20"/>
              </w:rPr>
              <w:t xml:space="preserve">B5 is the only bid that is not included in any XOR set. </w:t>
            </w:r>
          </w:p>
          <w:p w14:paraId="366D5E5A" w14:textId="77777777" w:rsidR="00EC3620" w:rsidRDefault="00EC3620" w:rsidP="00EC3620">
            <w:pPr>
              <w:pStyle w:val="BodyText"/>
              <w:keepNext/>
              <w:keepLines/>
              <w:rPr>
                <w:sz w:val="20"/>
                <w:szCs w:val="20"/>
              </w:rPr>
            </w:pPr>
            <w:r w:rsidRPr="000D7519">
              <w:rPr>
                <w:sz w:val="20"/>
                <w:szCs w:val="20"/>
              </w:rPr>
              <w:t>A</w:t>
            </w:r>
            <w:r>
              <w:rPr>
                <w:sz w:val="20"/>
                <w:szCs w:val="20"/>
              </w:rPr>
              <w:t xml:space="preserve">ll </w:t>
            </w:r>
            <w:r w:rsidRPr="000D7519">
              <w:rPr>
                <w:sz w:val="20"/>
                <w:szCs w:val="20"/>
              </w:rPr>
              <w:t xml:space="preserve">bids include an amount, a quantity as well as a nomination of products. </w:t>
            </w:r>
            <w:r>
              <w:rPr>
                <w:sz w:val="20"/>
                <w:szCs w:val="20"/>
              </w:rPr>
              <w:t xml:space="preserve">The bidder is guaranteed to win at most one of the bids included in an XOR set. For example, the bidder could win either B1 or B2, but never both. </w:t>
            </w:r>
          </w:p>
          <w:p w14:paraId="1CC97113" w14:textId="77777777" w:rsidR="00EC3620" w:rsidRPr="000D7519" w:rsidRDefault="00EC3620" w:rsidP="00EC3620">
            <w:pPr>
              <w:pStyle w:val="BodyText"/>
              <w:keepNext/>
              <w:keepLines/>
              <w:rPr>
                <w:sz w:val="20"/>
                <w:szCs w:val="20"/>
              </w:rPr>
            </w:pPr>
            <w:r w:rsidRPr="000D7519">
              <w:rPr>
                <w:sz w:val="20"/>
                <w:szCs w:val="20"/>
              </w:rPr>
              <w:t>As a result of these bids, the bidder could win any of the following 17 combination</w:t>
            </w:r>
            <w:r>
              <w:rPr>
                <w:sz w:val="20"/>
                <w:szCs w:val="20"/>
              </w:rPr>
              <w:t>s</w:t>
            </w:r>
            <w:r w:rsidRPr="000D7519">
              <w:rPr>
                <w:sz w:val="20"/>
                <w:szCs w:val="20"/>
              </w:rPr>
              <w:t xml:space="preserve"> of bids or nothing:</w:t>
            </w:r>
          </w:p>
          <w:tbl>
            <w:tblPr>
              <w:tblStyle w:val="TableGrid"/>
              <w:tblW w:w="0" w:type="auto"/>
              <w:jc w:val="center"/>
              <w:tblLook w:val="04A0" w:firstRow="1" w:lastRow="0" w:firstColumn="1" w:lastColumn="0" w:noHBand="0" w:noVBand="1"/>
              <w:tblCaption w:val="Possible bid combinations the bidder could win"/>
              <w:tblDescription w:val="Possible bid combinations the bidder could win"/>
            </w:tblPr>
            <w:tblGrid>
              <w:gridCol w:w="3212"/>
              <w:gridCol w:w="2602"/>
              <w:gridCol w:w="2634"/>
            </w:tblGrid>
            <w:tr w:rsidR="00EC3620" w:rsidRPr="000D7519" w14:paraId="601A302B" w14:textId="77777777" w:rsidTr="00EC3620">
              <w:trPr>
                <w:cnfStyle w:val="100000000000" w:firstRow="1" w:lastRow="0" w:firstColumn="0" w:lastColumn="0" w:oddVBand="0" w:evenVBand="0" w:oddHBand="0" w:evenHBand="0" w:firstRowFirstColumn="0" w:firstRowLastColumn="0" w:lastRowFirstColumn="0" w:lastRowLastColumn="0"/>
                <w:trHeight w:val="204"/>
                <w:tblHeader/>
                <w:jc w:val="center"/>
              </w:trPr>
              <w:tc>
                <w:tcPr>
                  <w:tcW w:w="9034" w:type="dxa"/>
                  <w:gridSpan w:val="3"/>
                  <w:shd w:val="clear" w:color="auto" w:fill="0099CC"/>
                  <w:vAlign w:val="center"/>
                </w:tcPr>
                <w:p w14:paraId="7703993A" w14:textId="77777777" w:rsidR="00EC3620" w:rsidRPr="00CF14C1" w:rsidRDefault="00EC3620" w:rsidP="00EC3620">
                  <w:pPr>
                    <w:pStyle w:val="BodyText"/>
                    <w:keepNext/>
                    <w:keepLines/>
                    <w:spacing w:before="40" w:after="40"/>
                    <w:jc w:val="center"/>
                    <w:rPr>
                      <w:color w:val="FFFFFF" w:themeColor="background1"/>
                      <w:szCs w:val="18"/>
                    </w:rPr>
                  </w:pPr>
                  <w:r w:rsidRPr="00CF14C1">
                    <w:rPr>
                      <w:color w:val="FFFFFF" w:themeColor="background1"/>
                      <w:szCs w:val="18"/>
                    </w:rPr>
                    <w:t>Possible bid combinations the bidder could win</w:t>
                  </w:r>
                </w:p>
              </w:tc>
            </w:tr>
            <w:tr w:rsidR="00EC3620" w:rsidRPr="000D7519" w14:paraId="0075A9FF" w14:textId="77777777" w:rsidTr="00610057">
              <w:trPr>
                <w:trHeight w:val="277"/>
                <w:jc w:val="center"/>
              </w:trPr>
              <w:tc>
                <w:tcPr>
                  <w:tcW w:w="3447" w:type="dxa"/>
                </w:tcPr>
                <w:p w14:paraId="67B6C340" w14:textId="77777777" w:rsidR="00EC3620" w:rsidRPr="000D7519" w:rsidRDefault="00EC3620" w:rsidP="00EC3620">
                  <w:pPr>
                    <w:pStyle w:val="BodyText"/>
                    <w:keepNext/>
                    <w:keepLines/>
                    <w:spacing w:before="40" w:after="40"/>
                    <w:jc w:val="center"/>
                    <w:rPr>
                      <w:szCs w:val="18"/>
                    </w:rPr>
                  </w:pPr>
                  <w:r w:rsidRPr="000D7519">
                    <w:rPr>
                      <w:szCs w:val="18"/>
                    </w:rPr>
                    <w:t>B1 only</w:t>
                  </w:r>
                </w:p>
              </w:tc>
              <w:tc>
                <w:tcPr>
                  <w:tcW w:w="2793" w:type="dxa"/>
                </w:tcPr>
                <w:p w14:paraId="696D6216" w14:textId="77777777" w:rsidR="00EC3620" w:rsidRPr="000D7519" w:rsidRDefault="00EC3620" w:rsidP="00EC3620">
                  <w:pPr>
                    <w:pStyle w:val="BodyText"/>
                    <w:keepNext/>
                    <w:keepLines/>
                    <w:spacing w:before="40" w:after="40"/>
                    <w:jc w:val="center"/>
                    <w:rPr>
                      <w:szCs w:val="18"/>
                    </w:rPr>
                  </w:pPr>
                  <w:r w:rsidRPr="000D7519">
                    <w:rPr>
                      <w:szCs w:val="18"/>
                    </w:rPr>
                    <w:t>B2 &amp; B5</w:t>
                  </w:r>
                </w:p>
              </w:tc>
              <w:tc>
                <w:tcPr>
                  <w:tcW w:w="2793" w:type="dxa"/>
                </w:tcPr>
                <w:p w14:paraId="2458DF27" w14:textId="77777777" w:rsidR="00EC3620" w:rsidRPr="000D7519" w:rsidRDefault="00EC3620" w:rsidP="00EC3620">
                  <w:pPr>
                    <w:pStyle w:val="BodyText"/>
                    <w:keepNext/>
                    <w:keepLines/>
                    <w:spacing w:before="40" w:after="40"/>
                    <w:jc w:val="center"/>
                    <w:rPr>
                      <w:szCs w:val="18"/>
                    </w:rPr>
                  </w:pPr>
                  <w:r w:rsidRPr="000D7519">
                    <w:rPr>
                      <w:szCs w:val="18"/>
                    </w:rPr>
                    <w:t>B2 &amp; B4</w:t>
                  </w:r>
                </w:p>
              </w:tc>
            </w:tr>
            <w:tr w:rsidR="00EC3620" w:rsidRPr="000D7519" w14:paraId="60DD044D" w14:textId="77777777" w:rsidTr="00610057">
              <w:trPr>
                <w:cnfStyle w:val="000000010000" w:firstRow="0" w:lastRow="0" w:firstColumn="0" w:lastColumn="0" w:oddVBand="0" w:evenVBand="0" w:oddHBand="0" w:evenHBand="1" w:firstRowFirstColumn="0" w:firstRowLastColumn="0" w:lastRowFirstColumn="0" w:lastRowLastColumn="0"/>
                <w:trHeight w:val="277"/>
                <w:jc w:val="center"/>
              </w:trPr>
              <w:tc>
                <w:tcPr>
                  <w:tcW w:w="3447" w:type="dxa"/>
                </w:tcPr>
                <w:p w14:paraId="3D075269" w14:textId="77777777" w:rsidR="00EC3620" w:rsidRPr="000D7519" w:rsidRDefault="00EC3620" w:rsidP="00EC3620">
                  <w:pPr>
                    <w:pStyle w:val="BodyText"/>
                    <w:keepNext/>
                    <w:keepLines/>
                    <w:spacing w:before="40" w:after="40"/>
                    <w:jc w:val="center"/>
                    <w:rPr>
                      <w:szCs w:val="18"/>
                    </w:rPr>
                  </w:pPr>
                  <w:r w:rsidRPr="000D7519">
                    <w:rPr>
                      <w:szCs w:val="18"/>
                    </w:rPr>
                    <w:t>B2 only</w:t>
                  </w:r>
                </w:p>
              </w:tc>
              <w:tc>
                <w:tcPr>
                  <w:tcW w:w="2793" w:type="dxa"/>
                </w:tcPr>
                <w:p w14:paraId="5CF15784" w14:textId="77777777" w:rsidR="00EC3620" w:rsidRPr="000D7519" w:rsidRDefault="00EC3620" w:rsidP="00EC3620">
                  <w:pPr>
                    <w:pStyle w:val="BodyText"/>
                    <w:keepNext/>
                    <w:keepLines/>
                    <w:spacing w:before="40" w:after="40"/>
                    <w:jc w:val="center"/>
                    <w:rPr>
                      <w:szCs w:val="18"/>
                    </w:rPr>
                  </w:pPr>
                  <w:r w:rsidRPr="000D7519">
                    <w:rPr>
                      <w:szCs w:val="18"/>
                    </w:rPr>
                    <w:t>B3 &amp; B5</w:t>
                  </w:r>
                </w:p>
              </w:tc>
              <w:tc>
                <w:tcPr>
                  <w:tcW w:w="2793" w:type="dxa"/>
                </w:tcPr>
                <w:p w14:paraId="31B7524C" w14:textId="77777777" w:rsidR="00EC3620" w:rsidRPr="000D7519" w:rsidRDefault="00EC3620" w:rsidP="00EC3620">
                  <w:pPr>
                    <w:pStyle w:val="BodyText"/>
                    <w:keepNext/>
                    <w:keepLines/>
                    <w:spacing w:before="40" w:after="40"/>
                    <w:jc w:val="center"/>
                    <w:rPr>
                      <w:szCs w:val="18"/>
                    </w:rPr>
                  </w:pPr>
                  <w:r w:rsidRPr="000D7519">
                    <w:rPr>
                      <w:szCs w:val="18"/>
                    </w:rPr>
                    <w:t>B1 &amp; B3 &amp; B5</w:t>
                  </w:r>
                </w:p>
              </w:tc>
            </w:tr>
            <w:tr w:rsidR="00EC3620" w:rsidRPr="000D7519" w14:paraId="7C435315" w14:textId="77777777" w:rsidTr="00610057">
              <w:trPr>
                <w:trHeight w:val="258"/>
                <w:jc w:val="center"/>
              </w:trPr>
              <w:tc>
                <w:tcPr>
                  <w:tcW w:w="3447" w:type="dxa"/>
                </w:tcPr>
                <w:p w14:paraId="19FADDE2" w14:textId="77777777" w:rsidR="00EC3620" w:rsidRPr="000D7519" w:rsidRDefault="00EC3620" w:rsidP="00EC3620">
                  <w:pPr>
                    <w:pStyle w:val="BodyText"/>
                    <w:keepNext/>
                    <w:keepLines/>
                    <w:spacing w:before="40" w:after="40"/>
                    <w:jc w:val="center"/>
                    <w:rPr>
                      <w:szCs w:val="18"/>
                    </w:rPr>
                  </w:pPr>
                  <w:r w:rsidRPr="000D7519">
                    <w:rPr>
                      <w:szCs w:val="18"/>
                    </w:rPr>
                    <w:t>B3 only</w:t>
                  </w:r>
                </w:p>
              </w:tc>
              <w:tc>
                <w:tcPr>
                  <w:tcW w:w="2793" w:type="dxa"/>
                </w:tcPr>
                <w:p w14:paraId="481EEDC2" w14:textId="77777777" w:rsidR="00EC3620" w:rsidRPr="000D7519" w:rsidRDefault="00EC3620" w:rsidP="00EC3620">
                  <w:pPr>
                    <w:pStyle w:val="BodyText"/>
                    <w:keepNext/>
                    <w:keepLines/>
                    <w:spacing w:before="40" w:after="40"/>
                    <w:jc w:val="center"/>
                    <w:rPr>
                      <w:szCs w:val="18"/>
                    </w:rPr>
                  </w:pPr>
                  <w:r w:rsidRPr="000D7519">
                    <w:rPr>
                      <w:szCs w:val="18"/>
                    </w:rPr>
                    <w:t>B4 &amp; B5</w:t>
                  </w:r>
                </w:p>
              </w:tc>
              <w:tc>
                <w:tcPr>
                  <w:tcW w:w="2793" w:type="dxa"/>
                </w:tcPr>
                <w:p w14:paraId="65941054" w14:textId="77777777" w:rsidR="00EC3620" w:rsidRPr="000D7519" w:rsidRDefault="00EC3620" w:rsidP="00EC3620">
                  <w:pPr>
                    <w:pStyle w:val="BodyText"/>
                    <w:keepNext/>
                    <w:keepLines/>
                    <w:spacing w:before="40" w:after="40"/>
                    <w:jc w:val="center"/>
                    <w:rPr>
                      <w:szCs w:val="18"/>
                    </w:rPr>
                  </w:pPr>
                  <w:r w:rsidRPr="000D7519">
                    <w:rPr>
                      <w:szCs w:val="18"/>
                    </w:rPr>
                    <w:t>B1 &amp; B4 &amp; B5</w:t>
                  </w:r>
                </w:p>
              </w:tc>
            </w:tr>
            <w:tr w:rsidR="00EC3620" w:rsidRPr="000D7519" w14:paraId="5C12C83D" w14:textId="77777777" w:rsidTr="00610057">
              <w:trPr>
                <w:cnfStyle w:val="000000010000" w:firstRow="0" w:lastRow="0" w:firstColumn="0" w:lastColumn="0" w:oddVBand="0" w:evenVBand="0" w:oddHBand="0" w:evenHBand="1" w:firstRowFirstColumn="0" w:firstRowLastColumn="0" w:lastRowFirstColumn="0" w:lastRowLastColumn="0"/>
                <w:trHeight w:val="277"/>
                <w:jc w:val="center"/>
              </w:trPr>
              <w:tc>
                <w:tcPr>
                  <w:tcW w:w="3447" w:type="dxa"/>
                </w:tcPr>
                <w:p w14:paraId="3DD75466" w14:textId="77777777" w:rsidR="00EC3620" w:rsidRPr="000D7519" w:rsidRDefault="00EC3620" w:rsidP="00EC3620">
                  <w:pPr>
                    <w:pStyle w:val="BodyText"/>
                    <w:keepNext/>
                    <w:keepLines/>
                    <w:spacing w:before="40" w:after="40"/>
                    <w:jc w:val="center"/>
                    <w:rPr>
                      <w:szCs w:val="18"/>
                    </w:rPr>
                  </w:pPr>
                  <w:r w:rsidRPr="000D7519">
                    <w:rPr>
                      <w:szCs w:val="18"/>
                    </w:rPr>
                    <w:t>B4 only</w:t>
                  </w:r>
                </w:p>
              </w:tc>
              <w:tc>
                <w:tcPr>
                  <w:tcW w:w="2793" w:type="dxa"/>
                </w:tcPr>
                <w:p w14:paraId="08CDABFE" w14:textId="77777777" w:rsidR="00EC3620" w:rsidRPr="000D7519" w:rsidRDefault="00EC3620" w:rsidP="00EC3620">
                  <w:pPr>
                    <w:pStyle w:val="BodyText"/>
                    <w:keepNext/>
                    <w:keepLines/>
                    <w:spacing w:before="40" w:after="40"/>
                    <w:jc w:val="center"/>
                    <w:rPr>
                      <w:szCs w:val="18"/>
                    </w:rPr>
                  </w:pPr>
                  <w:r w:rsidRPr="000D7519">
                    <w:rPr>
                      <w:szCs w:val="18"/>
                    </w:rPr>
                    <w:t>B1 &amp; B3</w:t>
                  </w:r>
                </w:p>
              </w:tc>
              <w:tc>
                <w:tcPr>
                  <w:tcW w:w="2793" w:type="dxa"/>
                </w:tcPr>
                <w:p w14:paraId="554BE811" w14:textId="77777777" w:rsidR="00EC3620" w:rsidRPr="000D7519" w:rsidRDefault="00EC3620" w:rsidP="00EC3620">
                  <w:pPr>
                    <w:pStyle w:val="BodyText"/>
                    <w:keepNext/>
                    <w:keepLines/>
                    <w:spacing w:before="40" w:after="40"/>
                    <w:jc w:val="center"/>
                    <w:rPr>
                      <w:szCs w:val="18"/>
                    </w:rPr>
                  </w:pPr>
                  <w:r w:rsidRPr="000D7519">
                    <w:rPr>
                      <w:szCs w:val="18"/>
                    </w:rPr>
                    <w:t>B2 &amp; B3 &amp; B5</w:t>
                  </w:r>
                </w:p>
              </w:tc>
            </w:tr>
            <w:tr w:rsidR="00EC3620" w:rsidRPr="000D7519" w14:paraId="01FE6F1E" w14:textId="77777777" w:rsidTr="00610057">
              <w:trPr>
                <w:trHeight w:val="277"/>
                <w:jc w:val="center"/>
              </w:trPr>
              <w:tc>
                <w:tcPr>
                  <w:tcW w:w="3447" w:type="dxa"/>
                </w:tcPr>
                <w:p w14:paraId="5798B3DC" w14:textId="77777777" w:rsidR="00EC3620" w:rsidRPr="000D7519" w:rsidRDefault="00EC3620" w:rsidP="00EC3620">
                  <w:pPr>
                    <w:pStyle w:val="BodyText"/>
                    <w:keepNext/>
                    <w:keepLines/>
                    <w:spacing w:before="40" w:after="40"/>
                    <w:jc w:val="center"/>
                    <w:rPr>
                      <w:b/>
                      <w:szCs w:val="18"/>
                    </w:rPr>
                  </w:pPr>
                  <w:r w:rsidRPr="000D7519">
                    <w:rPr>
                      <w:szCs w:val="18"/>
                    </w:rPr>
                    <w:t>B5 only</w:t>
                  </w:r>
                </w:p>
              </w:tc>
              <w:tc>
                <w:tcPr>
                  <w:tcW w:w="2793" w:type="dxa"/>
                </w:tcPr>
                <w:p w14:paraId="1838E7C0" w14:textId="77777777" w:rsidR="00EC3620" w:rsidRPr="000D7519" w:rsidRDefault="00EC3620" w:rsidP="00EC3620">
                  <w:pPr>
                    <w:pStyle w:val="BodyText"/>
                    <w:keepNext/>
                    <w:keepLines/>
                    <w:spacing w:before="40" w:after="40"/>
                    <w:jc w:val="center"/>
                    <w:rPr>
                      <w:szCs w:val="18"/>
                    </w:rPr>
                  </w:pPr>
                  <w:r w:rsidRPr="000D7519">
                    <w:rPr>
                      <w:szCs w:val="18"/>
                    </w:rPr>
                    <w:t>B1 &amp; B4</w:t>
                  </w:r>
                </w:p>
              </w:tc>
              <w:tc>
                <w:tcPr>
                  <w:tcW w:w="2793" w:type="dxa"/>
                </w:tcPr>
                <w:p w14:paraId="5A1F68A5" w14:textId="77777777" w:rsidR="00EC3620" w:rsidRPr="000D7519" w:rsidRDefault="00EC3620" w:rsidP="00EC3620">
                  <w:pPr>
                    <w:pStyle w:val="BodyText"/>
                    <w:keepNext/>
                    <w:keepLines/>
                    <w:spacing w:before="40" w:after="40"/>
                    <w:jc w:val="center"/>
                    <w:rPr>
                      <w:szCs w:val="18"/>
                    </w:rPr>
                  </w:pPr>
                  <w:r w:rsidRPr="000D7519">
                    <w:rPr>
                      <w:szCs w:val="18"/>
                    </w:rPr>
                    <w:t>B2 &amp; B4 &amp; B5</w:t>
                  </w:r>
                </w:p>
              </w:tc>
            </w:tr>
            <w:tr w:rsidR="00EC3620" w:rsidRPr="000D7519" w14:paraId="66763A7A" w14:textId="77777777" w:rsidTr="00610057">
              <w:trPr>
                <w:cnfStyle w:val="000000010000" w:firstRow="0" w:lastRow="0" w:firstColumn="0" w:lastColumn="0" w:oddVBand="0" w:evenVBand="0" w:oddHBand="0" w:evenHBand="1" w:firstRowFirstColumn="0" w:firstRowLastColumn="0" w:lastRowFirstColumn="0" w:lastRowLastColumn="0"/>
                <w:trHeight w:val="277"/>
                <w:jc w:val="center"/>
              </w:trPr>
              <w:tc>
                <w:tcPr>
                  <w:tcW w:w="3447" w:type="dxa"/>
                </w:tcPr>
                <w:p w14:paraId="18F977F7" w14:textId="77777777" w:rsidR="00EC3620" w:rsidRPr="000D7519" w:rsidRDefault="00EC3620" w:rsidP="00EC3620">
                  <w:pPr>
                    <w:pStyle w:val="BodyText"/>
                    <w:keepNext/>
                    <w:keepLines/>
                    <w:spacing w:before="40" w:after="40"/>
                    <w:jc w:val="center"/>
                    <w:rPr>
                      <w:szCs w:val="18"/>
                    </w:rPr>
                  </w:pPr>
                  <w:r w:rsidRPr="000D7519">
                    <w:rPr>
                      <w:szCs w:val="18"/>
                    </w:rPr>
                    <w:t>B1 &amp; B5</w:t>
                  </w:r>
                </w:p>
              </w:tc>
              <w:tc>
                <w:tcPr>
                  <w:tcW w:w="2793" w:type="dxa"/>
                </w:tcPr>
                <w:p w14:paraId="357BFCB3" w14:textId="77777777" w:rsidR="00EC3620" w:rsidRPr="000D7519" w:rsidRDefault="00EC3620" w:rsidP="00EC3620">
                  <w:pPr>
                    <w:pStyle w:val="BodyText"/>
                    <w:keepNext/>
                    <w:keepLines/>
                    <w:spacing w:before="40" w:after="40"/>
                    <w:jc w:val="center"/>
                    <w:rPr>
                      <w:szCs w:val="18"/>
                    </w:rPr>
                  </w:pPr>
                  <w:r w:rsidRPr="000D7519">
                    <w:rPr>
                      <w:szCs w:val="18"/>
                    </w:rPr>
                    <w:t>B2 &amp; B3</w:t>
                  </w:r>
                </w:p>
              </w:tc>
              <w:tc>
                <w:tcPr>
                  <w:tcW w:w="2793" w:type="dxa"/>
                </w:tcPr>
                <w:p w14:paraId="709A31D2" w14:textId="77777777" w:rsidR="00EC3620" w:rsidRPr="000D7519" w:rsidRDefault="00EC3620" w:rsidP="00EC3620">
                  <w:pPr>
                    <w:pStyle w:val="BodyText"/>
                    <w:keepNext/>
                    <w:keepLines/>
                    <w:spacing w:before="40" w:after="40"/>
                    <w:jc w:val="center"/>
                    <w:rPr>
                      <w:szCs w:val="18"/>
                    </w:rPr>
                  </w:pPr>
                  <w:r w:rsidRPr="000D7519">
                    <w:rPr>
                      <w:szCs w:val="18"/>
                    </w:rPr>
                    <w:t>Nothing</w:t>
                  </w:r>
                </w:p>
              </w:tc>
            </w:tr>
          </w:tbl>
          <w:p w14:paraId="5F10EA45" w14:textId="77777777" w:rsidR="00EC3620" w:rsidRPr="000D7519" w:rsidRDefault="00EC3620" w:rsidP="00DF08E7">
            <w:pPr>
              <w:pStyle w:val="BodyText"/>
              <w:keepNext/>
              <w:spacing w:before="120"/>
              <w:rPr>
                <w:sz w:val="20"/>
                <w:szCs w:val="20"/>
              </w:rPr>
            </w:pPr>
          </w:p>
        </w:tc>
      </w:tr>
    </w:tbl>
    <w:p w14:paraId="580E96C4" w14:textId="214FE64D" w:rsidR="00D42410" w:rsidRDefault="00D42410" w:rsidP="00D42410">
      <w:pPr>
        <w:pStyle w:val="BodyText"/>
      </w:pPr>
      <w:r>
        <w:t xml:space="preserve">As noted in </w:t>
      </w:r>
      <w:r>
        <w:fldChar w:fldCharType="begin"/>
      </w:r>
      <w:r>
        <w:instrText xml:space="preserve"> REF _Ref494002519 \h </w:instrText>
      </w:r>
      <w:r>
        <w:fldChar w:fldCharType="separate"/>
      </w:r>
      <w:r w:rsidR="00272B32">
        <w:t xml:space="preserve">Box </w:t>
      </w:r>
      <w:r w:rsidR="00272B32">
        <w:rPr>
          <w:noProof/>
        </w:rPr>
        <w:t>4</w:t>
      </w:r>
      <w:r w:rsidR="00272B32">
        <w:t>.</w:t>
      </w:r>
      <w:r w:rsidR="00272B32">
        <w:rPr>
          <w:noProof/>
        </w:rPr>
        <w:t>2</w:t>
      </w:r>
      <w:r>
        <w:fldChar w:fldCharType="end"/>
      </w:r>
      <w:r>
        <w:t>, the Day-Ahead Auction project team were of the view that while there are few imperfect substitutable transportation routes in the east coast, the demand for these routes is currently low. When asked whether there was value in adding XOR sets to the auction format to accommodate these routes, the project team noted that the benefit of doing so was unlikely to outweigh the cost and complexity of adding this feature given the limited demand for substitutable transportation routes. One project team member did, however, note that over time substitutable routes could become more important and that the auction design should be able to accommodate such changes. It was also noted in this context that the SRA does not currently include XOR sets and that the inclusion of this feature would increase the implementation cost.</w:t>
      </w:r>
    </w:p>
    <w:p w14:paraId="2120E833" w14:textId="4A728D3A" w:rsidR="00D42410" w:rsidRDefault="00991DDB" w:rsidP="00CF14C1">
      <w:pPr>
        <w:pStyle w:val="BodyText"/>
      </w:pPr>
      <w:r>
        <w:t xml:space="preserve">Finally, in addition to accommodating substitutable routes, XOR sets could be used to accommodate the hybrid product design (i.e. a firm and an interruptible auction product – see section </w:t>
      </w:r>
      <w:r w:rsidR="00D903C5">
        <w:rPr>
          <w:highlight w:val="yellow"/>
        </w:rPr>
        <w:fldChar w:fldCharType="begin"/>
      </w:r>
      <w:r w:rsidR="00D903C5">
        <w:instrText xml:space="preserve"> REF _Ref494707756 \r \h </w:instrText>
      </w:r>
      <w:r w:rsidR="00D903C5">
        <w:rPr>
          <w:highlight w:val="yellow"/>
        </w:rPr>
      </w:r>
      <w:r w:rsidR="00D903C5">
        <w:rPr>
          <w:highlight w:val="yellow"/>
        </w:rPr>
        <w:fldChar w:fldCharType="separate"/>
      </w:r>
      <w:r w:rsidR="00272B32">
        <w:t>3.2</w:t>
      </w:r>
      <w:r w:rsidR="00D903C5">
        <w:rPr>
          <w:highlight w:val="yellow"/>
        </w:rPr>
        <w:fldChar w:fldCharType="end"/>
      </w:r>
      <w:r>
        <w:t xml:space="preserve">) if a decision is made to implement this product design. In this case, XOR sets would allow participants to submit mutually exclusive bids for the firm product and the interruptible product, which are likely to have different values. The project team did not express a view on this option. </w:t>
      </w:r>
    </w:p>
    <w:p w14:paraId="64727885" w14:textId="5715B26B" w:rsidR="00A51172" w:rsidRDefault="00A51172" w:rsidP="00A51172">
      <w:pPr>
        <w:pStyle w:val="Heading3"/>
      </w:pPr>
      <w:bookmarkStart w:id="101" w:name="_Ref494612455"/>
      <w:r>
        <w:t>Optional feature 3: Backhaul</w:t>
      </w:r>
      <w:bookmarkEnd w:id="101"/>
      <w:r>
        <w:t xml:space="preserve"> </w:t>
      </w:r>
    </w:p>
    <w:p w14:paraId="14F750EF" w14:textId="067CBDB2" w:rsidR="00A51172" w:rsidRDefault="00EC28D0" w:rsidP="00A51172">
      <w:pPr>
        <w:pStyle w:val="BodyText"/>
      </w:pPr>
      <w:r>
        <w:t>On pipelines that do not operate in a bi-directional manner, b</w:t>
      </w:r>
      <w:r w:rsidR="00A51172">
        <w:t xml:space="preserve">ackhaul transportation </w:t>
      </w:r>
      <w:r>
        <w:t xml:space="preserve">does not involve the </w:t>
      </w:r>
      <w:r w:rsidR="00A51172">
        <w:t>physical transportation of gas. It is merely an offsetting of positions</w:t>
      </w:r>
      <w:r w:rsidR="00894B36">
        <w:t xml:space="preserve"> (i.e. a notional swap)</w:t>
      </w:r>
      <w:r w:rsidR="00A51172">
        <w:t xml:space="preserve">. For example, if shipper </w:t>
      </w:r>
      <w:proofErr w:type="gramStart"/>
      <w:r w:rsidR="00A51172">
        <w:t>A</w:t>
      </w:r>
      <w:proofErr w:type="gramEnd"/>
      <w:r w:rsidR="00A51172">
        <w:t xml:space="preserve"> wants to transport gas downstream and shipper B wants to do the opposite, the </w:t>
      </w:r>
      <w:r w:rsidR="00894B36">
        <w:t xml:space="preserve">service provider </w:t>
      </w:r>
      <w:r w:rsidR="00A51172">
        <w:t xml:space="preserve">can offset their positions. </w:t>
      </w:r>
    </w:p>
    <w:p w14:paraId="6EE8B052" w14:textId="5B6C2BA1" w:rsidR="00A51172" w:rsidRDefault="00EC28D0" w:rsidP="00A51172">
      <w:pPr>
        <w:pStyle w:val="BodyText"/>
      </w:pPr>
      <w:r w:rsidRPr="00D903C5">
        <w:t xml:space="preserve">As noted in section </w:t>
      </w:r>
      <w:r w:rsidR="00D903C5" w:rsidRPr="00D903C5">
        <w:fldChar w:fldCharType="begin"/>
      </w:r>
      <w:r w:rsidR="00D903C5" w:rsidRPr="00D903C5">
        <w:instrText xml:space="preserve"> REF _Ref494710601 \r \h </w:instrText>
      </w:r>
      <w:r w:rsidR="00D903C5">
        <w:instrText xml:space="preserve"> \* MERGEFORMAT </w:instrText>
      </w:r>
      <w:r w:rsidR="00D903C5" w:rsidRPr="00D903C5">
        <w:fldChar w:fldCharType="separate"/>
      </w:r>
      <w:r w:rsidR="00272B32">
        <w:t>3.1</w:t>
      </w:r>
      <w:r w:rsidR="00D903C5" w:rsidRPr="00D903C5">
        <w:fldChar w:fldCharType="end"/>
      </w:r>
      <w:r w:rsidRPr="00D903C5">
        <w:t>, i</w:t>
      </w:r>
      <w:r w:rsidR="00A51172" w:rsidRPr="00D903C5">
        <w:t xml:space="preserve">ncluding backhaul transportation in the auction design may lead to significant efficiency gains </w:t>
      </w:r>
      <w:r w:rsidRPr="00D903C5">
        <w:t>because</w:t>
      </w:r>
      <w:r w:rsidR="00A51172" w:rsidRPr="00D903C5">
        <w:t xml:space="preserve"> it allows shippers to </w:t>
      </w:r>
      <w:r w:rsidR="00894B36" w:rsidRPr="00D903C5">
        <w:t>‘</w:t>
      </w:r>
      <w:r w:rsidR="00A51172" w:rsidRPr="00D903C5">
        <w:t>move</w:t>
      </w:r>
      <w:r w:rsidR="00894B36" w:rsidRPr="00D903C5">
        <w:t>’</w:t>
      </w:r>
      <w:r w:rsidR="00A51172" w:rsidRPr="00D903C5">
        <w:t xml:space="preserve"> </w:t>
      </w:r>
      <w:r w:rsidR="00894B36" w:rsidRPr="00D903C5">
        <w:t xml:space="preserve">gas </w:t>
      </w:r>
      <w:r w:rsidR="00A51172" w:rsidRPr="00D903C5">
        <w:t xml:space="preserve">without </w:t>
      </w:r>
      <w:r w:rsidR="00894B36" w:rsidRPr="00D903C5">
        <w:t xml:space="preserve">utilising </w:t>
      </w:r>
      <w:r w:rsidR="00A51172" w:rsidRPr="00D903C5">
        <w:t xml:space="preserve">physical infrastructure. It also has the potential to reduce congestion </w:t>
      </w:r>
      <w:r w:rsidR="00894B36" w:rsidRPr="00D903C5">
        <w:t xml:space="preserve">because </w:t>
      </w:r>
      <w:r w:rsidR="00A51172" w:rsidRPr="00D903C5">
        <w:t xml:space="preserve">backhaul </w:t>
      </w:r>
      <w:r w:rsidRPr="00D903C5">
        <w:t xml:space="preserve">can </w:t>
      </w:r>
      <w:r w:rsidR="00A51172" w:rsidRPr="00D903C5">
        <w:t xml:space="preserve">reduce the total amount of gas that needs to be transported on </w:t>
      </w:r>
      <w:r w:rsidRPr="00D903C5">
        <w:t>a</w:t>
      </w:r>
      <w:r w:rsidR="00A51172" w:rsidRPr="00D903C5">
        <w:t xml:space="preserve"> pipeline.</w:t>
      </w:r>
    </w:p>
    <w:p w14:paraId="613F8970" w14:textId="067B7CA2" w:rsidR="00A51172" w:rsidRDefault="00EC28D0" w:rsidP="00A51172">
      <w:pPr>
        <w:pStyle w:val="BodyText"/>
      </w:pPr>
      <w:r>
        <w:t>If backhaul products were to be available in the auction, then the b</w:t>
      </w:r>
      <w:r w:rsidR="00A51172">
        <w:t xml:space="preserve">ids </w:t>
      </w:r>
      <w:r w:rsidR="00894B36">
        <w:t xml:space="preserve">for backhaul capacity </w:t>
      </w:r>
      <w:r w:rsidR="00A51172">
        <w:t>would specify the same information as any other bids</w:t>
      </w:r>
      <w:r>
        <w:t xml:space="preserve"> (i.e. </w:t>
      </w:r>
      <w:r w:rsidR="00A51172">
        <w:t>bid amount, total quantity and backhaul products</w:t>
      </w:r>
      <w:r>
        <w:t>)</w:t>
      </w:r>
      <w:r w:rsidR="00A51172">
        <w:t>.</w:t>
      </w:r>
      <w:r>
        <w:t xml:space="preserve"> </w:t>
      </w:r>
      <w:r w:rsidR="00A51172">
        <w:t xml:space="preserve">Backhaul </w:t>
      </w:r>
      <w:r>
        <w:t xml:space="preserve">products could </w:t>
      </w:r>
      <w:r w:rsidR="00A51172">
        <w:t xml:space="preserve">be included in one of two ways in the </w:t>
      </w:r>
      <w:r>
        <w:t xml:space="preserve">day-ahead </w:t>
      </w:r>
      <w:r w:rsidR="00A51172">
        <w:t>auction:</w:t>
      </w:r>
    </w:p>
    <w:p w14:paraId="5D887503" w14:textId="1ED245ED" w:rsidR="00A51172" w:rsidRDefault="00A51172" w:rsidP="00A51172">
      <w:pPr>
        <w:pStyle w:val="ListBullet"/>
        <w:numPr>
          <w:ilvl w:val="4"/>
          <w:numId w:val="11"/>
        </w:numPr>
        <w:tabs>
          <w:tab w:val="num" w:pos="360"/>
        </w:tabs>
        <w:spacing w:before="0" w:line="260" w:lineRule="atLeast"/>
        <w:ind w:left="360"/>
        <w:outlineLvl w:val="4"/>
      </w:pPr>
      <w:r w:rsidRPr="003E48D8">
        <w:rPr>
          <w:b/>
        </w:rPr>
        <w:t>Static backhaul product</w:t>
      </w:r>
      <w:r w:rsidR="00EC28D0" w:rsidRPr="003E48D8">
        <w:rPr>
          <w:b/>
        </w:rPr>
        <w:t>:</w:t>
      </w:r>
      <w:r>
        <w:t xml:space="preserve"> A static backhaul product would offer backhaul against the firm forward haul </w:t>
      </w:r>
      <w:r w:rsidR="00EC28D0">
        <w:t xml:space="preserve">contracted and nominated capacity </w:t>
      </w:r>
      <w:r>
        <w:t>on a given day.</w:t>
      </w:r>
    </w:p>
    <w:p w14:paraId="56FDE06F" w14:textId="4F5D8D11" w:rsidR="00A51172" w:rsidRDefault="00A51172" w:rsidP="00A51172">
      <w:pPr>
        <w:pStyle w:val="ListBullet"/>
        <w:numPr>
          <w:ilvl w:val="4"/>
          <w:numId w:val="11"/>
        </w:numPr>
        <w:tabs>
          <w:tab w:val="num" w:pos="360"/>
        </w:tabs>
        <w:spacing w:before="0" w:line="260" w:lineRule="atLeast"/>
        <w:ind w:left="360"/>
        <w:outlineLvl w:val="4"/>
      </w:pPr>
      <w:r w:rsidRPr="003E48D8">
        <w:rPr>
          <w:b/>
        </w:rPr>
        <w:t>Dynamic backhaul product</w:t>
      </w:r>
      <w:r w:rsidR="00EC28D0" w:rsidRPr="003E48D8">
        <w:rPr>
          <w:b/>
        </w:rPr>
        <w:t>:</w:t>
      </w:r>
      <w:r>
        <w:t xml:space="preserve"> </w:t>
      </w:r>
      <w:r w:rsidR="00894B36">
        <w:t xml:space="preserve">A dynamic backhaul product would offer backhaul against the </w:t>
      </w:r>
      <w:r>
        <w:t>firm forward haul</w:t>
      </w:r>
      <w:r w:rsidR="00EC28D0">
        <w:t xml:space="preserve"> contracted and nominated capacity</w:t>
      </w:r>
      <w:r w:rsidR="00894B36">
        <w:t xml:space="preserve"> and the </w:t>
      </w:r>
      <w:r>
        <w:t xml:space="preserve">forward haul bids cleared in the </w:t>
      </w:r>
      <w:r w:rsidR="00EC28D0">
        <w:t xml:space="preserve">day-ahead </w:t>
      </w:r>
      <w:r>
        <w:t>auction</w:t>
      </w:r>
      <w:r w:rsidR="00894B36">
        <w:t xml:space="preserve">. This option would therefore </w:t>
      </w:r>
      <w:r>
        <w:t xml:space="preserve">provide </w:t>
      </w:r>
      <w:r w:rsidR="003975C3">
        <w:t xml:space="preserve">the potential for </w:t>
      </w:r>
      <w:r>
        <w:t xml:space="preserve">more forward haul and more backhaul capacity. The auction mechanism </w:t>
      </w:r>
      <w:r w:rsidR="00EC28D0">
        <w:t xml:space="preserve">under this option </w:t>
      </w:r>
      <w:r>
        <w:t>would clear bids dynamically and offset forward and backhaul bids dynamically based on competition and the bids submitted in the auction.</w:t>
      </w:r>
    </w:p>
    <w:p w14:paraId="6497F530" w14:textId="6F18AEE4" w:rsidR="00A51172" w:rsidRDefault="00EC28D0" w:rsidP="00894B36">
      <w:pPr>
        <w:pStyle w:val="BodyText"/>
      </w:pPr>
      <w:r>
        <w:t xml:space="preserve">Of the two options, the </w:t>
      </w:r>
      <w:r w:rsidR="00A51172">
        <w:t xml:space="preserve">dynamic backhaul </w:t>
      </w:r>
      <w:r>
        <w:t xml:space="preserve">option would be more </w:t>
      </w:r>
      <w:r w:rsidR="00A51172">
        <w:t xml:space="preserve">complex to implement and </w:t>
      </w:r>
      <w:r>
        <w:t>could introduce</w:t>
      </w:r>
      <w:r w:rsidR="00A51172">
        <w:t xml:space="preserve"> a number of issues that would need to be resolved in the auction design</w:t>
      </w:r>
      <w:r>
        <w:t xml:space="preserve"> (see </w:t>
      </w:r>
      <w:r>
        <w:fldChar w:fldCharType="begin"/>
      </w:r>
      <w:r>
        <w:instrText xml:space="preserve"> REF _Ref494180976 \h </w:instrText>
      </w:r>
      <w:r>
        <w:fldChar w:fldCharType="separate"/>
      </w:r>
      <w:r w:rsidR="00272B32">
        <w:t xml:space="preserve">Box </w:t>
      </w:r>
      <w:r w:rsidR="00272B32">
        <w:rPr>
          <w:noProof/>
        </w:rPr>
        <w:t>4</w:t>
      </w:r>
      <w:r w:rsidR="00272B32">
        <w:t>.</w:t>
      </w:r>
      <w:r w:rsidR="00272B32">
        <w:rPr>
          <w:noProof/>
        </w:rPr>
        <w:t>6</w:t>
      </w:r>
      <w:r>
        <w:fldChar w:fldCharType="end"/>
      </w:r>
      <w:r>
        <w:t>)</w:t>
      </w:r>
      <w:r w:rsidR="00A51172">
        <w:t xml:space="preserve">. In particular, it could introduce market power concerns </w:t>
      </w:r>
      <w:r w:rsidR="00894B36">
        <w:t xml:space="preserve">because </w:t>
      </w:r>
      <w:r w:rsidR="00A51172">
        <w:t xml:space="preserve">forward haul bids implicitly “supply” backhaul capacity and vice versa. To prevent bidders from exploiting such market power, the auction would need to clear pipelines with dynamic backhaul separately from others. This is likely to reduce efficiency as it reintroduces aggregation risks for bidders who want to flow gas across pipelines with and without dynamic backhaul. </w:t>
      </w:r>
      <w:r>
        <w:t xml:space="preserve">NERA has therefore recommended </w:t>
      </w:r>
      <w:r w:rsidR="00D2003C">
        <w:t xml:space="preserve">that if backhaul is to be included in </w:t>
      </w:r>
      <w:r>
        <w:t xml:space="preserve">the </w:t>
      </w:r>
      <w:r w:rsidR="00D2003C">
        <w:t xml:space="preserve">day-ahead auction then the </w:t>
      </w:r>
      <w:r>
        <w:t>static backhaul product</w:t>
      </w:r>
      <w:r w:rsidR="00A51172">
        <w:t xml:space="preserve"> </w:t>
      </w:r>
      <w:r w:rsidR="00D2003C">
        <w:t>should be used</w:t>
      </w:r>
      <w:r w:rsidR="00A51172">
        <w:t>.</w:t>
      </w:r>
    </w:p>
    <w:p w14:paraId="54116BEA" w14:textId="3DA9016A" w:rsidR="00D2003C" w:rsidRDefault="00D2003C" w:rsidP="00894B36">
      <w:pPr>
        <w:pStyle w:val="BodyText"/>
      </w:pPr>
      <w:r w:rsidRPr="00D903C5">
        <w:t xml:space="preserve">As outlined in section </w:t>
      </w:r>
      <w:r w:rsidR="00D903C5" w:rsidRPr="00D903C5">
        <w:fldChar w:fldCharType="begin"/>
      </w:r>
      <w:r w:rsidR="00D903C5" w:rsidRPr="00D903C5">
        <w:instrText xml:space="preserve"> REF _Ref494710601 \r \h </w:instrText>
      </w:r>
      <w:r w:rsidR="00D903C5">
        <w:instrText xml:space="preserve"> \* MERGEFORMAT </w:instrText>
      </w:r>
      <w:r w:rsidR="00D903C5" w:rsidRPr="00D903C5">
        <w:fldChar w:fldCharType="separate"/>
      </w:r>
      <w:r w:rsidR="00272B32">
        <w:t>3.1</w:t>
      </w:r>
      <w:r w:rsidR="00D903C5" w:rsidRPr="00D903C5">
        <w:fldChar w:fldCharType="end"/>
      </w:r>
      <w:r w:rsidRPr="00D903C5">
        <w:t xml:space="preserve">, the project team had mixed views on whether </w:t>
      </w:r>
      <w:r w:rsidR="008339AE" w:rsidRPr="00D903C5">
        <w:t xml:space="preserve">a </w:t>
      </w:r>
      <w:r w:rsidRPr="00D903C5">
        <w:t xml:space="preserve">backhaul </w:t>
      </w:r>
      <w:r w:rsidR="008339AE" w:rsidRPr="00D903C5">
        <w:t xml:space="preserve">product </w:t>
      </w:r>
      <w:r w:rsidRPr="00D903C5">
        <w:t xml:space="preserve">should be included in the day-ahead auction, with some team members </w:t>
      </w:r>
      <w:r w:rsidR="008D0BFF">
        <w:t>contending</w:t>
      </w:r>
      <w:r w:rsidRPr="00D903C5">
        <w:t xml:space="preserve"> that backhaul capacity is not contracted </w:t>
      </w:r>
      <w:r w:rsidR="008339AE" w:rsidRPr="00D903C5">
        <w:t xml:space="preserve">on a firm basis </w:t>
      </w:r>
      <w:r w:rsidRPr="00D903C5">
        <w:t xml:space="preserve">and does not therefore </w:t>
      </w:r>
      <w:r w:rsidR="008339AE" w:rsidRPr="00D903C5">
        <w:t xml:space="preserve">strictly </w:t>
      </w:r>
      <w:r w:rsidRPr="00D903C5">
        <w:t xml:space="preserve">fall within the scope of the AEMC’s recommendation. </w:t>
      </w:r>
      <w:r w:rsidR="008339AE" w:rsidRPr="00D903C5">
        <w:t xml:space="preserve">Other team members, on the other hand, thought that there would be value </w:t>
      </w:r>
      <w:r w:rsidR="00DF08E7" w:rsidRPr="00D903C5">
        <w:t xml:space="preserve">in </w:t>
      </w:r>
      <w:r w:rsidR="008339AE" w:rsidRPr="00D903C5">
        <w:t>including a backhaul product, but did not specify whether it should be a static or dynamic backhaul product.</w:t>
      </w:r>
      <w:r w:rsidR="008339AE">
        <w:t xml:space="preserve"> </w:t>
      </w:r>
    </w:p>
    <w:tbl>
      <w:tblPr>
        <w:tblStyle w:val="PullOutBoxTable"/>
        <w:tblW w:w="5000" w:type="pct"/>
        <w:tblLook w:val="0600" w:firstRow="0" w:lastRow="0" w:firstColumn="0" w:lastColumn="0" w:noHBand="1" w:noVBand="1"/>
        <w:tblCaption w:val="Box 4.6: Dynamic backhaul "/>
        <w:tblDescription w:val="Dynamic backhaul "/>
      </w:tblPr>
      <w:tblGrid>
        <w:gridCol w:w="8788"/>
      </w:tblGrid>
      <w:tr w:rsidR="00EC28D0" w14:paraId="50E78163" w14:textId="77777777" w:rsidTr="00EC3620">
        <w:trPr>
          <w:trHeight w:val="401"/>
          <w:tblHeader/>
        </w:trPr>
        <w:tc>
          <w:tcPr>
            <w:tcW w:w="5000" w:type="pct"/>
            <w:shd w:val="clear" w:color="auto" w:fill="auto"/>
          </w:tcPr>
          <w:p w14:paraId="241EE943" w14:textId="77A755C8" w:rsidR="00EC28D0" w:rsidRPr="00EC3620" w:rsidRDefault="00EC3620" w:rsidP="00EC3620">
            <w:pPr>
              <w:pStyle w:val="BodyText"/>
              <w:keepNext/>
              <w:spacing w:before="120" w:after="0"/>
              <w:rPr>
                <w:b/>
              </w:rPr>
            </w:pPr>
            <w:bookmarkStart w:id="102" w:name="_Ref494180976"/>
            <w:r w:rsidRPr="00EC3620">
              <w:rPr>
                <w:b/>
              </w:rPr>
              <w:t xml:space="preserve">Box </w:t>
            </w:r>
            <w:r w:rsidRPr="00EC3620">
              <w:rPr>
                <w:b/>
              </w:rPr>
              <w:fldChar w:fldCharType="begin"/>
            </w:r>
            <w:r w:rsidRPr="00EC3620">
              <w:rPr>
                <w:b/>
              </w:rPr>
              <w:instrText xml:space="preserve"> STYLEREF 1 \s </w:instrText>
            </w:r>
            <w:r w:rsidRPr="00EC3620">
              <w:rPr>
                <w:b/>
              </w:rPr>
              <w:fldChar w:fldCharType="separate"/>
            </w:r>
            <w:r w:rsidRPr="00EC3620">
              <w:rPr>
                <w:b/>
                <w:noProof/>
              </w:rPr>
              <w:t>4</w:t>
            </w:r>
            <w:r w:rsidRPr="00EC3620">
              <w:rPr>
                <w:b/>
                <w:noProof/>
              </w:rPr>
              <w:fldChar w:fldCharType="end"/>
            </w:r>
            <w:r w:rsidRPr="00EC3620">
              <w:rPr>
                <w:b/>
              </w:rPr>
              <w:t>.</w:t>
            </w:r>
            <w:r w:rsidRPr="00EC3620">
              <w:rPr>
                <w:b/>
              </w:rPr>
              <w:fldChar w:fldCharType="begin"/>
            </w:r>
            <w:r w:rsidRPr="00EC3620">
              <w:rPr>
                <w:b/>
              </w:rPr>
              <w:instrText xml:space="preserve"> SEQ Box \* ARABIC \s 1 </w:instrText>
            </w:r>
            <w:r w:rsidRPr="00EC3620">
              <w:rPr>
                <w:b/>
              </w:rPr>
              <w:fldChar w:fldCharType="separate"/>
            </w:r>
            <w:r w:rsidRPr="00EC3620">
              <w:rPr>
                <w:b/>
                <w:noProof/>
              </w:rPr>
              <w:t>6</w:t>
            </w:r>
            <w:r w:rsidRPr="00EC3620">
              <w:rPr>
                <w:b/>
                <w:noProof/>
              </w:rPr>
              <w:fldChar w:fldCharType="end"/>
            </w:r>
            <w:bookmarkEnd w:id="102"/>
            <w:r w:rsidRPr="00EC3620">
              <w:rPr>
                <w:b/>
              </w:rPr>
              <w:t>: Dynamic backhaul</w:t>
            </w:r>
          </w:p>
        </w:tc>
      </w:tr>
      <w:tr w:rsidR="00EC3620" w14:paraId="6AB23422" w14:textId="77777777" w:rsidTr="00EC28D0">
        <w:tc>
          <w:tcPr>
            <w:tcW w:w="5000" w:type="pct"/>
          </w:tcPr>
          <w:p w14:paraId="7B5A9897" w14:textId="77777777" w:rsidR="00EC3620" w:rsidRDefault="00EC3620" w:rsidP="00EC3620">
            <w:pPr>
              <w:pStyle w:val="BodyText"/>
              <w:keepNext/>
              <w:spacing w:before="120"/>
              <w:rPr>
                <w:sz w:val="20"/>
                <w:szCs w:val="20"/>
              </w:rPr>
            </w:pPr>
            <w:r w:rsidRPr="00EC28D0">
              <w:rPr>
                <w:sz w:val="20"/>
                <w:szCs w:val="20"/>
              </w:rPr>
              <w:t xml:space="preserve">With dynamic backhaul, backhaul bids are not counted towards the total capacity on the included backhaul segments, but against it. In effect, a backhaul bid provides additional capacity for flowing capacity forward on such a pipeline. At the same time, forward bids provide backhaul capacity. Pricing in the </w:t>
            </w:r>
            <w:r>
              <w:rPr>
                <w:sz w:val="20"/>
                <w:szCs w:val="20"/>
              </w:rPr>
              <w:t xml:space="preserve">partial combinatorial auction </w:t>
            </w:r>
            <w:r w:rsidRPr="00EC28D0">
              <w:rPr>
                <w:sz w:val="20"/>
                <w:szCs w:val="20"/>
              </w:rPr>
              <w:t xml:space="preserve">is generally based on whether demand for a product is constrained by the available capacity. If it is, the price is determined by the lowest accepted bid. If it is not, the price is zero. This can be readily applied to pipelines with backhaul. </w:t>
            </w:r>
            <w:r>
              <w:rPr>
                <w:sz w:val="20"/>
                <w:szCs w:val="20"/>
              </w:rPr>
              <w:t xml:space="preserve">The table below </w:t>
            </w:r>
            <w:r w:rsidRPr="00EC28D0">
              <w:rPr>
                <w:sz w:val="20"/>
                <w:szCs w:val="20"/>
              </w:rPr>
              <w:t>summarises the different cases that can occur when backhaul is allowed.</w:t>
            </w:r>
            <w:r>
              <w:rPr>
                <w:sz w:val="20"/>
                <w:szCs w:val="20"/>
              </w:rPr>
              <w:t xml:space="preserve"> </w:t>
            </w:r>
          </w:p>
          <w:tbl>
            <w:tblPr>
              <w:tblStyle w:val="TableGrid"/>
              <w:tblW w:w="0" w:type="auto"/>
              <w:tblLook w:val="04A0" w:firstRow="1" w:lastRow="0" w:firstColumn="1" w:lastColumn="0" w:noHBand="0" w:noVBand="1"/>
              <w:tblCaption w:val="Dynamic backhaul "/>
              <w:tblDescription w:val="The table below summarises the different cases that can occur when backhaul is allowed. "/>
            </w:tblPr>
            <w:tblGrid>
              <w:gridCol w:w="3619"/>
              <w:gridCol w:w="2122"/>
              <w:gridCol w:w="2707"/>
            </w:tblGrid>
            <w:tr w:rsidR="00EC3620" w14:paraId="035BD1AD" w14:textId="77777777" w:rsidTr="00EC3620">
              <w:trPr>
                <w:cnfStyle w:val="100000000000" w:firstRow="1" w:lastRow="0" w:firstColumn="0" w:lastColumn="0" w:oddVBand="0" w:evenVBand="0" w:oddHBand="0" w:evenHBand="0" w:firstRowFirstColumn="0" w:firstRowLastColumn="0" w:lastRowFirstColumn="0" w:lastRowLastColumn="0"/>
                <w:cantSplit/>
                <w:tblHeader/>
              </w:trPr>
              <w:tc>
                <w:tcPr>
                  <w:tcW w:w="3619" w:type="dxa"/>
                  <w:shd w:val="clear" w:color="auto" w:fill="0099CC"/>
                  <w:vAlign w:val="center"/>
                </w:tcPr>
                <w:p w14:paraId="5D9CE3C5" w14:textId="77777777" w:rsidR="00EC3620" w:rsidRPr="000C7CAB" w:rsidRDefault="00EC3620" w:rsidP="00EC3620">
                  <w:pPr>
                    <w:pStyle w:val="BodyText"/>
                    <w:keepNext/>
                    <w:keepLines/>
                    <w:spacing w:before="40" w:after="40"/>
                    <w:jc w:val="center"/>
                    <w:rPr>
                      <w:b w:val="0"/>
                      <w:color w:val="FFFFFF" w:themeColor="background1"/>
                    </w:rPr>
                  </w:pPr>
                  <w:r w:rsidRPr="000C7CAB">
                    <w:rPr>
                      <w:color w:val="FFFFFF" w:themeColor="background1"/>
                    </w:rPr>
                    <w:t>Case</w:t>
                  </w:r>
                </w:p>
              </w:tc>
              <w:tc>
                <w:tcPr>
                  <w:tcW w:w="2122" w:type="dxa"/>
                  <w:shd w:val="clear" w:color="auto" w:fill="0099CC"/>
                </w:tcPr>
                <w:p w14:paraId="66DAF3C6" w14:textId="77777777" w:rsidR="00EC3620" w:rsidRPr="000C7CAB" w:rsidRDefault="00EC3620" w:rsidP="00EC3620">
                  <w:pPr>
                    <w:pStyle w:val="BodyText"/>
                    <w:keepNext/>
                    <w:keepLines/>
                    <w:spacing w:before="40" w:after="40"/>
                    <w:rPr>
                      <w:b w:val="0"/>
                      <w:color w:val="FFFFFF" w:themeColor="background1"/>
                    </w:rPr>
                  </w:pPr>
                  <w:r>
                    <w:rPr>
                      <w:color w:val="FFFFFF" w:themeColor="background1"/>
                    </w:rPr>
                    <w:t>Explanation</w:t>
                  </w:r>
                </w:p>
              </w:tc>
              <w:tc>
                <w:tcPr>
                  <w:tcW w:w="2707" w:type="dxa"/>
                  <w:shd w:val="clear" w:color="auto" w:fill="0099CC"/>
                </w:tcPr>
                <w:p w14:paraId="78C6F2C1" w14:textId="77777777" w:rsidR="00EC3620" w:rsidRPr="000C7CAB" w:rsidRDefault="00EC3620" w:rsidP="00EC3620">
                  <w:pPr>
                    <w:pStyle w:val="BodyText"/>
                    <w:keepNext/>
                    <w:keepLines/>
                    <w:spacing w:before="40" w:after="40"/>
                    <w:rPr>
                      <w:b w:val="0"/>
                      <w:color w:val="FFFFFF" w:themeColor="background1"/>
                    </w:rPr>
                  </w:pPr>
                  <w:r>
                    <w:rPr>
                      <w:color w:val="FFFFFF" w:themeColor="background1"/>
                    </w:rPr>
                    <w:t>Resulting prices</w:t>
                  </w:r>
                </w:p>
              </w:tc>
            </w:tr>
            <w:tr w:rsidR="00EC3620" w14:paraId="66649FF8" w14:textId="77777777" w:rsidTr="00610057">
              <w:trPr>
                <w:cantSplit/>
                <w:trHeight w:val="2211"/>
              </w:trPr>
              <w:tc>
                <w:tcPr>
                  <w:tcW w:w="3619" w:type="dxa"/>
                  <w:vAlign w:val="center"/>
                </w:tcPr>
                <w:p w14:paraId="74877B30" w14:textId="77777777" w:rsidR="00EC3620" w:rsidRDefault="00EC3620" w:rsidP="00EC3620">
                  <w:pPr>
                    <w:pStyle w:val="BodyText"/>
                    <w:keepNext/>
                    <w:keepLines/>
                    <w:spacing w:before="40" w:after="40"/>
                    <w:jc w:val="center"/>
                  </w:pPr>
                  <w:r>
                    <w:rPr>
                      <w:noProof/>
                    </w:rPr>
                    <w:drawing>
                      <wp:inline distT="0" distB="0" distL="0" distR="0" wp14:anchorId="2E1591D6" wp14:editId="14967F59">
                        <wp:extent cx="1956568" cy="1552575"/>
                        <wp:effectExtent l="0" t="0" r="0" b="0"/>
                        <wp:docPr id="10" name="Picture 10" descr="Demand for backhaul exceeds demaned for forward haul" title="Cas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957863" cy="1553602"/>
                                </a:xfrm>
                                <a:prstGeom prst="rect">
                                  <a:avLst/>
                                </a:prstGeom>
                                <a:noFill/>
                              </pic:spPr>
                            </pic:pic>
                          </a:graphicData>
                        </a:graphic>
                      </wp:inline>
                    </w:drawing>
                  </w:r>
                </w:p>
              </w:tc>
              <w:tc>
                <w:tcPr>
                  <w:tcW w:w="2122" w:type="dxa"/>
                </w:tcPr>
                <w:p w14:paraId="0C8DDA20" w14:textId="77777777" w:rsidR="00EC3620" w:rsidRPr="00EC28D0" w:rsidRDefault="00EC3620" w:rsidP="00EC3620">
                  <w:pPr>
                    <w:pStyle w:val="BodyText"/>
                    <w:keepNext/>
                    <w:keepLines/>
                    <w:spacing w:before="40" w:after="40"/>
                    <w:rPr>
                      <w:rFonts w:asciiTheme="majorHAnsi" w:hAnsiTheme="majorHAnsi" w:cstheme="majorHAnsi"/>
                    </w:rPr>
                  </w:pPr>
                  <w:r w:rsidRPr="00EC28D0">
                    <w:rPr>
                      <w:rFonts w:asciiTheme="majorHAnsi" w:hAnsiTheme="majorHAnsi" w:cstheme="majorHAnsi"/>
                    </w:rPr>
                    <w:t>Demand for Backhaul</w:t>
                  </w:r>
                  <w:r>
                    <w:rPr>
                      <w:rFonts w:asciiTheme="majorHAnsi" w:hAnsiTheme="majorHAnsi" w:cstheme="majorHAnsi"/>
                    </w:rPr>
                    <w:t xml:space="preserve"> in the auction</w:t>
                  </w:r>
                  <w:r w:rsidRPr="00EC28D0">
                    <w:rPr>
                      <w:rFonts w:asciiTheme="majorHAnsi" w:hAnsiTheme="majorHAnsi" w:cstheme="majorHAnsi"/>
                    </w:rPr>
                    <w:t xml:space="preserve"> exceeds demand for forward haul </w:t>
                  </w:r>
                  <w:r>
                    <w:rPr>
                      <w:rFonts w:asciiTheme="majorHAnsi" w:hAnsiTheme="majorHAnsi" w:cstheme="majorHAnsi"/>
                    </w:rPr>
                    <w:t>in the auction</w:t>
                  </w:r>
                </w:p>
                <w:p w14:paraId="38F5B081" w14:textId="77777777" w:rsidR="00EC3620" w:rsidRPr="00EC28D0" w:rsidRDefault="00EC3620" w:rsidP="00EC3620">
                  <w:pPr>
                    <w:pStyle w:val="BodyText"/>
                    <w:keepNext/>
                    <w:keepLines/>
                    <w:spacing w:before="40" w:after="40"/>
                    <w:rPr>
                      <w:rFonts w:asciiTheme="majorHAnsi" w:hAnsiTheme="majorHAnsi" w:cstheme="majorHAnsi"/>
                    </w:rPr>
                  </w:pPr>
                  <w:r w:rsidRPr="00EC28D0">
                    <w:rPr>
                      <w:rFonts w:asciiTheme="majorHAnsi" w:hAnsiTheme="majorHAnsi" w:cstheme="majorHAnsi"/>
                    </w:rPr>
                    <w:t>The difference (U) needs to be served with the available static backhaul capacity</w:t>
                  </w:r>
                </w:p>
              </w:tc>
              <w:tc>
                <w:tcPr>
                  <w:tcW w:w="2707" w:type="dxa"/>
                </w:tcPr>
                <w:p w14:paraId="44810527" w14:textId="77777777" w:rsidR="00EC3620" w:rsidRPr="00EC28D0" w:rsidRDefault="00EC3620" w:rsidP="00EC3620">
                  <w:pPr>
                    <w:pStyle w:val="ListBullet"/>
                    <w:keepNext/>
                    <w:numPr>
                      <w:ilvl w:val="4"/>
                      <w:numId w:val="11"/>
                    </w:numPr>
                    <w:tabs>
                      <w:tab w:val="num" w:pos="360"/>
                    </w:tabs>
                    <w:spacing w:before="40" w:after="40" w:line="260" w:lineRule="atLeast"/>
                    <w:ind w:left="360"/>
                    <w:outlineLvl w:val="4"/>
                    <w:rPr>
                      <w:rFonts w:asciiTheme="majorHAnsi" w:hAnsiTheme="majorHAnsi" w:cstheme="majorHAnsi"/>
                    </w:rPr>
                  </w:pPr>
                  <w:r w:rsidRPr="00EC28D0">
                    <w:rPr>
                      <w:rFonts w:asciiTheme="majorHAnsi" w:eastAsiaTheme="minorEastAsia" w:hAnsiTheme="majorHAnsi" w:cstheme="majorHAnsi"/>
                    </w:rPr>
                    <w:t>Price of forward haul = $0</w:t>
                  </w:r>
                </w:p>
                <w:p w14:paraId="24AF7D2A" w14:textId="77777777" w:rsidR="00EC3620" w:rsidRPr="00EC28D0" w:rsidRDefault="00EC3620" w:rsidP="00EC3620">
                  <w:pPr>
                    <w:pStyle w:val="ListBullet"/>
                    <w:keepNext/>
                    <w:numPr>
                      <w:ilvl w:val="4"/>
                      <w:numId w:val="11"/>
                    </w:numPr>
                    <w:tabs>
                      <w:tab w:val="num" w:pos="360"/>
                    </w:tabs>
                    <w:spacing w:before="40" w:after="40" w:line="260" w:lineRule="atLeast"/>
                    <w:ind w:left="360"/>
                    <w:outlineLvl w:val="4"/>
                    <w:rPr>
                      <w:rFonts w:asciiTheme="majorHAnsi" w:hAnsiTheme="majorHAnsi" w:cstheme="majorHAnsi"/>
                    </w:rPr>
                  </w:pPr>
                  <w:r w:rsidRPr="00EC28D0">
                    <w:rPr>
                      <w:rFonts w:asciiTheme="majorHAnsi" w:eastAsiaTheme="minorEastAsia" w:hAnsiTheme="majorHAnsi" w:cstheme="majorHAnsi"/>
                    </w:rPr>
                    <w:t>Price of backhaul = $0 if U is less than available static backhaul capacity</w:t>
                  </w:r>
                </w:p>
                <w:p w14:paraId="7B617F7C" w14:textId="77777777" w:rsidR="00EC3620" w:rsidRPr="00EC28D0" w:rsidRDefault="00EC3620" w:rsidP="00EC3620">
                  <w:pPr>
                    <w:pStyle w:val="ListBullet"/>
                    <w:keepNext/>
                    <w:numPr>
                      <w:ilvl w:val="4"/>
                      <w:numId w:val="11"/>
                    </w:numPr>
                    <w:tabs>
                      <w:tab w:val="num" w:pos="360"/>
                    </w:tabs>
                    <w:spacing w:before="40" w:after="40" w:line="260" w:lineRule="atLeast"/>
                    <w:ind w:left="360"/>
                    <w:outlineLvl w:val="4"/>
                    <w:rPr>
                      <w:rFonts w:asciiTheme="majorHAnsi" w:hAnsiTheme="majorHAnsi" w:cstheme="majorHAnsi"/>
                    </w:rPr>
                  </w:pPr>
                  <w:r w:rsidRPr="00EC28D0">
                    <w:rPr>
                      <w:rFonts w:asciiTheme="majorHAnsi" w:eastAsiaTheme="minorEastAsia" w:hAnsiTheme="majorHAnsi" w:cstheme="majorHAnsi"/>
                    </w:rPr>
                    <w:t>Price of backhaul &gt; $0 and set by lowest accepted bid if U is greater than available static backhaul capacity</w:t>
                  </w:r>
                </w:p>
              </w:tc>
            </w:tr>
            <w:tr w:rsidR="00EC3620" w14:paraId="304CEFBA" w14:textId="77777777" w:rsidTr="00610057">
              <w:trPr>
                <w:cnfStyle w:val="000000010000" w:firstRow="0" w:lastRow="0" w:firstColumn="0" w:lastColumn="0" w:oddVBand="0" w:evenVBand="0" w:oddHBand="0" w:evenHBand="1" w:firstRowFirstColumn="0" w:firstRowLastColumn="0" w:lastRowFirstColumn="0" w:lastRowLastColumn="0"/>
                <w:cantSplit/>
                <w:trHeight w:val="2632"/>
              </w:trPr>
              <w:tc>
                <w:tcPr>
                  <w:tcW w:w="3619" w:type="dxa"/>
                  <w:vAlign w:val="center"/>
                </w:tcPr>
                <w:p w14:paraId="3D59EAE6" w14:textId="77777777" w:rsidR="00EC3620" w:rsidRDefault="00EC3620" w:rsidP="00EC3620">
                  <w:pPr>
                    <w:pStyle w:val="BodyText"/>
                    <w:keepNext/>
                    <w:keepLines/>
                    <w:spacing w:before="40" w:after="40"/>
                    <w:jc w:val="center"/>
                  </w:pPr>
                  <w:r>
                    <w:rPr>
                      <w:noProof/>
                    </w:rPr>
                    <w:drawing>
                      <wp:inline distT="0" distB="0" distL="0" distR="0" wp14:anchorId="6E21AB82" wp14:editId="528B6BCB">
                        <wp:extent cx="1958400" cy="1374794"/>
                        <wp:effectExtent l="0" t="0" r="0" b="0"/>
                        <wp:docPr id="20" name="Picture 20" descr="Demand for forward haul exceeds demand for backhaul" title="Cas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958400" cy="1374794"/>
                                </a:xfrm>
                                <a:prstGeom prst="rect">
                                  <a:avLst/>
                                </a:prstGeom>
                                <a:noFill/>
                              </pic:spPr>
                            </pic:pic>
                          </a:graphicData>
                        </a:graphic>
                      </wp:inline>
                    </w:drawing>
                  </w:r>
                </w:p>
              </w:tc>
              <w:tc>
                <w:tcPr>
                  <w:tcW w:w="2122" w:type="dxa"/>
                </w:tcPr>
                <w:p w14:paraId="3D95526C" w14:textId="77777777" w:rsidR="00EC3620" w:rsidRDefault="00EC3620" w:rsidP="00EC3620">
                  <w:pPr>
                    <w:pStyle w:val="BodyText"/>
                    <w:keepNext/>
                    <w:keepLines/>
                    <w:spacing w:before="40" w:after="40"/>
                  </w:pPr>
                  <w:r>
                    <w:t>Demand for forward haul in the auction exceeds the demand for backhaul in the auction</w:t>
                  </w:r>
                </w:p>
                <w:p w14:paraId="2487BD0C" w14:textId="77777777" w:rsidR="00EC3620" w:rsidRDefault="00EC3620" w:rsidP="00EC3620">
                  <w:pPr>
                    <w:pStyle w:val="BodyText"/>
                    <w:keepNext/>
                    <w:keepLines/>
                    <w:spacing w:before="40" w:after="40"/>
                  </w:pPr>
                  <w:r>
                    <w:t>The difference (Δ) needs to be served with available pipeline capacity</w:t>
                  </w:r>
                </w:p>
              </w:tc>
              <w:tc>
                <w:tcPr>
                  <w:tcW w:w="2707" w:type="dxa"/>
                </w:tcPr>
                <w:p w14:paraId="066C379A" w14:textId="77777777" w:rsidR="00EC3620" w:rsidRDefault="00EC3620" w:rsidP="00EC3620">
                  <w:pPr>
                    <w:pStyle w:val="ListBullet"/>
                    <w:keepNext/>
                    <w:numPr>
                      <w:ilvl w:val="4"/>
                      <w:numId w:val="11"/>
                    </w:numPr>
                    <w:tabs>
                      <w:tab w:val="num" w:pos="360"/>
                    </w:tabs>
                    <w:spacing w:before="40" w:after="40" w:line="260" w:lineRule="atLeast"/>
                    <w:ind w:left="360"/>
                    <w:outlineLvl w:val="4"/>
                  </w:pPr>
                  <w:r>
                    <w:t>Price of backhaul = $0</w:t>
                  </w:r>
                </w:p>
                <w:p w14:paraId="009DB1F1" w14:textId="77777777" w:rsidR="00EC3620" w:rsidRDefault="00EC3620" w:rsidP="00EC3620">
                  <w:pPr>
                    <w:pStyle w:val="ListBullet"/>
                    <w:keepNext/>
                    <w:numPr>
                      <w:ilvl w:val="4"/>
                      <w:numId w:val="11"/>
                    </w:numPr>
                    <w:tabs>
                      <w:tab w:val="num" w:pos="360"/>
                    </w:tabs>
                    <w:spacing w:before="40" w:after="40" w:line="260" w:lineRule="atLeast"/>
                    <w:ind w:left="360"/>
                    <w:outlineLvl w:val="4"/>
                  </w:pPr>
                  <w:r>
                    <w:t>Price of forward haul = $0 if Δ is less than available capacity on the pipe</w:t>
                  </w:r>
                </w:p>
                <w:p w14:paraId="3CC0175C" w14:textId="77777777" w:rsidR="00EC3620" w:rsidRDefault="00EC3620" w:rsidP="00EC3620">
                  <w:pPr>
                    <w:pStyle w:val="ListBullet"/>
                    <w:keepNext/>
                    <w:numPr>
                      <w:ilvl w:val="4"/>
                      <w:numId w:val="11"/>
                    </w:numPr>
                    <w:tabs>
                      <w:tab w:val="num" w:pos="360"/>
                    </w:tabs>
                    <w:spacing w:before="40" w:after="40" w:line="260" w:lineRule="atLeast"/>
                    <w:ind w:left="360"/>
                    <w:outlineLvl w:val="4"/>
                  </w:pPr>
                  <w:r>
                    <w:t>Price of forward haul &gt; $0 and set by lowest accepted bid if Δ is greater than available capacity on the pipe</w:t>
                  </w:r>
                </w:p>
              </w:tc>
            </w:tr>
          </w:tbl>
          <w:p w14:paraId="12958691" w14:textId="77777777" w:rsidR="00EC3620" w:rsidRPr="00EC28D0" w:rsidRDefault="00EC3620" w:rsidP="00EC3620">
            <w:pPr>
              <w:pStyle w:val="BodyText"/>
              <w:keepNext/>
              <w:rPr>
                <w:sz w:val="20"/>
                <w:szCs w:val="20"/>
              </w:rPr>
            </w:pPr>
            <w:r w:rsidRPr="00EC28D0">
              <w:rPr>
                <w:sz w:val="20"/>
                <w:szCs w:val="20"/>
              </w:rPr>
              <w:t xml:space="preserve">Pipelines on which dynamic backhaul is offered </w:t>
            </w:r>
            <w:r>
              <w:rPr>
                <w:sz w:val="20"/>
                <w:szCs w:val="20"/>
              </w:rPr>
              <w:t>could not</w:t>
            </w:r>
            <w:r w:rsidRPr="00EC28D0">
              <w:rPr>
                <w:sz w:val="20"/>
                <w:szCs w:val="20"/>
              </w:rPr>
              <w:t xml:space="preserve"> be included in linked bids that include other pipeline segments as this would interfere with the allocation on those other pipeline segments. A bid for forward haul capacity at a pipeline segment with backhaul transportation enables the allocation of additional backhaul capacity. This creates value which the </w:t>
            </w:r>
            <w:r>
              <w:rPr>
                <w:sz w:val="20"/>
                <w:szCs w:val="20"/>
              </w:rPr>
              <w:t xml:space="preserve">partial combinatorial auction </w:t>
            </w:r>
            <w:r w:rsidRPr="00EC28D0">
              <w:rPr>
                <w:sz w:val="20"/>
                <w:szCs w:val="20"/>
              </w:rPr>
              <w:t xml:space="preserve">may use to subsidise the forward haul bid at another segment if necessary. It may trump another bid at another segment even though its bid amount is lower, simply because every unit allocated to it provides one more unit of backhaul capacity. The algorithm implicitly assumes that the price achieved for backhaul can be used to subsidise the enabling bid at other pipeline segments. This subsidy would take away revenues from pipelines with dynamic backhaul and transfer it to others. </w:t>
            </w:r>
          </w:p>
          <w:p w14:paraId="0D5833E8" w14:textId="77777777" w:rsidR="00EC3620" w:rsidRPr="00EC28D0" w:rsidRDefault="00EC3620" w:rsidP="00EC3620">
            <w:pPr>
              <w:pStyle w:val="BodyText"/>
              <w:keepNext/>
              <w:rPr>
                <w:sz w:val="20"/>
                <w:szCs w:val="20"/>
              </w:rPr>
            </w:pPr>
            <w:r w:rsidRPr="00EC28D0">
              <w:rPr>
                <w:sz w:val="20"/>
                <w:szCs w:val="20"/>
              </w:rPr>
              <w:t>Bidders could exploit this feature by bidding less for pipeline segments with dynamic backhaul. For example, if a</w:t>
            </w:r>
            <w:r>
              <w:rPr>
                <w:sz w:val="20"/>
                <w:szCs w:val="20"/>
              </w:rPr>
              <w:t>n auction</w:t>
            </w:r>
            <w:r w:rsidRPr="00EC28D0">
              <w:rPr>
                <w:sz w:val="20"/>
                <w:szCs w:val="20"/>
              </w:rPr>
              <w:t xml:space="preserve"> </w:t>
            </w:r>
            <w:r>
              <w:rPr>
                <w:sz w:val="20"/>
                <w:szCs w:val="20"/>
              </w:rPr>
              <w:t xml:space="preserve">participant </w:t>
            </w:r>
            <w:r w:rsidRPr="00EC28D0">
              <w:rPr>
                <w:sz w:val="20"/>
                <w:szCs w:val="20"/>
              </w:rPr>
              <w:t xml:space="preserve">includes backhaul at a pipeline that is known to be heavily constrained by its forward haul capacity, </w:t>
            </w:r>
            <w:r>
              <w:rPr>
                <w:sz w:val="20"/>
                <w:szCs w:val="20"/>
              </w:rPr>
              <w:t xml:space="preserve">it </w:t>
            </w:r>
            <w:r w:rsidRPr="00EC28D0">
              <w:rPr>
                <w:sz w:val="20"/>
                <w:szCs w:val="20"/>
              </w:rPr>
              <w:t xml:space="preserve">can be fairly confident </w:t>
            </w:r>
            <w:r>
              <w:rPr>
                <w:sz w:val="20"/>
                <w:szCs w:val="20"/>
              </w:rPr>
              <w:t xml:space="preserve">it </w:t>
            </w:r>
            <w:r w:rsidRPr="00EC28D0">
              <w:rPr>
                <w:sz w:val="20"/>
                <w:szCs w:val="20"/>
              </w:rPr>
              <w:t xml:space="preserve">will receive a “subsidy” if necessary at other segments to enable this bid. By bidding less, more of the subsidy will be used to pay for his bid at the other segments. Effectively, such a </w:t>
            </w:r>
            <w:r>
              <w:rPr>
                <w:sz w:val="20"/>
                <w:szCs w:val="20"/>
              </w:rPr>
              <w:t>participant</w:t>
            </w:r>
            <w:r w:rsidRPr="00EC28D0">
              <w:rPr>
                <w:sz w:val="20"/>
                <w:szCs w:val="20"/>
              </w:rPr>
              <w:t xml:space="preserve"> has market power which </w:t>
            </w:r>
            <w:r>
              <w:rPr>
                <w:sz w:val="20"/>
                <w:szCs w:val="20"/>
              </w:rPr>
              <w:t xml:space="preserve">it </w:t>
            </w:r>
            <w:r w:rsidRPr="00EC28D0">
              <w:rPr>
                <w:sz w:val="20"/>
                <w:szCs w:val="20"/>
              </w:rPr>
              <w:t>can exploit to get other products more cheaply.</w:t>
            </w:r>
          </w:p>
          <w:p w14:paraId="5491713E" w14:textId="0BCC0CD9" w:rsidR="00EC3620" w:rsidRPr="00EC28D0" w:rsidRDefault="00EC3620" w:rsidP="00EC3620">
            <w:pPr>
              <w:pStyle w:val="BodyText"/>
              <w:keepNext/>
              <w:spacing w:before="120"/>
              <w:rPr>
                <w:sz w:val="20"/>
                <w:szCs w:val="20"/>
              </w:rPr>
            </w:pPr>
            <w:r w:rsidRPr="00EC28D0">
              <w:rPr>
                <w:sz w:val="20"/>
                <w:szCs w:val="20"/>
              </w:rPr>
              <w:t xml:space="preserve">To prevent market power from spilling </w:t>
            </w:r>
            <w:r>
              <w:rPr>
                <w:sz w:val="20"/>
                <w:szCs w:val="20"/>
              </w:rPr>
              <w:t>in</w:t>
            </w:r>
            <w:r w:rsidRPr="00EC28D0">
              <w:rPr>
                <w:sz w:val="20"/>
                <w:szCs w:val="20"/>
              </w:rPr>
              <w:t>to other segments, bidders should not be allowed to submit bids that include segments on a pipeline with dynamic backhaul alongside others.</w:t>
            </w:r>
          </w:p>
        </w:tc>
      </w:tr>
    </w:tbl>
    <w:p w14:paraId="0C7FBAC4" w14:textId="6FE78EE0" w:rsidR="00AD5238" w:rsidRDefault="00DF08E7" w:rsidP="00AD5238">
      <w:pPr>
        <w:pStyle w:val="Heading3"/>
      </w:pPr>
      <w:r>
        <w:t>G</w:t>
      </w:r>
      <w:r w:rsidR="00AD5238">
        <w:t>M</w:t>
      </w:r>
      <w:r>
        <w:t>R</w:t>
      </w:r>
      <w:r w:rsidR="00AD5238">
        <w:t>G’s preliminary view and questions</w:t>
      </w:r>
    </w:p>
    <w:p w14:paraId="63E95F42" w14:textId="24FB72DD" w:rsidR="00792EE2" w:rsidRDefault="00AC2A4E" w:rsidP="00AC2A4E">
      <w:pPr>
        <w:pStyle w:val="BodyText"/>
      </w:pPr>
      <w:r>
        <w:t xml:space="preserve">Having regard to the advice provided by NERA, the feedback </w:t>
      </w:r>
      <w:r w:rsidR="00792EE2">
        <w:t xml:space="preserve">obtained </w:t>
      </w:r>
      <w:r>
        <w:t>from the Day-Ahead Auction project team</w:t>
      </w:r>
      <w:r w:rsidR="00792EE2">
        <w:t xml:space="preserve"> and the assessment framework set out in section </w:t>
      </w:r>
      <w:r w:rsidR="00792EE2">
        <w:fldChar w:fldCharType="begin"/>
      </w:r>
      <w:r w:rsidR="00792EE2">
        <w:instrText xml:space="preserve"> REF _Ref494266123 \r \h </w:instrText>
      </w:r>
      <w:r w:rsidR="00792EE2">
        <w:fldChar w:fldCharType="separate"/>
      </w:r>
      <w:r w:rsidR="00272B32">
        <w:t>2.3</w:t>
      </w:r>
      <w:r w:rsidR="00792EE2">
        <w:fldChar w:fldCharType="end"/>
      </w:r>
      <w:r w:rsidR="00792EE2">
        <w:t xml:space="preserve"> </w:t>
      </w:r>
      <w:r>
        <w:t>the GMRG</w:t>
      </w:r>
      <w:r w:rsidR="00792EE2">
        <w:t xml:space="preserve">’s preliminary </w:t>
      </w:r>
      <w:r>
        <w:t xml:space="preserve">view </w:t>
      </w:r>
      <w:r w:rsidR="00792EE2">
        <w:t xml:space="preserve">is </w:t>
      </w:r>
      <w:r>
        <w:t>that a partial combinatorial auction format</w:t>
      </w:r>
      <w:r w:rsidR="00792EE2">
        <w:t xml:space="preserve"> should be adopted. As to whether any of the optional features should be included, the GMRG’s preliminary view</w:t>
      </w:r>
      <w:r w:rsidR="00D756AD">
        <w:t>s can be summarised as follows</w:t>
      </w:r>
      <w:r w:rsidR="00792EE2">
        <w:t>:</w:t>
      </w:r>
    </w:p>
    <w:p w14:paraId="1FB3F525" w14:textId="579DC2C9" w:rsidR="00792EE2" w:rsidRDefault="00D756AD" w:rsidP="0033483D">
      <w:pPr>
        <w:pStyle w:val="ListBullet"/>
      </w:pPr>
      <w:r w:rsidRPr="00256EDB">
        <w:rPr>
          <w:b/>
        </w:rPr>
        <w:t>Minimum requirements:</w:t>
      </w:r>
      <w:r>
        <w:t xml:space="preserve"> </w:t>
      </w:r>
      <w:r w:rsidR="00C86739">
        <w:t xml:space="preserve">The GMRG’s preliminary view is that </w:t>
      </w:r>
      <w:r w:rsidR="00873C37">
        <w:t xml:space="preserve">this feature should not be included in the initial </w:t>
      </w:r>
      <w:r w:rsidR="00256EDB">
        <w:t xml:space="preserve">auction </w:t>
      </w:r>
      <w:r w:rsidR="00873C37">
        <w:t>specification</w:t>
      </w:r>
      <w:r w:rsidR="00256EDB">
        <w:t>,</w:t>
      </w:r>
      <w:r w:rsidR="00873C37">
        <w:t xml:space="preserve"> </w:t>
      </w:r>
      <w:r w:rsidR="00C86739">
        <w:t xml:space="preserve">because it is not clear that the value auction participants will derive from its inclusion (which is likely to be relatively small given the quantities </w:t>
      </w:r>
      <w:r w:rsidR="007F5AB0">
        <w:t>likely to be available in the auction</w:t>
      </w:r>
      <w:r w:rsidR="00C86739">
        <w:t xml:space="preserve">) will outweigh the costs and complexities associated with its implementation. </w:t>
      </w:r>
      <w:r w:rsidR="00256EDB">
        <w:t>The GMRG understands that the exclusion of this feature at market start would not prevent it from being added to the partial combinatorial auction at a later date if there was sufficient demand for its inclusion. Further consideration could therefore be given to its inclusion one to two years after the auction is implemented.</w:t>
      </w:r>
    </w:p>
    <w:p w14:paraId="39C8EA24" w14:textId="409E6507" w:rsidR="001621A3" w:rsidRDefault="001621A3" w:rsidP="00256EDB">
      <w:pPr>
        <w:pStyle w:val="ListBullet"/>
      </w:pPr>
      <w:r w:rsidRPr="00873C37">
        <w:rPr>
          <w:b/>
        </w:rPr>
        <w:t>XOR set</w:t>
      </w:r>
      <w:r w:rsidR="00F76ABA">
        <w:rPr>
          <w:b/>
        </w:rPr>
        <w:t>s</w:t>
      </w:r>
      <w:r w:rsidR="00873C37" w:rsidRPr="00873C37">
        <w:rPr>
          <w:b/>
        </w:rPr>
        <w:t>:</w:t>
      </w:r>
      <w:r>
        <w:t xml:space="preserve"> </w:t>
      </w:r>
      <w:r w:rsidR="007F5AB0">
        <w:t>T</w:t>
      </w:r>
      <w:r w:rsidR="00256EDB">
        <w:t xml:space="preserve">he GMRG’s preliminary view is that XOR sets should not be included in the initial auction specification given the limited demand for substitutable transportation routes, the GMRG’s preliminary view on product design and the costs and complexities associated with its implementation. Importantly, the exclusion of this optional feature at market start would not prevent it from being included at a later stage if the nature of demand changes. </w:t>
      </w:r>
      <w:r>
        <w:t xml:space="preserve">It is worth noting </w:t>
      </w:r>
      <w:r w:rsidR="00162F3A">
        <w:t>in this context that if stakeholder feedback suggests that a hybrid product design should be implemented, then the GMRG will revisit this issue because there is likely to be value in including XOR sets if a hybrid product is adopted.</w:t>
      </w:r>
    </w:p>
    <w:p w14:paraId="16CD8E3E" w14:textId="033D5013" w:rsidR="001621A3" w:rsidRDefault="00256EDB" w:rsidP="00162F3A">
      <w:pPr>
        <w:pStyle w:val="ListBullet"/>
      </w:pPr>
      <w:r w:rsidRPr="0033483D">
        <w:rPr>
          <w:b/>
        </w:rPr>
        <w:t xml:space="preserve">Backhaul: </w:t>
      </w:r>
      <w:r w:rsidR="0033483D">
        <w:t xml:space="preserve">Consistent with the view expressed in </w:t>
      </w:r>
      <w:r w:rsidR="00162F3A">
        <w:t xml:space="preserve">section </w:t>
      </w:r>
      <w:r w:rsidR="007F5AB0">
        <w:rPr>
          <w:highlight w:val="yellow"/>
        </w:rPr>
        <w:fldChar w:fldCharType="begin"/>
      </w:r>
      <w:r w:rsidR="007F5AB0">
        <w:instrText xml:space="preserve"> REF _Ref494710601 \r \h </w:instrText>
      </w:r>
      <w:r w:rsidR="007F5AB0">
        <w:rPr>
          <w:highlight w:val="yellow"/>
        </w:rPr>
      </w:r>
      <w:r w:rsidR="007F5AB0">
        <w:rPr>
          <w:highlight w:val="yellow"/>
        </w:rPr>
        <w:fldChar w:fldCharType="separate"/>
      </w:r>
      <w:r w:rsidR="00272B32">
        <w:t>3.1</w:t>
      </w:r>
      <w:r w:rsidR="007F5AB0">
        <w:rPr>
          <w:highlight w:val="yellow"/>
        </w:rPr>
        <w:fldChar w:fldCharType="end"/>
      </w:r>
      <w:r w:rsidR="00162F3A">
        <w:t xml:space="preserve">, the GMRG is of the view that there could be significant efficiency gains associated with the inclusion of </w:t>
      </w:r>
      <w:r>
        <w:t xml:space="preserve">backhaul </w:t>
      </w:r>
      <w:r w:rsidR="00162F3A">
        <w:t xml:space="preserve">capacity in the day-ahead auction. </w:t>
      </w:r>
      <w:r>
        <w:t xml:space="preserve">The GMRG’s preliminary view is therefore that </w:t>
      </w:r>
      <w:r w:rsidR="0033483D">
        <w:t xml:space="preserve">the auction format should include the </w:t>
      </w:r>
      <w:r>
        <w:t xml:space="preserve">static backhaul </w:t>
      </w:r>
      <w:r w:rsidR="0033483D">
        <w:t>feature.</w:t>
      </w:r>
    </w:p>
    <w:p w14:paraId="22A76910" w14:textId="4C1BF6F7" w:rsidR="001621A3" w:rsidRDefault="00873C37" w:rsidP="00AC2A4E">
      <w:pPr>
        <w:pStyle w:val="BodyText"/>
      </w:pPr>
      <w:r>
        <w:t>As noted elsewhere in the consultation paper, t</w:t>
      </w:r>
      <w:r w:rsidR="004D2ADA">
        <w:t>hese are</w:t>
      </w:r>
      <w:r>
        <w:t xml:space="preserve"> </w:t>
      </w:r>
      <w:r w:rsidR="004D2ADA">
        <w:t xml:space="preserve">preliminary views </w:t>
      </w:r>
      <w:r w:rsidR="00AC249B">
        <w:t xml:space="preserve">only </w:t>
      </w:r>
      <w:r w:rsidR="004D2ADA">
        <w:t>at this stage</w:t>
      </w:r>
      <w:r w:rsidR="00AC249B">
        <w:t xml:space="preserve"> and the </w:t>
      </w:r>
      <w:r w:rsidR="00162F3A">
        <w:t xml:space="preserve">GMRG welcomes further feedback from stakeholders on these </w:t>
      </w:r>
      <w:r w:rsidR="004D2ADA">
        <w:t xml:space="preserve">issues. </w:t>
      </w:r>
    </w:p>
    <w:tbl>
      <w:tblPr>
        <w:tblStyle w:val="PullOutBoxTable"/>
        <w:tblW w:w="5000" w:type="pct"/>
        <w:shd w:val="clear" w:color="auto" w:fill="B7E7FF"/>
        <w:tblLook w:val="0620" w:firstRow="1" w:lastRow="0" w:firstColumn="0" w:lastColumn="0" w:noHBand="1" w:noVBand="1"/>
        <w:tblCaption w:val="Box 4.7: Questions on auction format "/>
        <w:tblDescription w:val="Questions on auction format "/>
      </w:tblPr>
      <w:tblGrid>
        <w:gridCol w:w="8788"/>
      </w:tblGrid>
      <w:tr w:rsidR="000A474B" w:rsidRPr="007F5AB0" w14:paraId="0A23B920" w14:textId="77777777" w:rsidTr="003974E4">
        <w:trPr>
          <w:tblHeader/>
        </w:trPr>
        <w:tc>
          <w:tcPr>
            <w:tcW w:w="5000" w:type="pct"/>
            <w:shd w:val="clear" w:color="auto" w:fill="auto"/>
          </w:tcPr>
          <w:p w14:paraId="75D51215" w14:textId="13AE6F87" w:rsidR="00162F3A" w:rsidRPr="00EC3620" w:rsidRDefault="00EC3620" w:rsidP="00EC3620">
            <w:pPr>
              <w:pStyle w:val="ListNumber"/>
              <w:numPr>
                <w:ilvl w:val="0"/>
                <w:numId w:val="0"/>
              </w:numPr>
              <w:spacing w:before="0" w:after="0"/>
              <w:rPr>
                <w:rFonts w:eastAsiaTheme="majorEastAsia"/>
                <w:b/>
                <w:sz w:val="21"/>
                <w:szCs w:val="21"/>
              </w:rPr>
            </w:pPr>
            <w:r w:rsidRPr="00EC3620">
              <w:rPr>
                <w:b/>
              </w:rPr>
              <w:t xml:space="preserve">Box </w:t>
            </w:r>
            <w:r w:rsidRPr="00EC3620">
              <w:rPr>
                <w:b/>
              </w:rPr>
              <w:fldChar w:fldCharType="begin"/>
            </w:r>
            <w:r w:rsidRPr="00EC3620">
              <w:rPr>
                <w:b/>
              </w:rPr>
              <w:instrText xml:space="preserve"> STYLEREF 1 \s </w:instrText>
            </w:r>
            <w:r w:rsidRPr="00EC3620">
              <w:rPr>
                <w:b/>
              </w:rPr>
              <w:fldChar w:fldCharType="separate"/>
            </w:r>
            <w:r w:rsidRPr="00EC3620">
              <w:rPr>
                <w:b/>
                <w:noProof/>
              </w:rPr>
              <w:t>4</w:t>
            </w:r>
            <w:r w:rsidRPr="00EC3620">
              <w:rPr>
                <w:b/>
                <w:noProof/>
              </w:rPr>
              <w:fldChar w:fldCharType="end"/>
            </w:r>
            <w:r w:rsidRPr="00EC3620">
              <w:rPr>
                <w:b/>
              </w:rPr>
              <w:t>.</w:t>
            </w:r>
            <w:r w:rsidRPr="00EC3620">
              <w:rPr>
                <w:b/>
              </w:rPr>
              <w:fldChar w:fldCharType="begin"/>
            </w:r>
            <w:r w:rsidRPr="00EC3620">
              <w:rPr>
                <w:b/>
              </w:rPr>
              <w:instrText xml:space="preserve"> SEQ Box \* ARABIC \s 1 </w:instrText>
            </w:r>
            <w:r w:rsidRPr="00EC3620">
              <w:rPr>
                <w:b/>
              </w:rPr>
              <w:fldChar w:fldCharType="separate"/>
            </w:r>
            <w:r w:rsidRPr="00EC3620">
              <w:rPr>
                <w:b/>
                <w:noProof/>
              </w:rPr>
              <w:t>7</w:t>
            </w:r>
            <w:r w:rsidRPr="00EC3620">
              <w:rPr>
                <w:b/>
                <w:noProof/>
              </w:rPr>
              <w:fldChar w:fldCharType="end"/>
            </w:r>
            <w:r w:rsidRPr="00EC3620">
              <w:rPr>
                <w:b/>
              </w:rPr>
              <w:t xml:space="preserve">: </w:t>
            </w:r>
            <w:r w:rsidRPr="00EC3620">
              <w:rPr>
                <w:b/>
                <w:bCs/>
              </w:rPr>
              <w:t>Questions on auction format</w:t>
            </w:r>
          </w:p>
        </w:tc>
      </w:tr>
      <w:tr w:rsidR="00EC3620" w:rsidRPr="007F5AB0" w14:paraId="05867D99" w14:textId="77777777" w:rsidTr="003974E4">
        <w:tc>
          <w:tcPr>
            <w:tcW w:w="5000" w:type="pct"/>
            <w:shd w:val="clear" w:color="auto" w:fill="B7E7FF"/>
          </w:tcPr>
          <w:p w14:paraId="5DEE1907" w14:textId="77777777" w:rsidR="00EC3620" w:rsidRPr="007F5AB0" w:rsidRDefault="00EC3620" w:rsidP="00EC3620">
            <w:pPr>
              <w:pStyle w:val="ListNumber"/>
              <w:numPr>
                <w:ilvl w:val="0"/>
                <w:numId w:val="20"/>
              </w:numPr>
              <w:spacing w:before="80"/>
              <w:rPr>
                <w:rFonts w:eastAsiaTheme="majorEastAsia"/>
                <w:sz w:val="21"/>
                <w:szCs w:val="21"/>
              </w:rPr>
            </w:pPr>
            <w:r w:rsidRPr="007F5AB0">
              <w:rPr>
                <w:rFonts w:eastAsiaTheme="majorEastAsia"/>
                <w:sz w:val="21"/>
                <w:szCs w:val="21"/>
              </w:rPr>
              <w:t>Do you agree with the proposal to utilise a partial combinatorial auction? If not, please explain why?</w:t>
            </w:r>
          </w:p>
          <w:p w14:paraId="1242FAEF" w14:textId="77777777" w:rsidR="00EC3620" w:rsidRPr="007F5AB0" w:rsidRDefault="00EC3620" w:rsidP="00EC3620">
            <w:pPr>
              <w:pStyle w:val="ListNumber"/>
              <w:numPr>
                <w:ilvl w:val="0"/>
                <w:numId w:val="20"/>
              </w:numPr>
              <w:spacing w:before="80"/>
              <w:rPr>
                <w:rFonts w:eastAsiaTheme="majorEastAsia"/>
                <w:sz w:val="21"/>
                <w:szCs w:val="21"/>
              </w:rPr>
            </w:pPr>
            <w:r w:rsidRPr="007F5AB0">
              <w:rPr>
                <w:rFonts w:eastAsiaTheme="majorEastAsia"/>
                <w:sz w:val="21"/>
                <w:szCs w:val="21"/>
              </w:rPr>
              <w:t xml:space="preserve">Do you think there is value in including the minimum requirement optional feature from market start, or do you think this could be added over time if required? </w:t>
            </w:r>
          </w:p>
          <w:p w14:paraId="2EA1710D" w14:textId="77777777" w:rsidR="00EC3620" w:rsidRPr="007F5AB0" w:rsidRDefault="00EC3620" w:rsidP="00EC3620">
            <w:pPr>
              <w:pStyle w:val="ListBullet2"/>
              <w:rPr>
                <w:rFonts w:eastAsiaTheme="majorEastAsia"/>
                <w:sz w:val="21"/>
                <w:szCs w:val="21"/>
              </w:rPr>
            </w:pPr>
            <w:r w:rsidRPr="007F5AB0">
              <w:rPr>
                <w:rFonts w:eastAsiaTheme="majorEastAsia"/>
                <w:sz w:val="21"/>
                <w:szCs w:val="21"/>
              </w:rPr>
              <w:t>If you think it should be included from market start, please outline the benefits you think bidders will derive from its inclusion and if you think these benefits will outweigh the costs and complexities of including this in the auction solver?</w:t>
            </w:r>
          </w:p>
          <w:p w14:paraId="027ACB7B" w14:textId="77777777" w:rsidR="00EC3620" w:rsidRPr="007F5AB0" w:rsidRDefault="00EC3620" w:rsidP="00EC3620">
            <w:pPr>
              <w:pStyle w:val="ListBullet2"/>
              <w:rPr>
                <w:rFonts w:eastAsiaTheme="majorEastAsia"/>
                <w:sz w:val="21"/>
                <w:szCs w:val="21"/>
              </w:rPr>
            </w:pPr>
            <w:r w:rsidRPr="007F5AB0">
              <w:rPr>
                <w:rFonts w:eastAsiaTheme="majorEastAsia"/>
                <w:sz w:val="21"/>
                <w:szCs w:val="21"/>
              </w:rPr>
              <w:t xml:space="preserve">If a minimum requirement </w:t>
            </w:r>
            <w:r>
              <w:rPr>
                <w:rFonts w:eastAsiaTheme="majorEastAsia"/>
                <w:sz w:val="21"/>
                <w:szCs w:val="21"/>
              </w:rPr>
              <w:t>is</w:t>
            </w:r>
            <w:r w:rsidRPr="007F5AB0">
              <w:rPr>
                <w:rFonts w:eastAsiaTheme="majorEastAsia"/>
                <w:sz w:val="21"/>
                <w:szCs w:val="21"/>
              </w:rPr>
              <w:t xml:space="preserve"> adopted (either from market start or later), which combination of minimum requirement (global or bid-specific) and allocation mechanism (option 1 or 2) do you prefer and why? </w:t>
            </w:r>
            <w:r>
              <w:rPr>
                <w:rFonts w:eastAsiaTheme="majorEastAsia"/>
                <w:sz w:val="21"/>
                <w:szCs w:val="21"/>
              </w:rPr>
              <w:t xml:space="preserve">The GMRG is </w:t>
            </w:r>
            <w:r w:rsidRPr="007F5AB0">
              <w:rPr>
                <w:rFonts w:eastAsiaTheme="majorEastAsia"/>
                <w:sz w:val="21"/>
                <w:szCs w:val="21"/>
              </w:rPr>
              <w:t xml:space="preserve">particularly interested in </w:t>
            </w:r>
            <w:r>
              <w:rPr>
                <w:rFonts w:eastAsiaTheme="majorEastAsia"/>
                <w:sz w:val="21"/>
                <w:szCs w:val="21"/>
              </w:rPr>
              <w:t xml:space="preserve">stakeholders’ </w:t>
            </w:r>
            <w:r w:rsidRPr="007F5AB0">
              <w:rPr>
                <w:rFonts w:eastAsiaTheme="majorEastAsia"/>
                <w:sz w:val="21"/>
                <w:szCs w:val="21"/>
              </w:rPr>
              <w:t>views on the impact on bidders and efficiency as well as potential gaming opportunities with any of these combinations.</w:t>
            </w:r>
          </w:p>
          <w:p w14:paraId="5B272087" w14:textId="77777777" w:rsidR="00EC3620" w:rsidRDefault="00EC3620" w:rsidP="00EC3620">
            <w:pPr>
              <w:pStyle w:val="ListNumber"/>
              <w:numPr>
                <w:ilvl w:val="0"/>
                <w:numId w:val="20"/>
              </w:numPr>
              <w:spacing w:before="80"/>
              <w:rPr>
                <w:rFonts w:eastAsiaTheme="majorEastAsia"/>
                <w:sz w:val="21"/>
                <w:szCs w:val="21"/>
              </w:rPr>
            </w:pPr>
            <w:r w:rsidRPr="007F5AB0">
              <w:rPr>
                <w:rFonts w:eastAsiaTheme="majorEastAsia"/>
                <w:sz w:val="21"/>
                <w:szCs w:val="21"/>
              </w:rPr>
              <w:t>Do you think there is sufficient demand for substitutable routes to warrant the inclusion of the XOR set optional feature? If so, please explain why.</w:t>
            </w:r>
          </w:p>
          <w:p w14:paraId="7BBFBB6F" w14:textId="0717CDC3" w:rsidR="00EC3620" w:rsidRPr="00EC3620" w:rsidRDefault="00EC3620" w:rsidP="00EC3620">
            <w:pPr>
              <w:pStyle w:val="ListNumber"/>
              <w:numPr>
                <w:ilvl w:val="0"/>
                <w:numId w:val="20"/>
              </w:numPr>
              <w:spacing w:before="80"/>
              <w:rPr>
                <w:rFonts w:eastAsiaTheme="majorEastAsia"/>
                <w:sz w:val="21"/>
                <w:szCs w:val="21"/>
              </w:rPr>
            </w:pPr>
            <w:r w:rsidRPr="00EC3620">
              <w:rPr>
                <w:rFonts w:eastAsiaTheme="majorEastAsia"/>
                <w:sz w:val="21"/>
                <w:szCs w:val="21"/>
              </w:rPr>
              <w:t>Do you agree with the proposal to include the static backhaul optional feature? If not, please explain why.</w:t>
            </w:r>
          </w:p>
        </w:tc>
      </w:tr>
    </w:tbl>
    <w:p w14:paraId="08D38F84" w14:textId="77777777" w:rsidR="0012639B" w:rsidRPr="00DC12C7" w:rsidRDefault="0012639B" w:rsidP="0012639B">
      <w:pPr>
        <w:pStyle w:val="Heading2"/>
      </w:pPr>
      <w:bookmarkStart w:id="103" w:name="_Toc495351638"/>
      <w:bookmarkStart w:id="104" w:name="_Ref494009451"/>
      <w:bookmarkStart w:id="105" w:name="_Ref494009472"/>
      <w:r w:rsidRPr="00DC12C7">
        <w:t>Reserve price</w:t>
      </w:r>
      <w:bookmarkEnd w:id="103"/>
    </w:p>
    <w:p w14:paraId="37355F5F" w14:textId="79DBAD55" w:rsidR="0012639B" w:rsidRDefault="0012639B" w:rsidP="0012639B">
      <w:pPr>
        <w:pStyle w:val="BodyText"/>
      </w:pPr>
      <w:r>
        <w:t>One of the required outcomes for the day-ahead auction is that the auction should have a zero reserve price and compressor fuel should be provided in-kind by the auction winners.</w:t>
      </w:r>
      <w:r>
        <w:rPr>
          <w:rStyle w:val="FootnoteReference"/>
        </w:rPr>
        <w:footnoteReference w:id="50"/>
      </w:r>
      <w:r>
        <w:rPr>
          <w:rStyle w:val="FootnoteReference"/>
        </w:rPr>
        <w:t xml:space="preserve">  </w:t>
      </w:r>
      <w:r>
        <w:t>The AEMC’s position on this issue was based on advice f</w:t>
      </w:r>
      <w:bookmarkStart w:id="106" w:name="_Hlk494211802"/>
      <w:r>
        <w:t>rom NERA that the short run marginal cost of gas transmission for contracted but un-nominated capacity closely approximates the cost of the incremental gas used to run compressors.</w:t>
      </w:r>
      <w:r>
        <w:rPr>
          <w:rStyle w:val="FootnoteReference"/>
        </w:rPr>
        <w:footnoteReference w:id="51"/>
      </w:r>
      <w:r>
        <w:t xml:space="preserve"> </w:t>
      </w:r>
      <w:bookmarkEnd w:id="106"/>
    </w:p>
    <w:p w14:paraId="15987DA1" w14:textId="77777777" w:rsidR="0012639B" w:rsidRDefault="0012639B" w:rsidP="0012639B">
      <w:pPr>
        <w:pStyle w:val="BodyText"/>
      </w:pPr>
      <w:r>
        <w:rPr>
          <w:rStyle w:val="FootnoteReference"/>
          <w:vertAlign w:val="baseline"/>
        </w:rPr>
        <w:t>E</w:t>
      </w:r>
      <w:proofErr w:type="gramStart"/>
      <w:r>
        <w:t>laborating</w:t>
      </w:r>
      <w:proofErr w:type="gramEnd"/>
      <w:r>
        <w:t xml:space="preserve"> further on this </w:t>
      </w:r>
      <w:r>
        <w:rPr>
          <w:rStyle w:val="FootnoteReference"/>
          <w:vertAlign w:val="baseline"/>
        </w:rPr>
        <w:t>recommendation, t</w:t>
      </w:r>
      <w:r>
        <w:t>he AEMC noted that a zero reserve price would:</w:t>
      </w:r>
      <w:r>
        <w:rPr>
          <w:rStyle w:val="FootnoteReference"/>
        </w:rPr>
        <w:footnoteReference w:id="52"/>
      </w:r>
      <w:r>
        <w:t xml:space="preserve"> </w:t>
      </w:r>
    </w:p>
    <w:p w14:paraId="16185338" w14:textId="77777777" w:rsidR="0012639B" w:rsidRDefault="0012639B" w:rsidP="0012639B">
      <w:pPr>
        <w:pStyle w:val="Quote"/>
      </w:pPr>
      <w:r>
        <w:t>“…support the rationale for the day-ahead auction of providing access to capacity at a price consistent with that in a competitive market by addressing monopoly pricing behaviour on the part of pipeline owners for as-available capacity. It will allow the shippers that value the capacity most highly access to that capacity providing they are willing to pay at least the cost of its provision.”</w:t>
      </w:r>
    </w:p>
    <w:p w14:paraId="139E50C1" w14:textId="6077F052" w:rsidR="00B63D8F" w:rsidRPr="00B63D8F" w:rsidRDefault="00B63D8F" w:rsidP="0012639B">
      <w:pPr>
        <w:pStyle w:val="BodyText"/>
      </w:pPr>
      <w:r>
        <w:t xml:space="preserve">This recommendation was widely supported by stakeholders that participated in the </w:t>
      </w:r>
      <w:r>
        <w:rPr>
          <w:i/>
        </w:rPr>
        <w:t xml:space="preserve">East Coast Review, </w:t>
      </w:r>
      <w:r>
        <w:t>including a number of service providers.</w:t>
      </w:r>
      <w:r>
        <w:rPr>
          <w:rStyle w:val="FootnoteReference"/>
        </w:rPr>
        <w:footnoteReference w:id="53"/>
      </w:r>
    </w:p>
    <w:p w14:paraId="3E3D5AFE" w14:textId="3577881F" w:rsidR="0012639B" w:rsidRDefault="0012639B" w:rsidP="0012639B">
      <w:pPr>
        <w:pStyle w:val="BodyText"/>
      </w:pPr>
      <w:r>
        <w:t>While the GMRG agrees with this recommendation, it understands that on some pipelines compressor fuel is provided by the service pro</w:t>
      </w:r>
      <w:r w:rsidR="00055169">
        <w:t xml:space="preserve">vider rather than the shipper. </w:t>
      </w:r>
      <w:r>
        <w:t>The GMRG has therefore given some thought to how a service provider could recover these costs in these cases and identified the following options:</w:t>
      </w:r>
    </w:p>
    <w:p w14:paraId="52D89F55" w14:textId="77777777" w:rsidR="0012639B" w:rsidRDefault="0012639B" w:rsidP="0012639B">
      <w:pPr>
        <w:pStyle w:val="ListBullet"/>
      </w:pPr>
      <w:r>
        <w:t>Option 1: Adjust the reserve price to reflect the cost of compressor fuel; or</w:t>
      </w:r>
    </w:p>
    <w:p w14:paraId="5B6570A5" w14:textId="084D1EF5" w:rsidR="0012639B" w:rsidRDefault="0012639B" w:rsidP="0012639B">
      <w:pPr>
        <w:pStyle w:val="ListBullet"/>
      </w:pPr>
      <w:r>
        <w:t>Option 2: Leave the reserve price at zero and allow the service provider to recover the costs through the</w:t>
      </w:r>
      <w:r w:rsidR="008D0BFF">
        <w:t>ir</w:t>
      </w:r>
      <w:r>
        <w:t xml:space="preserve"> operational GTA that the auction winner will have in place with the service provider.</w:t>
      </w:r>
    </w:p>
    <w:p w14:paraId="5D9F51F1" w14:textId="77777777" w:rsidR="0012639B" w:rsidRPr="00344367" w:rsidRDefault="0012639B" w:rsidP="0012639B">
      <w:pPr>
        <w:pStyle w:val="BodyText"/>
        <w:rPr>
          <w:i/>
        </w:rPr>
      </w:pPr>
      <w:r>
        <w:t xml:space="preserve">Of the two options, Option 2 would be simpler to implement from an auction design perspective. The GMRG is therefore proposing to allow service providers that provide compressor fuel gas to recover the costs of doing so through the operational GTA. The GMRG is, however, interested in hearing further from stakeholders on this issue. </w:t>
      </w:r>
    </w:p>
    <w:tbl>
      <w:tblPr>
        <w:tblStyle w:val="PullOutBoxTable"/>
        <w:tblW w:w="5000" w:type="pct"/>
        <w:shd w:val="clear" w:color="auto" w:fill="B7E7FF"/>
        <w:tblLook w:val="0620" w:firstRow="1" w:lastRow="0" w:firstColumn="0" w:lastColumn="0" w:noHBand="1" w:noVBand="1"/>
        <w:tblCaption w:val="Box 4.8: Questions on reserve price"/>
        <w:tblDescription w:val="Questions on reserve price"/>
      </w:tblPr>
      <w:tblGrid>
        <w:gridCol w:w="8788"/>
      </w:tblGrid>
      <w:tr w:rsidR="0012639B" w:rsidRPr="002F5B6B" w14:paraId="446D04D4" w14:textId="77777777" w:rsidTr="003974E4">
        <w:trPr>
          <w:trHeight w:val="170"/>
          <w:tblHeader/>
        </w:trPr>
        <w:tc>
          <w:tcPr>
            <w:tcW w:w="5000" w:type="pct"/>
            <w:shd w:val="clear" w:color="auto" w:fill="auto"/>
          </w:tcPr>
          <w:p w14:paraId="511F9A3D" w14:textId="75219BD2" w:rsidR="0012639B" w:rsidRPr="00EC3620" w:rsidRDefault="00EC3620" w:rsidP="00EC3620">
            <w:pPr>
              <w:pStyle w:val="ListNumber"/>
              <w:numPr>
                <w:ilvl w:val="0"/>
                <w:numId w:val="0"/>
              </w:numPr>
              <w:spacing w:before="0" w:after="0"/>
              <w:ind w:left="360" w:hanging="360"/>
              <w:rPr>
                <w:rFonts w:eastAsiaTheme="majorEastAsia"/>
                <w:b/>
                <w:sz w:val="20"/>
                <w:szCs w:val="20"/>
              </w:rPr>
            </w:pPr>
            <w:r w:rsidRPr="00EC3620">
              <w:rPr>
                <w:b/>
              </w:rPr>
              <w:t xml:space="preserve">Box </w:t>
            </w:r>
            <w:r w:rsidRPr="00EC3620">
              <w:rPr>
                <w:b/>
              </w:rPr>
              <w:fldChar w:fldCharType="begin"/>
            </w:r>
            <w:r w:rsidRPr="00EC3620">
              <w:rPr>
                <w:b/>
              </w:rPr>
              <w:instrText xml:space="preserve"> STYLEREF 1 \s </w:instrText>
            </w:r>
            <w:r w:rsidRPr="00EC3620">
              <w:rPr>
                <w:b/>
              </w:rPr>
              <w:fldChar w:fldCharType="separate"/>
            </w:r>
            <w:r w:rsidRPr="00EC3620">
              <w:rPr>
                <w:b/>
                <w:noProof/>
              </w:rPr>
              <w:t>4</w:t>
            </w:r>
            <w:r w:rsidRPr="00EC3620">
              <w:rPr>
                <w:b/>
                <w:noProof/>
              </w:rPr>
              <w:fldChar w:fldCharType="end"/>
            </w:r>
            <w:r w:rsidRPr="00EC3620">
              <w:rPr>
                <w:b/>
              </w:rPr>
              <w:t>.</w:t>
            </w:r>
            <w:r w:rsidRPr="00EC3620">
              <w:rPr>
                <w:b/>
              </w:rPr>
              <w:fldChar w:fldCharType="begin"/>
            </w:r>
            <w:r w:rsidRPr="00EC3620">
              <w:rPr>
                <w:b/>
              </w:rPr>
              <w:instrText xml:space="preserve"> SEQ Box \* ARABIC \s 1 </w:instrText>
            </w:r>
            <w:r w:rsidRPr="00EC3620">
              <w:rPr>
                <w:b/>
              </w:rPr>
              <w:fldChar w:fldCharType="separate"/>
            </w:r>
            <w:r w:rsidRPr="00EC3620">
              <w:rPr>
                <w:b/>
                <w:noProof/>
              </w:rPr>
              <w:t>8</w:t>
            </w:r>
            <w:r w:rsidRPr="00EC3620">
              <w:rPr>
                <w:b/>
                <w:noProof/>
              </w:rPr>
              <w:fldChar w:fldCharType="end"/>
            </w:r>
            <w:r w:rsidRPr="00EC3620">
              <w:rPr>
                <w:b/>
              </w:rPr>
              <w:t xml:space="preserve">: </w:t>
            </w:r>
            <w:r w:rsidRPr="00EC3620">
              <w:rPr>
                <w:b/>
                <w:bCs/>
              </w:rPr>
              <w:t>Questions on reserve price</w:t>
            </w:r>
          </w:p>
        </w:tc>
      </w:tr>
      <w:tr w:rsidR="00EC3620" w:rsidRPr="002F5B6B" w14:paraId="74325754" w14:textId="77777777" w:rsidTr="003974E4">
        <w:tc>
          <w:tcPr>
            <w:tcW w:w="5000" w:type="pct"/>
            <w:shd w:val="clear" w:color="auto" w:fill="B7E7FF"/>
          </w:tcPr>
          <w:p w14:paraId="49EBC005" w14:textId="2B34DC6F" w:rsidR="00EC3620" w:rsidRDefault="00EC3620" w:rsidP="00EC3620">
            <w:pPr>
              <w:pStyle w:val="ListNumber"/>
              <w:numPr>
                <w:ilvl w:val="0"/>
                <w:numId w:val="20"/>
              </w:numPr>
              <w:spacing w:before="80" w:after="0"/>
              <w:ind w:left="357" w:hanging="357"/>
              <w:rPr>
                <w:rFonts w:eastAsiaTheme="majorEastAsia"/>
                <w:sz w:val="21"/>
                <w:szCs w:val="21"/>
              </w:rPr>
            </w:pPr>
            <w:r>
              <w:rPr>
                <w:rFonts w:eastAsiaTheme="majorEastAsia"/>
                <w:sz w:val="21"/>
                <w:szCs w:val="21"/>
              </w:rPr>
              <w:t>If compressor fuel is provided by a service provider, do you think the reserve price should be adjusted to reflect these costs, or do you think the costs should be recovered through the operational GTA?</w:t>
            </w:r>
          </w:p>
        </w:tc>
      </w:tr>
    </w:tbl>
    <w:p w14:paraId="7409FAFC" w14:textId="2A965D59" w:rsidR="00AD5238" w:rsidRPr="00621870" w:rsidRDefault="00AD5238" w:rsidP="005635CA">
      <w:pPr>
        <w:pStyle w:val="Heading2"/>
        <w:spacing w:before="240"/>
      </w:pPr>
      <w:bookmarkStart w:id="107" w:name="_Toc495351639"/>
      <w:r w:rsidRPr="00621870">
        <w:t>Pricing rule</w:t>
      </w:r>
      <w:bookmarkEnd w:id="104"/>
      <w:bookmarkEnd w:id="105"/>
      <w:bookmarkEnd w:id="107"/>
    </w:p>
    <w:p w14:paraId="6597C002" w14:textId="135C7093" w:rsidR="004B0969" w:rsidRDefault="00894B36" w:rsidP="00AD5238">
      <w:pPr>
        <w:pStyle w:val="BodyText"/>
      </w:pPr>
      <w:r>
        <w:t xml:space="preserve">One </w:t>
      </w:r>
      <w:r w:rsidR="005505AF">
        <w:t xml:space="preserve">of the AEMC’s preferred outcomes for the day-ahead auction </w:t>
      </w:r>
      <w:r w:rsidR="00935285">
        <w:t>is</w:t>
      </w:r>
      <w:r w:rsidR="005505AF">
        <w:t xml:space="preserve"> that </w:t>
      </w:r>
      <w:r w:rsidR="004B0969">
        <w:t>winning bidders be required to pay the value of their bid (the ‘first price rule’)</w:t>
      </w:r>
      <w:r w:rsidR="005505AF">
        <w:t xml:space="preserve">. In recommending this pricing rule, the AEMC noted that while it may result in bid shading (i.e. auction participants submitting bids that are lower than their willingness to pay) and inefficiencies, it </w:t>
      </w:r>
      <w:r w:rsidR="004B0969">
        <w:t xml:space="preserve">would be </w:t>
      </w:r>
      <w:r w:rsidR="00011733">
        <w:t xml:space="preserve">less complex </w:t>
      </w:r>
      <w:r w:rsidR="005505AF">
        <w:t xml:space="preserve">to implement </w:t>
      </w:r>
      <w:r w:rsidR="004B0969">
        <w:t xml:space="preserve">than </w:t>
      </w:r>
      <w:r w:rsidR="00782EF3">
        <w:t xml:space="preserve">other pricing </w:t>
      </w:r>
      <w:r w:rsidR="004B0969">
        <w:t>rule</w:t>
      </w:r>
      <w:r w:rsidR="00782EF3">
        <w:t>s</w:t>
      </w:r>
      <w:r w:rsidR="004B0969">
        <w:t>.</w:t>
      </w:r>
      <w:r w:rsidR="004B0969">
        <w:rPr>
          <w:rStyle w:val="FootnoteReference"/>
        </w:rPr>
        <w:footnoteReference w:id="54"/>
      </w:r>
      <w:r w:rsidR="00011733">
        <w:rPr>
          <w:rStyle w:val="FootnoteReference"/>
        </w:rPr>
        <w:t>,</w:t>
      </w:r>
      <w:r w:rsidR="00011733">
        <w:rPr>
          <w:rStyle w:val="FootnoteReference"/>
        </w:rPr>
        <w:footnoteReference w:id="55"/>
      </w:r>
      <w:r w:rsidR="004B0969">
        <w:t xml:space="preserve"> </w:t>
      </w:r>
    </w:p>
    <w:p w14:paraId="4ABFFFB5" w14:textId="21235EF1" w:rsidR="00011733" w:rsidRDefault="00011733" w:rsidP="00011733">
      <w:pPr>
        <w:pStyle w:val="BodyText"/>
      </w:pPr>
      <w:r>
        <w:t xml:space="preserve">Advice provided by NERA, however, indicates that </w:t>
      </w:r>
      <w:r w:rsidR="006A2F9F">
        <w:t>a first</w:t>
      </w:r>
      <w:r w:rsidR="00055169">
        <w:t>-</w:t>
      </w:r>
      <w:r>
        <w:t xml:space="preserve">price rule is strategically more complex for bidders than a pay-as-cleared </w:t>
      </w:r>
      <w:r w:rsidR="005505AF">
        <w:t>rule</w:t>
      </w:r>
      <w:r>
        <w:t xml:space="preserve">, because under a first-price rule if auction participants bid their </w:t>
      </w:r>
      <w:r w:rsidR="0025744E">
        <w:t xml:space="preserve">willingness to pay </w:t>
      </w:r>
      <w:r w:rsidR="006A2F9F">
        <w:t xml:space="preserve">and win </w:t>
      </w:r>
      <w:r>
        <w:t xml:space="preserve">they will not make any profit. Auction participants will therefore need to </w:t>
      </w:r>
      <w:r w:rsidR="0025744E">
        <w:t xml:space="preserve">reduce their </w:t>
      </w:r>
      <w:r>
        <w:t xml:space="preserve">bids below the value they place on the capacity based on their expectation of the likely strength of competition in the auction. While determining the optimal bid level sounds simple in theory (i.e. pick the bid level that maximises expected profits), in practice, it is very difficult because it requires balancing higher probability of winning </w:t>
      </w:r>
      <w:r w:rsidR="003975C3">
        <w:t xml:space="preserve">(which is influenced by other participants’ bids) </w:t>
      </w:r>
      <w:r>
        <w:t xml:space="preserve">against </w:t>
      </w:r>
      <w:r w:rsidR="007F5AB0">
        <w:t>having to pay a higher price if the bid wins</w:t>
      </w:r>
      <w:r>
        <w:t xml:space="preserve">. If </w:t>
      </w:r>
      <w:r w:rsidR="006A2F9F">
        <w:t>auction participants</w:t>
      </w:r>
      <w:r>
        <w:t xml:space="preserve"> get this wrong, it could lead to inefficient outcomes. </w:t>
      </w:r>
    </w:p>
    <w:p w14:paraId="42C1AA4D" w14:textId="53468E51" w:rsidR="00011733" w:rsidRDefault="006A2F9F" w:rsidP="00011733">
      <w:pPr>
        <w:pStyle w:val="BodyText"/>
      </w:pPr>
      <w:r>
        <w:t>In contrast to the first price rule, a</w:t>
      </w:r>
      <w:r w:rsidR="00011733">
        <w:t xml:space="preserve"> pay-as-cleared </w:t>
      </w:r>
      <w:r w:rsidR="003A725F">
        <w:t xml:space="preserve">pricing </w:t>
      </w:r>
      <w:r w:rsidR="00011733">
        <w:t>rule establishes a uniform price-per-unit for each product</w:t>
      </w:r>
      <w:r>
        <w:t xml:space="preserve"> that all auction winners pay,</w:t>
      </w:r>
      <w:r w:rsidR="00011733">
        <w:t xml:space="preserve"> which is determined by the lowest accepted bids in the auction. </w:t>
      </w:r>
      <w:r w:rsidR="003A725F">
        <w:t xml:space="preserve">The </w:t>
      </w:r>
      <w:r w:rsidR="00011733">
        <w:t>pay-as-cleared pricing rule</w:t>
      </w:r>
      <w:r w:rsidR="003A725F">
        <w:t>, which is used in the SRA,</w:t>
      </w:r>
      <w:r w:rsidR="00011733">
        <w:t xml:space="preserve"> is strategically much simpler</w:t>
      </w:r>
      <w:r>
        <w:t xml:space="preserve"> than the first price rule, because auction participants that </w:t>
      </w:r>
      <w:r w:rsidR="00011733">
        <w:t xml:space="preserve">have </w:t>
      </w:r>
      <w:r w:rsidR="00894B36">
        <w:t xml:space="preserve">a </w:t>
      </w:r>
      <w:r w:rsidR="00011733">
        <w:t xml:space="preserve">higher </w:t>
      </w:r>
      <w:r w:rsidR="00894B36">
        <w:t xml:space="preserve">willingness to pay </w:t>
      </w:r>
      <w:r w:rsidR="00011733">
        <w:t xml:space="preserve">than their rivals can simply submit bids at value. The pay-as-cleared rule then ensures that they do not pay more than </w:t>
      </w:r>
      <w:r>
        <w:t xml:space="preserve">what </w:t>
      </w:r>
      <w:r w:rsidR="00011733">
        <w:t xml:space="preserve">is required to win. </w:t>
      </w:r>
      <w:r>
        <w:t xml:space="preserve">Auction participants that </w:t>
      </w:r>
      <w:r w:rsidR="00011733">
        <w:t xml:space="preserve">expect to value the product at around the expected clearing price may have an incentive to shade the amounts of their bids down by a small amount as this reduces the amount they would need to pay if their bid turns out to be the marginal (and thus price-setting bid). However, their ability to shade their bids down is constrained by competition from the highest losing bids and general uncertainty over the level of competition. </w:t>
      </w:r>
    </w:p>
    <w:p w14:paraId="14645808" w14:textId="6F864BF8" w:rsidR="004F61E2" w:rsidRPr="004F61E2" w:rsidRDefault="004F61E2" w:rsidP="004F61E2">
      <w:pPr>
        <w:pStyle w:val="BodyText"/>
      </w:pPr>
      <w:r w:rsidRPr="004F61E2">
        <w:rPr>
          <w:lang w:val="en-US"/>
        </w:rPr>
        <w:t xml:space="preserve">The main advantage of </w:t>
      </w:r>
      <w:r>
        <w:rPr>
          <w:lang w:val="en-US"/>
        </w:rPr>
        <w:t xml:space="preserve">the </w:t>
      </w:r>
      <w:r w:rsidRPr="004F61E2">
        <w:rPr>
          <w:lang w:val="en-US"/>
        </w:rPr>
        <w:t xml:space="preserve">first price rule </w:t>
      </w:r>
      <w:r>
        <w:rPr>
          <w:lang w:val="en-US"/>
        </w:rPr>
        <w:t xml:space="preserve">that is often cited </w:t>
      </w:r>
      <w:r w:rsidRPr="004F61E2">
        <w:rPr>
          <w:lang w:val="en-US"/>
        </w:rPr>
        <w:t xml:space="preserve">is that it promotes participation by new entrants if there are known asymmetries between bidders. </w:t>
      </w:r>
      <w:r>
        <w:rPr>
          <w:lang w:val="en-US"/>
        </w:rPr>
        <w:t>This is because</w:t>
      </w:r>
      <w:r w:rsidR="00782EF3">
        <w:rPr>
          <w:lang w:val="en-US"/>
        </w:rPr>
        <w:t xml:space="preserve"> under </w:t>
      </w:r>
      <w:r w:rsidRPr="004F61E2">
        <w:rPr>
          <w:lang w:val="en-US"/>
        </w:rPr>
        <w:t>a first price rule, incumbents might shade their bids too much and so new entrants have a chance to outbid them and gain access to capacity. This “surprise” tactic is</w:t>
      </w:r>
      <w:r w:rsidR="00782EF3">
        <w:rPr>
          <w:lang w:val="en-US"/>
        </w:rPr>
        <w:t>, however,</w:t>
      </w:r>
      <w:r w:rsidRPr="004F61E2">
        <w:rPr>
          <w:lang w:val="en-US"/>
        </w:rPr>
        <w:t xml:space="preserve"> likely to be short lived </w:t>
      </w:r>
      <w:r w:rsidR="00782EF3">
        <w:rPr>
          <w:lang w:val="en-US"/>
        </w:rPr>
        <w:t xml:space="preserve">because </w:t>
      </w:r>
      <w:r w:rsidRPr="004F61E2">
        <w:rPr>
          <w:lang w:val="en-US"/>
        </w:rPr>
        <w:t>over time incumbent shippers would factor in this new competition into their bids.</w:t>
      </w:r>
      <w:r>
        <w:rPr>
          <w:lang w:val="en-US"/>
        </w:rPr>
        <w:t xml:space="preserve"> </w:t>
      </w:r>
      <w:r w:rsidR="00B63D8F">
        <w:rPr>
          <w:lang w:val="en-US"/>
        </w:rPr>
        <w:t xml:space="preserve">In </w:t>
      </w:r>
      <w:r w:rsidR="00782EF3">
        <w:rPr>
          <w:lang w:val="en-US"/>
        </w:rPr>
        <w:t>this context</w:t>
      </w:r>
      <w:r w:rsidR="00B63D8F">
        <w:rPr>
          <w:lang w:val="en-US"/>
        </w:rPr>
        <w:t>,</w:t>
      </w:r>
      <w:r w:rsidR="00782EF3">
        <w:rPr>
          <w:lang w:val="en-US"/>
        </w:rPr>
        <w:t xml:space="preserve"> </w:t>
      </w:r>
      <w:r>
        <w:t xml:space="preserve">if </w:t>
      </w:r>
      <w:r w:rsidRPr="004F61E2">
        <w:t xml:space="preserve">demand </w:t>
      </w:r>
      <w:r>
        <w:t xml:space="preserve">does </w:t>
      </w:r>
      <w:r w:rsidRPr="004F61E2">
        <w:t>change unexpectedly</w:t>
      </w:r>
      <w:r>
        <w:t>,</w:t>
      </w:r>
      <w:r w:rsidRPr="004F61E2">
        <w:t xml:space="preserve"> or a new entrant enters the market, </w:t>
      </w:r>
      <w:r w:rsidR="00782EF3">
        <w:t xml:space="preserve">the first price rule is likely to result in an </w:t>
      </w:r>
      <w:r w:rsidRPr="004F61E2">
        <w:t xml:space="preserve">inefficient outcome because bids from </w:t>
      </w:r>
      <w:r w:rsidR="00782EF3">
        <w:t xml:space="preserve">incumbents </w:t>
      </w:r>
      <w:r w:rsidR="00621870">
        <w:t xml:space="preserve">will </w:t>
      </w:r>
      <w:r w:rsidRPr="004F61E2">
        <w:t xml:space="preserve">reflect the expected price not </w:t>
      </w:r>
      <w:r>
        <w:t xml:space="preserve">the </w:t>
      </w:r>
      <w:r w:rsidRPr="004F61E2">
        <w:t xml:space="preserve">actual value. This is in direct contrast to a pay-as-cleared rule, where most bids </w:t>
      </w:r>
      <w:r w:rsidR="007F5AB0">
        <w:t xml:space="preserve">will be reflective of </w:t>
      </w:r>
      <w:r w:rsidRPr="004F61E2">
        <w:t xml:space="preserve">auction participants’ actual valuations. </w:t>
      </w:r>
      <w:r>
        <w:t>Under a pay-as cleared auction</w:t>
      </w:r>
      <w:r w:rsidRPr="004F61E2">
        <w:t>, if demand changes unexpectedly, the auction mechanism uses bids that are reflective of actual value to identify an optimal allocation. While prices would go up</w:t>
      </w:r>
      <w:r>
        <w:t xml:space="preserve"> to reflect </w:t>
      </w:r>
      <w:r w:rsidRPr="004F61E2">
        <w:t xml:space="preserve">the new demand, the outcome would likely remain efficient. </w:t>
      </w:r>
    </w:p>
    <w:p w14:paraId="2C15B5D6" w14:textId="13C9EAA3" w:rsidR="007F5AB0" w:rsidRPr="003A725F" w:rsidRDefault="008D0BFF" w:rsidP="007F5AB0">
      <w:pPr>
        <w:pStyle w:val="BodyText"/>
      </w:pPr>
      <w:r>
        <w:t xml:space="preserve">The </w:t>
      </w:r>
      <w:r w:rsidR="007F5AB0" w:rsidRPr="006E0D9D">
        <w:t xml:space="preserve">expected revenues </w:t>
      </w:r>
      <w:r w:rsidR="007F5AB0">
        <w:t xml:space="preserve">from the auction </w:t>
      </w:r>
      <w:r>
        <w:t xml:space="preserve">will be </w:t>
      </w:r>
      <w:r w:rsidR="007F5AB0">
        <w:t xml:space="preserve">the same regardless of whether a first-price or a pay-as-cleared rule is used </w:t>
      </w:r>
      <w:r w:rsidR="007F5AB0" w:rsidRPr="006E0D9D">
        <w:t>p</w:t>
      </w:r>
      <w:r w:rsidR="007F5AB0">
        <w:t>rovided that b</w:t>
      </w:r>
      <w:r w:rsidR="007F5AB0" w:rsidRPr="006E0D9D">
        <w:t>idders are risk neutral and have fixed valuations</w:t>
      </w:r>
      <w:r w:rsidR="007F5AB0">
        <w:t xml:space="preserve">, and that both rules </w:t>
      </w:r>
      <w:r w:rsidR="007F5AB0" w:rsidRPr="006E0D9D">
        <w:t>lead to an efficient allocation</w:t>
      </w:r>
      <w:r w:rsidR="003975C3">
        <w:t xml:space="preserve"> in the long run</w:t>
      </w:r>
      <w:r w:rsidR="007F5AB0">
        <w:t>.</w:t>
      </w:r>
      <w:r w:rsidR="007F5AB0">
        <w:rPr>
          <w:rStyle w:val="FootnoteReference"/>
        </w:rPr>
        <w:footnoteReference w:id="56"/>
      </w:r>
      <w:r w:rsidR="007F5AB0">
        <w:t xml:space="preserve"> This means that even though the first price and pay-as-cleared </w:t>
      </w:r>
      <w:r w:rsidR="007F5AB0" w:rsidRPr="003A725F">
        <w:t xml:space="preserve">auctions are mechanically quite different, they </w:t>
      </w:r>
      <w:r w:rsidR="007F5AB0">
        <w:t>are likely going to</w:t>
      </w:r>
      <w:r w:rsidR="007F5AB0" w:rsidRPr="003A725F">
        <w:t xml:space="preserve"> lead to the same expected </w:t>
      </w:r>
      <w:r w:rsidR="007F5AB0">
        <w:t xml:space="preserve">long-term </w:t>
      </w:r>
      <w:r w:rsidR="007F5AB0" w:rsidRPr="003A725F">
        <w:t>revenues.</w:t>
      </w:r>
      <w:r w:rsidR="007F5AB0" w:rsidRPr="003A725F">
        <w:rPr>
          <w:rStyle w:val="FootnoteReference"/>
        </w:rPr>
        <w:footnoteReference w:id="57"/>
      </w:r>
      <w:r w:rsidR="007F5AB0" w:rsidRPr="003A725F">
        <w:t xml:space="preserve"> </w:t>
      </w:r>
    </w:p>
    <w:p w14:paraId="48EBAAF5" w14:textId="70E0336C" w:rsidR="003A725F" w:rsidRDefault="00280220" w:rsidP="003A725F">
      <w:pPr>
        <w:pStyle w:val="BodyText"/>
        <w:rPr>
          <w:rFonts w:ascii="Calibri" w:hAnsi="Calibri"/>
        </w:rPr>
      </w:pPr>
      <w:r w:rsidRPr="003A725F">
        <w:t>The Day-Ahead Auction project team was broadly supportive of NERA’s recommendation to adopt a pay-as cleared pricing rule</w:t>
      </w:r>
      <w:r w:rsidR="003A725F" w:rsidRPr="003A725F">
        <w:t>, with one team member noting that there are known gaming issues with a first price rule, which allow more dominant participants to exercise market power to achieve a desired pricing outcome.</w:t>
      </w:r>
    </w:p>
    <w:p w14:paraId="4C0A003B" w14:textId="6D811EC8" w:rsidR="00011733" w:rsidRDefault="00782EF3" w:rsidP="003A725F">
      <w:pPr>
        <w:pStyle w:val="BodyText"/>
      </w:pPr>
      <w:r>
        <w:t>Having considered the advice provided by NERA</w:t>
      </w:r>
      <w:r w:rsidR="00B90862">
        <w:t xml:space="preserve"> and the feedback provided by the project team</w:t>
      </w:r>
      <w:r>
        <w:t xml:space="preserve">, the GMRG’s preliminary view is that a pay-as-cleared pricing rule should be used in the </w:t>
      </w:r>
      <w:r w:rsidR="00621870">
        <w:t xml:space="preserve">day-ahead </w:t>
      </w:r>
      <w:r>
        <w:t>auction</w:t>
      </w:r>
      <w:r w:rsidR="00621870">
        <w:t xml:space="preserve"> because it will be </w:t>
      </w:r>
      <w:r w:rsidR="005505AF">
        <w:t xml:space="preserve">strategically </w:t>
      </w:r>
      <w:r w:rsidR="00621870">
        <w:t xml:space="preserve">simpler </w:t>
      </w:r>
      <w:r w:rsidR="005505AF">
        <w:t xml:space="preserve">from a bidding perspective </w:t>
      </w:r>
      <w:r w:rsidR="00621870">
        <w:t xml:space="preserve">and will </w:t>
      </w:r>
      <w:r w:rsidR="00011733">
        <w:t xml:space="preserve">deliver </w:t>
      </w:r>
      <w:r w:rsidR="005505AF">
        <w:t>a more efficient allocation of capacity</w:t>
      </w:r>
      <w:r w:rsidR="00011733">
        <w:t xml:space="preserve"> in situations </w:t>
      </w:r>
      <w:r w:rsidR="00621870">
        <w:t xml:space="preserve">where </w:t>
      </w:r>
      <w:r w:rsidR="00011733">
        <w:t xml:space="preserve">demand changes unexpectedly. </w:t>
      </w:r>
      <w:r w:rsidR="005505AF">
        <w:t>The GMRG understands that this pricing rule differs from the AEMC’s preferred outcome</w:t>
      </w:r>
      <w:r w:rsidR="00B90862">
        <w:t xml:space="preserve">. However, </w:t>
      </w:r>
      <w:r w:rsidR="005505AF">
        <w:t xml:space="preserve">for the reasons set out above, the GMRG believes the pay-as-cleared pricing rule is more consistent with </w:t>
      </w:r>
      <w:r w:rsidR="00B90862">
        <w:t xml:space="preserve">what the AEMC was trying to achieve (i.e. less complex to implement) </w:t>
      </w:r>
      <w:r w:rsidR="005505AF">
        <w:t>than the first price rule.</w:t>
      </w:r>
      <w:r w:rsidR="0025744E">
        <w:t xml:space="preserve"> </w:t>
      </w:r>
      <w:r w:rsidR="00B90862">
        <w:t xml:space="preserve">It is also more consistent with the NGO. </w:t>
      </w:r>
    </w:p>
    <w:p w14:paraId="027009D1" w14:textId="5DF76A72" w:rsidR="00660650" w:rsidRDefault="00320188" w:rsidP="00660650">
      <w:pPr>
        <w:pStyle w:val="BodyText"/>
      </w:pPr>
      <w:r>
        <w:t>On a separate but related issue, it is worth noting that</w:t>
      </w:r>
      <w:r w:rsidR="00660650">
        <w:t xml:space="preserve"> the pay-as cleared pricing rule may not result in the identification of a unique set of prices if:</w:t>
      </w:r>
    </w:p>
    <w:p w14:paraId="2984E67D" w14:textId="7082FF1C" w:rsidR="007F5AB0" w:rsidRDefault="007F5AB0" w:rsidP="00187EB2">
      <w:pPr>
        <w:pStyle w:val="ListNumber"/>
        <w:numPr>
          <w:ilvl w:val="0"/>
          <w:numId w:val="27"/>
        </w:numPr>
      </w:pPr>
      <w:bookmarkStart w:id="108" w:name="_Ref493955248"/>
      <w:proofErr w:type="gramStart"/>
      <w:r w:rsidRPr="00660650">
        <w:rPr>
          <w:i/>
        </w:rPr>
        <w:t>the</w:t>
      </w:r>
      <w:proofErr w:type="gramEnd"/>
      <w:r w:rsidRPr="00660650">
        <w:rPr>
          <w:i/>
        </w:rPr>
        <w:t xml:space="preserve"> lowest accepted bid is fully cleared</w:t>
      </w:r>
      <w:r>
        <w:rPr>
          <w:i/>
        </w:rPr>
        <w:t>:</w:t>
      </w:r>
      <w:r>
        <w:t xml:space="preserve"> In this case the price could be anywhere between the highest losing bid and the lowest accepted bid. To deal with this potential, NERA has recommended that the price be set by the amount of the lowest accepted bid (see </w:t>
      </w:r>
      <w:r w:rsidR="008855D0">
        <w:fldChar w:fldCharType="begin"/>
      </w:r>
      <w:r w:rsidR="008855D0">
        <w:instrText xml:space="preserve"> REF _Ref494718153 \h </w:instrText>
      </w:r>
      <w:r w:rsidR="008855D0">
        <w:fldChar w:fldCharType="separate"/>
      </w:r>
      <w:r w:rsidR="00272B32">
        <w:t xml:space="preserve">Box </w:t>
      </w:r>
      <w:r w:rsidR="00272B32">
        <w:rPr>
          <w:noProof/>
        </w:rPr>
        <w:t>4</w:t>
      </w:r>
      <w:r w:rsidR="00272B32">
        <w:t>.</w:t>
      </w:r>
      <w:r w:rsidR="00272B32">
        <w:rPr>
          <w:noProof/>
        </w:rPr>
        <w:t>9</w:t>
      </w:r>
      <w:r w:rsidR="008855D0">
        <w:fldChar w:fldCharType="end"/>
      </w:r>
      <w:r>
        <w:t xml:space="preserve">). In doing so, NERA noted that this solution will implement the pay-as-cleared principle adopted for all products with a partially cleared lowest-accepted bid. </w:t>
      </w:r>
      <w:r w:rsidR="00C838C0">
        <w:t xml:space="preserve">In contrast, it is </w:t>
      </w:r>
      <w:r>
        <w:t xml:space="preserve">unclear how prices would be set </w:t>
      </w:r>
      <w:r w:rsidR="00C838C0">
        <w:t xml:space="preserve">if the value of the </w:t>
      </w:r>
      <w:r>
        <w:t xml:space="preserve">highest-losing bid </w:t>
      </w:r>
      <w:r w:rsidR="00C838C0">
        <w:t xml:space="preserve">was adopted </w:t>
      </w:r>
      <w:r>
        <w:t>given the combinatorial nature of the bid stack. This solution would also be unworkable if either a minimum requirement or XOR sets are included in the auction design as both of these features can lead to losing bids with a higher bid amount than that of the lowest accepted bid.</w:t>
      </w:r>
      <w:r>
        <w:rPr>
          <w:rStyle w:val="FootnoteReference"/>
        </w:rPr>
        <w:footnoteReference w:id="58"/>
      </w:r>
      <w:r>
        <w:t xml:space="preserve"> </w:t>
      </w:r>
    </w:p>
    <w:p w14:paraId="6A8B0F04" w14:textId="58E6DB39" w:rsidR="007F5AB0" w:rsidRDefault="007F5AB0" w:rsidP="007F5AB0">
      <w:pPr>
        <w:pStyle w:val="ListNumber"/>
      </w:pPr>
      <w:proofErr w:type="gramStart"/>
      <w:r w:rsidRPr="00660650">
        <w:rPr>
          <w:i/>
        </w:rPr>
        <w:t>there</w:t>
      </w:r>
      <w:proofErr w:type="gramEnd"/>
      <w:r w:rsidRPr="00660650">
        <w:rPr>
          <w:i/>
        </w:rPr>
        <w:t xml:space="preserve"> </w:t>
      </w:r>
      <w:r>
        <w:rPr>
          <w:i/>
        </w:rPr>
        <w:t xml:space="preserve">are two or more </w:t>
      </w:r>
      <w:r w:rsidRPr="00660650">
        <w:rPr>
          <w:i/>
        </w:rPr>
        <w:t>set</w:t>
      </w:r>
      <w:r>
        <w:rPr>
          <w:i/>
        </w:rPr>
        <w:t>s</w:t>
      </w:r>
      <w:r w:rsidRPr="00660650">
        <w:rPr>
          <w:i/>
        </w:rPr>
        <w:t xml:space="preserve"> of prices that satisfy the pricing constraints imposed by lowest accepted bids</w:t>
      </w:r>
      <w:r>
        <w:t xml:space="preserve">: This could occur if two or more products are always bid for in pairs. In this case, NERA has suggested the use of a random tie-break mechanism to resolve any price indeterminacy because it is easier to implement and would lead to the same long-term expected revenues as a sharing solution (see </w:t>
      </w:r>
      <w:r w:rsidR="008855D0">
        <w:fldChar w:fldCharType="begin"/>
      </w:r>
      <w:r w:rsidR="008855D0">
        <w:instrText xml:space="preserve"> REF _Ref494718153 \h </w:instrText>
      </w:r>
      <w:r w:rsidR="008855D0">
        <w:fldChar w:fldCharType="separate"/>
      </w:r>
      <w:r w:rsidR="00272B32">
        <w:t xml:space="preserve">Box </w:t>
      </w:r>
      <w:r w:rsidR="00272B32">
        <w:rPr>
          <w:noProof/>
        </w:rPr>
        <w:t>4</w:t>
      </w:r>
      <w:r w:rsidR="00272B32">
        <w:t>.</w:t>
      </w:r>
      <w:r w:rsidR="00272B32">
        <w:rPr>
          <w:noProof/>
        </w:rPr>
        <w:t>9</w:t>
      </w:r>
      <w:r w:rsidR="008855D0">
        <w:fldChar w:fldCharType="end"/>
      </w:r>
      <w:r>
        <w:t>).</w:t>
      </w:r>
    </w:p>
    <w:p w14:paraId="73CC02D6" w14:textId="0C81BA10" w:rsidR="007F5AB0" w:rsidRDefault="008D0BFF" w:rsidP="007F5AB0">
      <w:pPr>
        <w:pStyle w:val="ListNumber"/>
        <w:numPr>
          <w:ilvl w:val="0"/>
          <w:numId w:val="0"/>
        </w:numPr>
      </w:pPr>
      <w:r>
        <w:t>I</w:t>
      </w:r>
      <w:r w:rsidR="007F5AB0">
        <w:t>n practice both of these situations are unlikely to occur on a regular basis. How these indeterminacies are resolved therefore appears to be a minor issue. The GMRG agrees with NERA’s proposed simple solutions, but is interested in hearing other stakeholders’ views on this issue.</w:t>
      </w:r>
    </w:p>
    <w:tbl>
      <w:tblPr>
        <w:tblStyle w:val="PullOutBoxTable"/>
        <w:tblW w:w="5000" w:type="pct"/>
        <w:tblLook w:val="0620" w:firstRow="1" w:lastRow="0" w:firstColumn="0" w:lastColumn="0" w:noHBand="1" w:noVBand="1"/>
        <w:tblCaption w:val="Box 4.9: Price indeterminacy"/>
        <w:tblDescription w:val="Price indeterminacy"/>
      </w:tblPr>
      <w:tblGrid>
        <w:gridCol w:w="8788"/>
      </w:tblGrid>
      <w:tr w:rsidR="00732ECD" w:rsidRPr="004154A3" w14:paraId="1A60EED4" w14:textId="77777777" w:rsidTr="003974E4">
        <w:trPr>
          <w:tblHeader/>
        </w:trPr>
        <w:tc>
          <w:tcPr>
            <w:tcW w:w="5000" w:type="pct"/>
            <w:shd w:val="clear" w:color="auto" w:fill="auto"/>
          </w:tcPr>
          <w:p w14:paraId="3F617F64" w14:textId="570E576A" w:rsidR="004154A3" w:rsidRPr="005635CA" w:rsidRDefault="005635CA" w:rsidP="005635CA">
            <w:pPr>
              <w:pStyle w:val="ListBullet"/>
              <w:numPr>
                <w:ilvl w:val="0"/>
                <w:numId w:val="0"/>
              </w:numPr>
              <w:spacing w:before="100" w:beforeAutospacing="1" w:after="0" w:line="245" w:lineRule="auto"/>
              <w:rPr>
                <w:rFonts w:asciiTheme="majorHAnsi" w:hAnsiTheme="majorHAnsi" w:cstheme="majorHAnsi"/>
                <w:b/>
                <w:sz w:val="20"/>
                <w:szCs w:val="20"/>
              </w:rPr>
            </w:pPr>
            <w:bookmarkStart w:id="109" w:name="_Ref494718153"/>
            <w:bookmarkEnd w:id="108"/>
            <w:r w:rsidRPr="005635CA">
              <w:rPr>
                <w:b/>
              </w:rPr>
              <w:t xml:space="preserve">Box </w:t>
            </w:r>
            <w:r w:rsidRPr="005635CA">
              <w:rPr>
                <w:b/>
              </w:rPr>
              <w:fldChar w:fldCharType="begin"/>
            </w:r>
            <w:r w:rsidRPr="005635CA">
              <w:rPr>
                <w:b/>
              </w:rPr>
              <w:instrText xml:space="preserve"> STYLEREF 1 \s </w:instrText>
            </w:r>
            <w:r w:rsidRPr="005635CA">
              <w:rPr>
                <w:b/>
              </w:rPr>
              <w:fldChar w:fldCharType="separate"/>
            </w:r>
            <w:r w:rsidRPr="005635CA">
              <w:rPr>
                <w:b/>
                <w:noProof/>
              </w:rPr>
              <w:t>4</w:t>
            </w:r>
            <w:r w:rsidRPr="005635CA">
              <w:rPr>
                <w:b/>
                <w:noProof/>
              </w:rPr>
              <w:fldChar w:fldCharType="end"/>
            </w:r>
            <w:r w:rsidRPr="005635CA">
              <w:rPr>
                <w:b/>
              </w:rPr>
              <w:t>.</w:t>
            </w:r>
            <w:r w:rsidRPr="005635CA">
              <w:rPr>
                <w:b/>
              </w:rPr>
              <w:fldChar w:fldCharType="begin"/>
            </w:r>
            <w:r w:rsidRPr="005635CA">
              <w:rPr>
                <w:b/>
              </w:rPr>
              <w:instrText xml:space="preserve"> SEQ Box \* ARABIC \s 1 </w:instrText>
            </w:r>
            <w:r w:rsidRPr="005635CA">
              <w:rPr>
                <w:b/>
              </w:rPr>
              <w:fldChar w:fldCharType="separate"/>
            </w:r>
            <w:r w:rsidRPr="005635CA">
              <w:rPr>
                <w:b/>
                <w:noProof/>
              </w:rPr>
              <w:t>9</w:t>
            </w:r>
            <w:r w:rsidRPr="005635CA">
              <w:rPr>
                <w:b/>
                <w:noProof/>
              </w:rPr>
              <w:fldChar w:fldCharType="end"/>
            </w:r>
            <w:bookmarkEnd w:id="109"/>
            <w:r w:rsidRPr="005635CA">
              <w:rPr>
                <w:b/>
              </w:rPr>
              <w:t>: Price indeterminacy</w:t>
            </w:r>
          </w:p>
        </w:tc>
      </w:tr>
      <w:tr w:rsidR="005635CA" w:rsidRPr="004154A3" w14:paraId="0F52C2DF" w14:textId="77777777" w:rsidTr="003974E4">
        <w:tc>
          <w:tcPr>
            <w:tcW w:w="5000" w:type="pct"/>
          </w:tcPr>
          <w:p w14:paraId="6970CF9F" w14:textId="77777777" w:rsidR="005635CA" w:rsidRDefault="005635CA" w:rsidP="005635CA">
            <w:pPr>
              <w:keepLines/>
              <w:spacing w:before="20" w:after="120" w:line="245" w:lineRule="auto"/>
              <w:rPr>
                <w:rFonts w:asciiTheme="majorHAnsi" w:hAnsiTheme="majorHAnsi" w:cstheme="majorHAnsi"/>
                <w:b/>
                <w:sz w:val="20"/>
                <w:szCs w:val="20"/>
              </w:rPr>
            </w:pPr>
            <w:r w:rsidRPr="004154A3">
              <w:rPr>
                <w:rFonts w:asciiTheme="majorHAnsi" w:hAnsiTheme="majorHAnsi" w:cstheme="majorHAnsi"/>
                <w:b/>
                <w:sz w:val="20"/>
                <w:szCs w:val="20"/>
              </w:rPr>
              <w:t>Lowest accepted bid fully cleared</w:t>
            </w:r>
          </w:p>
          <w:p w14:paraId="27DA011F" w14:textId="77777777" w:rsidR="005635CA" w:rsidRDefault="005635CA" w:rsidP="005635CA">
            <w:pPr>
              <w:pStyle w:val="ListParagraph"/>
              <w:keepLines/>
              <w:spacing w:before="20" w:line="245" w:lineRule="auto"/>
              <w:ind w:left="0"/>
              <w:rPr>
                <w:rFonts w:asciiTheme="majorHAnsi" w:hAnsiTheme="majorHAnsi" w:cstheme="majorHAnsi"/>
                <w:sz w:val="20"/>
                <w:szCs w:val="20"/>
              </w:rPr>
            </w:pPr>
            <w:r w:rsidRPr="004154A3">
              <w:rPr>
                <w:rFonts w:asciiTheme="majorHAnsi" w:hAnsiTheme="majorHAnsi" w:cstheme="majorHAnsi"/>
                <w:sz w:val="20"/>
                <w:szCs w:val="20"/>
              </w:rPr>
              <w:t xml:space="preserve">In </w:t>
            </w:r>
            <w:r>
              <w:rPr>
                <w:rFonts w:asciiTheme="majorHAnsi" w:hAnsiTheme="majorHAnsi" w:cstheme="majorHAnsi"/>
                <w:sz w:val="20"/>
                <w:szCs w:val="20"/>
              </w:rPr>
              <w:t>the</w:t>
            </w:r>
            <w:r w:rsidRPr="004154A3">
              <w:rPr>
                <w:rFonts w:asciiTheme="majorHAnsi" w:hAnsiTheme="majorHAnsi" w:cstheme="majorHAnsi"/>
                <w:sz w:val="20"/>
                <w:szCs w:val="20"/>
              </w:rPr>
              <w:t xml:space="preserve"> example</w:t>
            </w:r>
            <w:r>
              <w:rPr>
                <w:rFonts w:asciiTheme="majorHAnsi" w:hAnsiTheme="majorHAnsi" w:cstheme="majorHAnsi"/>
                <w:sz w:val="20"/>
                <w:szCs w:val="20"/>
              </w:rPr>
              <w:t xml:space="preserve"> in the table below</w:t>
            </w:r>
            <w:r w:rsidRPr="004154A3">
              <w:rPr>
                <w:rFonts w:asciiTheme="majorHAnsi" w:hAnsiTheme="majorHAnsi" w:cstheme="majorHAnsi"/>
                <w:sz w:val="20"/>
                <w:szCs w:val="20"/>
              </w:rPr>
              <w:t xml:space="preserve">, </w:t>
            </w:r>
            <w:r>
              <w:rPr>
                <w:rFonts w:asciiTheme="majorHAnsi" w:hAnsiTheme="majorHAnsi" w:cstheme="majorHAnsi"/>
                <w:sz w:val="20"/>
                <w:szCs w:val="20"/>
              </w:rPr>
              <w:t>shipper</w:t>
            </w:r>
            <w:r w:rsidRPr="004154A3">
              <w:rPr>
                <w:rFonts w:asciiTheme="majorHAnsi" w:hAnsiTheme="majorHAnsi" w:cstheme="majorHAnsi"/>
                <w:sz w:val="20"/>
                <w:szCs w:val="20"/>
              </w:rPr>
              <w:t xml:space="preserve"> A and B would win capacity. </w:t>
            </w:r>
            <w:r>
              <w:rPr>
                <w:rFonts w:asciiTheme="majorHAnsi" w:hAnsiTheme="majorHAnsi" w:cstheme="majorHAnsi"/>
                <w:sz w:val="20"/>
                <w:szCs w:val="20"/>
              </w:rPr>
              <w:t>Shipper</w:t>
            </w:r>
            <w:r w:rsidRPr="004154A3">
              <w:rPr>
                <w:rFonts w:asciiTheme="majorHAnsi" w:hAnsiTheme="majorHAnsi" w:cstheme="majorHAnsi"/>
                <w:sz w:val="20"/>
                <w:szCs w:val="20"/>
              </w:rPr>
              <w:t xml:space="preserve"> B is the lowest accepted bid and is fully cleared. The price could be set anywhere between $30 (the highest losing bid) and $40 (lowest cleared bid). NERA has proposed to address this indeterminacy by selecting the lowest </w:t>
            </w:r>
            <w:r>
              <w:rPr>
                <w:rFonts w:asciiTheme="majorHAnsi" w:hAnsiTheme="majorHAnsi" w:cstheme="majorHAnsi"/>
                <w:sz w:val="20"/>
                <w:szCs w:val="20"/>
              </w:rPr>
              <w:t>accepted</w:t>
            </w:r>
            <w:r w:rsidRPr="004154A3">
              <w:rPr>
                <w:rFonts w:asciiTheme="majorHAnsi" w:hAnsiTheme="majorHAnsi" w:cstheme="majorHAnsi"/>
                <w:sz w:val="20"/>
                <w:szCs w:val="20"/>
              </w:rPr>
              <w:t xml:space="preserve"> bid, which in this example is $40.</w:t>
            </w:r>
          </w:p>
          <w:p w14:paraId="7169CD7D" w14:textId="77777777" w:rsidR="005635CA" w:rsidRPr="001E0A2D" w:rsidRDefault="005635CA" w:rsidP="005635CA">
            <w:pPr>
              <w:keepNext/>
              <w:keepLines/>
              <w:spacing w:line="245" w:lineRule="auto"/>
              <w:ind w:left="1670"/>
              <w:rPr>
                <w:b/>
                <w:sz w:val="20"/>
                <w:szCs w:val="20"/>
              </w:rPr>
            </w:pPr>
            <w:r w:rsidRPr="001E0A2D">
              <w:rPr>
                <w:b/>
                <w:sz w:val="20"/>
                <w:szCs w:val="20"/>
              </w:rPr>
              <w:t>Bids</w:t>
            </w:r>
            <w:r>
              <w:rPr>
                <w:b/>
                <w:sz w:val="20"/>
                <w:szCs w:val="20"/>
              </w:rPr>
              <w:t xml:space="preserve"> for capacity </w:t>
            </w:r>
          </w:p>
          <w:tbl>
            <w:tblPr>
              <w:tblStyle w:val="TableGrid"/>
              <w:tblW w:w="5103" w:type="dxa"/>
              <w:jc w:val="center"/>
              <w:tblLook w:val="04A0" w:firstRow="1" w:lastRow="0" w:firstColumn="1" w:lastColumn="0" w:noHBand="0" w:noVBand="1"/>
              <w:tblCaption w:val="Bids for capacity"/>
              <w:tblDescription w:val="Bids for capacity - Lowest accepted bid fully cleared"/>
            </w:tblPr>
            <w:tblGrid>
              <w:gridCol w:w="1006"/>
              <w:gridCol w:w="1434"/>
              <w:gridCol w:w="1229"/>
              <w:gridCol w:w="1434"/>
            </w:tblGrid>
            <w:tr w:rsidR="005635CA" w:rsidRPr="004154A3" w14:paraId="2E85A2D2" w14:textId="77777777" w:rsidTr="00F154EF">
              <w:trPr>
                <w:cnfStyle w:val="100000000000" w:firstRow="1" w:lastRow="0" w:firstColumn="0" w:lastColumn="0" w:oddVBand="0" w:evenVBand="0" w:oddHBand="0" w:evenHBand="0" w:firstRowFirstColumn="0" w:firstRowLastColumn="0" w:lastRowFirstColumn="0" w:lastRowLastColumn="0"/>
                <w:cantSplit/>
                <w:tblHeader/>
                <w:jc w:val="center"/>
              </w:trPr>
              <w:tc>
                <w:tcPr>
                  <w:tcW w:w="1006" w:type="dxa"/>
                  <w:shd w:val="clear" w:color="auto" w:fill="0099CC"/>
                </w:tcPr>
                <w:p w14:paraId="02FD1C57" w14:textId="77777777" w:rsidR="005635CA" w:rsidRPr="008F2E35" w:rsidRDefault="005635CA" w:rsidP="005635CA">
                  <w:pPr>
                    <w:pStyle w:val="BodyText"/>
                    <w:keepLines/>
                    <w:spacing w:before="20" w:after="0" w:line="245" w:lineRule="auto"/>
                    <w:jc w:val="center"/>
                    <w:rPr>
                      <w:rFonts w:asciiTheme="majorHAnsi" w:hAnsiTheme="majorHAnsi" w:cstheme="majorHAnsi"/>
                      <w:b w:val="0"/>
                      <w:color w:val="FFFFFF" w:themeColor="background1"/>
                      <w:sz w:val="17"/>
                      <w:szCs w:val="17"/>
                    </w:rPr>
                  </w:pPr>
                  <w:r w:rsidRPr="008F2E35">
                    <w:rPr>
                      <w:rFonts w:asciiTheme="majorHAnsi" w:hAnsiTheme="majorHAnsi" w:cstheme="majorHAnsi"/>
                      <w:b w:val="0"/>
                      <w:color w:val="FFFFFF" w:themeColor="background1"/>
                      <w:sz w:val="17"/>
                      <w:szCs w:val="17"/>
                    </w:rPr>
                    <w:t>Shipper</w:t>
                  </w:r>
                </w:p>
              </w:tc>
              <w:tc>
                <w:tcPr>
                  <w:tcW w:w="1434" w:type="dxa"/>
                  <w:shd w:val="clear" w:color="auto" w:fill="0099CC"/>
                </w:tcPr>
                <w:p w14:paraId="4334E6AF" w14:textId="77777777" w:rsidR="005635CA" w:rsidRPr="008F2E35" w:rsidRDefault="005635CA" w:rsidP="005635CA">
                  <w:pPr>
                    <w:pStyle w:val="BodyText"/>
                    <w:keepLines/>
                    <w:spacing w:before="20" w:after="0" w:line="245" w:lineRule="auto"/>
                    <w:jc w:val="center"/>
                    <w:rPr>
                      <w:rFonts w:asciiTheme="majorHAnsi" w:hAnsiTheme="majorHAnsi" w:cstheme="majorHAnsi"/>
                      <w:b w:val="0"/>
                      <w:color w:val="FFFFFF" w:themeColor="background1"/>
                      <w:sz w:val="17"/>
                      <w:szCs w:val="17"/>
                    </w:rPr>
                  </w:pPr>
                  <w:r w:rsidRPr="008F2E35">
                    <w:rPr>
                      <w:rFonts w:asciiTheme="majorHAnsi" w:hAnsiTheme="majorHAnsi" w:cstheme="majorHAnsi"/>
                      <w:b w:val="0"/>
                      <w:color w:val="FFFFFF" w:themeColor="background1"/>
                      <w:sz w:val="17"/>
                      <w:szCs w:val="17"/>
                    </w:rPr>
                    <w:t>Price (per unit)</w:t>
                  </w:r>
                </w:p>
              </w:tc>
              <w:tc>
                <w:tcPr>
                  <w:tcW w:w="1229" w:type="dxa"/>
                  <w:shd w:val="clear" w:color="auto" w:fill="0099CC"/>
                </w:tcPr>
                <w:p w14:paraId="5F82A071" w14:textId="77777777" w:rsidR="005635CA" w:rsidRPr="008F2E35" w:rsidRDefault="005635CA" w:rsidP="005635CA">
                  <w:pPr>
                    <w:pStyle w:val="BodyText"/>
                    <w:keepLines/>
                    <w:spacing w:before="20" w:after="0" w:line="245" w:lineRule="auto"/>
                    <w:jc w:val="center"/>
                    <w:rPr>
                      <w:rFonts w:asciiTheme="majorHAnsi" w:hAnsiTheme="majorHAnsi" w:cstheme="majorHAnsi"/>
                      <w:b w:val="0"/>
                      <w:color w:val="FFFFFF" w:themeColor="background1"/>
                      <w:sz w:val="17"/>
                      <w:szCs w:val="17"/>
                    </w:rPr>
                  </w:pPr>
                  <w:r w:rsidRPr="008F2E35">
                    <w:rPr>
                      <w:rFonts w:asciiTheme="majorHAnsi" w:hAnsiTheme="majorHAnsi" w:cstheme="majorHAnsi"/>
                      <w:b w:val="0"/>
                      <w:color w:val="FFFFFF" w:themeColor="background1"/>
                      <w:sz w:val="17"/>
                      <w:szCs w:val="17"/>
                    </w:rPr>
                    <w:t>Q</w:t>
                  </w:r>
                </w:p>
              </w:tc>
              <w:tc>
                <w:tcPr>
                  <w:tcW w:w="1434" w:type="dxa"/>
                  <w:tcBorders>
                    <w:bottom w:val="single" w:sz="4" w:space="0" w:color="auto"/>
                  </w:tcBorders>
                  <w:shd w:val="clear" w:color="auto" w:fill="0099CC"/>
                </w:tcPr>
                <w:p w14:paraId="3151E9DD" w14:textId="77777777" w:rsidR="005635CA" w:rsidRPr="008F2E35" w:rsidRDefault="005635CA" w:rsidP="005635CA">
                  <w:pPr>
                    <w:pStyle w:val="BodyText"/>
                    <w:keepLines/>
                    <w:spacing w:before="20" w:after="0" w:line="245" w:lineRule="auto"/>
                    <w:jc w:val="center"/>
                    <w:rPr>
                      <w:rFonts w:asciiTheme="majorHAnsi" w:hAnsiTheme="majorHAnsi" w:cstheme="majorHAnsi"/>
                      <w:b w:val="0"/>
                      <w:color w:val="FFFFFF" w:themeColor="background1"/>
                      <w:sz w:val="17"/>
                      <w:szCs w:val="17"/>
                    </w:rPr>
                  </w:pPr>
                  <w:r w:rsidRPr="008F2E35">
                    <w:rPr>
                      <w:rFonts w:asciiTheme="majorHAnsi" w:hAnsiTheme="majorHAnsi" w:cstheme="majorHAnsi"/>
                      <w:b w:val="0"/>
                      <w:color w:val="FFFFFF" w:themeColor="background1"/>
                      <w:sz w:val="17"/>
                      <w:szCs w:val="17"/>
                    </w:rPr>
                    <w:t xml:space="preserve">S1 </w:t>
                  </w:r>
                  <w:r w:rsidRPr="008F2E35">
                    <w:rPr>
                      <w:rFonts w:asciiTheme="majorHAnsi" w:hAnsiTheme="majorHAnsi" w:cstheme="majorHAnsi"/>
                      <w:b w:val="0"/>
                      <w:color w:val="FFFFFF" w:themeColor="background1"/>
                      <w:sz w:val="17"/>
                      <w:szCs w:val="17"/>
                    </w:rPr>
                    <w:br/>
                    <w:t>(C</w:t>
                  </w:r>
                  <w:r w:rsidRPr="008F2E35">
                    <w:rPr>
                      <w:rFonts w:asciiTheme="majorHAnsi" w:hAnsiTheme="majorHAnsi" w:cstheme="majorHAnsi"/>
                      <w:b w:val="0"/>
                      <w:color w:val="FFFFFF" w:themeColor="background1"/>
                      <w:sz w:val="17"/>
                      <w:szCs w:val="17"/>
                      <w:vertAlign w:val="subscript"/>
                    </w:rPr>
                    <w:t>1</w:t>
                  </w:r>
                  <w:r w:rsidRPr="008F2E35">
                    <w:rPr>
                      <w:rFonts w:asciiTheme="majorHAnsi" w:hAnsiTheme="majorHAnsi" w:cstheme="majorHAnsi"/>
                      <w:b w:val="0"/>
                      <w:color w:val="FFFFFF" w:themeColor="background1"/>
                      <w:sz w:val="17"/>
                      <w:szCs w:val="17"/>
                    </w:rPr>
                    <w:t xml:space="preserve"> = 300)</w:t>
                  </w:r>
                </w:p>
              </w:tc>
            </w:tr>
            <w:tr w:rsidR="005635CA" w:rsidRPr="004154A3" w14:paraId="788DC884" w14:textId="77777777" w:rsidTr="00610057">
              <w:trPr>
                <w:cantSplit/>
                <w:jc w:val="center"/>
              </w:trPr>
              <w:tc>
                <w:tcPr>
                  <w:tcW w:w="1006" w:type="dxa"/>
                  <w:vAlign w:val="bottom"/>
                </w:tcPr>
                <w:p w14:paraId="57C41C78" w14:textId="77777777" w:rsidR="005635CA" w:rsidRPr="008F2E35" w:rsidRDefault="005635CA" w:rsidP="005635CA">
                  <w:pPr>
                    <w:pStyle w:val="BodyText"/>
                    <w:keepLines/>
                    <w:spacing w:before="20" w:after="0" w:line="245" w:lineRule="auto"/>
                    <w:jc w:val="center"/>
                    <w:rPr>
                      <w:rFonts w:asciiTheme="majorHAnsi" w:hAnsiTheme="majorHAnsi" w:cstheme="majorHAnsi"/>
                      <w:sz w:val="17"/>
                      <w:szCs w:val="17"/>
                    </w:rPr>
                  </w:pPr>
                  <w:r w:rsidRPr="008F2E35">
                    <w:rPr>
                      <w:rFonts w:asciiTheme="majorHAnsi" w:hAnsiTheme="majorHAnsi" w:cstheme="majorHAnsi"/>
                      <w:sz w:val="17"/>
                      <w:szCs w:val="17"/>
                    </w:rPr>
                    <w:t>A</w:t>
                  </w:r>
                </w:p>
              </w:tc>
              <w:tc>
                <w:tcPr>
                  <w:tcW w:w="1434" w:type="dxa"/>
                  <w:vAlign w:val="bottom"/>
                </w:tcPr>
                <w:p w14:paraId="1984FAB1" w14:textId="77777777" w:rsidR="005635CA" w:rsidRPr="008F2E35" w:rsidRDefault="005635CA" w:rsidP="005635CA">
                  <w:pPr>
                    <w:pStyle w:val="BodyText"/>
                    <w:keepLines/>
                    <w:spacing w:before="20" w:after="0" w:line="245" w:lineRule="auto"/>
                    <w:jc w:val="center"/>
                    <w:rPr>
                      <w:rFonts w:asciiTheme="majorHAnsi" w:hAnsiTheme="majorHAnsi" w:cstheme="majorHAnsi"/>
                      <w:sz w:val="17"/>
                      <w:szCs w:val="17"/>
                    </w:rPr>
                  </w:pPr>
                  <w:r w:rsidRPr="008F2E35">
                    <w:rPr>
                      <w:rFonts w:asciiTheme="majorHAnsi" w:hAnsiTheme="majorHAnsi" w:cstheme="majorHAnsi"/>
                      <w:sz w:val="17"/>
                      <w:szCs w:val="17"/>
                    </w:rPr>
                    <w:t>$50</w:t>
                  </w:r>
                </w:p>
              </w:tc>
              <w:tc>
                <w:tcPr>
                  <w:tcW w:w="1229" w:type="dxa"/>
                  <w:vAlign w:val="bottom"/>
                </w:tcPr>
                <w:p w14:paraId="1D921CA3" w14:textId="77777777" w:rsidR="005635CA" w:rsidRPr="008F2E35" w:rsidRDefault="005635CA" w:rsidP="005635CA">
                  <w:pPr>
                    <w:pStyle w:val="BodyText"/>
                    <w:keepLines/>
                    <w:spacing w:before="20" w:after="0" w:line="245" w:lineRule="auto"/>
                    <w:jc w:val="center"/>
                    <w:rPr>
                      <w:rFonts w:asciiTheme="majorHAnsi" w:hAnsiTheme="majorHAnsi" w:cstheme="majorHAnsi"/>
                      <w:sz w:val="17"/>
                      <w:szCs w:val="17"/>
                    </w:rPr>
                  </w:pPr>
                  <w:r w:rsidRPr="008F2E35">
                    <w:rPr>
                      <w:rFonts w:asciiTheme="majorHAnsi" w:hAnsiTheme="majorHAnsi" w:cstheme="majorHAnsi"/>
                      <w:sz w:val="17"/>
                      <w:szCs w:val="17"/>
                    </w:rPr>
                    <w:t>150</w:t>
                  </w:r>
                </w:p>
              </w:tc>
              <w:tc>
                <w:tcPr>
                  <w:tcW w:w="1434" w:type="dxa"/>
                  <w:tcBorders>
                    <w:bottom w:val="single" w:sz="4" w:space="0" w:color="auto"/>
                  </w:tcBorders>
                  <w:shd w:val="clear" w:color="auto" w:fill="FFFFFF" w:themeFill="background1"/>
                  <w:vAlign w:val="bottom"/>
                </w:tcPr>
                <w:p w14:paraId="096165DF" w14:textId="77777777" w:rsidR="005635CA" w:rsidRPr="008F2E35" w:rsidRDefault="005635CA" w:rsidP="005635CA">
                  <w:pPr>
                    <w:pStyle w:val="BodyText"/>
                    <w:keepLines/>
                    <w:spacing w:before="20" w:after="0" w:line="245" w:lineRule="auto"/>
                    <w:jc w:val="center"/>
                    <w:rPr>
                      <w:rFonts w:asciiTheme="majorHAnsi" w:hAnsiTheme="majorHAnsi" w:cstheme="majorHAnsi"/>
                      <w:sz w:val="17"/>
                      <w:szCs w:val="17"/>
                    </w:rPr>
                  </w:pPr>
                  <w:r w:rsidRPr="008F2E35">
                    <w:rPr>
                      <w:rFonts w:asciiTheme="majorHAnsi" w:hAnsiTheme="majorHAnsi" w:cstheme="majorHAnsi"/>
                      <w:sz w:val="17"/>
                      <w:szCs w:val="17"/>
                    </w:rPr>
                    <w:t>X</w:t>
                  </w:r>
                </w:p>
              </w:tc>
            </w:tr>
            <w:tr w:rsidR="005635CA" w:rsidRPr="004154A3" w14:paraId="05674387" w14:textId="77777777" w:rsidTr="00610057">
              <w:trPr>
                <w:cnfStyle w:val="000000010000" w:firstRow="0" w:lastRow="0" w:firstColumn="0" w:lastColumn="0" w:oddVBand="0" w:evenVBand="0" w:oddHBand="0" w:evenHBand="1" w:firstRowFirstColumn="0" w:firstRowLastColumn="0" w:lastRowFirstColumn="0" w:lastRowLastColumn="0"/>
                <w:cantSplit/>
                <w:jc w:val="center"/>
              </w:trPr>
              <w:tc>
                <w:tcPr>
                  <w:tcW w:w="1006" w:type="dxa"/>
                  <w:vAlign w:val="bottom"/>
                </w:tcPr>
                <w:p w14:paraId="72526C1B" w14:textId="77777777" w:rsidR="005635CA" w:rsidRPr="008F2E35" w:rsidRDefault="005635CA" w:rsidP="005635CA">
                  <w:pPr>
                    <w:pStyle w:val="BodyText"/>
                    <w:keepLines/>
                    <w:spacing w:before="20" w:after="0" w:line="245" w:lineRule="auto"/>
                    <w:jc w:val="center"/>
                    <w:rPr>
                      <w:rFonts w:asciiTheme="majorHAnsi" w:hAnsiTheme="majorHAnsi" w:cstheme="majorHAnsi"/>
                      <w:sz w:val="17"/>
                      <w:szCs w:val="17"/>
                    </w:rPr>
                  </w:pPr>
                  <w:r w:rsidRPr="008F2E35">
                    <w:rPr>
                      <w:rFonts w:asciiTheme="majorHAnsi" w:hAnsiTheme="majorHAnsi" w:cstheme="majorHAnsi"/>
                      <w:sz w:val="17"/>
                      <w:szCs w:val="17"/>
                    </w:rPr>
                    <w:t>B</w:t>
                  </w:r>
                </w:p>
              </w:tc>
              <w:tc>
                <w:tcPr>
                  <w:tcW w:w="1434" w:type="dxa"/>
                  <w:vAlign w:val="bottom"/>
                </w:tcPr>
                <w:p w14:paraId="5F0A4743" w14:textId="77777777" w:rsidR="005635CA" w:rsidRPr="008F2E35" w:rsidRDefault="005635CA" w:rsidP="005635CA">
                  <w:pPr>
                    <w:pStyle w:val="BodyText"/>
                    <w:keepLines/>
                    <w:spacing w:before="20" w:after="0" w:line="245" w:lineRule="auto"/>
                    <w:jc w:val="center"/>
                    <w:rPr>
                      <w:rFonts w:asciiTheme="majorHAnsi" w:hAnsiTheme="majorHAnsi" w:cstheme="majorHAnsi"/>
                      <w:sz w:val="17"/>
                      <w:szCs w:val="17"/>
                    </w:rPr>
                  </w:pPr>
                  <w:r w:rsidRPr="008F2E35">
                    <w:rPr>
                      <w:rFonts w:asciiTheme="majorHAnsi" w:hAnsiTheme="majorHAnsi" w:cstheme="majorHAnsi"/>
                      <w:sz w:val="17"/>
                      <w:szCs w:val="17"/>
                    </w:rPr>
                    <w:t>$40</w:t>
                  </w:r>
                </w:p>
              </w:tc>
              <w:tc>
                <w:tcPr>
                  <w:tcW w:w="1229" w:type="dxa"/>
                  <w:vAlign w:val="bottom"/>
                </w:tcPr>
                <w:p w14:paraId="285CAE22" w14:textId="77777777" w:rsidR="005635CA" w:rsidRPr="008F2E35" w:rsidRDefault="005635CA" w:rsidP="005635CA">
                  <w:pPr>
                    <w:pStyle w:val="BodyText"/>
                    <w:keepLines/>
                    <w:spacing w:before="20" w:after="0" w:line="245" w:lineRule="auto"/>
                    <w:jc w:val="center"/>
                    <w:rPr>
                      <w:rFonts w:asciiTheme="majorHAnsi" w:hAnsiTheme="majorHAnsi" w:cstheme="majorHAnsi"/>
                      <w:sz w:val="17"/>
                      <w:szCs w:val="17"/>
                    </w:rPr>
                  </w:pPr>
                  <w:r w:rsidRPr="008F2E35">
                    <w:rPr>
                      <w:rFonts w:asciiTheme="majorHAnsi" w:hAnsiTheme="majorHAnsi" w:cstheme="majorHAnsi"/>
                      <w:sz w:val="17"/>
                      <w:szCs w:val="17"/>
                    </w:rPr>
                    <w:t>150</w:t>
                  </w:r>
                </w:p>
              </w:tc>
              <w:tc>
                <w:tcPr>
                  <w:tcW w:w="1434" w:type="dxa"/>
                  <w:tcBorders>
                    <w:bottom w:val="single" w:sz="4" w:space="0" w:color="auto"/>
                  </w:tcBorders>
                  <w:shd w:val="clear" w:color="auto" w:fill="FFFFFF" w:themeFill="background1"/>
                  <w:vAlign w:val="bottom"/>
                </w:tcPr>
                <w:p w14:paraId="06910B32" w14:textId="77777777" w:rsidR="005635CA" w:rsidRPr="00055169" w:rsidRDefault="005635CA" w:rsidP="005635CA">
                  <w:pPr>
                    <w:pStyle w:val="BodyText"/>
                    <w:keepLines/>
                    <w:spacing w:before="20" w:after="0" w:line="245" w:lineRule="auto"/>
                    <w:jc w:val="center"/>
                    <w:rPr>
                      <w:rFonts w:asciiTheme="majorHAnsi" w:hAnsiTheme="majorHAnsi" w:cstheme="majorHAnsi"/>
                      <w:sz w:val="17"/>
                      <w:szCs w:val="17"/>
                    </w:rPr>
                  </w:pPr>
                  <w:r w:rsidRPr="00055169">
                    <w:rPr>
                      <w:rFonts w:asciiTheme="majorHAnsi" w:hAnsiTheme="majorHAnsi" w:cstheme="majorHAnsi"/>
                      <w:sz w:val="17"/>
                      <w:szCs w:val="17"/>
                    </w:rPr>
                    <w:t>X</w:t>
                  </w:r>
                </w:p>
              </w:tc>
            </w:tr>
            <w:tr w:rsidR="005635CA" w:rsidRPr="004154A3" w14:paraId="1DBE4942" w14:textId="77777777" w:rsidTr="00610057">
              <w:trPr>
                <w:cantSplit/>
                <w:jc w:val="center"/>
              </w:trPr>
              <w:tc>
                <w:tcPr>
                  <w:tcW w:w="1006" w:type="dxa"/>
                  <w:vAlign w:val="bottom"/>
                </w:tcPr>
                <w:p w14:paraId="659634A8" w14:textId="77777777" w:rsidR="005635CA" w:rsidRPr="008F2E35" w:rsidRDefault="005635CA" w:rsidP="005635CA">
                  <w:pPr>
                    <w:pStyle w:val="BodyText"/>
                    <w:keepLines/>
                    <w:spacing w:before="20" w:after="0" w:line="245" w:lineRule="auto"/>
                    <w:jc w:val="center"/>
                    <w:rPr>
                      <w:rFonts w:asciiTheme="majorHAnsi" w:hAnsiTheme="majorHAnsi" w:cstheme="majorHAnsi"/>
                      <w:sz w:val="17"/>
                      <w:szCs w:val="17"/>
                    </w:rPr>
                  </w:pPr>
                  <w:r w:rsidRPr="008F2E35">
                    <w:rPr>
                      <w:rFonts w:asciiTheme="majorHAnsi" w:hAnsiTheme="majorHAnsi" w:cstheme="majorHAnsi"/>
                      <w:sz w:val="17"/>
                      <w:szCs w:val="17"/>
                    </w:rPr>
                    <w:t>C</w:t>
                  </w:r>
                </w:p>
              </w:tc>
              <w:tc>
                <w:tcPr>
                  <w:tcW w:w="1434" w:type="dxa"/>
                  <w:vAlign w:val="bottom"/>
                </w:tcPr>
                <w:p w14:paraId="4E6F0E16" w14:textId="77777777" w:rsidR="005635CA" w:rsidRPr="008F2E35" w:rsidRDefault="005635CA" w:rsidP="005635CA">
                  <w:pPr>
                    <w:pStyle w:val="BodyText"/>
                    <w:keepLines/>
                    <w:spacing w:before="20" w:after="0" w:line="245" w:lineRule="auto"/>
                    <w:jc w:val="center"/>
                    <w:rPr>
                      <w:rFonts w:asciiTheme="majorHAnsi" w:hAnsiTheme="majorHAnsi" w:cstheme="majorHAnsi"/>
                      <w:sz w:val="17"/>
                      <w:szCs w:val="17"/>
                    </w:rPr>
                  </w:pPr>
                  <w:r w:rsidRPr="008F2E35">
                    <w:rPr>
                      <w:rFonts w:asciiTheme="majorHAnsi" w:hAnsiTheme="majorHAnsi" w:cstheme="majorHAnsi"/>
                      <w:sz w:val="17"/>
                      <w:szCs w:val="17"/>
                    </w:rPr>
                    <w:t>$30</w:t>
                  </w:r>
                </w:p>
              </w:tc>
              <w:tc>
                <w:tcPr>
                  <w:tcW w:w="1229" w:type="dxa"/>
                  <w:vAlign w:val="bottom"/>
                </w:tcPr>
                <w:p w14:paraId="157C41E7" w14:textId="77777777" w:rsidR="005635CA" w:rsidRPr="008F2E35" w:rsidRDefault="005635CA" w:rsidP="005635CA">
                  <w:pPr>
                    <w:pStyle w:val="BodyText"/>
                    <w:keepLines/>
                    <w:spacing w:before="20" w:after="0" w:line="245" w:lineRule="auto"/>
                    <w:jc w:val="center"/>
                    <w:rPr>
                      <w:rFonts w:asciiTheme="majorHAnsi" w:hAnsiTheme="majorHAnsi" w:cstheme="majorHAnsi"/>
                      <w:sz w:val="17"/>
                      <w:szCs w:val="17"/>
                    </w:rPr>
                  </w:pPr>
                  <w:r w:rsidRPr="008F2E35">
                    <w:rPr>
                      <w:rFonts w:asciiTheme="majorHAnsi" w:hAnsiTheme="majorHAnsi" w:cstheme="majorHAnsi"/>
                      <w:sz w:val="17"/>
                      <w:szCs w:val="17"/>
                    </w:rPr>
                    <w:t>100</w:t>
                  </w:r>
                </w:p>
              </w:tc>
              <w:tc>
                <w:tcPr>
                  <w:tcW w:w="1434" w:type="dxa"/>
                  <w:shd w:val="clear" w:color="auto" w:fill="FFFFFF" w:themeFill="background1"/>
                  <w:vAlign w:val="bottom"/>
                </w:tcPr>
                <w:p w14:paraId="5AF90193" w14:textId="77777777" w:rsidR="005635CA" w:rsidRPr="00055169" w:rsidRDefault="005635CA" w:rsidP="005635CA">
                  <w:pPr>
                    <w:pStyle w:val="BodyText"/>
                    <w:keepLines/>
                    <w:spacing w:before="20" w:after="0" w:line="245" w:lineRule="auto"/>
                    <w:jc w:val="center"/>
                    <w:rPr>
                      <w:rFonts w:asciiTheme="majorHAnsi" w:hAnsiTheme="majorHAnsi" w:cstheme="majorHAnsi"/>
                      <w:sz w:val="17"/>
                      <w:szCs w:val="17"/>
                    </w:rPr>
                  </w:pPr>
                  <w:r w:rsidRPr="00055169">
                    <w:rPr>
                      <w:rFonts w:asciiTheme="majorHAnsi" w:hAnsiTheme="majorHAnsi" w:cstheme="majorHAnsi"/>
                      <w:sz w:val="17"/>
                      <w:szCs w:val="17"/>
                    </w:rPr>
                    <w:t>X</w:t>
                  </w:r>
                </w:p>
              </w:tc>
            </w:tr>
          </w:tbl>
          <w:p w14:paraId="280D2F30" w14:textId="77777777" w:rsidR="005635CA" w:rsidRPr="004154A3" w:rsidRDefault="005635CA" w:rsidP="005635CA">
            <w:pPr>
              <w:pStyle w:val="ListParagraph"/>
              <w:keepLines/>
              <w:spacing w:before="20" w:line="245" w:lineRule="auto"/>
              <w:ind w:left="0"/>
              <w:rPr>
                <w:rFonts w:asciiTheme="majorHAnsi" w:hAnsiTheme="majorHAnsi" w:cstheme="majorHAnsi"/>
                <w:sz w:val="20"/>
                <w:szCs w:val="20"/>
              </w:rPr>
            </w:pPr>
          </w:p>
          <w:p w14:paraId="1CD7FF7C" w14:textId="77777777" w:rsidR="005635CA" w:rsidRDefault="005635CA" w:rsidP="005635CA">
            <w:pPr>
              <w:pStyle w:val="ListParagraph"/>
              <w:keepLines/>
              <w:spacing w:before="20" w:line="245" w:lineRule="auto"/>
              <w:ind w:left="0"/>
              <w:contextualSpacing w:val="0"/>
              <w:rPr>
                <w:rFonts w:asciiTheme="majorHAnsi" w:hAnsiTheme="majorHAnsi" w:cstheme="majorHAnsi"/>
                <w:b/>
                <w:sz w:val="20"/>
                <w:szCs w:val="20"/>
              </w:rPr>
            </w:pPr>
            <w:r w:rsidRPr="004154A3">
              <w:rPr>
                <w:rFonts w:asciiTheme="majorHAnsi" w:hAnsiTheme="majorHAnsi" w:cstheme="majorHAnsi"/>
                <w:b/>
                <w:sz w:val="20"/>
                <w:szCs w:val="20"/>
              </w:rPr>
              <w:t>Two or more prices that satisfy pricing constraints imposed by lowest accepted bids</w:t>
            </w:r>
          </w:p>
          <w:p w14:paraId="2570F09F" w14:textId="77777777" w:rsidR="005635CA" w:rsidRDefault="005635CA" w:rsidP="005635CA">
            <w:pPr>
              <w:pStyle w:val="ListParagraph"/>
              <w:keepLines/>
              <w:spacing w:before="20" w:line="245" w:lineRule="auto"/>
              <w:ind w:left="0"/>
              <w:contextualSpacing w:val="0"/>
              <w:rPr>
                <w:rFonts w:asciiTheme="majorHAnsi" w:hAnsiTheme="majorHAnsi" w:cstheme="majorHAnsi"/>
                <w:sz w:val="20"/>
                <w:szCs w:val="20"/>
              </w:rPr>
            </w:pPr>
            <w:r>
              <w:rPr>
                <w:rFonts w:asciiTheme="majorHAnsi" w:hAnsiTheme="majorHAnsi" w:cstheme="majorHAnsi"/>
                <w:sz w:val="20"/>
                <w:szCs w:val="20"/>
              </w:rPr>
              <w:t>In the example in the table below, shipper</w:t>
            </w:r>
            <w:r w:rsidRPr="004154A3">
              <w:rPr>
                <w:rFonts w:asciiTheme="majorHAnsi" w:hAnsiTheme="majorHAnsi" w:cstheme="majorHAnsi"/>
                <w:sz w:val="20"/>
                <w:szCs w:val="20"/>
              </w:rPr>
              <w:t xml:space="preserve"> A and B win in full. </w:t>
            </w:r>
            <w:r>
              <w:rPr>
                <w:rFonts w:asciiTheme="majorHAnsi" w:hAnsiTheme="majorHAnsi" w:cstheme="majorHAnsi"/>
                <w:sz w:val="20"/>
                <w:szCs w:val="20"/>
              </w:rPr>
              <w:t xml:space="preserve">Shipper </w:t>
            </w:r>
            <w:r w:rsidRPr="004154A3">
              <w:rPr>
                <w:rFonts w:asciiTheme="majorHAnsi" w:hAnsiTheme="majorHAnsi" w:cstheme="majorHAnsi"/>
                <w:sz w:val="20"/>
                <w:szCs w:val="20"/>
              </w:rPr>
              <w:t xml:space="preserve">C is the lowest accepted bid and receives 50 units. The lowest accepted bid C requires the prices of S1 and S2 sum to $30. The </w:t>
            </w:r>
            <w:r>
              <w:rPr>
                <w:rFonts w:asciiTheme="majorHAnsi" w:hAnsiTheme="majorHAnsi" w:cstheme="majorHAnsi"/>
                <w:sz w:val="20"/>
                <w:szCs w:val="20"/>
              </w:rPr>
              <w:t xml:space="preserve">partial combinatorial linear program </w:t>
            </w:r>
            <w:r w:rsidRPr="004154A3">
              <w:rPr>
                <w:rFonts w:asciiTheme="majorHAnsi" w:hAnsiTheme="majorHAnsi" w:cstheme="majorHAnsi"/>
                <w:sz w:val="20"/>
                <w:szCs w:val="20"/>
              </w:rPr>
              <w:t>usually picks a corner solution</w:t>
            </w:r>
            <w:r>
              <w:rPr>
                <w:rFonts w:asciiTheme="majorHAnsi" w:hAnsiTheme="majorHAnsi" w:cstheme="majorHAnsi"/>
                <w:sz w:val="20"/>
                <w:szCs w:val="20"/>
              </w:rPr>
              <w:t xml:space="preserve"> (i.e. it </w:t>
            </w:r>
            <w:r w:rsidRPr="004154A3">
              <w:rPr>
                <w:rFonts w:asciiTheme="majorHAnsi" w:hAnsiTheme="majorHAnsi" w:cstheme="majorHAnsi"/>
                <w:sz w:val="20"/>
                <w:szCs w:val="20"/>
              </w:rPr>
              <w:t>may set the price of S1 to $30 and the price of S2 to $0</w:t>
            </w:r>
            <w:r>
              <w:rPr>
                <w:rFonts w:asciiTheme="majorHAnsi" w:hAnsiTheme="majorHAnsi" w:cstheme="majorHAnsi"/>
                <w:sz w:val="20"/>
                <w:szCs w:val="20"/>
              </w:rPr>
              <w:t xml:space="preserve"> or vice versa)</w:t>
            </w:r>
            <w:r w:rsidRPr="004154A3">
              <w:rPr>
                <w:rFonts w:asciiTheme="majorHAnsi" w:hAnsiTheme="majorHAnsi" w:cstheme="majorHAnsi"/>
                <w:sz w:val="20"/>
                <w:szCs w:val="20"/>
              </w:rPr>
              <w:t xml:space="preserve">. The way the </w:t>
            </w:r>
            <w:r>
              <w:rPr>
                <w:rFonts w:asciiTheme="majorHAnsi" w:hAnsiTheme="majorHAnsi" w:cstheme="majorHAnsi"/>
                <w:sz w:val="20"/>
                <w:szCs w:val="20"/>
              </w:rPr>
              <w:t xml:space="preserve">linear program </w:t>
            </w:r>
            <w:r w:rsidRPr="004154A3">
              <w:rPr>
                <w:rFonts w:asciiTheme="majorHAnsi" w:hAnsiTheme="majorHAnsi" w:cstheme="majorHAnsi"/>
                <w:sz w:val="20"/>
                <w:szCs w:val="20"/>
              </w:rPr>
              <w:t>picks a solution is not random and depends on the structure of the problem (such as order of products and/or bids).</w:t>
            </w:r>
            <w:r>
              <w:rPr>
                <w:rStyle w:val="FootnoteReference"/>
                <w:rFonts w:asciiTheme="majorHAnsi" w:hAnsiTheme="majorHAnsi" w:cstheme="majorHAnsi"/>
                <w:sz w:val="20"/>
                <w:szCs w:val="20"/>
              </w:rPr>
              <w:footnoteReference w:id="59"/>
            </w:r>
            <w:r w:rsidRPr="004154A3">
              <w:rPr>
                <w:rFonts w:asciiTheme="majorHAnsi" w:hAnsiTheme="majorHAnsi" w:cstheme="majorHAnsi"/>
                <w:sz w:val="20"/>
                <w:szCs w:val="20"/>
              </w:rPr>
              <w:t xml:space="preserve"> </w:t>
            </w:r>
          </w:p>
          <w:p w14:paraId="78CBBC8E" w14:textId="77777777" w:rsidR="005635CA" w:rsidRPr="001E0A2D" w:rsidRDefault="005635CA" w:rsidP="005635CA">
            <w:pPr>
              <w:keepNext/>
              <w:keepLines/>
              <w:spacing w:line="245" w:lineRule="auto"/>
              <w:ind w:left="820"/>
              <w:rPr>
                <w:b/>
                <w:sz w:val="20"/>
                <w:szCs w:val="20"/>
              </w:rPr>
            </w:pPr>
            <w:r w:rsidRPr="001E0A2D">
              <w:rPr>
                <w:b/>
                <w:sz w:val="20"/>
                <w:szCs w:val="20"/>
              </w:rPr>
              <w:t>Bids</w:t>
            </w:r>
            <w:r>
              <w:rPr>
                <w:b/>
                <w:sz w:val="20"/>
                <w:szCs w:val="20"/>
              </w:rPr>
              <w:t xml:space="preserve"> for capacity </w:t>
            </w:r>
          </w:p>
          <w:tbl>
            <w:tblPr>
              <w:tblStyle w:val="TableGrid"/>
              <w:tblW w:w="6804" w:type="dxa"/>
              <w:jc w:val="center"/>
              <w:tblLook w:val="04A0" w:firstRow="1" w:lastRow="0" w:firstColumn="1" w:lastColumn="0" w:noHBand="0" w:noVBand="1"/>
              <w:tblCaption w:val="Bids for capacity"/>
              <w:tblDescription w:val="Bids for capacity - Two or more prices that satisfy pricing constraints imposed by lowest accepted bids"/>
            </w:tblPr>
            <w:tblGrid>
              <w:gridCol w:w="1046"/>
              <w:gridCol w:w="1493"/>
              <w:gridCol w:w="1279"/>
              <w:gridCol w:w="1493"/>
              <w:gridCol w:w="1493"/>
            </w:tblGrid>
            <w:tr w:rsidR="005635CA" w:rsidRPr="004154A3" w14:paraId="74AC9F89" w14:textId="77777777" w:rsidTr="00F154EF">
              <w:trPr>
                <w:cnfStyle w:val="100000000000" w:firstRow="1" w:lastRow="0" w:firstColumn="0" w:lastColumn="0" w:oddVBand="0" w:evenVBand="0" w:oddHBand="0" w:evenHBand="0" w:firstRowFirstColumn="0" w:firstRowLastColumn="0" w:lastRowFirstColumn="0" w:lastRowLastColumn="0"/>
                <w:cantSplit/>
                <w:trHeight w:val="258"/>
                <w:tblHeader/>
                <w:jc w:val="center"/>
              </w:trPr>
              <w:tc>
                <w:tcPr>
                  <w:tcW w:w="1046" w:type="dxa"/>
                  <w:shd w:val="clear" w:color="auto" w:fill="0099CC"/>
                </w:tcPr>
                <w:p w14:paraId="3B0D87A7" w14:textId="77777777" w:rsidR="005635CA" w:rsidRPr="008F2E35" w:rsidRDefault="005635CA" w:rsidP="005635CA">
                  <w:pPr>
                    <w:pStyle w:val="BodyText"/>
                    <w:keepLines/>
                    <w:spacing w:before="20" w:after="0" w:line="245" w:lineRule="auto"/>
                    <w:jc w:val="center"/>
                    <w:rPr>
                      <w:rFonts w:asciiTheme="majorHAnsi" w:hAnsiTheme="majorHAnsi" w:cstheme="majorHAnsi"/>
                      <w:b w:val="0"/>
                      <w:color w:val="FFFFFF" w:themeColor="background1"/>
                      <w:sz w:val="17"/>
                      <w:szCs w:val="17"/>
                    </w:rPr>
                  </w:pPr>
                  <w:r w:rsidRPr="008F2E35">
                    <w:rPr>
                      <w:rFonts w:asciiTheme="majorHAnsi" w:hAnsiTheme="majorHAnsi" w:cstheme="majorHAnsi"/>
                      <w:b w:val="0"/>
                      <w:color w:val="FFFFFF" w:themeColor="background1"/>
                      <w:sz w:val="17"/>
                      <w:szCs w:val="17"/>
                    </w:rPr>
                    <w:t>Shipper</w:t>
                  </w:r>
                </w:p>
              </w:tc>
              <w:tc>
                <w:tcPr>
                  <w:tcW w:w="1493" w:type="dxa"/>
                  <w:shd w:val="clear" w:color="auto" w:fill="0099CC"/>
                </w:tcPr>
                <w:p w14:paraId="1119D315" w14:textId="77777777" w:rsidR="005635CA" w:rsidRPr="008F2E35" w:rsidRDefault="005635CA" w:rsidP="005635CA">
                  <w:pPr>
                    <w:pStyle w:val="BodyText"/>
                    <w:keepLines/>
                    <w:spacing w:before="20" w:after="0" w:line="245" w:lineRule="auto"/>
                    <w:jc w:val="center"/>
                    <w:rPr>
                      <w:rFonts w:asciiTheme="majorHAnsi" w:hAnsiTheme="majorHAnsi" w:cstheme="majorHAnsi"/>
                      <w:b w:val="0"/>
                      <w:color w:val="FFFFFF" w:themeColor="background1"/>
                      <w:sz w:val="17"/>
                      <w:szCs w:val="17"/>
                    </w:rPr>
                  </w:pPr>
                  <w:r w:rsidRPr="008F2E35">
                    <w:rPr>
                      <w:rFonts w:asciiTheme="majorHAnsi" w:hAnsiTheme="majorHAnsi" w:cstheme="majorHAnsi"/>
                      <w:b w:val="0"/>
                      <w:color w:val="FFFFFF" w:themeColor="background1"/>
                      <w:sz w:val="17"/>
                      <w:szCs w:val="17"/>
                    </w:rPr>
                    <w:t>Price (per unit)</w:t>
                  </w:r>
                </w:p>
              </w:tc>
              <w:tc>
                <w:tcPr>
                  <w:tcW w:w="1279" w:type="dxa"/>
                  <w:shd w:val="clear" w:color="auto" w:fill="0099CC"/>
                </w:tcPr>
                <w:p w14:paraId="26C3960F" w14:textId="77777777" w:rsidR="005635CA" w:rsidRPr="008F2E35" w:rsidRDefault="005635CA" w:rsidP="005635CA">
                  <w:pPr>
                    <w:pStyle w:val="BodyText"/>
                    <w:keepLines/>
                    <w:spacing w:before="20" w:after="0" w:line="245" w:lineRule="auto"/>
                    <w:jc w:val="center"/>
                    <w:rPr>
                      <w:rFonts w:asciiTheme="majorHAnsi" w:hAnsiTheme="majorHAnsi" w:cstheme="majorHAnsi"/>
                      <w:b w:val="0"/>
                      <w:color w:val="FFFFFF" w:themeColor="background1"/>
                      <w:sz w:val="17"/>
                      <w:szCs w:val="17"/>
                    </w:rPr>
                  </w:pPr>
                  <w:r w:rsidRPr="008F2E35">
                    <w:rPr>
                      <w:rFonts w:asciiTheme="majorHAnsi" w:hAnsiTheme="majorHAnsi" w:cstheme="majorHAnsi"/>
                      <w:b w:val="0"/>
                      <w:color w:val="FFFFFF" w:themeColor="background1"/>
                      <w:sz w:val="17"/>
                      <w:szCs w:val="17"/>
                    </w:rPr>
                    <w:t>Q</w:t>
                  </w:r>
                </w:p>
              </w:tc>
              <w:tc>
                <w:tcPr>
                  <w:tcW w:w="1493" w:type="dxa"/>
                  <w:tcBorders>
                    <w:bottom w:val="single" w:sz="4" w:space="0" w:color="auto"/>
                  </w:tcBorders>
                  <w:shd w:val="clear" w:color="auto" w:fill="0099CC"/>
                </w:tcPr>
                <w:p w14:paraId="38609797" w14:textId="77777777" w:rsidR="005635CA" w:rsidRPr="008F2E35" w:rsidRDefault="005635CA" w:rsidP="005635CA">
                  <w:pPr>
                    <w:pStyle w:val="BodyText"/>
                    <w:keepLines/>
                    <w:spacing w:before="20" w:after="0" w:line="245" w:lineRule="auto"/>
                    <w:jc w:val="center"/>
                    <w:rPr>
                      <w:rFonts w:asciiTheme="majorHAnsi" w:hAnsiTheme="majorHAnsi" w:cstheme="majorHAnsi"/>
                      <w:b w:val="0"/>
                      <w:color w:val="FFFFFF" w:themeColor="background1"/>
                      <w:sz w:val="17"/>
                      <w:szCs w:val="17"/>
                    </w:rPr>
                  </w:pPr>
                  <w:r w:rsidRPr="008F2E35">
                    <w:rPr>
                      <w:rFonts w:asciiTheme="majorHAnsi" w:hAnsiTheme="majorHAnsi" w:cstheme="majorHAnsi"/>
                      <w:b w:val="0"/>
                      <w:color w:val="FFFFFF" w:themeColor="background1"/>
                      <w:sz w:val="17"/>
                      <w:szCs w:val="17"/>
                    </w:rPr>
                    <w:t xml:space="preserve">S1 </w:t>
                  </w:r>
                  <w:r w:rsidRPr="008F2E35">
                    <w:rPr>
                      <w:rFonts w:asciiTheme="majorHAnsi" w:hAnsiTheme="majorHAnsi" w:cstheme="majorHAnsi"/>
                      <w:b w:val="0"/>
                      <w:color w:val="FFFFFF" w:themeColor="background1"/>
                      <w:sz w:val="17"/>
                      <w:szCs w:val="17"/>
                    </w:rPr>
                    <w:br/>
                    <w:t>(C</w:t>
                  </w:r>
                  <w:r w:rsidRPr="008F2E35">
                    <w:rPr>
                      <w:rFonts w:asciiTheme="majorHAnsi" w:hAnsiTheme="majorHAnsi" w:cstheme="majorHAnsi"/>
                      <w:b w:val="0"/>
                      <w:color w:val="FFFFFF" w:themeColor="background1"/>
                      <w:sz w:val="17"/>
                      <w:szCs w:val="17"/>
                      <w:vertAlign w:val="subscript"/>
                    </w:rPr>
                    <w:t>1</w:t>
                  </w:r>
                  <w:r w:rsidRPr="008F2E35">
                    <w:rPr>
                      <w:rFonts w:asciiTheme="majorHAnsi" w:hAnsiTheme="majorHAnsi" w:cstheme="majorHAnsi"/>
                      <w:b w:val="0"/>
                      <w:color w:val="FFFFFF" w:themeColor="background1"/>
                      <w:sz w:val="17"/>
                      <w:szCs w:val="17"/>
                    </w:rPr>
                    <w:t xml:space="preserve"> = 200)</w:t>
                  </w:r>
                </w:p>
              </w:tc>
              <w:tc>
                <w:tcPr>
                  <w:tcW w:w="1493" w:type="dxa"/>
                  <w:tcBorders>
                    <w:bottom w:val="single" w:sz="4" w:space="0" w:color="auto"/>
                  </w:tcBorders>
                  <w:shd w:val="clear" w:color="auto" w:fill="0099CC"/>
                </w:tcPr>
                <w:p w14:paraId="6CA44309" w14:textId="77777777" w:rsidR="005635CA" w:rsidRPr="008F2E35" w:rsidRDefault="005635CA" w:rsidP="005635CA">
                  <w:pPr>
                    <w:pStyle w:val="BodyText"/>
                    <w:keepLines/>
                    <w:spacing w:before="20" w:after="0" w:line="245" w:lineRule="auto"/>
                    <w:jc w:val="center"/>
                    <w:rPr>
                      <w:rFonts w:asciiTheme="majorHAnsi" w:hAnsiTheme="majorHAnsi" w:cstheme="majorHAnsi"/>
                      <w:b w:val="0"/>
                      <w:color w:val="FFFFFF" w:themeColor="background1"/>
                      <w:sz w:val="17"/>
                      <w:szCs w:val="17"/>
                    </w:rPr>
                  </w:pPr>
                  <w:r w:rsidRPr="008F2E35">
                    <w:rPr>
                      <w:rFonts w:asciiTheme="majorHAnsi" w:hAnsiTheme="majorHAnsi" w:cstheme="majorHAnsi"/>
                      <w:b w:val="0"/>
                      <w:color w:val="FFFFFF" w:themeColor="background1"/>
                      <w:sz w:val="17"/>
                      <w:szCs w:val="17"/>
                    </w:rPr>
                    <w:t xml:space="preserve">S2 </w:t>
                  </w:r>
                  <w:r w:rsidRPr="008F2E35">
                    <w:rPr>
                      <w:rFonts w:asciiTheme="majorHAnsi" w:hAnsiTheme="majorHAnsi" w:cstheme="majorHAnsi"/>
                      <w:b w:val="0"/>
                      <w:color w:val="FFFFFF" w:themeColor="background1"/>
                      <w:sz w:val="17"/>
                      <w:szCs w:val="17"/>
                    </w:rPr>
                    <w:br/>
                    <w:t>(C</w:t>
                  </w:r>
                  <w:r w:rsidRPr="008F2E35">
                    <w:rPr>
                      <w:rFonts w:asciiTheme="majorHAnsi" w:hAnsiTheme="majorHAnsi" w:cstheme="majorHAnsi"/>
                      <w:b w:val="0"/>
                      <w:color w:val="FFFFFF" w:themeColor="background1"/>
                      <w:sz w:val="17"/>
                      <w:szCs w:val="17"/>
                      <w:vertAlign w:val="subscript"/>
                    </w:rPr>
                    <w:t>2</w:t>
                  </w:r>
                  <w:r w:rsidRPr="008F2E35">
                    <w:rPr>
                      <w:rFonts w:asciiTheme="majorHAnsi" w:hAnsiTheme="majorHAnsi" w:cstheme="majorHAnsi"/>
                      <w:b w:val="0"/>
                      <w:color w:val="FFFFFF" w:themeColor="background1"/>
                      <w:sz w:val="17"/>
                      <w:szCs w:val="17"/>
                    </w:rPr>
                    <w:t xml:space="preserve"> = 200)</w:t>
                  </w:r>
                </w:p>
              </w:tc>
            </w:tr>
            <w:tr w:rsidR="005635CA" w:rsidRPr="004154A3" w14:paraId="21A50B6F" w14:textId="77777777" w:rsidTr="00610057">
              <w:trPr>
                <w:cantSplit/>
                <w:jc w:val="center"/>
              </w:trPr>
              <w:tc>
                <w:tcPr>
                  <w:tcW w:w="1046" w:type="dxa"/>
                  <w:vAlign w:val="bottom"/>
                </w:tcPr>
                <w:p w14:paraId="1D7140EF" w14:textId="77777777" w:rsidR="005635CA" w:rsidRPr="008F2E35" w:rsidRDefault="005635CA" w:rsidP="005635CA">
                  <w:pPr>
                    <w:pStyle w:val="BodyText"/>
                    <w:keepLines/>
                    <w:spacing w:before="20" w:after="0" w:line="245" w:lineRule="auto"/>
                    <w:jc w:val="center"/>
                    <w:rPr>
                      <w:rFonts w:asciiTheme="majorHAnsi" w:hAnsiTheme="majorHAnsi" w:cstheme="majorHAnsi"/>
                      <w:sz w:val="17"/>
                      <w:szCs w:val="17"/>
                    </w:rPr>
                  </w:pPr>
                  <w:r w:rsidRPr="008F2E35">
                    <w:rPr>
                      <w:rFonts w:asciiTheme="majorHAnsi" w:hAnsiTheme="majorHAnsi" w:cstheme="majorHAnsi"/>
                      <w:sz w:val="17"/>
                      <w:szCs w:val="17"/>
                    </w:rPr>
                    <w:t>A</w:t>
                  </w:r>
                </w:p>
              </w:tc>
              <w:tc>
                <w:tcPr>
                  <w:tcW w:w="1493" w:type="dxa"/>
                  <w:vAlign w:val="bottom"/>
                </w:tcPr>
                <w:p w14:paraId="1CD4D589" w14:textId="77777777" w:rsidR="005635CA" w:rsidRPr="008F2E35" w:rsidRDefault="005635CA" w:rsidP="005635CA">
                  <w:pPr>
                    <w:pStyle w:val="BodyText"/>
                    <w:keepLines/>
                    <w:spacing w:before="20" w:after="0" w:line="245" w:lineRule="auto"/>
                    <w:jc w:val="center"/>
                    <w:rPr>
                      <w:rFonts w:asciiTheme="majorHAnsi" w:hAnsiTheme="majorHAnsi" w:cstheme="majorHAnsi"/>
                      <w:sz w:val="17"/>
                      <w:szCs w:val="17"/>
                    </w:rPr>
                  </w:pPr>
                  <w:r w:rsidRPr="008F2E35">
                    <w:rPr>
                      <w:rFonts w:asciiTheme="majorHAnsi" w:hAnsiTheme="majorHAnsi" w:cstheme="majorHAnsi"/>
                      <w:sz w:val="17"/>
                      <w:szCs w:val="17"/>
                    </w:rPr>
                    <w:t>$50</w:t>
                  </w:r>
                </w:p>
              </w:tc>
              <w:tc>
                <w:tcPr>
                  <w:tcW w:w="1279" w:type="dxa"/>
                  <w:vAlign w:val="bottom"/>
                </w:tcPr>
                <w:p w14:paraId="2C10B1E7" w14:textId="77777777" w:rsidR="005635CA" w:rsidRPr="008F2E35" w:rsidRDefault="005635CA" w:rsidP="005635CA">
                  <w:pPr>
                    <w:pStyle w:val="BodyText"/>
                    <w:keepLines/>
                    <w:spacing w:before="20" w:after="0" w:line="245" w:lineRule="auto"/>
                    <w:jc w:val="center"/>
                    <w:rPr>
                      <w:rFonts w:asciiTheme="majorHAnsi" w:hAnsiTheme="majorHAnsi" w:cstheme="majorHAnsi"/>
                      <w:sz w:val="17"/>
                      <w:szCs w:val="17"/>
                    </w:rPr>
                  </w:pPr>
                  <w:r w:rsidRPr="008F2E35">
                    <w:rPr>
                      <w:rFonts w:asciiTheme="majorHAnsi" w:hAnsiTheme="majorHAnsi" w:cstheme="majorHAnsi"/>
                      <w:sz w:val="17"/>
                      <w:szCs w:val="17"/>
                    </w:rPr>
                    <w:t>75</w:t>
                  </w:r>
                </w:p>
              </w:tc>
              <w:tc>
                <w:tcPr>
                  <w:tcW w:w="1493" w:type="dxa"/>
                  <w:shd w:val="clear" w:color="auto" w:fill="FFFFFF" w:themeFill="background1"/>
                  <w:vAlign w:val="bottom"/>
                </w:tcPr>
                <w:p w14:paraId="1785A930" w14:textId="77777777" w:rsidR="005635CA" w:rsidRPr="008F2E35" w:rsidRDefault="005635CA" w:rsidP="005635CA">
                  <w:pPr>
                    <w:pStyle w:val="BodyText"/>
                    <w:keepLines/>
                    <w:spacing w:before="20" w:after="0" w:line="245" w:lineRule="auto"/>
                    <w:jc w:val="center"/>
                    <w:rPr>
                      <w:rFonts w:asciiTheme="majorHAnsi" w:hAnsiTheme="majorHAnsi" w:cstheme="majorHAnsi"/>
                      <w:sz w:val="17"/>
                      <w:szCs w:val="17"/>
                    </w:rPr>
                  </w:pPr>
                  <w:r w:rsidRPr="008F2E35">
                    <w:rPr>
                      <w:rFonts w:asciiTheme="majorHAnsi" w:hAnsiTheme="majorHAnsi" w:cstheme="majorHAnsi"/>
                      <w:sz w:val="17"/>
                      <w:szCs w:val="17"/>
                    </w:rPr>
                    <w:t>X</w:t>
                  </w:r>
                </w:p>
              </w:tc>
              <w:tc>
                <w:tcPr>
                  <w:tcW w:w="1493" w:type="dxa"/>
                  <w:shd w:val="clear" w:color="auto" w:fill="FFFFFF" w:themeFill="background1"/>
                  <w:vAlign w:val="bottom"/>
                </w:tcPr>
                <w:p w14:paraId="7DB847BD" w14:textId="77777777" w:rsidR="005635CA" w:rsidRPr="008F2E35" w:rsidRDefault="005635CA" w:rsidP="005635CA">
                  <w:pPr>
                    <w:pStyle w:val="BodyText"/>
                    <w:keepLines/>
                    <w:spacing w:before="20" w:after="0" w:line="245" w:lineRule="auto"/>
                    <w:jc w:val="center"/>
                    <w:rPr>
                      <w:rFonts w:asciiTheme="majorHAnsi" w:hAnsiTheme="majorHAnsi" w:cstheme="majorHAnsi"/>
                      <w:sz w:val="17"/>
                      <w:szCs w:val="17"/>
                    </w:rPr>
                  </w:pPr>
                  <w:r w:rsidRPr="008F2E35">
                    <w:rPr>
                      <w:rFonts w:asciiTheme="majorHAnsi" w:hAnsiTheme="majorHAnsi" w:cstheme="majorHAnsi"/>
                      <w:sz w:val="17"/>
                      <w:szCs w:val="17"/>
                    </w:rPr>
                    <w:t>X</w:t>
                  </w:r>
                </w:p>
              </w:tc>
            </w:tr>
            <w:tr w:rsidR="005635CA" w:rsidRPr="004154A3" w14:paraId="3F7D1FBD" w14:textId="77777777" w:rsidTr="00610057">
              <w:trPr>
                <w:cnfStyle w:val="000000010000" w:firstRow="0" w:lastRow="0" w:firstColumn="0" w:lastColumn="0" w:oddVBand="0" w:evenVBand="0" w:oddHBand="0" w:evenHBand="1" w:firstRowFirstColumn="0" w:firstRowLastColumn="0" w:lastRowFirstColumn="0" w:lastRowLastColumn="0"/>
                <w:cantSplit/>
                <w:jc w:val="center"/>
              </w:trPr>
              <w:tc>
                <w:tcPr>
                  <w:tcW w:w="1046" w:type="dxa"/>
                  <w:vAlign w:val="bottom"/>
                </w:tcPr>
                <w:p w14:paraId="53B458D8" w14:textId="77777777" w:rsidR="005635CA" w:rsidRPr="008F2E35" w:rsidRDefault="005635CA" w:rsidP="005635CA">
                  <w:pPr>
                    <w:pStyle w:val="BodyText"/>
                    <w:keepLines/>
                    <w:spacing w:before="20" w:after="0" w:line="245" w:lineRule="auto"/>
                    <w:jc w:val="center"/>
                    <w:rPr>
                      <w:rFonts w:asciiTheme="majorHAnsi" w:hAnsiTheme="majorHAnsi" w:cstheme="majorHAnsi"/>
                      <w:sz w:val="17"/>
                      <w:szCs w:val="17"/>
                    </w:rPr>
                  </w:pPr>
                  <w:r w:rsidRPr="008F2E35">
                    <w:rPr>
                      <w:rFonts w:asciiTheme="majorHAnsi" w:hAnsiTheme="majorHAnsi" w:cstheme="majorHAnsi"/>
                      <w:sz w:val="17"/>
                      <w:szCs w:val="17"/>
                    </w:rPr>
                    <w:t>B</w:t>
                  </w:r>
                </w:p>
              </w:tc>
              <w:tc>
                <w:tcPr>
                  <w:tcW w:w="1493" w:type="dxa"/>
                  <w:vAlign w:val="bottom"/>
                </w:tcPr>
                <w:p w14:paraId="48C14729" w14:textId="77777777" w:rsidR="005635CA" w:rsidRPr="008F2E35" w:rsidRDefault="005635CA" w:rsidP="005635CA">
                  <w:pPr>
                    <w:pStyle w:val="BodyText"/>
                    <w:keepLines/>
                    <w:spacing w:before="20" w:after="0" w:line="245" w:lineRule="auto"/>
                    <w:jc w:val="center"/>
                    <w:rPr>
                      <w:rFonts w:asciiTheme="majorHAnsi" w:hAnsiTheme="majorHAnsi" w:cstheme="majorHAnsi"/>
                      <w:sz w:val="17"/>
                      <w:szCs w:val="17"/>
                    </w:rPr>
                  </w:pPr>
                  <w:r w:rsidRPr="008F2E35">
                    <w:rPr>
                      <w:rFonts w:asciiTheme="majorHAnsi" w:hAnsiTheme="majorHAnsi" w:cstheme="majorHAnsi"/>
                      <w:sz w:val="17"/>
                      <w:szCs w:val="17"/>
                    </w:rPr>
                    <w:t>$40</w:t>
                  </w:r>
                </w:p>
              </w:tc>
              <w:tc>
                <w:tcPr>
                  <w:tcW w:w="1279" w:type="dxa"/>
                  <w:vAlign w:val="bottom"/>
                </w:tcPr>
                <w:p w14:paraId="39D3D0ED" w14:textId="77777777" w:rsidR="005635CA" w:rsidRPr="008F2E35" w:rsidRDefault="005635CA" w:rsidP="005635CA">
                  <w:pPr>
                    <w:pStyle w:val="BodyText"/>
                    <w:keepLines/>
                    <w:spacing w:before="20" w:after="0" w:line="245" w:lineRule="auto"/>
                    <w:jc w:val="center"/>
                    <w:rPr>
                      <w:rFonts w:asciiTheme="majorHAnsi" w:hAnsiTheme="majorHAnsi" w:cstheme="majorHAnsi"/>
                      <w:sz w:val="17"/>
                      <w:szCs w:val="17"/>
                    </w:rPr>
                  </w:pPr>
                  <w:r w:rsidRPr="008F2E35">
                    <w:rPr>
                      <w:rFonts w:asciiTheme="majorHAnsi" w:hAnsiTheme="majorHAnsi" w:cstheme="majorHAnsi"/>
                      <w:sz w:val="17"/>
                      <w:szCs w:val="17"/>
                    </w:rPr>
                    <w:t>75</w:t>
                  </w:r>
                </w:p>
              </w:tc>
              <w:tc>
                <w:tcPr>
                  <w:tcW w:w="1493" w:type="dxa"/>
                  <w:shd w:val="clear" w:color="auto" w:fill="FFFFFF" w:themeFill="background1"/>
                  <w:vAlign w:val="bottom"/>
                </w:tcPr>
                <w:p w14:paraId="0E02F68F" w14:textId="77777777" w:rsidR="005635CA" w:rsidRPr="008F2E35" w:rsidRDefault="005635CA" w:rsidP="005635CA">
                  <w:pPr>
                    <w:pStyle w:val="BodyText"/>
                    <w:keepLines/>
                    <w:spacing w:before="20" w:after="0" w:line="245" w:lineRule="auto"/>
                    <w:jc w:val="center"/>
                    <w:rPr>
                      <w:rFonts w:asciiTheme="majorHAnsi" w:hAnsiTheme="majorHAnsi" w:cstheme="majorHAnsi"/>
                      <w:sz w:val="17"/>
                      <w:szCs w:val="17"/>
                    </w:rPr>
                  </w:pPr>
                  <w:r w:rsidRPr="008F2E35">
                    <w:rPr>
                      <w:rFonts w:asciiTheme="majorHAnsi" w:hAnsiTheme="majorHAnsi" w:cstheme="majorHAnsi"/>
                      <w:sz w:val="17"/>
                      <w:szCs w:val="17"/>
                    </w:rPr>
                    <w:t>X</w:t>
                  </w:r>
                </w:p>
              </w:tc>
              <w:tc>
                <w:tcPr>
                  <w:tcW w:w="1493" w:type="dxa"/>
                  <w:shd w:val="clear" w:color="auto" w:fill="FFFFFF" w:themeFill="background1"/>
                  <w:vAlign w:val="bottom"/>
                </w:tcPr>
                <w:p w14:paraId="22B972FD" w14:textId="77777777" w:rsidR="005635CA" w:rsidRPr="008F2E35" w:rsidRDefault="005635CA" w:rsidP="005635CA">
                  <w:pPr>
                    <w:pStyle w:val="BodyText"/>
                    <w:keepLines/>
                    <w:spacing w:before="20" w:after="0" w:line="245" w:lineRule="auto"/>
                    <w:jc w:val="center"/>
                    <w:rPr>
                      <w:rFonts w:asciiTheme="majorHAnsi" w:hAnsiTheme="majorHAnsi" w:cstheme="majorHAnsi"/>
                      <w:sz w:val="17"/>
                      <w:szCs w:val="17"/>
                    </w:rPr>
                  </w:pPr>
                  <w:r w:rsidRPr="008F2E35">
                    <w:rPr>
                      <w:rFonts w:asciiTheme="majorHAnsi" w:hAnsiTheme="majorHAnsi" w:cstheme="majorHAnsi"/>
                      <w:sz w:val="17"/>
                      <w:szCs w:val="17"/>
                    </w:rPr>
                    <w:t>X</w:t>
                  </w:r>
                </w:p>
              </w:tc>
            </w:tr>
            <w:tr w:rsidR="005635CA" w:rsidRPr="004154A3" w14:paraId="5F168D00" w14:textId="77777777" w:rsidTr="00610057">
              <w:trPr>
                <w:cantSplit/>
                <w:jc w:val="center"/>
              </w:trPr>
              <w:tc>
                <w:tcPr>
                  <w:tcW w:w="1046" w:type="dxa"/>
                  <w:vAlign w:val="bottom"/>
                </w:tcPr>
                <w:p w14:paraId="3E37689B" w14:textId="77777777" w:rsidR="005635CA" w:rsidRPr="008F2E35" w:rsidRDefault="005635CA" w:rsidP="005635CA">
                  <w:pPr>
                    <w:pStyle w:val="BodyText"/>
                    <w:keepLines/>
                    <w:spacing w:before="20" w:after="0" w:line="245" w:lineRule="auto"/>
                    <w:jc w:val="center"/>
                    <w:rPr>
                      <w:rFonts w:asciiTheme="majorHAnsi" w:hAnsiTheme="majorHAnsi" w:cstheme="majorHAnsi"/>
                      <w:sz w:val="17"/>
                      <w:szCs w:val="17"/>
                    </w:rPr>
                  </w:pPr>
                  <w:r w:rsidRPr="008F2E35">
                    <w:rPr>
                      <w:rFonts w:asciiTheme="majorHAnsi" w:hAnsiTheme="majorHAnsi" w:cstheme="majorHAnsi"/>
                      <w:sz w:val="17"/>
                      <w:szCs w:val="17"/>
                    </w:rPr>
                    <w:t>C</w:t>
                  </w:r>
                </w:p>
              </w:tc>
              <w:tc>
                <w:tcPr>
                  <w:tcW w:w="1493" w:type="dxa"/>
                  <w:vAlign w:val="bottom"/>
                </w:tcPr>
                <w:p w14:paraId="6EB4DF11" w14:textId="77777777" w:rsidR="005635CA" w:rsidRPr="008F2E35" w:rsidRDefault="005635CA" w:rsidP="005635CA">
                  <w:pPr>
                    <w:pStyle w:val="BodyText"/>
                    <w:keepLines/>
                    <w:spacing w:before="20" w:after="0" w:line="245" w:lineRule="auto"/>
                    <w:jc w:val="center"/>
                    <w:rPr>
                      <w:rFonts w:asciiTheme="majorHAnsi" w:hAnsiTheme="majorHAnsi" w:cstheme="majorHAnsi"/>
                      <w:sz w:val="17"/>
                      <w:szCs w:val="17"/>
                    </w:rPr>
                  </w:pPr>
                  <w:r w:rsidRPr="008F2E35">
                    <w:rPr>
                      <w:rFonts w:asciiTheme="majorHAnsi" w:hAnsiTheme="majorHAnsi" w:cstheme="majorHAnsi"/>
                      <w:sz w:val="17"/>
                      <w:szCs w:val="17"/>
                    </w:rPr>
                    <w:t>$30</w:t>
                  </w:r>
                </w:p>
              </w:tc>
              <w:tc>
                <w:tcPr>
                  <w:tcW w:w="1279" w:type="dxa"/>
                  <w:vAlign w:val="bottom"/>
                </w:tcPr>
                <w:p w14:paraId="2BDE8A6F" w14:textId="77777777" w:rsidR="005635CA" w:rsidRPr="008F2E35" w:rsidRDefault="005635CA" w:rsidP="005635CA">
                  <w:pPr>
                    <w:pStyle w:val="BodyText"/>
                    <w:keepLines/>
                    <w:spacing w:before="20" w:after="0" w:line="245" w:lineRule="auto"/>
                    <w:jc w:val="center"/>
                    <w:rPr>
                      <w:rFonts w:asciiTheme="majorHAnsi" w:hAnsiTheme="majorHAnsi" w:cstheme="majorHAnsi"/>
                      <w:sz w:val="17"/>
                      <w:szCs w:val="17"/>
                    </w:rPr>
                  </w:pPr>
                  <w:r w:rsidRPr="008F2E35">
                    <w:rPr>
                      <w:rFonts w:asciiTheme="majorHAnsi" w:hAnsiTheme="majorHAnsi" w:cstheme="majorHAnsi"/>
                      <w:sz w:val="17"/>
                      <w:szCs w:val="17"/>
                    </w:rPr>
                    <w:t>100</w:t>
                  </w:r>
                </w:p>
              </w:tc>
              <w:tc>
                <w:tcPr>
                  <w:tcW w:w="1493" w:type="dxa"/>
                  <w:shd w:val="clear" w:color="auto" w:fill="FFFFFF" w:themeFill="background1"/>
                  <w:vAlign w:val="bottom"/>
                </w:tcPr>
                <w:p w14:paraId="13719686" w14:textId="77777777" w:rsidR="005635CA" w:rsidRPr="008F2E35" w:rsidRDefault="005635CA" w:rsidP="005635CA">
                  <w:pPr>
                    <w:pStyle w:val="BodyText"/>
                    <w:keepLines/>
                    <w:spacing w:before="20" w:after="0" w:line="245" w:lineRule="auto"/>
                    <w:jc w:val="center"/>
                    <w:rPr>
                      <w:rFonts w:asciiTheme="majorHAnsi" w:hAnsiTheme="majorHAnsi" w:cstheme="majorHAnsi"/>
                      <w:sz w:val="17"/>
                      <w:szCs w:val="17"/>
                    </w:rPr>
                  </w:pPr>
                  <w:r w:rsidRPr="008F2E35">
                    <w:rPr>
                      <w:rFonts w:asciiTheme="majorHAnsi" w:hAnsiTheme="majorHAnsi" w:cstheme="majorHAnsi"/>
                      <w:sz w:val="17"/>
                      <w:szCs w:val="17"/>
                    </w:rPr>
                    <w:t>X</w:t>
                  </w:r>
                </w:p>
              </w:tc>
              <w:tc>
                <w:tcPr>
                  <w:tcW w:w="1493" w:type="dxa"/>
                  <w:shd w:val="clear" w:color="auto" w:fill="FFFFFF" w:themeFill="background1"/>
                  <w:vAlign w:val="bottom"/>
                </w:tcPr>
                <w:p w14:paraId="07A85020" w14:textId="77777777" w:rsidR="005635CA" w:rsidRPr="008F2E35" w:rsidRDefault="005635CA" w:rsidP="005635CA">
                  <w:pPr>
                    <w:pStyle w:val="BodyText"/>
                    <w:keepLines/>
                    <w:spacing w:before="20" w:after="0" w:line="245" w:lineRule="auto"/>
                    <w:jc w:val="center"/>
                    <w:rPr>
                      <w:rFonts w:asciiTheme="majorHAnsi" w:hAnsiTheme="majorHAnsi" w:cstheme="majorHAnsi"/>
                      <w:sz w:val="17"/>
                      <w:szCs w:val="17"/>
                    </w:rPr>
                  </w:pPr>
                  <w:r w:rsidRPr="008F2E35">
                    <w:rPr>
                      <w:rFonts w:asciiTheme="majorHAnsi" w:hAnsiTheme="majorHAnsi" w:cstheme="majorHAnsi"/>
                      <w:sz w:val="17"/>
                      <w:szCs w:val="17"/>
                    </w:rPr>
                    <w:t>X</w:t>
                  </w:r>
                </w:p>
              </w:tc>
            </w:tr>
          </w:tbl>
          <w:p w14:paraId="7F2C2DBC" w14:textId="77777777" w:rsidR="005635CA" w:rsidRPr="004154A3" w:rsidRDefault="005635CA" w:rsidP="005635CA">
            <w:pPr>
              <w:pStyle w:val="ListParagraph"/>
              <w:keepLines/>
              <w:spacing w:before="40" w:line="245" w:lineRule="auto"/>
              <w:ind w:left="0"/>
              <w:rPr>
                <w:rFonts w:asciiTheme="majorHAnsi" w:hAnsiTheme="majorHAnsi" w:cstheme="majorHAnsi"/>
                <w:sz w:val="20"/>
                <w:szCs w:val="20"/>
              </w:rPr>
            </w:pPr>
            <w:r w:rsidRPr="004154A3">
              <w:rPr>
                <w:rFonts w:asciiTheme="majorHAnsi" w:hAnsiTheme="majorHAnsi" w:cstheme="majorHAnsi"/>
                <w:sz w:val="20"/>
                <w:szCs w:val="20"/>
              </w:rPr>
              <w:t>There are two ways to resolve indeterminacy fairly in this case:</w:t>
            </w:r>
          </w:p>
          <w:p w14:paraId="5CE38559" w14:textId="77777777" w:rsidR="005635CA" w:rsidRPr="004154A3" w:rsidRDefault="005635CA" w:rsidP="005635CA">
            <w:pPr>
              <w:pStyle w:val="ListBullet"/>
              <w:spacing w:before="20" w:line="245" w:lineRule="auto"/>
              <w:rPr>
                <w:rFonts w:asciiTheme="majorHAnsi" w:hAnsiTheme="majorHAnsi" w:cstheme="majorHAnsi"/>
                <w:sz w:val="20"/>
                <w:szCs w:val="20"/>
              </w:rPr>
            </w:pPr>
            <w:r w:rsidRPr="004154A3">
              <w:rPr>
                <w:rFonts w:asciiTheme="majorHAnsi" w:hAnsiTheme="majorHAnsi" w:cstheme="majorHAnsi"/>
                <w:sz w:val="20"/>
                <w:szCs w:val="20"/>
              </w:rPr>
              <w:t>Option 1 requires picking one of the corner solutions at random</w:t>
            </w:r>
            <w:r>
              <w:rPr>
                <w:rFonts w:asciiTheme="majorHAnsi" w:hAnsiTheme="majorHAnsi" w:cstheme="majorHAnsi"/>
                <w:sz w:val="20"/>
                <w:szCs w:val="20"/>
              </w:rPr>
              <w:t xml:space="preserve"> (e.g. S1=$30 or S2=$30)</w:t>
            </w:r>
            <w:r w:rsidRPr="004154A3">
              <w:rPr>
                <w:rFonts w:asciiTheme="majorHAnsi" w:hAnsiTheme="majorHAnsi" w:cstheme="majorHAnsi"/>
                <w:sz w:val="20"/>
                <w:szCs w:val="20"/>
              </w:rPr>
              <w:t xml:space="preserve">. </w:t>
            </w:r>
          </w:p>
          <w:p w14:paraId="1F7F9182" w14:textId="77777777" w:rsidR="005635CA" w:rsidRPr="004154A3" w:rsidRDefault="005635CA" w:rsidP="005635CA">
            <w:pPr>
              <w:pStyle w:val="ListBullet"/>
              <w:spacing w:before="20" w:line="245" w:lineRule="auto"/>
              <w:rPr>
                <w:rFonts w:asciiTheme="majorHAnsi" w:hAnsiTheme="majorHAnsi" w:cstheme="majorHAnsi"/>
                <w:sz w:val="20"/>
                <w:szCs w:val="20"/>
              </w:rPr>
            </w:pPr>
            <w:r w:rsidRPr="004154A3">
              <w:rPr>
                <w:rFonts w:asciiTheme="majorHAnsi" w:hAnsiTheme="majorHAnsi" w:cstheme="majorHAnsi"/>
                <w:sz w:val="20"/>
                <w:szCs w:val="20"/>
              </w:rPr>
              <w:t>Option 2 requires a sharing solution in which any indeterminacy is resolved by splitting it evenly between the products involved</w:t>
            </w:r>
            <w:r>
              <w:rPr>
                <w:rFonts w:asciiTheme="majorHAnsi" w:hAnsiTheme="majorHAnsi" w:cstheme="majorHAnsi"/>
                <w:sz w:val="20"/>
                <w:szCs w:val="20"/>
              </w:rPr>
              <w:t xml:space="preserve"> (e.g. </w:t>
            </w:r>
            <w:r w:rsidRPr="004154A3">
              <w:rPr>
                <w:rFonts w:asciiTheme="majorHAnsi" w:hAnsiTheme="majorHAnsi" w:cstheme="majorHAnsi"/>
                <w:sz w:val="20"/>
                <w:szCs w:val="20"/>
              </w:rPr>
              <w:t>S1=$15 and S2=$15</w:t>
            </w:r>
            <w:r>
              <w:rPr>
                <w:rFonts w:asciiTheme="majorHAnsi" w:hAnsiTheme="majorHAnsi" w:cstheme="majorHAnsi"/>
                <w:sz w:val="20"/>
                <w:szCs w:val="20"/>
              </w:rPr>
              <w:t>)</w:t>
            </w:r>
            <w:r w:rsidRPr="004154A3">
              <w:rPr>
                <w:rFonts w:asciiTheme="majorHAnsi" w:hAnsiTheme="majorHAnsi" w:cstheme="majorHAnsi"/>
                <w:sz w:val="20"/>
                <w:szCs w:val="20"/>
              </w:rPr>
              <w:t>.</w:t>
            </w:r>
          </w:p>
          <w:p w14:paraId="14AEC1F0" w14:textId="7BFDEA76" w:rsidR="005635CA" w:rsidRPr="004154A3" w:rsidRDefault="005635CA" w:rsidP="005635CA">
            <w:pPr>
              <w:keepLines/>
              <w:spacing w:before="20" w:line="245" w:lineRule="auto"/>
              <w:rPr>
                <w:rFonts w:asciiTheme="majorHAnsi" w:hAnsiTheme="majorHAnsi" w:cstheme="majorHAnsi"/>
                <w:b/>
                <w:sz w:val="20"/>
                <w:szCs w:val="20"/>
              </w:rPr>
            </w:pPr>
            <w:r w:rsidRPr="004154A3">
              <w:rPr>
                <w:rFonts w:asciiTheme="majorHAnsi" w:hAnsiTheme="majorHAnsi" w:cstheme="majorHAnsi"/>
                <w:sz w:val="20"/>
                <w:szCs w:val="20"/>
              </w:rPr>
              <w:t xml:space="preserve">Option 2 would be </w:t>
            </w:r>
            <w:r>
              <w:rPr>
                <w:rFonts w:asciiTheme="majorHAnsi" w:hAnsiTheme="majorHAnsi" w:cstheme="majorHAnsi"/>
                <w:sz w:val="20"/>
                <w:szCs w:val="20"/>
              </w:rPr>
              <w:t>more complex</w:t>
            </w:r>
            <w:r w:rsidRPr="004154A3">
              <w:rPr>
                <w:rFonts w:asciiTheme="majorHAnsi" w:hAnsiTheme="majorHAnsi" w:cstheme="majorHAnsi"/>
                <w:sz w:val="20"/>
                <w:szCs w:val="20"/>
              </w:rPr>
              <w:t xml:space="preserve"> to implement as it would effectively require running a </w:t>
            </w:r>
            <w:r>
              <w:rPr>
                <w:rFonts w:asciiTheme="majorHAnsi" w:hAnsiTheme="majorHAnsi" w:cstheme="majorHAnsi"/>
                <w:sz w:val="20"/>
                <w:szCs w:val="20"/>
              </w:rPr>
              <w:t>q</w:t>
            </w:r>
            <w:r w:rsidRPr="004154A3">
              <w:rPr>
                <w:rFonts w:asciiTheme="majorHAnsi" w:hAnsiTheme="majorHAnsi" w:cstheme="majorHAnsi"/>
                <w:sz w:val="20"/>
                <w:szCs w:val="20"/>
              </w:rPr>
              <w:t xml:space="preserve">uadratic </w:t>
            </w:r>
            <w:r>
              <w:rPr>
                <w:rFonts w:asciiTheme="majorHAnsi" w:hAnsiTheme="majorHAnsi" w:cstheme="majorHAnsi"/>
                <w:sz w:val="20"/>
                <w:szCs w:val="20"/>
              </w:rPr>
              <w:t>p</w:t>
            </w:r>
            <w:r w:rsidRPr="004154A3">
              <w:rPr>
                <w:rFonts w:asciiTheme="majorHAnsi" w:hAnsiTheme="majorHAnsi" w:cstheme="majorHAnsi"/>
                <w:sz w:val="20"/>
                <w:szCs w:val="20"/>
              </w:rPr>
              <w:t xml:space="preserve">rogram to implement </w:t>
            </w:r>
            <w:r>
              <w:rPr>
                <w:rFonts w:asciiTheme="majorHAnsi" w:hAnsiTheme="majorHAnsi" w:cstheme="majorHAnsi"/>
                <w:sz w:val="20"/>
                <w:szCs w:val="20"/>
              </w:rPr>
              <w:t>such a</w:t>
            </w:r>
            <w:r w:rsidRPr="004154A3">
              <w:rPr>
                <w:rFonts w:asciiTheme="majorHAnsi" w:hAnsiTheme="majorHAnsi" w:cstheme="majorHAnsi"/>
                <w:sz w:val="20"/>
                <w:szCs w:val="20"/>
              </w:rPr>
              <w:t xml:space="preserve"> sharing solution more generally. As the auction is run repeatedly, </w:t>
            </w:r>
            <w:r>
              <w:rPr>
                <w:rFonts w:asciiTheme="majorHAnsi" w:hAnsiTheme="majorHAnsi" w:cstheme="majorHAnsi"/>
                <w:sz w:val="20"/>
                <w:szCs w:val="20"/>
              </w:rPr>
              <w:t>O</w:t>
            </w:r>
            <w:r w:rsidRPr="004154A3">
              <w:rPr>
                <w:rFonts w:asciiTheme="majorHAnsi" w:hAnsiTheme="majorHAnsi" w:cstheme="majorHAnsi"/>
                <w:sz w:val="20"/>
                <w:szCs w:val="20"/>
              </w:rPr>
              <w:t>ption 1 may be an acceptable compromise</w:t>
            </w:r>
            <w:r>
              <w:rPr>
                <w:rFonts w:asciiTheme="majorHAnsi" w:hAnsiTheme="majorHAnsi" w:cstheme="majorHAnsi"/>
                <w:sz w:val="20"/>
                <w:szCs w:val="20"/>
              </w:rPr>
              <w:t xml:space="preserve"> because e</w:t>
            </w:r>
            <w:r w:rsidRPr="004154A3">
              <w:rPr>
                <w:rFonts w:asciiTheme="majorHAnsi" w:hAnsiTheme="majorHAnsi" w:cstheme="majorHAnsi"/>
                <w:sz w:val="20"/>
                <w:szCs w:val="20"/>
              </w:rPr>
              <w:t xml:space="preserve">ven if a </w:t>
            </w:r>
            <w:r>
              <w:rPr>
                <w:rFonts w:asciiTheme="majorHAnsi" w:hAnsiTheme="majorHAnsi" w:cstheme="majorHAnsi"/>
                <w:sz w:val="20"/>
                <w:szCs w:val="20"/>
              </w:rPr>
              <w:t xml:space="preserve">service provider </w:t>
            </w:r>
            <w:r w:rsidRPr="004154A3">
              <w:rPr>
                <w:rFonts w:asciiTheme="majorHAnsi" w:hAnsiTheme="majorHAnsi" w:cstheme="majorHAnsi"/>
                <w:sz w:val="20"/>
                <w:szCs w:val="20"/>
              </w:rPr>
              <w:t xml:space="preserve">“loses” on any particular day, </w:t>
            </w:r>
            <w:r>
              <w:rPr>
                <w:rFonts w:asciiTheme="majorHAnsi" w:hAnsiTheme="majorHAnsi" w:cstheme="majorHAnsi"/>
                <w:sz w:val="20"/>
                <w:szCs w:val="20"/>
              </w:rPr>
              <w:t xml:space="preserve">it would </w:t>
            </w:r>
            <w:r w:rsidRPr="004154A3">
              <w:rPr>
                <w:rFonts w:asciiTheme="majorHAnsi" w:hAnsiTheme="majorHAnsi" w:cstheme="majorHAnsi"/>
                <w:sz w:val="20"/>
                <w:szCs w:val="20"/>
              </w:rPr>
              <w:t xml:space="preserve">still </w:t>
            </w:r>
            <w:r>
              <w:rPr>
                <w:rFonts w:asciiTheme="majorHAnsi" w:hAnsiTheme="majorHAnsi" w:cstheme="majorHAnsi"/>
                <w:sz w:val="20"/>
                <w:szCs w:val="20"/>
              </w:rPr>
              <w:t xml:space="preserve">have </w:t>
            </w:r>
            <w:r w:rsidRPr="004154A3">
              <w:rPr>
                <w:rFonts w:asciiTheme="majorHAnsi" w:hAnsiTheme="majorHAnsi" w:cstheme="majorHAnsi"/>
                <w:sz w:val="20"/>
                <w:szCs w:val="20"/>
              </w:rPr>
              <w:t xml:space="preserve">a chance to win </w:t>
            </w:r>
            <w:r>
              <w:rPr>
                <w:rFonts w:asciiTheme="majorHAnsi" w:hAnsiTheme="majorHAnsi" w:cstheme="majorHAnsi"/>
                <w:sz w:val="20"/>
                <w:szCs w:val="20"/>
              </w:rPr>
              <w:t>another</w:t>
            </w:r>
            <w:r w:rsidRPr="004154A3">
              <w:rPr>
                <w:rFonts w:asciiTheme="majorHAnsi" w:hAnsiTheme="majorHAnsi" w:cstheme="majorHAnsi"/>
                <w:sz w:val="20"/>
                <w:szCs w:val="20"/>
              </w:rPr>
              <w:t xml:space="preserve"> tie-break the following day. On average over the year, revenues </w:t>
            </w:r>
            <w:r>
              <w:rPr>
                <w:rFonts w:asciiTheme="majorHAnsi" w:hAnsiTheme="majorHAnsi" w:cstheme="majorHAnsi"/>
                <w:sz w:val="20"/>
                <w:szCs w:val="20"/>
              </w:rPr>
              <w:t xml:space="preserve">would be expected </w:t>
            </w:r>
            <w:r w:rsidRPr="004154A3">
              <w:rPr>
                <w:rFonts w:asciiTheme="majorHAnsi" w:hAnsiTheme="majorHAnsi" w:cstheme="majorHAnsi"/>
                <w:sz w:val="20"/>
                <w:szCs w:val="20"/>
              </w:rPr>
              <w:t>to be distributed fairly.</w:t>
            </w:r>
          </w:p>
        </w:tc>
      </w:tr>
    </w:tbl>
    <w:p w14:paraId="4445C352" w14:textId="63219124" w:rsidR="00B90862" w:rsidRPr="00EC75C1" w:rsidRDefault="00B90862" w:rsidP="00AC249B">
      <w:pPr>
        <w:pStyle w:val="Caption"/>
        <w:spacing w:after="0"/>
        <w:rPr>
          <w:bCs w:val="0"/>
        </w:rPr>
      </w:pPr>
    </w:p>
    <w:tbl>
      <w:tblPr>
        <w:tblStyle w:val="PullOutBoxTable"/>
        <w:tblW w:w="5000" w:type="pct"/>
        <w:shd w:val="clear" w:color="auto" w:fill="B7E7FF"/>
        <w:tblLook w:val="0620" w:firstRow="1" w:lastRow="0" w:firstColumn="0" w:lastColumn="0" w:noHBand="1" w:noVBand="1"/>
        <w:tblCaption w:val="Box 4.10: Questions on the pricing rule "/>
        <w:tblDescription w:val="Questions on the pricing rule "/>
      </w:tblPr>
      <w:tblGrid>
        <w:gridCol w:w="8788"/>
      </w:tblGrid>
      <w:tr w:rsidR="00B90862" w:rsidRPr="00B90862" w14:paraId="1791085C" w14:textId="77777777" w:rsidTr="003974E4">
        <w:trPr>
          <w:tblHeader/>
        </w:trPr>
        <w:tc>
          <w:tcPr>
            <w:tcW w:w="5000" w:type="pct"/>
            <w:shd w:val="clear" w:color="auto" w:fill="auto"/>
          </w:tcPr>
          <w:p w14:paraId="1FE10BDE" w14:textId="19CA1056" w:rsidR="00B90862" w:rsidRPr="00F154EF" w:rsidRDefault="00F154EF" w:rsidP="00F154EF">
            <w:pPr>
              <w:pStyle w:val="ListNumber"/>
              <w:keepNext/>
              <w:numPr>
                <w:ilvl w:val="0"/>
                <w:numId w:val="0"/>
              </w:numPr>
              <w:spacing w:before="0" w:after="0"/>
              <w:ind w:left="360" w:hanging="360"/>
              <w:rPr>
                <w:rFonts w:eastAsiaTheme="majorEastAsia"/>
                <w:b/>
                <w:sz w:val="21"/>
                <w:szCs w:val="21"/>
              </w:rPr>
            </w:pPr>
            <w:r w:rsidRPr="00F154EF">
              <w:rPr>
                <w:b/>
              </w:rPr>
              <w:t xml:space="preserve">Box </w:t>
            </w:r>
            <w:r w:rsidRPr="00F154EF">
              <w:rPr>
                <w:b/>
              </w:rPr>
              <w:fldChar w:fldCharType="begin"/>
            </w:r>
            <w:r w:rsidRPr="00F154EF">
              <w:rPr>
                <w:b/>
              </w:rPr>
              <w:instrText xml:space="preserve"> STYLEREF 1 \s </w:instrText>
            </w:r>
            <w:r w:rsidRPr="00F154EF">
              <w:rPr>
                <w:b/>
              </w:rPr>
              <w:fldChar w:fldCharType="separate"/>
            </w:r>
            <w:r w:rsidRPr="00F154EF">
              <w:rPr>
                <w:b/>
                <w:noProof/>
              </w:rPr>
              <w:t>4</w:t>
            </w:r>
            <w:r w:rsidRPr="00F154EF">
              <w:rPr>
                <w:b/>
                <w:noProof/>
              </w:rPr>
              <w:fldChar w:fldCharType="end"/>
            </w:r>
            <w:r w:rsidRPr="00F154EF">
              <w:rPr>
                <w:b/>
              </w:rPr>
              <w:t>.</w:t>
            </w:r>
            <w:r w:rsidRPr="00F154EF">
              <w:rPr>
                <w:b/>
              </w:rPr>
              <w:fldChar w:fldCharType="begin"/>
            </w:r>
            <w:r w:rsidRPr="00F154EF">
              <w:rPr>
                <w:b/>
              </w:rPr>
              <w:instrText xml:space="preserve"> SEQ Box \* ARABIC \s 1 </w:instrText>
            </w:r>
            <w:r w:rsidRPr="00F154EF">
              <w:rPr>
                <w:b/>
              </w:rPr>
              <w:fldChar w:fldCharType="separate"/>
            </w:r>
            <w:r w:rsidRPr="00F154EF">
              <w:rPr>
                <w:b/>
                <w:noProof/>
              </w:rPr>
              <w:t>10</w:t>
            </w:r>
            <w:r w:rsidRPr="00F154EF">
              <w:rPr>
                <w:b/>
                <w:noProof/>
              </w:rPr>
              <w:fldChar w:fldCharType="end"/>
            </w:r>
            <w:r w:rsidRPr="00F154EF">
              <w:rPr>
                <w:b/>
              </w:rPr>
              <w:t xml:space="preserve">: </w:t>
            </w:r>
            <w:r w:rsidRPr="00F154EF">
              <w:rPr>
                <w:b/>
                <w:bCs/>
              </w:rPr>
              <w:t>Questions on the pricing rule</w:t>
            </w:r>
          </w:p>
        </w:tc>
      </w:tr>
      <w:tr w:rsidR="00F154EF" w:rsidRPr="00B90862" w14:paraId="4FA01843" w14:textId="77777777" w:rsidTr="003974E4">
        <w:tc>
          <w:tcPr>
            <w:tcW w:w="5000" w:type="pct"/>
            <w:shd w:val="clear" w:color="auto" w:fill="B7E7FF"/>
          </w:tcPr>
          <w:p w14:paraId="50F4BFFE" w14:textId="77777777" w:rsidR="00F154EF" w:rsidRDefault="00F154EF" w:rsidP="00F154EF">
            <w:pPr>
              <w:pStyle w:val="ListNumber"/>
              <w:keepNext/>
              <w:numPr>
                <w:ilvl w:val="0"/>
                <w:numId w:val="20"/>
              </w:numPr>
              <w:spacing w:before="80"/>
              <w:ind w:left="357" w:hanging="357"/>
              <w:rPr>
                <w:rFonts w:eastAsiaTheme="majorEastAsia"/>
                <w:sz w:val="21"/>
                <w:szCs w:val="21"/>
              </w:rPr>
            </w:pPr>
            <w:r w:rsidRPr="00B90862">
              <w:rPr>
                <w:rFonts w:eastAsiaTheme="majorEastAsia"/>
                <w:sz w:val="21"/>
                <w:szCs w:val="21"/>
              </w:rPr>
              <w:t>Do you agree with the proposal to adopt a pay-as cleared pricing rule? If not, please explain why.</w:t>
            </w:r>
          </w:p>
          <w:p w14:paraId="58765188" w14:textId="77777777" w:rsidR="00F154EF" w:rsidRPr="00B90862" w:rsidRDefault="00F154EF" w:rsidP="00F154EF">
            <w:pPr>
              <w:pStyle w:val="ListNumber"/>
              <w:keepNext/>
              <w:numPr>
                <w:ilvl w:val="0"/>
                <w:numId w:val="20"/>
              </w:numPr>
              <w:spacing w:before="80"/>
              <w:ind w:left="357" w:hanging="357"/>
              <w:rPr>
                <w:rFonts w:eastAsiaTheme="majorEastAsia"/>
                <w:sz w:val="21"/>
                <w:szCs w:val="21"/>
              </w:rPr>
            </w:pPr>
            <w:r>
              <w:rPr>
                <w:rFonts w:eastAsiaTheme="majorEastAsia"/>
                <w:sz w:val="21"/>
                <w:szCs w:val="21"/>
              </w:rPr>
              <w:t xml:space="preserve">If you propose an alternative pricing rule, please provide details on how this rule could be implemented and whether or not the inclusion of minimum requirements and/or XOR sets would be problematic under this alternative rule. </w:t>
            </w:r>
          </w:p>
          <w:p w14:paraId="4E22BB94" w14:textId="77777777" w:rsidR="00F154EF" w:rsidRPr="00B90862" w:rsidRDefault="00F154EF" w:rsidP="00F154EF">
            <w:pPr>
              <w:pStyle w:val="ListNumber"/>
              <w:keepNext/>
              <w:numPr>
                <w:ilvl w:val="0"/>
                <w:numId w:val="20"/>
              </w:numPr>
              <w:spacing w:before="80"/>
              <w:ind w:left="357" w:hanging="357"/>
              <w:rPr>
                <w:rFonts w:eastAsiaTheme="majorEastAsia"/>
                <w:sz w:val="21"/>
                <w:szCs w:val="21"/>
              </w:rPr>
            </w:pPr>
            <w:r w:rsidRPr="00B90862">
              <w:rPr>
                <w:rFonts w:eastAsiaTheme="majorEastAsia"/>
                <w:sz w:val="21"/>
                <w:szCs w:val="21"/>
              </w:rPr>
              <w:t xml:space="preserve">Do you agree with the proposal to set the price at the lowest accepted bid if the lowest accepted bid is fully cleared? </w:t>
            </w:r>
            <w:r>
              <w:rPr>
                <w:rFonts w:eastAsiaTheme="majorEastAsia"/>
                <w:sz w:val="21"/>
                <w:szCs w:val="21"/>
              </w:rPr>
              <w:t>If not, please explain why</w:t>
            </w:r>
            <w:r w:rsidRPr="00B90862">
              <w:rPr>
                <w:rFonts w:eastAsiaTheme="majorEastAsia"/>
                <w:sz w:val="21"/>
                <w:szCs w:val="21"/>
              </w:rPr>
              <w:t>.</w:t>
            </w:r>
            <w:r>
              <w:rPr>
                <w:rFonts w:eastAsiaTheme="majorEastAsia"/>
                <w:sz w:val="21"/>
                <w:szCs w:val="21"/>
              </w:rPr>
              <w:t xml:space="preserve"> If you propose an alternative pricing rule, please provide details on how this rule could be implemented and whether or not the inclusion of minimum requirements and/or XOR sets would be problematic under this alternative rule.</w:t>
            </w:r>
          </w:p>
          <w:p w14:paraId="202BE941" w14:textId="2582E932" w:rsidR="00F154EF" w:rsidRPr="00B90862" w:rsidRDefault="00F154EF" w:rsidP="00F154EF">
            <w:pPr>
              <w:pStyle w:val="ListNumber"/>
              <w:keepNext/>
              <w:numPr>
                <w:ilvl w:val="0"/>
                <w:numId w:val="20"/>
              </w:numPr>
              <w:spacing w:before="80"/>
              <w:ind w:left="357" w:hanging="357"/>
              <w:rPr>
                <w:rFonts w:eastAsiaTheme="majorEastAsia"/>
                <w:sz w:val="21"/>
                <w:szCs w:val="21"/>
              </w:rPr>
            </w:pPr>
            <w:r w:rsidRPr="00B90862">
              <w:rPr>
                <w:rFonts w:eastAsiaTheme="majorEastAsia"/>
                <w:sz w:val="21"/>
                <w:szCs w:val="21"/>
              </w:rPr>
              <w:t>Do you agree with the proposal to use a random tie-break mechanism in those cases where there are more than one set of prices that satisfy the pricing constraints imposed by the lowest accepted bids? If not, please explain why</w:t>
            </w:r>
            <w:r>
              <w:rPr>
                <w:rFonts w:eastAsiaTheme="majorEastAsia"/>
                <w:sz w:val="21"/>
                <w:szCs w:val="21"/>
              </w:rPr>
              <w:t>.</w:t>
            </w:r>
          </w:p>
        </w:tc>
      </w:tr>
    </w:tbl>
    <w:p w14:paraId="416DC7C0" w14:textId="6EEC423C" w:rsidR="00AD5238" w:rsidRPr="004154A3" w:rsidRDefault="00AD5238" w:rsidP="00AD5238">
      <w:pPr>
        <w:pStyle w:val="Heading2"/>
      </w:pPr>
      <w:bookmarkStart w:id="110" w:name="_Toc495351640"/>
      <w:r w:rsidRPr="004154A3">
        <w:t>Determination of winning bidders</w:t>
      </w:r>
      <w:bookmarkEnd w:id="110"/>
      <w:r w:rsidRPr="004154A3">
        <w:t xml:space="preserve"> </w:t>
      </w:r>
    </w:p>
    <w:p w14:paraId="736E3E6F" w14:textId="2CAC919B" w:rsidR="00F71BE0" w:rsidRDefault="008611DC" w:rsidP="00344367">
      <w:pPr>
        <w:pStyle w:val="BodyText"/>
      </w:pPr>
      <w:r>
        <w:t xml:space="preserve">The </w:t>
      </w:r>
      <w:r w:rsidR="0025744E">
        <w:t xml:space="preserve">AEMC’s </w:t>
      </w:r>
      <w:r w:rsidR="005505AF">
        <w:t>preferred outcome</w:t>
      </w:r>
      <w:r w:rsidR="0025744E">
        <w:t xml:space="preserve"> for </w:t>
      </w:r>
      <w:r>
        <w:t xml:space="preserve">determining </w:t>
      </w:r>
      <w:r w:rsidR="0025744E">
        <w:t xml:space="preserve">the winning combination of bidders </w:t>
      </w:r>
      <w:r>
        <w:t xml:space="preserve">in the day-ahead auction is to use </w:t>
      </w:r>
      <w:r w:rsidR="0025744E">
        <w:t>a profit maximisation algorithm. In recommending this approach, the AEMC noted that from an efficiency perspective, the optimal allocation should maximise economic surplus, which is equivalent to profit if it is assumed that bids reflect the auction participant’s value</w:t>
      </w:r>
      <w:r w:rsidR="003975C3">
        <w:t xml:space="preserve"> and that all capacity is released in the auction (i.e. there is no economic withholding to maximise profits)</w:t>
      </w:r>
      <w:r w:rsidR="0025744E">
        <w:t>.</w:t>
      </w:r>
      <w:r w:rsidR="0025744E">
        <w:rPr>
          <w:rStyle w:val="FootnoteReference"/>
        </w:rPr>
        <w:footnoteReference w:id="60"/>
      </w:r>
      <w:r w:rsidR="0025744E">
        <w:t xml:space="preserve"> </w:t>
      </w:r>
      <w:r w:rsidR="00F71BE0">
        <w:t xml:space="preserve">Profit in this context represents the difference between the revenue received from bidders less the reserve price, which the AEMC has recommended should be set at zero. The profit maximisation algorithm proposed by the AEMC therefore reduces to a revenue maximisation algorithm. </w:t>
      </w:r>
    </w:p>
    <w:p w14:paraId="7E431E6B" w14:textId="38A438AA" w:rsidR="0025744E" w:rsidRDefault="00F71BE0" w:rsidP="00344367">
      <w:pPr>
        <w:pStyle w:val="BodyText"/>
      </w:pPr>
      <w:r>
        <w:t xml:space="preserve">The SRA algorithm that AEMO is proposing to use as the basis for the day-ahead auction currently employs a revenue maximisation algorithm. </w:t>
      </w:r>
      <w:r w:rsidR="001A2AEF">
        <w:t>Its proposed approach to determining auction winners is therefore consistent with the AEMC’s preferred outcome.</w:t>
      </w:r>
      <w:r>
        <w:t xml:space="preserve"> </w:t>
      </w:r>
    </w:p>
    <w:p w14:paraId="2AE0CCD5" w14:textId="0274428B" w:rsidR="006512D9" w:rsidRPr="006512D9" w:rsidRDefault="001A2AEF" w:rsidP="006512D9">
      <w:pPr>
        <w:pStyle w:val="BodyText"/>
        <w:rPr>
          <w:rFonts w:ascii="Calibri" w:hAnsi="Calibri"/>
        </w:rPr>
      </w:pPr>
      <w:r>
        <w:t xml:space="preserve">While on this topic, it is worth noting that, while rare, it is possible that there may be two or more sets of bids that maximise revenue. To minimise the risk of this occurring, the </w:t>
      </w:r>
      <w:r w:rsidR="003A725F">
        <w:t xml:space="preserve">Day-Ahead Auction project team suggested that </w:t>
      </w:r>
      <w:r>
        <w:t>bids be expressed to four decimal places</w:t>
      </w:r>
      <w:r w:rsidR="003A725F">
        <w:t xml:space="preserve"> as they are in the SRA</w:t>
      </w:r>
      <w:r>
        <w:t>. Even with this measure</w:t>
      </w:r>
      <w:r w:rsidR="00BC3737">
        <w:t xml:space="preserve"> in place</w:t>
      </w:r>
      <w:r>
        <w:t>, there is still a risk that a tie</w:t>
      </w:r>
      <w:r w:rsidR="00BC3737">
        <w:t xml:space="preserve"> </w:t>
      </w:r>
      <w:r w:rsidR="00B90862">
        <w:t xml:space="preserve">could </w:t>
      </w:r>
      <w:r w:rsidR="00BC3737">
        <w:t xml:space="preserve">occur. </w:t>
      </w:r>
      <w:r w:rsidR="006512D9">
        <w:t xml:space="preserve">NERA has therefore given some thought to the form that a tie-breaking mechanism could take and recommended the use of the random tie break rule, which the project team was broadly supportive of. </w:t>
      </w:r>
    </w:p>
    <w:p w14:paraId="1724E4EF" w14:textId="6C8F6E3F" w:rsidR="001A2AEF" w:rsidRPr="00F71BE0" w:rsidRDefault="00BC3737" w:rsidP="006512D9">
      <w:pPr>
        <w:pStyle w:val="BodyText"/>
      </w:pPr>
      <w:r>
        <w:t xml:space="preserve">The GMRG agrees with </w:t>
      </w:r>
      <w:r w:rsidR="003A725F">
        <w:t>the tie-breaking measures the project team and NERA have recommended</w:t>
      </w:r>
      <w:r>
        <w:t>, but is interested in hearing other stakeholders’ views on this issue</w:t>
      </w:r>
      <w:r w:rsidR="00681C8D">
        <w:t xml:space="preserve"> and the questions set out in the box below</w:t>
      </w:r>
      <w:r>
        <w:t>.</w:t>
      </w:r>
    </w:p>
    <w:tbl>
      <w:tblPr>
        <w:tblStyle w:val="PullOutBoxTable"/>
        <w:tblW w:w="5000" w:type="pct"/>
        <w:shd w:val="clear" w:color="auto" w:fill="B7E7FF"/>
        <w:tblLook w:val="0620" w:firstRow="1" w:lastRow="0" w:firstColumn="0" w:lastColumn="0" w:noHBand="1" w:noVBand="1"/>
        <w:tblCaption w:val="Box 4.11: Questions on the method for determining winning bidders"/>
        <w:tblDescription w:val="Questions on the method for determining winning bidders"/>
      </w:tblPr>
      <w:tblGrid>
        <w:gridCol w:w="8788"/>
      </w:tblGrid>
      <w:tr w:rsidR="000A474B" w:rsidRPr="002F5B6B" w14:paraId="7390F62A" w14:textId="77777777" w:rsidTr="003974E4">
        <w:trPr>
          <w:tblHeader/>
        </w:trPr>
        <w:tc>
          <w:tcPr>
            <w:tcW w:w="5000" w:type="pct"/>
            <w:shd w:val="clear" w:color="auto" w:fill="auto"/>
          </w:tcPr>
          <w:p w14:paraId="43000A1E" w14:textId="6FEF5D82" w:rsidR="00BC3737" w:rsidRPr="00F154EF" w:rsidRDefault="00F154EF" w:rsidP="00F154EF">
            <w:pPr>
              <w:pStyle w:val="ListNumber"/>
              <w:numPr>
                <w:ilvl w:val="0"/>
                <w:numId w:val="0"/>
              </w:numPr>
              <w:spacing w:before="0" w:after="0"/>
              <w:ind w:left="360" w:hanging="360"/>
              <w:rPr>
                <w:rFonts w:eastAsiaTheme="majorEastAsia"/>
                <w:b/>
                <w:sz w:val="20"/>
                <w:szCs w:val="20"/>
              </w:rPr>
            </w:pPr>
            <w:r w:rsidRPr="00F154EF">
              <w:rPr>
                <w:b/>
              </w:rPr>
              <w:t xml:space="preserve">Box </w:t>
            </w:r>
            <w:r w:rsidRPr="00F154EF">
              <w:rPr>
                <w:b/>
              </w:rPr>
              <w:fldChar w:fldCharType="begin"/>
            </w:r>
            <w:r w:rsidRPr="00F154EF">
              <w:rPr>
                <w:b/>
              </w:rPr>
              <w:instrText xml:space="preserve"> STYLEREF 1 \s </w:instrText>
            </w:r>
            <w:r w:rsidRPr="00F154EF">
              <w:rPr>
                <w:b/>
              </w:rPr>
              <w:fldChar w:fldCharType="separate"/>
            </w:r>
            <w:r w:rsidRPr="00F154EF">
              <w:rPr>
                <w:b/>
                <w:noProof/>
              </w:rPr>
              <w:t>4</w:t>
            </w:r>
            <w:r w:rsidRPr="00F154EF">
              <w:rPr>
                <w:b/>
                <w:noProof/>
              </w:rPr>
              <w:fldChar w:fldCharType="end"/>
            </w:r>
            <w:r w:rsidRPr="00F154EF">
              <w:rPr>
                <w:b/>
              </w:rPr>
              <w:t>.</w:t>
            </w:r>
            <w:r w:rsidRPr="00F154EF">
              <w:rPr>
                <w:b/>
              </w:rPr>
              <w:fldChar w:fldCharType="begin"/>
            </w:r>
            <w:r w:rsidRPr="00F154EF">
              <w:rPr>
                <w:b/>
              </w:rPr>
              <w:instrText xml:space="preserve"> SEQ Box \* ARABIC \s 1 </w:instrText>
            </w:r>
            <w:r w:rsidRPr="00F154EF">
              <w:rPr>
                <w:b/>
              </w:rPr>
              <w:fldChar w:fldCharType="separate"/>
            </w:r>
            <w:r w:rsidRPr="00F154EF">
              <w:rPr>
                <w:b/>
                <w:noProof/>
              </w:rPr>
              <w:t>11</w:t>
            </w:r>
            <w:r w:rsidRPr="00F154EF">
              <w:rPr>
                <w:b/>
                <w:noProof/>
              </w:rPr>
              <w:fldChar w:fldCharType="end"/>
            </w:r>
            <w:r w:rsidRPr="00F154EF">
              <w:rPr>
                <w:b/>
              </w:rPr>
              <w:t xml:space="preserve">: </w:t>
            </w:r>
            <w:r w:rsidRPr="00F154EF">
              <w:rPr>
                <w:b/>
                <w:bCs/>
              </w:rPr>
              <w:t>Questions on the method for determining winning bidders</w:t>
            </w:r>
          </w:p>
        </w:tc>
      </w:tr>
      <w:tr w:rsidR="00F154EF" w:rsidRPr="002F5B6B" w14:paraId="50FFB1CF" w14:textId="77777777" w:rsidTr="003974E4">
        <w:tc>
          <w:tcPr>
            <w:tcW w:w="5000" w:type="pct"/>
            <w:shd w:val="clear" w:color="auto" w:fill="B7E7FF"/>
          </w:tcPr>
          <w:p w14:paraId="2FE2C4FD" w14:textId="77777777" w:rsidR="00F154EF" w:rsidRPr="00BC3737" w:rsidRDefault="00F154EF" w:rsidP="00F154EF">
            <w:pPr>
              <w:pStyle w:val="ListNumber"/>
              <w:numPr>
                <w:ilvl w:val="0"/>
                <w:numId w:val="20"/>
              </w:numPr>
              <w:spacing w:before="80" w:after="80"/>
              <w:ind w:left="357" w:hanging="357"/>
              <w:rPr>
                <w:rFonts w:eastAsiaTheme="majorEastAsia"/>
                <w:sz w:val="20"/>
                <w:szCs w:val="20"/>
              </w:rPr>
            </w:pPr>
            <w:r>
              <w:rPr>
                <w:rFonts w:eastAsiaTheme="majorEastAsia"/>
                <w:sz w:val="21"/>
                <w:szCs w:val="21"/>
              </w:rPr>
              <w:t>Do you agree with the proposal to determine winning bidders through the use of a profit maximising algorithm, which in this case reduces to a revenue maximising algorithm? If not, please explain why.</w:t>
            </w:r>
          </w:p>
          <w:p w14:paraId="1D8D4E40" w14:textId="29ABDDFA" w:rsidR="00F154EF" w:rsidRDefault="00F154EF" w:rsidP="00F154EF">
            <w:pPr>
              <w:pStyle w:val="ListNumber"/>
              <w:numPr>
                <w:ilvl w:val="0"/>
                <w:numId w:val="20"/>
              </w:numPr>
              <w:spacing w:before="80" w:after="80"/>
              <w:ind w:left="357" w:hanging="357"/>
              <w:rPr>
                <w:rFonts w:eastAsiaTheme="majorEastAsia"/>
                <w:sz w:val="21"/>
                <w:szCs w:val="21"/>
              </w:rPr>
            </w:pPr>
            <w:r>
              <w:rPr>
                <w:rFonts w:eastAsiaTheme="majorEastAsia"/>
                <w:sz w:val="21"/>
                <w:szCs w:val="21"/>
              </w:rPr>
              <w:t>Do you agree with the proposal to use a random tie-break rule to determine winning bidders? If not, please explain why.</w:t>
            </w:r>
          </w:p>
        </w:tc>
      </w:tr>
    </w:tbl>
    <w:p w14:paraId="5C95189C" w14:textId="19E08B96" w:rsidR="003077BC" w:rsidRPr="00747925" w:rsidRDefault="003077BC" w:rsidP="003077BC">
      <w:pPr>
        <w:pStyle w:val="Heading2"/>
      </w:pPr>
      <w:bookmarkStart w:id="111" w:name="_Ref494452070"/>
      <w:bookmarkStart w:id="112" w:name="_Toc495351641"/>
      <w:r w:rsidRPr="00747925">
        <w:t>Treatment of curtailment on the gas day</w:t>
      </w:r>
      <w:bookmarkEnd w:id="111"/>
      <w:bookmarkEnd w:id="112"/>
      <w:r w:rsidRPr="00747925">
        <w:t xml:space="preserve"> </w:t>
      </w:r>
    </w:p>
    <w:p w14:paraId="5657B50F" w14:textId="302F3A5C" w:rsidR="00B87077" w:rsidRDefault="00550220" w:rsidP="00B87077">
      <w:pPr>
        <w:pStyle w:val="BodyText"/>
      </w:pPr>
      <w:r>
        <w:t>Consistent with its recommendation that renominations by firm capacity holders be accommodated by the auction product, the AEMC’s preferred outcome for the day-ahead auction is that capacity purchased in the auction is curtailed before firm capacity.</w:t>
      </w:r>
      <w:r>
        <w:rPr>
          <w:rStyle w:val="FootnoteReference"/>
        </w:rPr>
        <w:footnoteReference w:id="61"/>
      </w:r>
      <w:r>
        <w:t xml:space="preserve"> </w:t>
      </w:r>
    </w:p>
    <w:p w14:paraId="56442F45" w14:textId="53E5CC4E" w:rsidR="003B75B1" w:rsidRDefault="00550220" w:rsidP="003B75B1">
      <w:pPr>
        <w:pStyle w:val="BodyText"/>
      </w:pPr>
      <w:r>
        <w:t xml:space="preserve">To implement </w:t>
      </w:r>
      <w:r w:rsidR="003B75B1">
        <w:t xml:space="preserve">this recommendation, a </w:t>
      </w:r>
      <w:r>
        <w:t xml:space="preserve">mechanism will need to be included in the auction design that </w:t>
      </w:r>
      <w:r w:rsidR="003B75B1">
        <w:t xml:space="preserve">can be used to </w:t>
      </w:r>
      <w:r>
        <w:t xml:space="preserve">determine </w:t>
      </w:r>
      <w:r w:rsidR="003B75B1">
        <w:t xml:space="preserve">the sequence in which auction winners </w:t>
      </w:r>
      <w:r>
        <w:t xml:space="preserve">are curtailed and by how much </w:t>
      </w:r>
      <w:r w:rsidR="003B75B1">
        <w:t xml:space="preserve">if the </w:t>
      </w:r>
      <w:r>
        <w:t>auction</w:t>
      </w:r>
      <w:r w:rsidR="003B75B1">
        <w:t>ed</w:t>
      </w:r>
      <w:r>
        <w:t xml:space="preserve"> capacity needs to be curtailed. </w:t>
      </w:r>
      <w:r w:rsidR="003B75B1">
        <w:t xml:space="preserve">This is of particular importance in a combinatorial auction, where auction participants that win capacity across multiple </w:t>
      </w:r>
      <w:r w:rsidR="00EA2C4D">
        <w:t xml:space="preserve">products (i.e. receipt point, pipeline segment, delivery point and/or compressor) </w:t>
      </w:r>
      <w:r w:rsidR="003B75B1">
        <w:t xml:space="preserve">run the risk of being curtailed on one </w:t>
      </w:r>
      <w:r w:rsidR="00EA2C4D">
        <w:t xml:space="preserve">product </w:t>
      </w:r>
      <w:r w:rsidR="003B75B1">
        <w:t xml:space="preserve">but not on another (see </w:t>
      </w:r>
      <w:r w:rsidR="003B75B1">
        <w:fldChar w:fldCharType="begin"/>
      </w:r>
      <w:r w:rsidR="003B75B1">
        <w:instrText xml:space="preserve"> REF _Ref494284430 \h </w:instrText>
      </w:r>
      <w:r w:rsidR="003B75B1">
        <w:fldChar w:fldCharType="separate"/>
      </w:r>
      <w:r w:rsidR="00272B32">
        <w:t xml:space="preserve">Box </w:t>
      </w:r>
      <w:r w:rsidR="00272B32">
        <w:rPr>
          <w:noProof/>
        </w:rPr>
        <w:t>4</w:t>
      </w:r>
      <w:r w:rsidR="00272B32">
        <w:t>.</w:t>
      </w:r>
      <w:r w:rsidR="00272B32">
        <w:rPr>
          <w:noProof/>
        </w:rPr>
        <w:t>12</w:t>
      </w:r>
      <w:r w:rsidR="003B75B1">
        <w:fldChar w:fldCharType="end"/>
      </w:r>
      <w:r w:rsidR="003B75B1">
        <w:t xml:space="preserve">). To avoid reintroducing aggregation risks through curtailment, </w:t>
      </w:r>
      <w:r w:rsidR="002806F2">
        <w:t xml:space="preserve">a mechanism </w:t>
      </w:r>
      <w:r w:rsidR="001A5188">
        <w:t>will</w:t>
      </w:r>
      <w:r w:rsidR="003B75B1">
        <w:t xml:space="preserve"> be required to determine who gets curtailed and the extent to which bidders get curtailed across their entire route.</w:t>
      </w:r>
      <w:r w:rsidR="006B7AC6">
        <w:t xml:space="preserve"> </w:t>
      </w:r>
      <w:r w:rsidR="002806F2">
        <w:t xml:space="preserve">A mechanism may also need to be included to compensate auction winners if they are curtailed. </w:t>
      </w:r>
    </w:p>
    <w:tbl>
      <w:tblPr>
        <w:tblStyle w:val="PullOutBoxTable"/>
        <w:tblW w:w="5000" w:type="pct"/>
        <w:tblLook w:val="0620" w:firstRow="1" w:lastRow="0" w:firstColumn="0" w:lastColumn="0" w:noHBand="1" w:noVBand="1"/>
        <w:tblCaption w:val="Box 4.12: Curtailment example"/>
        <w:tblDescription w:val="Box 4.12: Curtailment example"/>
      </w:tblPr>
      <w:tblGrid>
        <w:gridCol w:w="8788"/>
      </w:tblGrid>
      <w:tr w:rsidR="003B75B1" w14:paraId="7C4DA1DC" w14:textId="77777777" w:rsidTr="003974E4">
        <w:trPr>
          <w:tblHeader/>
        </w:trPr>
        <w:tc>
          <w:tcPr>
            <w:tcW w:w="5000" w:type="pct"/>
            <w:shd w:val="clear" w:color="auto" w:fill="auto"/>
          </w:tcPr>
          <w:p w14:paraId="4D241530" w14:textId="406417B0" w:rsidR="003B75B1" w:rsidRPr="00F154EF" w:rsidRDefault="003B75B1" w:rsidP="00F154EF">
            <w:pPr>
              <w:pStyle w:val="BodyText"/>
              <w:keepNext/>
              <w:spacing w:before="0" w:after="0"/>
              <w:rPr>
                <w:b/>
              </w:rPr>
            </w:pPr>
            <w:r w:rsidRPr="00F154EF">
              <w:rPr>
                <w:b/>
                <w:sz w:val="20"/>
                <w:szCs w:val="20"/>
              </w:rPr>
              <w:t xml:space="preserve"> </w:t>
            </w:r>
            <w:bookmarkStart w:id="113" w:name="_Ref494284430"/>
            <w:r w:rsidR="00F154EF" w:rsidRPr="00F154EF">
              <w:rPr>
                <w:b/>
              </w:rPr>
              <w:t xml:space="preserve">Box </w:t>
            </w:r>
            <w:r w:rsidR="00F154EF" w:rsidRPr="00F154EF">
              <w:rPr>
                <w:b/>
              </w:rPr>
              <w:fldChar w:fldCharType="begin"/>
            </w:r>
            <w:r w:rsidR="00F154EF" w:rsidRPr="00F154EF">
              <w:rPr>
                <w:b/>
              </w:rPr>
              <w:instrText xml:space="preserve"> STYLEREF 1 \s </w:instrText>
            </w:r>
            <w:r w:rsidR="00F154EF" w:rsidRPr="00F154EF">
              <w:rPr>
                <w:b/>
              </w:rPr>
              <w:fldChar w:fldCharType="separate"/>
            </w:r>
            <w:r w:rsidR="00F154EF" w:rsidRPr="00F154EF">
              <w:rPr>
                <w:b/>
                <w:noProof/>
              </w:rPr>
              <w:t>4</w:t>
            </w:r>
            <w:r w:rsidR="00F154EF" w:rsidRPr="00F154EF">
              <w:rPr>
                <w:b/>
                <w:noProof/>
              </w:rPr>
              <w:fldChar w:fldCharType="end"/>
            </w:r>
            <w:r w:rsidR="00F154EF" w:rsidRPr="00F154EF">
              <w:rPr>
                <w:b/>
              </w:rPr>
              <w:t>.</w:t>
            </w:r>
            <w:r w:rsidR="00F154EF" w:rsidRPr="00F154EF">
              <w:rPr>
                <w:b/>
              </w:rPr>
              <w:fldChar w:fldCharType="begin"/>
            </w:r>
            <w:r w:rsidR="00F154EF" w:rsidRPr="00F154EF">
              <w:rPr>
                <w:b/>
              </w:rPr>
              <w:instrText xml:space="preserve"> SEQ Box \* ARABIC \s 1 </w:instrText>
            </w:r>
            <w:r w:rsidR="00F154EF" w:rsidRPr="00F154EF">
              <w:rPr>
                <w:b/>
              </w:rPr>
              <w:fldChar w:fldCharType="separate"/>
            </w:r>
            <w:r w:rsidR="00F154EF" w:rsidRPr="00F154EF">
              <w:rPr>
                <w:b/>
                <w:noProof/>
              </w:rPr>
              <w:t>12</w:t>
            </w:r>
            <w:r w:rsidR="00F154EF" w:rsidRPr="00F154EF">
              <w:rPr>
                <w:b/>
                <w:noProof/>
              </w:rPr>
              <w:fldChar w:fldCharType="end"/>
            </w:r>
            <w:bookmarkEnd w:id="113"/>
            <w:r w:rsidR="00F154EF" w:rsidRPr="00F154EF">
              <w:rPr>
                <w:b/>
              </w:rPr>
              <w:t>: Curtailment example</w:t>
            </w:r>
          </w:p>
        </w:tc>
      </w:tr>
      <w:tr w:rsidR="00F154EF" w14:paraId="148F4FFE" w14:textId="77777777" w:rsidTr="003974E4">
        <w:tc>
          <w:tcPr>
            <w:tcW w:w="5000" w:type="pct"/>
          </w:tcPr>
          <w:p w14:paraId="75606DB1" w14:textId="77777777" w:rsidR="00F154EF" w:rsidRPr="004119E4" w:rsidRDefault="00F154EF" w:rsidP="00F154EF">
            <w:pPr>
              <w:pStyle w:val="BodyText"/>
              <w:keepNext/>
              <w:spacing w:before="120"/>
              <w:rPr>
                <w:sz w:val="20"/>
                <w:szCs w:val="20"/>
              </w:rPr>
            </w:pPr>
            <w:r w:rsidRPr="004119E4">
              <w:rPr>
                <w:sz w:val="20"/>
                <w:szCs w:val="20"/>
              </w:rPr>
              <w:t>In the following example, an auction participant wants to ship gas from A to B. To do this, the auction participant can submit a combined bid for receipt point A, segment S1, segment S</w:t>
            </w:r>
            <w:r>
              <w:rPr>
                <w:sz w:val="20"/>
                <w:szCs w:val="20"/>
              </w:rPr>
              <w:t>5</w:t>
            </w:r>
            <w:r w:rsidRPr="004119E4">
              <w:rPr>
                <w:sz w:val="20"/>
                <w:szCs w:val="20"/>
              </w:rPr>
              <w:t xml:space="preserve"> and receipt point B. Alternatively, it could bid for the route A-S2-S3-B. </w:t>
            </w:r>
          </w:p>
          <w:p w14:paraId="0F5D2041" w14:textId="77777777" w:rsidR="00F154EF" w:rsidRPr="004119E4" w:rsidRDefault="00F154EF" w:rsidP="00F154EF">
            <w:pPr>
              <w:pStyle w:val="ListBullet2"/>
              <w:keepNext/>
              <w:numPr>
                <w:ilvl w:val="0"/>
                <w:numId w:val="0"/>
              </w:numPr>
              <w:jc w:val="center"/>
              <w:rPr>
                <w:sz w:val="20"/>
                <w:szCs w:val="20"/>
              </w:rPr>
            </w:pPr>
            <w:r w:rsidRPr="004119E4">
              <w:rPr>
                <w:noProof/>
                <w:sz w:val="20"/>
                <w:szCs w:val="20"/>
              </w:rPr>
              <w:drawing>
                <wp:inline distT="0" distB="0" distL="0" distR="0" wp14:anchorId="76302D0A" wp14:editId="51676B80">
                  <wp:extent cx="2061845" cy="1961785"/>
                  <wp:effectExtent l="0" t="0" r="0" b="635"/>
                  <wp:docPr id="8" name="Picture 8" descr="Curtailment example" title="Curtailment exa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2065952" cy="1965693"/>
                          </a:xfrm>
                          <a:prstGeom prst="rect">
                            <a:avLst/>
                          </a:prstGeom>
                        </pic:spPr>
                      </pic:pic>
                    </a:graphicData>
                  </a:graphic>
                </wp:inline>
              </w:drawing>
            </w:r>
          </w:p>
          <w:p w14:paraId="02AB2852" w14:textId="77777777" w:rsidR="00F154EF" w:rsidRPr="004119E4" w:rsidRDefault="00F154EF" w:rsidP="00F154EF">
            <w:pPr>
              <w:pStyle w:val="BodyText"/>
              <w:keepNext/>
              <w:rPr>
                <w:sz w:val="20"/>
                <w:szCs w:val="20"/>
              </w:rPr>
            </w:pPr>
            <w:r w:rsidRPr="004119E4">
              <w:rPr>
                <w:sz w:val="20"/>
                <w:szCs w:val="20"/>
              </w:rPr>
              <w:t>If</w:t>
            </w:r>
            <w:r>
              <w:rPr>
                <w:sz w:val="20"/>
                <w:szCs w:val="20"/>
              </w:rPr>
              <w:t>,</w:t>
            </w:r>
            <w:r w:rsidRPr="004119E4">
              <w:rPr>
                <w:sz w:val="20"/>
                <w:szCs w:val="20"/>
              </w:rPr>
              <w:t xml:space="preserve"> in this example, the primary capacity holders were to renominate, then the auctioned capacity would be curtailed at some segments and the auction allocation may no longer be </w:t>
            </w:r>
            <w:proofErr w:type="spellStart"/>
            <w:r w:rsidRPr="004119E4">
              <w:rPr>
                <w:sz w:val="20"/>
                <w:szCs w:val="20"/>
              </w:rPr>
              <w:t>allocatively</w:t>
            </w:r>
            <w:proofErr w:type="spellEnd"/>
            <w:r w:rsidRPr="004119E4">
              <w:rPr>
                <w:sz w:val="20"/>
                <w:szCs w:val="20"/>
              </w:rPr>
              <w:t xml:space="preserve"> efficient, given shippers’ overall capacity requirements and preferences. For example, if a shipper won 10 units of capacity for the route A-S1-S4-B, and its capacity is curtailed by 5 units at S1, the allocation may no longer be value-maximising as the shipper now holds stranded capacity at A, S4 and B (in particular, it holds 10 units at A, S4 and B out of which it will likely only be able to use 5 units). </w:t>
            </w:r>
          </w:p>
          <w:p w14:paraId="5211EBC9" w14:textId="7B3688EF" w:rsidR="00F154EF" w:rsidRPr="004119E4" w:rsidRDefault="00F154EF" w:rsidP="00F154EF">
            <w:pPr>
              <w:pStyle w:val="BodyText"/>
              <w:keepNext/>
              <w:spacing w:before="120"/>
              <w:rPr>
                <w:sz w:val="20"/>
                <w:szCs w:val="20"/>
              </w:rPr>
            </w:pPr>
            <w:r w:rsidRPr="004119E4">
              <w:rPr>
                <w:sz w:val="20"/>
                <w:szCs w:val="20"/>
              </w:rPr>
              <w:t>Moreover, the bidder may have preferred the route S2-S3, where there is a systematic tendency for renomination on S1-S4. This may mean that a party may systematically be awarded apparently cheap but unreliable capacity. The bids in the auction will likely include an expectation of curtailment, so bids for segments for which there is a systematic tendency for renomination are likely going to receive lower bids.</w:t>
            </w:r>
          </w:p>
        </w:tc>
      </w:tr>
    </w:tbl>
    <w:p w14:paraId="6F678212" w14:textId="5673D0A0" w:rsidR="003F75E6" w:rsidRDefault="005871CC" w:rsidP="005871CC">
      <w:pPr>
        <w:pStyle w:val="BodyText"/>
      </w:pPr>
      <w:r w:rsidRPr="003F75E6">
        <w:t>As n</w:t>
      </w:r>
      <w:r w:rsidRPr="007F5AB0">
        <w:t xml:space="preserve">oted in section </w:t>
      </w:r>
      <w:r w:rsidR="007F5AB0" w:rsidRPr="007F5AB0">
        <w:fldChar w:fldCharType="begin"/>
      </w:r>
      <w:r w:rsidR="007F5AB0" w:rsidRPr="007F5AB0">
        <w:instrText xml:space="preserve"> REF _Ref494707756 \r \h </w:instrText>
      </w:r>
      <w:r w:rsidR="007F5AB0">
        <w:instrText xml:space="preserve"> \* MERGEFORMAT </w:instrText>
      </w:r>
      <w:r w:rsidR="007F5AB0" w:rsidRPr="007F5AB0">
        <w:fldChar w:fldCharType="separate"/>
      </w:r>
      <w:r w:rsidR="00272B32">
        <w:t>3.2</w:t>
      </w:r>
      <w:r w:rsidR="007F5AB0" w:rsidRPr="007F5AB0">
        <w:fldChar w:fldCharType="end"/>
      </w:r>
      <w:r w:rsidRPr="007F5AB0">
        <w:t>, the</w:t>
      </w:r>
      <w:r>
        <w:t xml:space="preserve"> Day-Ahead Project team has suggested that if the auctioned capacity is curtailed as a result of a renomination but there is spare primary capacity available then auction winners should be able to try and avoid the curtailment by procuring the primary capacity from the service provider. </w:t>
      </w:r>
    </w:p>
    <w:p w14:paraId="24A0BCF0" w14:textId="62AB68F3" w:rsidR="002806F2" w:rsidRDefault="005871CC" w:rsidP="005871CC">
      <w:pPr>
        <w:pStyle w:val="BodyText"/>
      </w:pPr>
      <w:r>
        <w:t xml:space="preserve">If </w:t>
      </w:r>
      <w:r w:rsidR="003F75E6">
        <w:t xml:space="preserve">the curtailment cannot be avoided and the </w:t>
      </w:r>
      <w:r w:rsidR="002806F2">
        <w:t xml:space="preserve">auction winner has purchased multiple products, </w:t>
      </w:r>
      <w:r w:rsidR="003F75E6">
        <w:t>then</w:t>
      </w:r>
      <w:r w:rsidR="002806F2">
        <w:t>:</w:t>
      </w:r>
    </w:p>
    <w:p w14:paraId="598C1AEA" w14:textId="346A9E92" w:rsidR="002806F2" w:rsidRDefault="003F75E6" w:rsidP="00187EB2">
      <w:pPr>
        <w:pStyle w:val="ListNumber"/>
        <w:numPr>
          <w:ilvl w:val="0"/>
          <w:numId w:val="30"/>
        </w:numPr>
      </w:pPr>
      <w:r>
        <w:t xml:space="preserve">the </w:t>
      </w:r>
      <w:r w:rsidR="002806F2">
        <w:t xml:space="preserve">auction winner </w:t>
      </w:r>
      <w:r>
        <w:t xml:space="preserve">could just </w:t>
      </w:r>
      <w:r w:rsidR="002806F2">
        <w:t xml:space="preserve">be curtailed on the </w:t>
      </w:r>
      <w:r w:rsidR="004818CF">
        <w:t xml:space="preserve">product </w:t>
      </w:r>
      <w:r>
        <w:t xml:space="preserve">that has </w:t>
      </w:r>
      <w:r w:rsidR="004818CF">
        <w:t xml:space="preserve">insufficient </w:t>
      </w:r>
      <w:r w:rsidR="002806F2">
        <w:t>capacity;</w:t>
      </w:r>
    </w:p>
    <w:p w14:paraId="7A11E89E" w14:textId="021544BB" w:rsidR="002806F2" w:rsidRDefault="002806F2" w:rsidP="002806F2">
      <w:pPr>
        <w:pStyle w:val="ListNumber"/>
      </w:pPr>
      <w:r>
        <w:t xml:space="preserve">the auction winner </w:t>
      </w:r>
      <w:r w:rsidR="003F75E6">
        <w:t xml:space="preserve">could </w:t>
      </w:r>
      <w:r>
        <w:t xml:space="preserve">be curtailed by the same amount across all products in </w:t>
      </w:r>
      <w:r w:rsidR="003F75E6">
        <w:t xml:space="preserve">its </w:t>
      </w:r>
      <w:r>
        <w:t>winning bid; or</w:t>
      </w:r>
    </w:p>
    <w:p w14:paraId="133930FB" w14:textId="1E8B3661" w:rsidR="002806F2" w:rsidRDefault="002806F2" w:rsidP="002806F2">
      <w:pPr>
        <w:pStyle w:val="ListNumber"/>
      </w:pPr>
      <w:proofErr w:type="gramStart"/>
      <w:r>
        <w:t>the</w:t>
      </w:r>
      <w:proofErr w:type="gramEnd"/>
      <w:r>
        <w:t xml:space="preserve"> auction winner </w:t>
      </w:r>
      <w:r w:rsidR="003F75E6">
        <w:t xml:space="preserve">could </w:t>
      </w:r>
      <w:r>
        <w:t xml:space="preserve">choose between </w:t>
      </w:r>
      <w:r w:rsidR="003F75E6">
        <w:t xml:space="preserve">options 1 </w:t>
      </w:r>
      <w:r>
        <w:t xml:space="preserve">and </w:t>
      </w:r>
      <w:r w:rsidR="003F75E6">
        <w:t>2</w:t>
      </w:r>
      <w:r>
        <w:t>.</w:t>
      </w:r>
    </w:p>
    <w:p w14:paraId="74D1EDD9" w14:textId="77AFEF2C" w:rsidR="009E6B44" w:rsidRDefault="009E6B44" w:rsidP="00B87077">
      <w:pPr>
        <w:pStyle w:val="BodyText"/>
      </w:pPr>
      <w:r>
        <w:t xml:space="preserve">Of the options listed above, </w:t>
      </w:r>
      <w:r w:rsidR="003F75E6">
        <w:t xml:space="preserve">the project team thought that </w:t>
      </w:r>
      <w:r>
        <w:t xml:space="preserve">auction winners </w:t>
      </w:r>
      <w:r w:rsidR="003F75E6">
        <w:t xml:space="preserve">would </w:t>
      </w:r>
      <w:r>
        <w:t xml:space="preserve">value </w:t>
      </w:r>
      <w:r w:rsidR="003F75E6">
        <w:t xml:space="preserve">being able to choose between options 1 and 2, particularly if they could use </w:t>
      </w:r>
      <w:r>
        <w:t>storage or overrun services</w:t>
      </w:r>
      <w:r w:rsidR="003F75E6">
        <w:t xml:space="preserve"> to minimise the effects of the curtailment of one product</w:t>
      </w:r>
      <w:r>
        <w:t xml:space="preserve">. </w:t>
      </w:r>
    </w:p>
    <w:p w14:paraId="1EDE9D23" w14:textId="486A99E5" w:rsidR="00550220" w:rsidRDefault="009E6B44" w:rsidP="00B87077">
      <w:pPr>
        <w:pStyle w:val="BodyText"/>
      </w:pPr>
      <w:r>
        <w:t xml:space="preserve">If curtailment is required, then the curtailment rules </w:t>
      </w:r>
      <w:r w:rsidR="003F75E6">
        <w:t xml:space="preserve">will </w:t>
      </w:r>
      <w:r>
        <w:t xml:space="preserve">need to establish the order in which bids are curtailed. </w:t>
      </w:r>
      <w:r w:rsidR="003B75B1">
        <w:t xml:space="preserve">NERA has identified </w:t>
      </w:r>
      <w:r w:rsidR="00AA1D1A">
        <w:t xml:space="preserve">the following </w:t>
      </w:r>
      <w:r w:rsidR="003B75B1">
        <w:t xml:space="preserve">options that could be used </w:t>
      </w:r>
      <w:r>
        <w:t>in this context</w:t>
      </w:r>
      <w:r w:rsidR="003B75B1">
        <w:t>:</w:t>
      </w:r>
    </w:p>
    <w:p w14:paraId="10934BF9" w14:textId="5411CEDA" w:rsidR="003B75B1" w:rsidRDefault="003B75B1" w:rsidP="00735C04">
      <w:pPr>
        <w:pStyle w:val="ListBullet"/>
      </w:pPr>
      <w:r>
        <w:t>p</w:t>
      </w:r>
      <w:r w:rsidRPr="00300FA0">
        <w:t>ro-rata curtailment</w:t>
      </w:r>
      <w:r>
        <w:t>;</w:t>
      </w:r>
    </w:p>
    <w:p w14:paraId="2EF0B814" w14:textId="1DA5F1B7" w:rsidR="00735C04" w:rsidRDefault="00236C0A" w:rsidP="00735C04">
      <w:pPr>
        <w:pStyle w:val="ListBullet"/>
      </w:pPr>
      <w:r>
        <w:t>service provider</w:t>
      </w:r>
      <w:r w:rsidR="00735C04" w:rsidRPr="001E2193">
        <w:t xml:space="preserve"> wide revenue-based curtailment</w:t>
      </w:r>
      <w:r w:rsidR="00735C04">
        <w:t>;</w:t>
      </w:r>
    </w:p>
    <w:p w14:paraId="62B0D0FF" w14:textId="26FB9FD2" w:rsidR="00735C04" w:rsidRDefault="00236C0A" w:rsidP="00735C04">
      <w:pPr>
        <w:pStyle w:val="ListBullet"/>
      </w:pPr>
      <w:r>
        <w:t>service provider</w:t>
      </w:r>
      <w:r w:rsidRPr="001E2193">
        <w:t xml:space="preserve"> </w:t>
      </w:r>
      <w:r w:rsidR="003B75B1" w:rsidRPr="001E2193">
        <w:t xml:space="preserve">wide </w:t>
      </w:r>
      <w:r w:rsidR="003B75B1">
        <w:t>valuation</w:t>
      </w:r>
      <w:r w:rsidR="003B75B1" w:rsidRPr="001E2193">
        <w:t>-based curtailment</w:t>
      </w:r>
      <w:r w:rsidR="003B75B1">
        <w:t xml:space="preserve">; </w:t>
      </w:r>
      <w:r w:rsidR="00735C04">
        <w:t>and</w:t>
      </w:r>
    </w:p>
    <w:p w14:paraId="7DD65B48" w14:textId="5B79854C" w:rsidR="003B75B1" w:rsidRDefault="00735C04" w:rsidP="00735C04">
      <w:pPr>
        <w:pStyle w:val="ListBullet"/>
      </w:pPr>
      <w:proofErr w:type="gramStart"/>
      <w:r>
        <w:t>system</w:t>
      </w:r>
      <w:proofErr w:type="gramEnd"/>
      <w:r>
        <w:t xml:space="preserve"> wide valuation-based curtailment.</w:t>
      </w:r>
    </w:p>
    <w:p w14:paraId="6F925A5B" w14:textId="375C4460" w:rsidR="009E6B44" w:rsidRDefault="00AA1D1A" w:rsidP="004119E4">
      <w:pPr>
        <w:pStyle w:val="BodyText"/>
      </w:pPr>
      <w:r>
        <w:t>Further detail on the</w:t>
      </w:r>
      <w:r w:rsidR="003F75E6">
        <w:t>se</w:t>
      </w:r>
      <w:r w:rsidR="00735C04">
        <w:t xml:space="preserve"> options is provided in </w:t>
      </w:r>
      <w:r w:rsidR="004119E4">
        <w:fldChar w:fldCharType="begin"/>
      </w:r>
      <w:r w:rsidR="004119E4">
        <w:instrText xml:space="preserve"> REF _Ref494291803 \h </w:instrText>
      </w:r>
      <w:r w:rsidR="004119E4">
        <w:fldChar w:fldCharType="separate"/>
      </w:r>
      <w:r w:rsidR="00272B32">
        <w:t xml:space="preserve">Table </w:t>
      </w:r>
      <w:r w:rsidR="00272B32">
        <w:rPr>
          <w:noProof/>
        </w:rPr>
        <w:t>4</w:t>
      </w:r>
      <w:r w:rsidR="00272B32">
        <w:t>.</w:t>
      </w:r>
      <w:r w:rsidR="00272B32">
        <w:rPr>
          <w:noProof/>
        </w:rPr>
        <w:t>3</w:t>
      </w:r>
      <w:r w:rsidR="004119E4">
        <w:fldChar w:fldCharType="end"/>
      </w:r>
      <w:r>
        <w:t>, which also contains NERA’s evaluation of the feasibility of implementing these options and the efficiency impacts</w:t>
      </w:r>
      <w:r w:rsidR="00735C04">
        <w:t>.</w:t>
      </w:r>
      <w:r w:rsidR="00CD0B4F">
        <w:t xml:space="preserve"> </w:t>
      </w:r>
    </w:p>
    <w:p w14:paraId="2BC33E54" w14:textId="72AD427A" w:rsidR="00735C04" w:rsidRDefault="00735C04" w:rsidP="004119E4">
      <w:pPr>
        <w:pStyle w:val="Caption"/>
        <w:spacing w:after="0"/>
      </w:pPr>
      <w:bookmarkStart w:id="114" w:name="_Ref494291803"/>
      <w:r>
        <w:t xml:space="preserve">Table </w:t>
      </w:r>
      <w:r w:rsidR="00115A93">
        <w:fldChar w:fldCharType="begin"/>
      </w:r>
      <w:r w:rsidR="00115A93">
        <w:instrText xml:space="preserve"> STYLEREF 1 \s </w:instrText>
      </w:r>
      <w:r w:rsidR="00115A93">
        <w:fldChar w:fldCharType="separate"/>
      </w:r>
      <w:r w:rsidR="00272B32">
        <w:rPr>
          <w:noProof/>
        </w:rPr>
        <w:t>4</w:t>
      </w:r>
      <w:r w:rsidR="00115A93">
        <w:rPr>
          <w:noProof/>
        </w:rPr>
        <w:fldChar w:fldCharType="end"/>
      </w:r>
      <w:r w:rsidR="009A057E">
        <w:t>.</w:t>
      </w:r>
      <w:r w:rsidR="00115A93">
        <w:fldChar w:fldCharType="begin"/>
      </w:r>
      <w:r w:rsidR="00115A93">
        <w:instrText xml:space="preserve"> SEQ Table \* ARABIC \s 1 </w:instrText>
      </w:r>
      <w:r w:rsidR="00115A93">
        <w:fldChar w:fldCharType="separate"/>
      </w:r>
      <w:r w:rsidR="00272B32">
        <w:rPr>
          <w:noProof/>
        </w:rPr>
        <w:t>3</w:t>
      </w:r>
      <w:r w:rsidR="00115A93">
        <w:rPr>
          <w:noProof/>
        </w:rPr>
        <w:fldChar w:fldCharType="end"/>
      </w:r>
      <w:bookmarkEnd w:id="114"/>
      <w:r>
        <w:t>: Curtailment</w:t>
      </w:r>
      <w:r w:rsidR="009E6B44">
        <w:t xml:space="preserve"> order</w:t>
      </w:r>
      <w:r>
        <w:t xml:space="preserve"> </w:t>
      </w:r>
    </w:p>
    <w:tbl>
      <w:tblPr>
        <w:tblStyle w:val="TableGrid"/>
        <w:tblW w:w="5001" w:type="pct"/>
        <w:tblLayout w:type="fixed"/>
        <w:tblLook w:val="0420" w:firstRow="1" w:lastRow="0" w:firstColumn="0" w:lastColumn="0" w:noHBand="0" w:noVBand="1"/>
        <w:tblCaption w:val="Table 4.3: Curtailment order "/>
        <w:tblDescription w:val="Curtailment order "/>
      </w:tblPr>
      <w:tblGrid>
        <w:gridCol w:w="993"/>
        <w:gridCol w:w="5814"/>
        <w:gridCol w:w="1983"/>
      </w:tblGrid>
      <w:tr w:rsidR="00735C04" w14:paraId="470783DB" w14:textId="1F122223" w:rsidTr="004F2086">
        <w:trPr>
          <w:cnfStyle w:val="100000000000" w:firstRow="1" w:lastRow="0" w:firstColumn="0" w:lastColumn="0" w:oddVBand="0" w:evenVBand="0" w:oddHBand="0" w:evenHBand="0" w:firstRowFirstColumn="0" w:firstRowLastColumn="0" w:lastRowFirstColumn="0" w:lastRowLastColumn="0"/>
          <w:cantSplit/>
          <w:tblHeader/>
        </w:trPr>
        <w:tc>
          <w:tcPr>
            <w:tcW w:w="565" w:type="pct"/>
            <w:tcBorders>
              <w:bottom w:val="single" w:sz="4" w:space="0" w:color="auto"/>
            </w:tcBorders>
            <w:shd w:val="clear" w:color="auto" w:fill="0099CC"/>
          </w:tcPr>
          <w:p w14:paraId="7DD29AEA" w14:textId="01381883" w:rsidR="00735C04" w:rsidRDefault="00735C04" w:rsidP="00AA1D1A">
            <w:pPr>
              <w:pStyle w:val="TableHeading"/>
              <w:keepNext/>
              <w:rPr>
                <w:lang w:eastAsia="fr-CA"/>
              </w:rPr>
            </w:pPr>
            <w:r>
              <w:rPr>
                <w:lang w:eastAsia="fr-CA"/>
              </w:rPr>
              <w:t>Options</w:t>
            </w:r>
          </w:p>
        </w:tc>
        <w:tc>
          <w:tcPr>
            <w:tcW w:w="3307" w:type="pct"/>
            <w:tcBorders>
              <w:bottom w:val="single" w:sz="4" w:space="0" w:color="auto"/>
            </w:tcBorders>
            <w:shd w:val="clear" w:color="auto" w:fill="0099CC"/>
          </w:tcPr>
          <w:p w14:paraId="138DEE9C" w14:textId="53218A19" w:rsidR="00735C04" w:rsidRDefault="00735C04" w:rsidP="00AA1D1A">
            <w:pPr>
              <w:pStyle w:val="TableHeading"/>
              <w:keepNext/>
              <w:rPr>
                <w:lang w:eastAsia="fr-CA"/>
              </w:rPr>
            </w:pPr>
            <w:r>
              <w:rPr>
                <w:lang w:eastAsia="fr-CA"/>
              </w:rPr>
              <w:t>Explanation</w:t>
            </w:r>
          </w:p>
        </w:tc>
        <w:tc>
          <w:tcPr>
            <w:tcW w:w="1128" w:type="pct"/>
            <w:tcBorders>
              <w:bottom w:val="single" w:sz="4" w:space="0" w:color="auto"/>
            </w:tcBorders>
            <w:shd w:val="clear" w:color="auto" w:fill="0099CC"/>
          </w:tcPr>
          <w:p w14:paraId="15B44899" w14:textId="73F9E8BE" w:rsidR="00735C04" w:rsidRDefault="00CF2168" w:rsidP="00AA1D1A">
            <w:pPr>
              <w:pStyle w:val="TableHeading"/>
              <w:keepNext/>
              <w:rPr>
                <w:lang w:eastAsia="fr-CA"/>
              </w:rPr>
            </w:pPr>
            <w:r>
              <w:rPr>
                <w:lang w:eastAsia="fr-CA"/>
              </w:rPr>
              <w:t xml:space="preserve">NERA </w:t>
            </w:r>
            <w:r w:rsidR="00735C04">
              <w:rPr>
                <w:lang w:eastAsia="fr-CA"/>
              </w:rPr>
              <w:t>Evaluation</w:t>
            </w:r>
          </w:p>
        </w:tc>
      </w:tr>
      <w:tr w:rsidR="007F5AB0" w14:paraId="2D884D50" w14:textId="4051CBAE" w:rsidTr="004F2086">
        <w:trPr>
          <w:cantSplit/>
        </w:trPr>
        <w:tc>
          <w:tcPr>
            <w:tcW w:w="565" w:type="pct"/>
          </w:tcPr>
          <w:p w14:paraId="065A3058" w14:textId="35C3126E" w:rsidR="007F5AB0" w:rsidRPr="00735C04" w:rsidRDefault="007F5AB0" w:rsidP="007F5AB0">
            <w:pPr>
              <w:pStyle w:val="TableBodyText"/>
              <w:keepNext/>
              <w:rPr>
                <w:b/>
                <w:lang w:eastAsia="fr-CA"/>
              </w:rPr>
            </w:pPr>
            <w:r w:rsidRPr="00735C04">
              <w:rPr>
                <w:b/>
                <w:lang w:eastAsia="fr-CA"/>
              </w:rPr>
              <w:t xml:space="preserve">Basic pro-rating </w:t>
            </w:r>
          </w:p>
        </w:tc>
        <w:tc>
          <w:tcPr>
            <w:tcW w:w="3307" w:type="pct"/>
          </w:tcPr>
          <w:p w14:paraId="4CFD53E5" w14:textId="139A81AA" w:rsidR="007F5AB0" w:rsidRDefault="007F5AB0" w:rsidP="007F5AB0">
            <w:pPr>
              <w:pStyle w:val="TableBodyText"/>
              <w:keepNext/>
              <w:rPr>
                <w:lang w:eastAsia="fr-CA"/>
              </w:rPr>
            </w:pPr>
            <w:r>
              <w:rPr>
                <w:lang w:eastAsia="fr-CA"/>
              </w:rPr>
              <w:t xml:space="preserve">Under this option all </w:t>
            </w:r>
            <w:r>
              <w:t xml:space="preserve">auction winners would </w:t>
            </w:r>
            <w:r w:rsidRPr="001101C7">
              <w:t xml:space="preserve">be curtailed to the same extent (i.e. by the same number of units or same proportion), regardless of their bids and shipping routes. This option is obviously the </w:t>
            </w:r>
            <w:r w:rsidR="00144CFC" w:rsidRPr="001101C7">
              <w:t>simplest</w:t>
            </w:r>
            <w:r w:rsidRPr="001101C7">
              <w:t xml:space="preserve">, but is likely going to result in the </w:t>
            </w:r>
            <w:r w:rsidR="00144CFC" w:rsidRPr="001101C7">
              <w:t>costliest</w:t>
            </w:r>
            <w:r w:rsidRPr="001101C7">
              <w:t xml:space="preserve"> curtailm</w:t>
            </w:r>
            <w:r>
              <w:t>ent (with compensation) or reintroduces severe aggregation risks (without compensation).</w:t>
            </w:r>
          </w:p>
        </w:tc>
        <w:tc>
          <w:tcPr>
            <w:tcW w:w="1128" w:type="pct"/>
          </w:tcPr>
          <w:p w14:paraId="14D45ADA" w14:textId="77777777" w:rsidR="007F5AB0" w:rsidRDefault="007F5AB0" w:rsidP="007F5AB0">
            <w:pPr>
              <w:pStyle w:val="TableBodyText"/>
              <w:keepNext/>
              <w:rPr>
                <w:lang w:eastAsia="fr-CA"/>
              </w:rPr>
            </w:pPr>
            <w:r>
              <w:rPr>
                <w:lang w:eastAsia="fr-CA"/>
              </w:rPr>
              <w:t>Simple to implement.</w:t>
            </w:r>
          </w:p>
          <w:p w14:paraId="3DE9E2E9" w14:textId="77777777" w:rsidR="007F5AB0" w:rsidRDefault="007F5AB0" w:rsidP="007F5AB0">
            <w:pPr>
              <w:pStyle w:val="TableBodyText"/>
              <w:keepNext/>
              <w:rPr>
                <w:lang w:eastAsia="fr-CA"/>
              </w:rPr>
            </w:pPr>
            <w:r>
              <w:rPr>
                <w:lang w:eastAsia="fr-CA"/>
              </w:rPr>
              <w:t xml:space="preserve">Inefficient and could lead to excessive curtailment. </w:t>
            </w:r>
          </w:p>
          <w:p w14:paraId="1CFFB199" w14:textId="7C6A0E20" w:rsidR="007F5AB0" w:rsidRDefault="007F5AB0" w:rsidP="007F5AB0">
            <w:pPr>
              <w:pStyle w:val="TableBodyText"/>
              <w:keepNext/>
              <w:rPr>
                <w:lang w:eastAsia="fr-CA"/>
              </w:rPr>
            </w:pPr>
            <w:r>
              <w:rPr>
                <w:lang w:eastAsia="fr-CA"/>
              </w:rPr>
              <w:t>Reintroduces significant aggregation risks.</w:t>
            </w:r>
          </w:p>
        </w:tc>
      </w:tr>
      <w:tr w:rsidR="007F5AB0" w14:paraId="66BD58FB" w14:textId="184CF6D4" w:rsidTr="004F2086">
        <w:trPr>
          <w:cnfStyle w:val="000000010000" w:firstRow="0" w:lastRow="0" w:firstColumn="0" w:lastColumn="0" w:oddVBand="0" w:evenVBand="0" w:oddHBand="0" w:evenHBand="1" w:firstRowFirstColumn="0" w:firstRowLastColumn="0" w:lastRowFirstColumn="0" w:lastRowLastColumn="0"/>
          <w:cantSplit/>
        </w:trPr>
        <w:tc>
          <w:tcPr>
            <w:tcW w:w="565" w:type="pct"/>
          </w:tcPr>
          <w:p w14:paraId="610AB6B9" w14:textId="37C734A6" w:rsidR="007F5AB0" w:rsidRPr="00735C04" w:rsidRDefault="00236C0A" w:rsidP="007F5AB0">
            <w:pPr>
              <w:pStyle w:val="TableBodyText"/>
              <w:keepNext/>
              <w:rPr>
                <w:b/>
                <w:lang w:eastAsia="fr-CA"/>
              </w:rPr>
            </w:pPr>
            <w:r>
              <w:rPr>
                <w:b/>
                <w:lang w:eastAsia="fr-CA"/>
              </w:rPr>
              <w:t>Service provider</w:t>
            </w:r>
            <w:r w:rsidR="007F5AB0" w:rsidRPr="00735C04">
              <w:rPr>
                <w:b/>
                <w:lang w:eastAsia="fr-CA"/>
              </w:rPr>
              <w:t xml:space="preserve"> wide revenue based</w:t>
            </w:r>
          </w:p>
        </w:tc>
        <w:tc>
          <w:tcPr>
            <w:tcW w:w="3307" w:type="pct"/>
          </w:tcPr>
          <w:p w14:paraId="7310CE0A" w14:textId="1F8C9B9D" w:rsidR="007F5AB0" w:rsidRDefault="007F5AB0" w:rsidP="007F5AB0">
            <w:pPr>
              <w:pStyle w:val="TableBodyText"/>
              <w:keepNext/>
              <w:rPr>
                <w:lang w:eastAsia="fr-CA"/>
              </w:rPr>
            </w:pPr>
            <w:r>
              <w:t xml:space="preserve">Under this option, service providers </w:t>
            </w:r>
            <w:r w:rsidRPr="001101C7">
              <w:t xml:space="preserve">would be provided with information about the winning bids on all their pipelines </w:t>
            </w:r>
            <w:r w:rsidR="00236C0A">
              <w:t xml:space="preserve">(and where relevant, compressors) </w:t>
            </w:r>
            <w:r w:rsidRPr="001101C7">
              <w:t>as well as the prices achieved on individual segments. They would then be required to use the curtailment that has the least impact on their revenues.</w:t>
            </w:r>
          </w:p>
        </w:tc>
        <w:tc>
          <w:tcPr>
            <w:tcW w:w="1128" w:type="pct"/>
          </w:tcPr>
          <w:p w14:paraId="708D3AC7" w14:textId="77777777" w:rsidR="007F5AB0" w:rsidRDefault="007F5AB0" w:rsidP="007F5AB0">
            <w:pPr>
              <w:pStyle w:val="TableBodyText"/>
              <w:keepNext/>
            </w:pPr>
            <w:r>
              <w:t xml:space="preserve">Feasible to implement. </w:t>
            </w:r>
          </w:p>
          <w:p w14:paraId="5BA5D7FD" w14:textId="6E162552" w:rsidR="007F5AB0" w:rsidRDefault="007F5AB0" w:rsidP="007F5AB0">
            <w:pPr>
              <w:pStyle w:val="TableBodyText"/>
              <w:keepNext/>
            </w:pPr>
            <w:r>
              <w:t>Less efficient than valuation based approaches and unclear if more o</w:t>
            </w:r>
            <w:r w:rsidR="00E34B98">
              <w:t>r</w:t>
            </w:r>
            <w:r>
              <w:t xml:space="preserve"> less efficient than pro-rating.</w:t>
            </w:r>
          </w:p>
        </w:tc>
      </w:tr>
      <w:tr w:rsidR="007F5AB0" w14:paraId="031CAB31" w14:textId="045BEEDD" w:rsidTr="004F2086">
        <w:trPr>
          <w:cantSplit/>
        </w:trPr>
        <w:tc>
          <w:tcPr>
            <w:tcW w:w="565" w:type="pct"/>
          </w:tcPr>
          <w:p w14:paraId="090B7F10" w14:textId="18521F5C" w:rsidR="007F5AB0" w:rsidRPr="00735C04" w:rsidRDefault="00236C0A" w:rsidP="007F5AB0">
            <w:pPr>
              <w:pStyle w:val="TableBodyText"/>
              <w:keepNext/>
              <w:rPr>
                <w:b/>
                <w:lang w:eastAsia="fr-CA"/>
              </w:rPr>
            </w:pPr>
            <w:r>
              <w:rPr>
                <w:b/>
                <w:lang w:eastAsia="fr-CA"/>
              </w:rPr>
              <w:t>Service provider</w:t>
            </w:r>
            <w:r w:rsidR="007F5AB0" w:rsidRPr="00735C04">
              <w:rPr>
                <w:b/>
                <w:lang w:eastAsia="fr-CA"/>
              </w:rPr>
              <w:t xml:space="preserve"> wide valuation based</w:t>
            </w:r>
          </w:p>
        </w:tc>
        <w:tc>
          <w:tcPr>
            <w:tcW w:w="3307" w:type="pct"/>
          </w:tcPr>
          <w:p w14:paraId="19162F2E" w14:textId="721C9B95" w:rsidR="007F5AB0" w:rsidRDefault="007F5AB0" w:rsidP="007F5AB0">
            <w:pPr>
              <w:pStyle w:val="TableBodyText"/>
              <w:keepNext/>
              <w:rPr>
                <w:lang w:eastAsia="fr-CA"/>
              </w:rPr>
            </w:pPr>
            <w:r>
              <w:rPr>
                <w:lang w:eastAsia="fr-CA"/>
              </w:rPr>
              <w:t xml:space="preserve">Under this option </w:t>
            </w:r>
            <w:r>
              <w:t xml:space="preserve">AEMO </w:t>
            </w:r>
            <w:r w:rsidRPr="001101C7">
              <w:t xml:space="preserve">would determine the most efficient curtailment option using the </w:t>
            </w:r>
            <w:r>
              <w:t xml:space="preserve">winning bids. This option </w:t>
            </w:r>
            <w:r w:rsidRPr="001101C7">
              <w:t>minimise</w:t>
            </w:r>
            <w:r>
              <w:t>s</w:t>
            </w:r>
            <w:r w:rsidRPr="001101C7">
              <w:t xml:space="preserve"> the cost of curtailment at bid amounts. </w:t>
            </w:r>
            <w:r>
              <w:t xml:space="preserve">Service providers </w:t>
            </w:r>
            <w:r w:rsidRPr="001101C7">
              <w:t>would need to communicate renominations in specific intervals</w:t>
            </w:r>
            <w:r w:rsidRPr="001101C7">
              <w:rPr>
                <w:rStyle w:val="FootnoteReference"/>
              </w:rPr>
              <w:footnoteReference w:id="62"/>
            </w:r>
            <w:r w:rsidRPr="001101C7">
              <w:t xml:space="preserve"> to </w:t>
            </w:r>
            <w:r>
              <w:t>AEMO</w:t>
            </w:r>
            <w:r w:rsidRPr="001101C7">
              <w:t xml:space="preserve"> who then re</w:t>
            </w:r>
            <w:r>
              <w:t>-</w:t>
            </w:r>
            <w:r w:rsidRPr="001101C7">
              <w:t xml:space="preserve">determines the value maximising curtailment order at all pipelines </w:t>
            </w:r>
            <w:r w:rsidR="00236C0A">
              <w:t xml:space="preserve">(and where relevant, compressors) </w:t>
            </w:r>
            <w:r w:rsidRPr="001101C7">
              <w:t xml:space="preserve">holistically. </w:t>
            </w:r>
            <w:r>
              <w:t xml:space="preserve">AEMO </w:t>
            </w:r>
            <w:r w:rsidRPr="001101C7">
              <w:t xml:space="preserve">would then communicate the curtailment decision to </w:t>
            </w:r>
            <w:r>
              <w:t>service providers</w:t>
            </w:r>
            <w:r w:rsidRPr="001101C7">
              <w:t>. This option identifies the least-cost and least-disruptive curtailment, but is the most complex to implement and unlikely to be practical.</w:t>
            </w:r>
          </w:p>
        </w:tc>
        <w:tc>
          <w:tcPr>
            <w:tcW w:w="1128" w:type="pct"/>
          </w:tcPr>
          <w:p w14:paraId="35A6E275" w14:textId="256A6FE4" w:rsidR="007F5AB0" w:rsidRDefault="007F5AB0" w:rsidP="007F5AB0">
            <w:pPr>
              <w:pStyle w:val="TableBodyText"/>
              <w:keepNext/>
              <w:rPr>
                <w:lang w:eastAsia="fr-CA"/>
              </w:rPr>
            </w:pPr>
            <w:r>
              <w:rPr>
                <w:lang w:eastAsia="fr-CA"/>
              </w:rPr>
              <w:t>Unlikely to be feasible to implement.</w:t>
            </w:r>
          </w:p>
          <w:p w14:paraId="55E7419E" w14:textId="6FC6F026" w:rsidR="007F5AB0" w:rsidRDefault="007F5AB0" w:rsidP="007F5AB0">
            <w:pPr>
              <w:pStyle w:val="TableBodyText"/>
              <w:keepNext/>
              <w:rPr>
                <w:lang w:eastAsia="fr-CA"/>
              </w:rPr>
            </w:pPr>
            <w:r>
              <w:rPr>
                <w:lang w:eastAsia="fr-CA"/>
              </w:rPr>
              <w:t>Most efficient option.</w:t>
            </w:r>
          </w:p>
        </w:tc>
      </w:tr>
      <w:tr w:rsidR="00735C04" w14:paraId="240A2A8B" w14:textId="23CD201E" w:rsidTr="004F2086">
        <w:trPr>
          <w:cnfStyle w:val="000000010000" w:firstRow="0" w:lastRow="0" w:firstColumn="0" w:lastColumn="0" w:oddVBand="0" w:evenVBand="0" w:oddHBand="0" w:evenHBand="1" w:firstRowFirstColumn="0" w:firstRowLastColumn="0" w:lastRowFirstColumn="0" w:lastRowLastColumn="0"/>
          <w:cantSplit/>
        </w:trPr>
        <w:tc>
          <w:tcPr>
            <w:tcW w:w="565" w:type="pct"/>
          </w:tcPr>
          <w:p w14:paraId="7DE0221B" w14:textId="01B2548B" w:rsidR="00735C04" w:rsidRPr="00735C04" w:rsidRDefault="00735C04" w:rsidP="00AA1D1A">
            <w:pPr>
              <w:pStyle w:val="TableBodyText"/>
              <w:keepNext/>
              <w:rPr>
                <w:b/>
                <w:lang w:eastAsia="fr-CA"/>
              </w:rPr>
            </w:pPr>
            <w:r w:rsidRPr="00735C04">
              <w:rPr>
                <w:b/>
                <w:lang w:eastAsia="fr-CA"/>
              </w:rPr>
              <w:t>Pipeline wide valuation based</w:t>
            </w:r>
          </w:p>
        </w:tc>
        <w:tc>
          <w:tcPr>
            <w:tcW w:w="3307" w:type="pct"/>
          </w:tcPr>
          <w:p w14:paraId="1A896591" w14:textId="12E479FE" w:rsidR="00735C04" w:rsidRDefault="00735C04" w:rsidP="00AA1D1A">
            <w:pPr>
              <w:pStyle w:val="TableBodyText"/>
              <w:keepNext/>
              <w:rPr>
                <w:lang w:eastAsia="fr-CA"/>
              </w:rPr>
            </w:pPr>
            <w:r>
              <w:t>Under this option</w:t>
            </w:r>
            <w:r w:rsidRPr="001101C7">
              <w:t xml:space="preserve"> </w:t>
            </w:r>
            <w:r>
              <w:t xml:space="preserve">service providers </w:t>
            </w:r>
            <w:r w:rsidRPr="001101C7">
              <w:t>would be provided with information about the winning bids on all of their pipelines</w:t>
            </w:r>
            <w:r w:rsidR="00236C0A">
              <w:t xml:space="preserve"> (and where relevant, compressors)</w:t>
            </w:r>
            <w:r w:rsidRPr="001101C7">
              <w:t xml:space="preserve">. They would then be required to establish the value maximising curtailment across their network based on the </w:t>
            </w:r>
            <w:r w:rsidRPr="00C9537E">
              <w:t xml:space="preserve">winning bids. This option is likely </w:t>
            </w:r>
            <w:r>
              <w:t>going to be less efficient than</w:t>
            </w:r>
            <w:r w:rsidRPr="00C9537E">
              <w:t xml:space="preserve"> system-wide valuation-based curtailment as </w:t>
            </w:r>
            <w:r w:rsidR="00236C0A">
              <w:t xml:space="preserve">service providers </w:t>
            </w:r>
            <w:r w:rsidRPr="00C9537E">
              <w:t xml:space="preserve">will not take into account the impact of their curtailment decisions on other </w:t>
            </w:r>
            <w:r w:rsidR="00236C0A">
              <w:t>assets</w:t>
            </w:r>
            <w:r w:rsidRPr="00C9537E">
              <w:t xml:space="preserve">. However, given the </w:t>
            </w:r>
            <w:r>
              <w:t xml:space="preserve">complexity of the </w:t>
            </w:r>
            <w:r w:rsidRPr="00C9537E">
              <w:t xml:space="preserve">system-wide option, </w:t>
            </w:r>
            <w:r>
              <w:t>this</w:t>
            </w:r>
            <w:r w:rsidRPr="00C9537E">
              <w:t xml:space="preserve"> option is </w:t>
            </w:r>
            <w:r>
              <w:t xml:space="preserve">generally </w:t>
            </w:r>
            <w:r w:rsidRPr="00C9537E">
              <w:t xml:space="preserve">the most efficient feasible option </w:t>
            </w:r>
            <w:r w:rsidR="00236C0A">
              <w:t>of the remaining options</w:t>
            </w:r>
            <w:r w:rsidRPr="00C9537E">
              <w:t>.</w:t>
            </w:r>
          </w:p>
        </w:tc>
        <w:tc>
          <w:tcPr>
            <w:tcW w:w="1128" w:type="pct"/>
          </w:tcPr>
          <w:p w14:paraId="7B22F981" w14:textId="6A4018DE" w:rsidR="00735C04" w:rsidRDefault="00CF2168" w:rsidP="00AA1D1A">
            <w:pPr>
              <w:pStyle w:val="TableBodyText"/>
              <w:keepNext/>
            </w:pPr>
            <w:r>
              <w:t xml:space="preserve">Feasible to implement. </w:t>
            </w:r>
          </w:p>
          <w:p w14:paraId="0F55F0F3" w14:textId="3411874F" w:rsidR="00CF2168" w:rsidRDefault="00CF2168" w:rsidP="00AA1D1A">
            <w:pPr>
              <w:pStyle w:val="TableBodyText"/>
              <w:keepNext/>
            </w:pPr>
            <w:r>
              <w:t>Less efficient than system-wide approach but more efficient than pro-rating and revenue-based approach.</w:t>
            </w:r>
          </w:p>
        </w:tc>
      </w:tr>
    </w:tbl>
    <w:p w14:paraId="16285D80" w14:textId="69324F5B" w:rsidR="004119E4" w:rsidRDefault="004119E4" w:rsidP="004119E4">
      <w:pPr>
        <w:pStyle w:val="BodyText"/>
      </w:pPr>
      <w:r>
        <w:t xml:space="preserve">As this table highlights, the system wide valuation approach is unlikely to be feasible to implement and has been ruled out. Of the remaining options, the pipeline wide valuation-based approach is more efficient than the pro-rating and revenue based options, while from an implementation perspective the pro-rating option would be the simplest to implement. </w:t>
      </w:r>
    </w:p>
    <w:p w14:paraId="6822799E" w14:textId="2E1DD50D" w:rsidR="00AA1D1A" w:rsidRDefault="001A5188" w:rsidP="00AA1D1A">
      <w:pPr>
        <w:pStyle w:val="BodyText"/>
      </w:pPr>
      <w:r>
        <w:rPr>
          <w:lang w:eastAsia="fr-CA"/>
        </w:rPr>
        <w:t xml:space="preserve">In addition to considering the curtailment options, NERA considered </w:t>
      </w:r>
      <w:r w:rsidR="00AA1D1A">
        <w:t>whether auction winners should be compensated if they are curtailed.</w:t>
      </w:r>
      <w:r>
        <w:t xml:space="preserve"> </w:t>
      </w:r>
      <w:r w:rsidR="006509CD">
        <w:t>Based on its assessment of the effect that alternative compensation mechanisms could have on efficiency, the primary and secondary markets and the consequences of combining the curtailment and compensation options, NERA identified the following joint options for curtailment and compensation</w:t>
      </w:r>
      <w:r w:rsidR="003F75E6">
        <w:t xml:space="preserve"> (i.e. money back)</w:t>
      </w:r>
      <w:r w:rsidR="006509CD">
        <w:t>:</w:t>
      </w:r>
    </w:p>
    <w:p w14:paraId="3DF30DF8" w14:textId="1B1F3757" w:rsidR="006509CD" w:rsidRDefault="006509CD" w:rsidP="00187EB2">
      <w:pPr>
        <w:pStyle w:val="ListNumber"/>
        <w:numPr>
          <w:ilvl w:val="0"/>
          <w:numId w:val="31"/>
        </w:numPr>
      </w:pPr>
      <w:r>
        <w:t>p</w:t>
      </w:r>
      <w:r w:rsidRPr="00300FA0">
        <w:t>ro-rata curtailment</w:t>
      </w:r>
      <w:r>
        <w:t xml:space="preserve"> with compensation;</w:t>
      </w:r>
    </w:p>
    <w:p w14:paraId="306BC686" w14:textId="73956CD4" w:rsidR="006509CD" w:rsidRDefault="006509CD" w:rsidP="00555569">
      <w:pPr>
        <w:pStyle w:val="ListNumber"/>
      </w:pPr>
      <w:r>
        <w:t>p</w:t>
      </w:r>
      <w:r w:rsidRPr="001E2193">
        <w:t>ipeline wide revenue-based curtailment</w:t>
      </w:r>
      <w:r>
        <w:t xml:space="preserve"> with compensation; and</w:t>
      </w:r>
    </w:p>
    <w:p w14:paraId="31ABDDF2" w14:textId="1BF3EEA2" w:rsidR="006509CD" w:rsidRDefault="006509CD" w:rsidP="00555569">
      <w:pPr>
        <w:pStyle w:val="ListNumber"/>
      </w:pPr>
      <w:proofErr w:type="gramStart"/>
      <w:r>
        <w:t>p</w:t>
      </w:r>
      <w:r w:rsidRPr="001E2193">
        <w:t>ipeline</w:t>
      </w:r>
      <w:proofErr w:type="gramEnd"/>
      <w:r w:rsidRPr="001E2193">
        <w:t xml:space="preserve"> wide </w:t>
      </w:r>
      <w:r>
        <w:t>valuation</w:t>
      </w:r>
      <w:r w:rsidRPr="001E2193">
        <w:t>-based curtailment</w:t>
      </w:r>
      <w:r>
        <w:t xml:space="preserve"> with or without compensation</w:t>
      </w:r>
      <w:r w:rsidR="00555569">
        <w:t>.</w:t>
      </w:r>
    </w:p>
    <w:p w14:paraId="31ABA886" w14:textId="09D002AD" w:rsidR="00AA1D1A" w:rsidRPr="00735C04" w:rsidRDefault="006509CD" w:rsidP="00735C04">
      <w:pPr>
        <w:pStyle w:val="BodyText"/>
        <w:rPr>
          <w:lang w:eastAsia="fr-CA"/>
        </w:rPr>
      </w:pPr>
      <w:r>
        <w:rPr>
          <w:lang w:eastAsia="fr-CA"/>
        </w:rPr>
        <w:t xml:space="preserve">The </w:t>
      </w:r>
      <w:r w:rsidR="00555569">
        <w:rPr>
          <w:lang w:eastAsia="fr-CA"/>
        </w:rPr>
        <w:t>table below provides a summary of the advice NERA provided on these joint options.</w:t>
      </w:r>
    </w:p>
    <w:p w14:paraId="6B85A012" w14:textId="0A6B66DC" w:rsidR="00555569" w:rsidRDefault="00555569" w:rsidP="00555569">
      <w:pPr>
        <w:pStyle w:val="Caption"/>
        <w:spacing w:after="0"/>
      </w:pPr>
      <w:r>
        <w:t xml:space="preserve">Table </w:t>
      </w:r>
      <w:r w:rsidR="00115A93">
        <w:fldChar w:fldCharType="begin"/>
      </w:r>
      <w:r w:rsidR="00115A93">
        <w:instrText xml:space="preserve"> STYLEREF 1 \s </w:instrText>
      </w:r>
      <w:r w:rsidR="00115A93">
        <w:fldChar w:fldCharType="separate"/>
      </w:r>
      <w:r w:rsidR="00272B32">
        <w:rPr>
          <w:noProof/>
        </w:rPr>
        <w:t>4</w:t>
      </w:r>
      <w:r w:rsidR="00115A93">
        <w:rPr>
          <w:noProof/>
        </w:rPr>
        <w:fldChar w:fldCharType="end"/>
      </w:r>
      <w:r w:rsidR="009A057E">
        <w:t>.</w:t>
      </w:r>
      <w:r w:rsidR="00115A93">
        <w:fldChar w:fldCharType="begin"/>
      </w:r>
      <w:r w:rsidR="00115A93">
        <w:instrText xml:space="preserve"> SEQ Table \* ARABIC \s 1 </w:instrText>
      </w:r>
      <w:r w:rsidR="00115A93">
        <w:fldChar w:fldCharType="separate"/>
      </w:r>
      <w:r w:rsidR="00272B32">
        <w:rPr>
          <w:noProof/>
        </w:rPr>
        <w:t>4</w:t>
      </w:r>
      <w:r w:rsidR="00115A93">
        <w:rPr>
          <w:noProof/>
        </w:rPr>
        <w:fldChar w:fldCharType="end"/>
      </w:r>
      <w:r>
        <w:t>: Curtailment and compensation options</w:t>
      </w:r>
    </w:p>
    <w:tbl>
      <w:tblPr>
        <w:tblStyle w:val="TableGrid"/>
        <w:tblW w:w="5001" w:type="pct"/>
        <w:tblLayout w:type="fixed"/>
        <w:tblLook w:val="0420" w:firstRow="1" w:lastRow="0" w:firstColumn="0" w:lastColumn="0" w:noHBand="0" w:noVBand="1"/>
        <w:tblCaption w:val="Table 4.4: Curtailment and compensation options"/>
        <w:tblDescription w:val="Curtailment and compensation options"/>
      </w:tblPr>
      <w:tblGrid>
        <w:gridCol w:w="1559"/>
        <w:gridCol w:w="7231"/>
      </w:tblGrid>
      <w:tr w:rsidR="00555569" w14:paraId="5DA7C322" w14:textId="77777777" w:rsidTr="00555569">
        <w:trPr>
          <w:cnfStyle w:val="100000000000" w:firstRow="1" w:lastRow="0" w:firstColumn="0" w:lastColumn="0" w:oddVBand="0" w:evenVBand="0" w:oddHBand="0" w:evenHBand="0" w:firstRowFirstColumn="0" w:firstRowLastColumn="0" w:lastRowFirstColumn="0" w:lastRowLastColumn="0"/>
          <w:cantSplit/>
          <w:tblHeader/>
        </w:trPr>
        <w:tc>
          <w:tcPr>
            <w:tcW w:w="887" w:type="pct"/>
            <w:tcBorders>
              <w:bottom w:val="single" w:sz="4" w:space="0" w:color="auto"/>
            </w:tcBorders>
            <w:shd w:val="clear" w:color="auto" w:fill="0099CC"/>
          </w:tcPr>
          <w:p w14:paraId="005ABBAB" w14:textId="77777777" w:rsidR="00555569" w:rsidRDefault="00555569" w:rsidP="004F2086">
            <w:pPr>
              <w:pStyle w:val="TableHeading"/>
              <w:keepNext/>
              <w:rPr>
                <w:lang w:eastAsia="fr-CA"/>
              </w:rPr>
            </w:pPr>
            <w:r>
              <w:rPr>
                <w:lang w:eastAsia="fr-CA"/>
              </w:rPr>
              <w:t>Options</w:t>
            </w:r>
          </w:p>
        </w:tc>
        <w:tc>
          <w:tcPr>
            <w:tcW w:w="4113" w:type="pct"/>
            <w:tcBorders>
              <w:bottom w:val="single" w:sz="4" w:space="0" w:color="auto"/>
            </w:tcBorders>
            <w:shd w:val="clear" w:color="auto" w:fill="0099CC"/>
          </w:tcPr>
          <w:p w14:paraId="33DE3C9B" w14:textId="4D6BBFEF" w:rsidR="00555569" w:rsidRDefault="00555569" w:rsidP="004F2086">
            <w:pPr>
              <w:pStyle w:val="TableHeading"/>
              <w:keepNext/>
              <w:rPr>
                <w:lang w:eastAsia="fr-CA"/>
              </w:rPr>
            </w:pPr>
            <w:r>
              <w:rPr>
                <w:lang w:eastAsia="fr-CA"/>
              </w:rPr>
              <w:t>NERA Evaluation</w:t>
            </w:r>
          </w:p>
        </w:tc>
      </w:tr>
      <w:tr w:rsidR="00555569" w14:paraId="2C6C9925" w14:textId="77777777" w:rsidTr="00555569">
        <w:trPr>
          <w:cantSplit/>
        </w:trPr>
        <w:tc>
          <w:tcPr>
            <w:tcW w:w="887" w:type="pct"/>
          </w:tcPr>
          <w:p w14:paraId="07F5E79D" w14:textId="7F4BF71A" w:rsidR="00555569" w:rsidRPr="00735C04" w:rsidRDefault="00555569" w:rsidP="004F2086">
            <w:pPr>
              <w:pStyle w:val="TableBodyText"/>
              <w:keepNext/>
              <w:rPr>
                <w:b/>
                <w:lang w:eastAsia="fr-CA"/>
              </w:rPr>
            </w:pPr>
            <w:r>
              <w:rPr>
                <w:b/>
                <w:lang w:eastAsia="fr-CA"/>
              </w:rPr>
              <w:t>Pro-rating with compensation</w:t>
            </w:r>
          </w:p>
        </w:tc>
        <w:tc>
          <w:tcPr>
            <w:tcW w:w="4113" w:type="pct"/>
          </w:tcPr>
          <w:p w14:paraId="62B2C0A1" w14:textId="77777777" w:rsidR="00555569" w:rsidRDefault="00555569" w:rsidP="00555569">
            <w:pPr>
              <w:pStyle w:val="TableBodyText"/>
            </w:pPr>
            <w:r>
              <w:t>Pro-rata curtailment is straightforward to implement. It is best implemented with “money back” compensation to minimise risk for shippers.</w:t>
            </w:r>
          </w:p>
          <w:p w14:paraId="7FC339F6" w14:textId="63991FAF" w:rsidR="00555569" w:rsidRDefault="00555569" w:rsidP="00555569">
            <w:pPr>
              <w:pStyle w:val="TableBodyText"/>
            </w:pPr>
            <w:r>
              <w:t>The drawbacks of this option are that basic pro-rating is a highly inefficient curtailment option, which does not reflect valuations and often leads to excessive curtailment. Without compensation, the aggregation risks for shippers would be severe and hence we do not propose a pro-rating approach without compensation. Introducing compensation, however, may lead to a comparatively large loss in revenues for service providers owing to the inefficiency of this approach.</w:t>
            </w:r>
          </w:p>
        </w:tc>
      </w:tr>
      <w:tr w:rsidR="00555569" w14:paraId="5C17E881" w14:textId="77777777" w:rsidTr="00555569">
        <w:trPr>
          <w:cnfStyle w:val="000000010000" w:firstRow="0" w:lastRow="0" w:firstColumn="0" w:lastColumn="0" w:oddVBand="0" w:evenVBand="0" w:oddHBand="0" w:evenHBand="1" w:firstRowFirstColumn="0" w:firstRowLastColumn="0" w:lastRowFirstColumn="0" w:lastRowLastColumn="0"/>
          <w:cantSplit/>
        </w:trPr>
        <w:tc>
          <w:tcPr>
            <w:tcW w:w="887" w:type="pct"/>
          </w:tcPr>
          <w:p w14:paraId="5D3BF6D5" w14:textId="7466650E" w:rsidR="00555569" w:rsidRPr="00735C04" w:rsidRDefault="00555569" w:rsidP="004F2086">
            <w:pPr>
              <w:pStyle w:val="TableBodyText"/>
              <w:keepNext/>
              <w:rPr>
                <w:b/>
                <w:lang w:eastAsia="fr-CA"/>
              </w:rPr>
            </w:pPr>
            <w:r w:rsidRPr="00735C04">
              <w:rPr>
                <w:b/>
                <w:lang w:eastAsia="fr-CA"/>
              </w:rPr>
              <w:t>Pipeline wide revenue based</w:t>
            </w:r>
            <w:r>
              <w:rPr>
                <w:b/>
                <w:lang w:eastAsia="fr-CA"/>
              </w:rPr>
              <w:t xml:space="preserve"> with compensation</w:t>
            </w:r>
          </w:p>
        </w:tc>
        <w:tc>
          <w:tcPr>
            <w:tcW w:w="4113" w:type="pct"/>
          </w:tcPr>
          <w:p w14:paraId="43509641" w14:textId="0C7743F1" w:rsidR="00555569" w:rsidRDefault="00555569" w:rsidP="00555569">
            <w:pPr>
              <w:pStyle w:val="TableBodyText"/>
            </w:pPr>
            <w:r>
              <w:t xml:space="preserve">Under this option, service providers would be free to identify the least-cost curtailment. The regime is incentive compatible as it would be in their interest to minimise the impact of curtailment on their (net) revenues. At the same time, money back compensation shields shippers from aggregation risks. </w:t>
            </w:r>
          </w:p>
          <w:p w14:paraId="607933C7" w14:textId="72D888E3" w:rsidR="00555569" w:rsidRDefault="00555569" w:rsidP="00555569">
            <w:pPr>
              <w:pStyle w:val="TableBodyText"/>
            </w:pPr>
            <w:r>
              <w:t xml:space="preserve">The major drawback of this option is that it does not identify the curtailment solution that minimises the value lost from the perspective of winning bidders.  </w:t>
            </w:r>
          </w:p>
        </w:tc>
      </w:tr>
      <w:tr w:rsidR="00555569" w14:paraId="5E9B8BF6" w14:textId="77777777" w:rsidTr="00555569">
        <w:trPr>
          <w:cantSplit/>
        </w:trPr>
        <w:tc>
          <w:tcPr>
            <w:tcW w:w="887" w:type="pct"/>
          </w:tcPr>
          <w:p w14:paraId="1C3F83F8" w14:textId="087FD02A" w:rsidR="00555569" w:rsidRPr="00735C04" w:rsidRDefault="00555569" w:rsidP="004F2086">
            <w:pPr>
              <w:pStyle w:val="TableBodyText"/>
              <w:keepNext/>
              <w:rPr>
                <w:b/>
                <w:lang w:eastAsia="fr-CA"/>
              </w:rPr>
            </w:pPr>
            <w:r>
              <w:rPr>
                <w:b/>
                <w:lang w:eastAsia="fr-CA"/>
              </w:rPr>
              <w:t>Pipeline</w:t>
            </w:r>
            <w:r w:rsidRPr="00735C04">
              <w:rPr>
                <w:b/>
                <w:lang w:eastAsia="fr-CA"/>
              </w:rPr>
              <w:t xml:space="preserve"> wide valuation based</w:t>
            </w:r>
            <w:r>
              <w:rPr>
                <w:b/>
                <w:lang w:eastAsia="fr-CA"/>
              </w:rPr>
              <w:t xml:space="preserve"> with or without compensation</w:t>
            </w:r>
          </w:p>
        </w:tc>
        <w:tc>
          <w:tcPr>
            <w:tcW w:w="4113" w:type="pct"/>
          </w:tcPr>
          <w:p w14:paraId="3AB28DD9" w14:textId="7B54BE09" w:rsidR="00555569" w:rsidRDefault="00555569" w:rsidP="00555569">
            <w:pPr>
              <w:pStyle w:val="TableBodyText"/>
            </w:pPr>
            <w:r>
              <w:t xml:space="preserve">Valuation-based approaches achieve the highest allocative efficiency. Given that system-wide valuation-based curtailment is infeasible, this is the most efficient curtailment option from shippers’ perspective. As it minimises aggregation risk for shippers, it appears to be the only option that could conceivably be implemented without compensation. </w:t>
            </w:r>
          </w:p>
          <w:p w14:paraId="4BB6722C" w14:textId="5A137FEE" w:rsidR="00555569" w:rsidRDefault="00555569" w:rsidP="00555569">
            <w:pPr>
              <w:pStyle w:val="TableBodyText"/>
            </w:pPr>
            <w:r>
              <w:t>However, unlike in the case of revenue-based approaches, service providers are not compensated for building and running such a system. Not providing compensation may be a reasonable compromise in this sense as it allows service providers to keep all revenues from the auction in return. However, regulatory oversight may be necessary to ensure that curtailment is implemented as intended.</w:t>
            </w:r>
          </w:p>
        </w:tc>
      </w:tr>
    </w:tbl>
    <w:p w14:paraId="14EBC8F9" w14:textId="162A37A6" w:rsidR="004F2086" w:rsidRDefault="006509CD" w:rsidP="006509CD">
      <w:pPr>
        <w:pStyle w:val="BodyText"/>
      </w:pPr>
      <w:r>
        <w:t>These options were discussed with the Day-Ahead Auction project team</w:t>
      </w:r>
      <w:r w:rsidR="004F2086">
        <w:t>. In short, the project team was of the view that</w:t>
      </w:r>
      <w:r w:rsidR="004818CF">
        <w:t xml:space="preserve"> if curtailment of the auctioned capacity occurs then</w:t>
      </w:r>
      <w:r w:rsidR="005871CC">
        <w:t>:</w:t>
      </w:r>
    </w:p>
    <w:p w14:paraId="0F32C8D8" w14:textId="34D75E0B" w:rsidR="004F2086" w:rsidRPr="004818CF" w:rsidRDefault="005871CC" w:rsidP="005871CC">
      <w:pPr>
        <w:pStyle w:val="ListBullet"/>
      </w:pPr>
      <w:r>
        <w:t>A</w:t>
      </w:r>
      <w:r w:rsidR="004F2086">
        <w:t>u</w:t>
      </w:r>
      <w:r w:rsidR="004F2086" w:rsidRPr="004818CF">
        <w:t>ction winners should</w:t>
      </w:r>
      <w:r w:rsidR="004818CF">
        <w:t xml:space="preserve"> be able </w:t>
      </w:r>
      <w:r w:rsidR="004818CF" w:rsidRPr="004818CF">
        <w:t xml:space="preserve">to try and avoid curtailment </w:t>
      </w:r>
      <w:r>
        <w:t xml:space="preserve">of </w:t>
      </w:r>
      <w:r w:rsidR="004818CF" w:rsidRPr="004818CF">
        <w:t>the affected product by procuring</w:t>
      </w:r>
      <w:r w:rsidR="004F2086" w:rsidRPr="004818CF">
        <w:t xml:space="preserve"> primary capacity from the service provider </w:t>
      </w:r>
      <w:r w:rsidR="004818CF" w:rsidRPr="004818CF">
        <w:t xml:space="preserve">if </w:t>
      </w:r>
      <w:r w:rsidR="004F2086" w:rsidRPr="004818CF">
        <w:t>there is spare capacity available</w:t>
      </w:r>
      <w:r w:rsidR="004818CF" w:rsidRPr="004818CF">
        <w:t xml:space="preserve"> </w:t>
      </w:r>
      <w:r>
        <w:t xml:space="preserve">(e.g. by accessing an as available service on the gas day) </w:t>
      </w:r>
      <w:r w:rsidR="004818CF" w:rsidRPr="004818CF">
        <w:t>and</w:t>
      </w:r>
      <w:r w:rsidR="004818CF">
        <w:t xml:space="preserve">, if they are unable to </w:t>
      </w:r>
      <w:r>
        <w:t>do so, should have the option to choose whether they are:</w:t>
      </w:r>
      <w:r w:rsidR="004818CF">
        <w:t xml:space="preserve"> </w:t>
      </w:r>
    </w:p>
    <w:p w14:paraId="178288C6" w14:textId="2FC3A562" w:rsidR="005871CC" w:rsidRDefault="00D92FD9" w:rsidP="00187EB2">
      <w:pPr>
        <w:pStyle w:val="BodyTextSmall"/>
        <w:numPr>
          <w:ilvl w:val="0"/>
          <w:numId w:val="32"/>
        </w:numPr>
        <w:rPr>
          <w:sz w:val="22"/>
        </w:rPr>
      </w:pPr>
      <w:r w:rsidRPr="004818CF">
        <w:rPr>
          <w:sz w:val="22"/>
        </w:rPr>
        <w:t xml:space="preserve">only curtailed on </w:t>
      </w:r>
      <w:r w:rsidR="005871CC">
        <w:rPr>
          <w:sz w:val="22"/>
        </w:rPr>
        <w:t xml:space="preserve">that </w:t>
      </w:r>
      <w:r w:rsidRPr="004818CF">
        <w:rPr>
          <w:sz w:val="22"/>
        </w:rPr>
        <w:t>product</w:t>
      </w:r>
      <w:r w:rsidR="005871CC">
        <w:rPr>
          <w:sz w:val="22"/>
        </w:rPr>
        <w:t>; or</w:t>
      </w:r>
    </w:p>
    <w:p w14:paraId="528000E9" w14:textId="18B9ADC0" w:rsidR="004F2086" w:rsidRPr="004818CF" w:rsidRDefault="005871CC" w:rsidP="00187EB2">
      <w:pPr>
        <w:pStyle w:val="BodyTextSmall"/>
        <w:numPr>
          <w:ilvl w:val="0"/>
          <w:numId w:val="32"/>
        </w:numPr>
        <w:rPr>
          <w:sz w:val="22"/>
        </w:rPr>
      </w:pPr>
      <w:proofErr w:type="gramStart"/>
      <w:r>
        <w:rPr>
          <w:sz w:val="22"/>
        </w:rPr>
        <w:t>curtailed</w:t>
      </w:r>
      <w:proofErr w:type="gramEnd"/>
      <w:r>
        <w:rPr>
          <w:sz w:val="22"/>
        </w:rPr>
        <w:t xml:space="preserve"> by the same amount across </w:t>
      </w:r>
      <w:r w:rsidR="00D92FD9" w:rsidRPr="004818CF">
        <w:rPr>
          <w:sz w:val="22"/>
        </w:rPr>
        <w:t>all products included in the winning bid</w:t>
      </w:r>
      <w:r w:rsidR="000D53CF">
        <w:rPr>
          <w:sz w:val="22"/>
        </w:rPr>
        <w:t>.</w:t>
      </w:r>
    </w:p>
    <w:p w14:paraId="634E1DF6" w14:textId="04C4541D" w:rsidR="00823F02" w:rsidRDefault="005871CC" w:rsidP="00823F02">
      <w:pPr>
        <w:pStyle w:val="ListBullet"/>
      </w:pPr>
      <w:r>
        <w:t xml:space="preserve">The curtailment rules should be pragmatic and relatively simple in the initial stages of the auction’s operation given there is some uncertainty surrounding the frequency with which curtailment will actually occur and the costs and complexities associated with some of the options. The project team therefore advocated the use of the </w:t>
      </w:r>
      <w:r w:rsidR="00823F02">
        <w:t>pro-rating with compensation approach</w:t>
      </w:r>
      <w:r w:rsidR="00EA2C4D">
        <w:t>, which they noted was consistent with the approach service providers typically employ in relation to as available and interruptible products</w:t>
      </w:r>
      <w:r w:rsidR="004F2086">
        <w:t xml:space="preserve">. </w:t>
      </w:r>
    </w:p>
    <w:p w14:paraId="10064160" w14:textId="73E44D3D" w:rsidR="006509CD" w:rsidRDefault="000D53CF" w:rsidP="00722010">
      <w:pPr>
        <w:pStyle w:val="BodyText"/>
      </w:pPr>
      <w:r>
        <w:t xml:space="preserve">While the GMRG can see the efficiency benefits associated </w:t>
      </w:r>
      <w:r w:rsidR="007F5AB0">
        <w:t xml:space="preserve">with </w:t>
      </w:r>
      <w:r>
        <w:t xml:space="preserve">the pipeline-wide valuation option, it </w:t>
      </w:r>
      <w:r w:rsidR="00EA2C4D">
        <w:t xml:space="preserve">understands the concerns </w:t>
      </w:r>
      <w:r w:rsidR="008D0BFF">
        <w:t xml:space="preserve">raised by </w:t>
      </w:r>
      <w:r w:rsidR="00EA2C4D">
        <w:t xml:space="preserve">the project team about </w:t>
      </w:r>
      <w:r>
        <w:t xml:space="preserve">the complexities associated with this option and their desire to avoid any unnecessary complexities in the </w:t>
      </w:r>
      <w:r w:rsidR="00EA2C4D">
        <w:t xml:space="preserve">initial stages of </w:t>
      </w:r>
      <w:r>
        <w:t xml:space="preserve">the auction’s </w:t>
      </w:r>
      <w:r w:rsidR="00EA2C4D">
        <w:t>operation</w:t>
      </w:r>
      <w:r>
        <w:t xml:space="preserve">, particularly when the risk of curtailment is unclear. Having regard to these concerns and the assessment framework set out in section 2.4 the GMRG’s preliminary view is that the pro-rating with compensation option should be adopted for the first one </w:t>
      </w:r>
      <w:r w:rsidR="008D0BFF">
        <w:t xml:space="preserve">to </w:t>
      </w:r>
      <w:r>
        <w:t>two years of the auction’s operation and if</w:t>
      </w:r>
      <w:r w:rsidR="00F97628">
        <w:t xml:space="preserve"> after this period, the curtailment risk is found to be material then the pipeline-wide valuation option could be reconsidered. The GMRG would, however, welcome further feedback on this preliminary view.</w:t>
      </w:r>
    </w:p>
    <w:tbl>
      <w:tblPr>
        <w:tblStyle w:val="PullOutBoxTable"/>
        <w:tblW w:w="5000" w:type="pct"/>
        <w:shd w:val="clear" w:color="auto" w:fill="B7E7FF"/>
        <w:tblLook w:val="0620" w:firstRow="1" w:lastRow="0" w:firstColumn="0" w:lastColumn="0" w:noHBand="1" w:noVBand="1"/>
        <w:tblCaption w:val="Box 4.13: Questions on curtailment on the gas day"/>
        <w:tblDescription w:val="Questions on curtailment on the gas day"/>
      </w:tblPr>
      <w:tblGrid>
        <w:gridCol w:w="8788"/>
      </w:tblGrid>
      <w:tr w:rsidR="006509CD" w:rsidRPr="008D0BFF" w14:paraId="4E4369A7" w14:textId="77777777" w:rsidTr="003974E4">
        <w:trPr>
          <w:tblHeader/>
        </w:trPr>
        <w:tc>
          <w:tcPr>
            <w:tcW w:w="5000" w:type="pct"/>
            <w:shd w:val="clear" w:color="auto" w:fill="auto"/>
          </w:tcPr>
          <w:p w14:paraId="6D64C76C" w14:textId="1E77DED0" w:rsidR="00EA2C4D" w:rsidRPr="00F154EF" w:rsidRDefault="00F154EF" w:rsidP="00F154EF">
            <w:pPr>
              <w:pStyle w:val="ListNumber"/>
              <w:numPr>
                <w:ilvl w:val="0"/>
                <w:numId w:val="0"/>
              </w:numPr>
              <w:spacing w:before="0" w:after="0"/>
              <w:ind w:left="360" w:hanging="360"/>
              <w:rPr>
                <w:rFonts w:eastAsiaTheme="majorEastAsia"/>
                <w:b/>
                <w:sz w:val="21"/>
                <w:szCs w:val="21"/>
              </w:rPr>
            </w:pPr>
            <w:r w:rsidRPr="00F154EF">
              <w:rPr>
                <w:b/>
              </w:rPr>
              <w:t xml:space="preserve">Box </w:t>
            </w:r>
            <w:r w:rsidRPr="00F154EF">
              <w:rPr>
                <w:b/>
              </w:rPr>
              <w:fldChar w:fldCharType="begin"/>
            </w:r>
            <w:r w:rsidRPr="00F154EF">
              <w:rPr>
                <w:b/>
              </w:rPr>
              <w:instrText xml:space="preserve"> STYLEREF 1 \s </w:instrText>
            </w:r>
            <w:r w:rsidRPr="00F154EF">
              <w:rPr>
                <w:b/>
              </w:rPr>
              <w:fldChar w:fldCharType="separate"/>
            </w:r>
            <w:r w:rsidRPr="00F154EF">
              <w:rPr>
                <w:b/>
                <w:noProof/>
              </w:rPr>
              <w:t>4</w:t>
            </w:r>
            <w:r w:rsidRPr="00F154EF">
              <w:rPr>
                <w:b/>
                <w:noProof/>
              </w:rPr>
              <w:fldChar w:fldCharType="end"/>
            </w:r>
            <w:r w:rsidRPr="00F154EF">
              <w:rPr>
                <w:b/>
              </w:rPr>
              <w:t>.</w:t>
            </w:r>
            <w:r w:rsidRPr="00F154EF">
              <w:rPr>
                <w:b/>
              </w:rPr>
              <w:fldChar w:fldCharType="begin"/>
            </w:r>
            <w:r w:rsidRPr="00F154EF">
              <w:rPr>
                <w:b/>
              </w:rPr>
              <w:instrText xml:space="preserve"> SEQ Box \* ARABIC \s 1 </w:instrText>
            </w:r>
            <w:r w:rsidRPr="00F154EF">
              <w:rPr>
                <w:b/>
              </w:rPr>
              <w:fldChar w:fldCharType="separate"/>
            </w:r>
            <w:r w:rsidRPr="00F154EF">
              <w:rPr>
                <w:b/>
                <w:noProof/>
              </w:rPr>
              <w:t>13</w:t>
            </w:r>
            <w:r w:rsidRPr="00F154EF">
              <w:rPr>
                <w:b/>
                <w:noProof/>
              </w:rPr>
              <w:fldChar w:fldCharType="end"/>
            </w:r>
            <w:r w:rsidRPr="00F154EF">
              <w:rPr>
                <w:b/>
              </w:rPr>
              <w:t xml:space="preserve">: </w:t>
            </w:r>
            <w:r w:rsidRPr="00F154EF">
              <w:rPr>
                <w:b/>
                <w:bCs/>
              </w:rPr>
              <w:t>Questions on curtailment on the gas day</w:t>
            </w:r>
          </w:p>
        </w:tc>
      </w:tr>
      <w:tr w:rsidR="00F154EF" w:rsidRPr="008D0BFF" w14:paraId="1610AACC" w14:textId="77777777" w:rsidTr="003974E4">
        <w:tc>
          <w:tcPr>
            <w:tcW w:w="5000" w:type="pct"/>
            <w:shd w:val="clear" w:color="auto" w:fill="B7E7FF"/>
          </w:tcPr>
          <w:p w14:paraId="3384162D" w14:textId="77777777" w:rsidR="00F154EF" w:rsidRPr="008D0BFF" w:rsidRDefault="00F154EF" w:rsidP="00F154EF">
            <w:pPr>
              <w:pStyle w:val="ListNumber"/>
              <w:numPr>
                <w:ilvl w:val="0"/>
                <w:numId w:val="20"/>
              </w:numPr>
              <w:spacing w:before="0" w:after="40"/>
              <w:ind w:left="357" w:hanging="357"/>
              <w:rPr>
                <w:rFonts w:eastAsiaTheme="majorEastAsia"/>
                <w:sz w:val="21"/>
                <w:szCs w:val="21"/>
              </w:rPr>
            </w:pPr>
            <w:r w:rsidRPr="008D0BFF">
              <w:rPr>
                <w:rFonts w:eastAsiaTheme="majorEastAsia"/>
                <w:sz w:val="21"/>
                <w:szCs w:val="21"/>
              </w:rPr>
              <w:t>Do you agree that auction winners should be able to try and procure primary capacity from the service provider if the curtailment arises as a result of a renomination and there is spare primary capacity available? If not, please explain why.</w:t>
            </w:r>
          </w:p>
          <w:p w14:paraId="388CE1A3" w14:textId="77777777" w:rsidR="007A069D" w:rsidRDefault="00F154EF" w:rsidP="007A069D">
            <w:pPr>
              <w:pStyle w:val="ListNumber"/>
              <w:numPr>
                <w:ilvl w:val="0"/>
                <w:numId w:val="20"/>
              </w:numPr>
              <w:spacing w:before="0" w:after="40"/>
              <w:ind w:left="357" w:hanging="357"/>
              <w:rPr>
                <w:rFonts w:eastAsiaTheme="majorEastAsia"/>
                <w:sz w:val="21"/>
                <w:szCs w:val="21"/>
              </w:rPr>
            </w:pPr>
            <w:r w:rsidRPr="008D0BFF">
              <w:rPr>
                <w:rFonts w:eastAsiaTheme="majorEastAsia"/>
                <w:sz w:val="21"/>
                <w:szCs w:val="21"/>
              </w:rPr>
              <w:t xml:space="preserve">Do you think that auction winners should be able to choose whether they are </w:t>
            </w:r>
            <w:r>
              <w:rPr>
                <w:rFonts w:eastAsiaTheme="majorEastAsia"/>
                <w:sz w:val="21"/>
                <w:szCs w:val="21"/>
              </w:rPr>
              <w:t xml:space="preserve">only </w:t>
            </w:r>
            <w:r w:rsidRPr="008D0BFF">
              <w:rPr>
                <w:rFonts w:eastAsiaTheme="majorEastAsia"/>
                <w:sz w:val="21"/>
                <w:szCs w:val="21"/>
              </w:rPr>
              <w:t>curtailed on the product for which there is insufficient capacity or across all products? If not, please explain why.</w:t>
            </w:r>
          </w:p>
          <w:p w14:paraId="282106DA" w14:textId="0FB8FBE4" w:rsidR="00F154EF" w:rsidRPr="007A069D" w:rsidRDefault="00F154EF" w:rsidP="007A069D">
            <w:pPr>
              <w:pStyle w:val="ListNumber"/>
              <w:numPr>
                <w:ilvl w:val="0"/>
                <w:numId w:val="20"/>
              </w:numPr>
              <w:spacing w:before="0" w:after="40"/>
              <w:ind w:left="357" w:hanging="357"/>
              <w:rPr>
                <w:rFonts w:eastAsiaTheme="majorEastAsia"/>
                <w:sz w:val="21"/>
                <w:szCs w:val="21"/>
              </w:rPr>
            </w:pPr>
            <w:r w:rsidRPr="007A069D">
              <w:rPr>
                <w:rFonts w:eastAsiaTheme="majorEastAsia"/>
                <w:sz w:val="21"/>
                <w:szCs w:val="21"/>
              </w:rPr>
              <w:t>Do you think that the pro-rating with compensation curtailment option should be employed as the project team has suggested, or do you think the pipeline wide valuation with or without compensation option should be employed? In addressing this question, please outline how significant you think the risks of curtailment are.</w:t>
            </w:r>
          </w:p>
        </w:tc>
      </w:tr>
    </w:tbl>
    <w:p w14:paraId="2081D80B" w14:textId="39BDDF6A" w:rsidR="00AD5238" w:rsidRPr="008611DC" w:rsidRDefault="00AD5238" w:rsidP="00AD5238">
      <w:pPr>
        <w:pStyle w:val="Heading2"/>
      </w:pPr>
      <w:bookmarkStart w:id="115" w:name="_Toc495351642"/>
      <w:r w:rsidRPr="008611DC">
        <w:t>Allocation of auction residue</w:t>
      </w:r>
      <w:bookmarkEnd w:id="115"/>
      <w:r w:rsidRPr="008611DC">
        <w:t xml:space="preserve"> </w:t>
      </w:r>
    </w:p>
    <w:p w14:paraId="5D0B5939" w14:textId="38F946B7" w:rsidR="008611DC" w:rsidRDefault="008611DC" w:rsidP="008611DC">
      <w:pPr>
        <w:pStyle w:val="BodyText"/>
      </w:pPr>
      <w:r w:rsidRPr="008611DC">
        <w:t xml:space="preserve">In the </w:t>
      </w:r>
      <w:r w:rsidRPr="008611DC">
        <w:rPr>
          <w:i/>
        </w:rPr>
        <w:t xml:space="preserve">East Coast Review, </w:t>
      </w:r>
      <w:r w:rsidRPr="008611DC">
        <w:t xml:space="preserve">the AEMC noted that its preference was for any revenue generated through the auction to be given to </w:t>
      </w:r>
      <w:r w:rsidR="0097709C">
        <w:t xml:space="preserve">service providers </w:t>
      </w:r>
      <w:r w:rsidRPr="008611DC">
        <w:t>after the costs of running the auction have been recovered.</w:t>
      </w:r>
      <w:r>
        <w:rPr>
          <w:rStyle w:val="FootnoteReference"/>
        </w:rPr>
        <w:footnoteReference w:id="63"/>
      </w:r>
      <w:r w:rsidRPr="008611DC">
        <w:t xml:space="preserve"> </w:t>
      </w:r>
      <w:r w:rsidR="009256B4">
        <w:t xml:space="preserve">Elaborating on this further, the AEMC noted that allowing </w:t>
      </w:r>
      <w:r w:rsidR="0097709C">
        <w:t xml:space="preserve">service providers </w:t>
      </w:r>
      <w:r w:rsidR="009256B4">
        <w:t xml:space="preserve">to keep the auction residue would encourage capacity holders to participate in the secondary capacity market ahead of the auction. The AEMC also noted that this approach was consistent with the status quo, because </w:t>
      </w:r>
      <w:r w:rsidR="0097709C">
        <w:t xml:space="preserve">service providers </w:t>
      </w:r>
      <w:r w:rsidR="009256B4">
        <w:t>currently have the ability to sell contracted but un-nominated capacity on an as-available or interruptible basis and to keep the proceeds.</w:t>
      </w:r>
      <w:r w:rsidR="009256B4" w:rsidRPr="009256B4">
        <w:rPr>
          <w:rStyle w:val="FootnoteReference"/>
        </w:rPr>
        <w:t xml:space="preserve"> </w:t>
      </w:r>
      <w:r w:rsidR="009256B4">
        <w:rPr>
          <w:rStyle w:val="FootnoteReference"/>
        </w:rPr>
        <w:footnoteReference w:id="64"/>
      </w:r>
      <w:r w:rsidR="009256B4">
        <w:t xml:space="preserve"> </w:t>
      </w:r>
    </w:p>
    <w:p w14:paraId="7F81B34C" w14:textId="5EC38E0C" w:rsidR="00F20ACC" w:rsidRDefault="0097709C" w:rsidP="008611DC">
      <w:pPr>
        <w:pStyle w:val="BodyText"/>
      </w:pPr>
      <w:r>
        <w:t xml:space="preserve">Allowing service providers to keep the auction residue is a critical </w:t>
      </w:r>
      <w:r w:rsidR="00B90862">
        <w:t xml:space="preserve">design feature </w:t>
      </w:r>
      <w:r>
        <w:t xml:space="preserve">of the day-ahead auction because it will provide shippers </w:t>
      </w:r>
      <w:r w:rsidR="007F5AB0">
        <w:t xml:space="preserve">with </w:t>
      </w:r>
      <w:r>
        <w:t xml:space="preserve">an incentive to release any spare capacity they may have on a firm basis prior to the auction (i.e. because they will retain the proceeds from the secondary capacity sale). The GMRG therefore agrees with this aspect of the AEMC’s </w:t>
      </w:r>
      <w:r w:rsidR="00B90862">
        <w:t>recommendation</w:t>
      </w:r>
      <w:r>
        <w:t xml:space="preserve">. </w:t>
      </w:r>
      <w:r w:rsidR="006A7251">
        <w:t xml:space="preserve">The GMRG does, however, have some </w:t>
      </w:r>
      <w:r w:rsidR="00F20ACC">
        <w:t>concerns</w:t>
      </w:r>
      <w:r w:rsidR="006A7251">
        <w:t xml:space="preserve"> about the proposal to recover the costs of developing and conducting the auction from the auction proceeds, which are </w:t>
      </w:r>
      <w:r w:rsidR="009256B4">
        <w:t xml:space="preserve">discussed in further detail in section </w:t>
      </w:r>
      <w:r w:rsidR="00C838C0">
        <w:fldChar w:fldCharType="begin"/>
      </w:r>
      <w:r w:rsidR="00C838C0">
        <w:instrText xml:space="preserve"> REF _Ref494715108 \r \h </w:instrText>
      </w:r>
      <w:r w:rsidR="00C838C0">
        <w:fldChar w:fldCharType="separate"/>
      </w:r>
      <w:r w:rsidR="00272B32">
        <w:t>6.2.4</w:t>
      </w:r>
      <w:r w:rsidR="00C838C0">
        <w:fldChar w:fldCharType="end"/>
      </w:r>
      <w:r>
        <w:t xml:space="preserve">. </w:t>
      </w:r>
    </w:p>
    <w:p w14:paraId="738E46D1" w14:textId="734E05CA" w:rsidR="00E54C65" w:rsidRPr="003A725F" w:rsidRDefault="00F20ACC" w:rsidP="006A7251">
      <w:pPr>
        <w:pStyle w:val="BodyText"/>
      </w:pPr>
      <w:r>
        <w:t xml:space="preserve">Setting this issue aside, if the auction residue is to be passed through to service providers then a decision must be made on how the residue </w:t>
      </w:r>
      <w:r w:rsidR="006A7251">
        <w:t xml:space="preserve">will be allocated between service providers under the </w:t>
      </w:r>
      <w:r w:rsidR="007F5AB0">
        <w:t xml:space="preserve">partial </w:t>
      </w:r>
      <w:r w:rsidR="006A7251">
        <w:t>combinatorial auction format.</w:t>
      </w:r>
      <w:r>
        <w:t xml:space="preserve"> While there are a number of ways in which this could be done,</w:t>
      </w:r>
      <w:r w:rsidR="00E54C65">
        <w:t xml:space="preserve"> </w:t>
      </w:r>
      <w:r w:rsidR="00B90862">
        <w:t xml:space="preserve">NERA has advised that </w:t>
      </w:r>
      <w:r w:rsidR="00E54C65">
        <w:t xml:space="preserve">allocating the </w:t>
      </w:r>
      <w:r>
        <w:t xml:space="preserve">auction residue on the basis of revenues achieved by individual products </w:t>
      </w:r>
      <w:r w:rsidR="00E54C65">
        <w:t>will ensure</w:t>
      </w:r>
      <w:r>
        <w:t xml:space="preserve"> that scarce resources are remunerated</w:t>
      </w:r>
      <w:r w:rsidR="00B90862">
        <w:t xml:space="preserve">, which </w:t>
      </w:r>
      <w:r w:rsidR="00E54C65">
        <w:t>will, in turn, provide the right signal for contracting spare primary capacity</w:t>
      </w:r>
      <w:r w:rsidR="00B90862">
        <w:t xml:space="preserve"> (see </w:t>
      </w:r>
      <w:r w:rsidR="00B90862">
        <w:fldChar w:fldCharType="begin"/>
      </w:r>
      <w:r w:rsidR="00B90862">
        <w:instrText xml:space="preserve"> REF _Ref494194796 \h </w:instrText>
      </w:r>
      <w:r w:rsidR="00B90862">
        <w:fldChar w:fldCharType="separate"/>
      </w:r>
      <w:r w:rsidR="00272B32" w:rsidRPr="003A725F">
        <w:t xml:space="preserve">Box </w:t>
      </w:r>
      <w:r w:rsidR="00272B32">
        <w:rPr>
          <w:noProof/>
        </w:rPr>
        <w:t>4</w:t>
      </w:r>
      <w:r w:rsidR="00272B32">
        <w:t>.</w:t>
      </w:r>
      <w:r w:rsidR="00272B32">
        <w:rPr>
          <w:noProof/>
        </w:rPr>
        <w:t>14</w:t>
      </w:r>
      <w:r w:rsidR="00B90862">
        <w:fldChar w:fldCharType="end"/>
      </w:r>
      <w:r w:rsidR="00B90862">
        <w:t xml:space="preserve"> for a simplified example)</w:t>
      </w:r>
      <w:r w:rsidR="00E54C65">
        <w:t xml:space="preserve">. </w:t>
      </w:r>
      <w:r w:rsidR="006A7251">
        <w:t>Other compensation schemes that split revenues according to different criteria</w:t>
      </w:r>
      <w:r w:rsidR="00E54C65">
        <w:t>,</w:t>
      </w:r>
      <w:r w:rsidR="006A7251">
        <w:t xml:space="preserve"> such as the total capacity allocated, do not have this property. </w:t>
      </w:r>
      <w:r w:rsidR="00B90862">
        <w:t xml:space="preserve">NERA has therefore recommended allocating the </w:t>
      </w:r>
      <w:r w:rsidR="00B90862" w:rsidRPr="003A725F">
        <w:t>auction residue on the basis of revenues achieved by individual products.</w:t>
      </w:r>
    </w:p>
    <w:p w14:paraId="4D51AE34" w14:textId="4AA049F2" w:rsidR="00B90862" w:rsidRPr="003A725F" w:rsidRDefault="003A725F" w:rsidP="006A7251">
      <w:pPr>
        <w:pStyle w:val="BodyText"/>
      </w:pPr>
      <w:r w:rsidRPr="003A725F">
        <w:t xml:space="preserve">The Day-Ahead Auction project team generally agreed with this recommendation. </w:t>
      </w:r>
    </w:p>
    <w:tbl>
      <w:tblPr>
        <w:tblStyle w:val="PullOutBoxTable"/>
        <w:tblW w:w="5000" w:type="pct"/>
        <w:tblLook w:val="0620" w:firstRow="1" w:lastRow="0" w:firstColumn="0" w:lastColumn="0" w:noHBand="1" w:noVBand="1"/>
        <w:tblCaption w:val="Box 4.14: Allocation of auction residue"/>
        <w:tblDescription w:val="Allocation of auction residue"/>
      </w:tblPr>
      <w:tblGrid>
        <w:gridCol w:w="8788"/>
      </w:tblGrid>
      <w:tr w:rsidR="006A7251" w14:paraId="51A9E982" w14:textId="77777777" w:rsidTr="003974E4">
        <w:trPr>
          <w:tblHeader/>
        </w:trPr>
        <w:tc>
          <w:tcPr>
            <w:tcW w:w="5000" w:type="pct"/>
            <w:shd w:val="clear" w:color="auto" w:fill="auto"/>
          </w:tcPr>
          <w:p w14:paraId="57757F85" w14:textId="5F0CBC40" w:rsidR="006A7251" w:rsidRPr="007A069D" w:rsidRDefault="007A069D" w:rsidP="00C838C0">
            <w:pPr>
              <w:pStyle w:val="PullOutBoxBodyText"/>
              <w:spacing w:before="0"/>
              <w:rPr>
                <w:b/>
              </w:rPr>
            </w:pPr>
            <w:bookmarkStart w:id="116" w:name="_Ref494194796"/>
            <w:r w:rsidRPr="007A069D">
              <w:rPr>
                <w:b/>
              </w:rPr>
              <w:t xml:space="preserve">Box </w:t>
            </w:r>
            <w:r w:rsidRPr="007A069D">
              <w:rPr>
                <w:b/>
              </w:rPr>
              <w:fldChar w:fldCharType="begin"/>
            </w:r>
            <w:r w:rsidRPr="007A069D">
              <w:rPr>
                <w:b/>
              </w:rPr>
              <w:instrText xml:space="preserve"> STYLEREF 1 \s </w:instrText>
            </w:r>
            <w:r w:rsidRPr="007A069D">
              <w:rPr>
                <w:b/>
              </w:rPr>
              <w:fldChar w:fldCharType="separate"/>
            </w:r>
            <w:r w:rsidRPr="007A069D">
              <w:rPr>
                <w:b/>
                <w:noProof/>
              </w:rPr>
              <w:t>4</w:t>
            </w:r>
            <w:r w:rsidRPr="007A069D">
              <w:rPr>
                <w:b/>
                <w:noProof/>
              </w:rPr>
              <w:fldChar w:fldCharType="end"/>
            </w:r>
            <w:r w:rsidRPr="007A069D">
              <w:rPr>
                <w:b/>
              </w:rPr>
              <w:t>.</w:t>
            </w:r>
            <w:r w:rsidRPr="007A069D">
              <w:rPr>
                <w:b/>
              </w:rPr>
              <w:fldChar w:fldCharType="begin"/>
            </w:r>
            <w:r w:rsidRPr="007A069D">
              <w:rPr>
                <w:b/>
              </w:rPr>
              <w:instrText xml:space="preserve"> SEQ Box \* ARABIC \s 1 </w:instrText>
            </w:r>
            <w:r w:rsidRPr="007A069D">
              <w:rPr>
                <w:b/>
              </w:rPr>
              <w:fldChar w:fldCharType="separate"/>
            </w:r>
            <w:r w:rsidRPr="007A069D">
              <w:rPr>
                <w:b/>
                <w:noProof/>
              </w:rPr>
              <w:t>14</w:t>
            </w:r>
            <w:r w:rsidRPr="007A069D">
              <w:rPr>
                <w:b/>
                <w:noProof/>
              </w:rPr>
              <w:fldChar w:fldCharType="end"/>
            </w:r>
            <w:bookmarkEnd w:id="116"/>
            <w:r w:rsidRPr="007A069D">
              <w:rPr>
                <w:b/>
              </w:rPr>
              <w:t>: Allocation of auction residue</w:t>
            </w:r>
          </w:p>
        </w:tc>
      </w:tr>
      <w:tr w:rsidR="007A069D" w14:paraId="344FDFF5" w14:textId="77777777" w:rsidTr="003974E4">
        <w:tc>
          <w:tcPr>
            <w:tcW w:w="5000" w:type="pct"/>
          </w:tcPr>
          <w:p w14:paraId="5409B00E" w14:textId="77777777" w:rsidR="007A069D" w:rsidRPr="00643FFD" w:rsidRDefault="007A069D" w:rsidP="007A069D">
            <w:pPr>
              <w:keepLines/>
              <w:spacing w:after="120"/>
            </w:pPr>
            <w:r>
              <w:t>In this example, shippers A-E have made the b</w:t>
            </w:r>
            <w:r w:rsidRPr="00643FFD">
              <w:t>ids</w:t>
            </w:r>
            <w:r>
              <w:t xml:space="preserve"> set out in the table below and the capacity is then allocated.</w:t>
            </w:r>
          </w:p>
          <w:tbl>
            <w:tblPr>
              <w:tblStyle w:val="TableGrid"/>
              <w:tblW w:w="8638" w:type="dxa"/>
              <w:jc w:val="center"/>
              <w:tblLook w:val="04A0" w:firstRow="1" w:lastRow="0" w:firstColumn="1" w:lastColumn="0" w:noHBand="0" w:noVBand="1"/>
              <w:tblCaption w:val="Allocation of auction residue"/>
              <w:tblDescription w:val="Allocation of auction residue"/>
            </w:tblPr>
            <w:tblGrid>
              <w:gridCol w:w="757"/>
              <w:gridCol w:w="550"/>
              <w:gridCol w:w="522"/>
              <w:gridCol w:w="1002"/>
              <w:gridCol w:w="971"/>
              <w:gridCol w:w="925"/>
              <w:gridCol w:w="1135"/>
              <w:gridCol w:w="1000"/>
              <w:gridCol w:w="1776"/>
            </w:tblGrid>
            <w:tr w:rsidR="007A069D" w14:paraId="77061F07" w14:textId="77777777" w:rsidTr="007A069D">
              <w:trPr>
                <w:cnfStyle w:val="100000000000" w:firstRow="1" w:lastRow="0" w:firstColumn="0" w:lastColumn="0" w:oddVBand="0" w:evenVBand="0" w:oddHBand="0" w:evenHBand="0" w:firstRowFirstColumn="0" w:firstRowLastColumn="0" w:lastRowFirstColumn="0" w:lastRowLastColumn="0"/>
                <w:tblHeader/>
                <w:jc w:val="center"/>
              </w:trPr>
              <w:tc>
                <w:tcPr>
                  <w:tcW w:w="757" w:type="dxa"/>
                  <w:vMerge w:val="restart"/>
                  <w:shd w:val="clear" w:color="auto" w:fill="0099CC"/>
                </w:tcPr>
                <w:p w14:paraId="12B3F79C" w14:textId="77777777" w:rsidR="007A069D" w:rsidRPr="00CF73B3" w:rsidRDefault="007A069D" w:rsidP="007A069D">
                  <w:pPr>
                    <w:pStyle w:val="BodyText"/>
                    <w:spacing w:before="0" w:after="20" w:line="240" w:lineRule="auto"/>
                    <w:ind w:left="0"/>
                    <w:jc w:val="center"/>
                    <w:rPr>
                      <w:color w:val="FFFFFF" w:themeColor="background1"/>
                      <w:sz w:val="17"/>
                      <w:szCs w:val="17"/>
                    </w:rPr>
                  </w:pPr>
                  <w:r w:rsidRPr="00CF73B3">
                    <w:rPr>
                      <w:color w:val="FFFFFF" w:themeColor="background1"/>
                      <w:sz w:val="17"/>
                      <w:szCs w:val="17"/>
                    </w:rPr>
                    <w:t>Shipper</w:t>
                  </w:r>
                </w:p>
              </w:tc>
              <w:tc>
                <w:tcPr>
                  <w:tcW w:w="1072" w:type="dxa"/>
                  <w:gridSpan w:val="2"/>
                  <w:shd w:val="clear" w:color="auto" w:fill="0099CC"/>
                </w:tcPr>
                <w:p w14:paraId="1D2ECC14" w14:textId="77777777" w:rsidR="007A069D" w:rsidRPr="00CF73B3" w:rsidRDefault="007A069D" w:rsidP="007A069D">
                  <w:pPr>
                    <w:pStyle w:val="BodyText"/>
                    <w:spacing w:before="0" w:after="20" w:line="240" w:lineRule="auto"/>
                    <w:jc w:val="center"/>
                    <w:rPr>
                      <w:color w:val="FFFFFF" w:themeColor="background1"/>
                      <w:sz w:val="17"/>
                      <w:szCs w:val="17"/>
                    </w:rPr>
                  </w:pPr>
                  <w:r w:rsidRPr="00CF73B3">
                    <w:rPr>
                      <w:color w:val="FFFFFF" w:themeColor="background1"/>
                      <w:sz w:val="17"/>
                      <w:szCs w:val="17"/>
                    </w:rPr>
                    <w:t>Bid</w:t>
                  </w:r>
                </w:p>
              </w:tc>
              <w:tc>
                <w:tcPr>
                  <w:tcW w:w="5033" w:type="dxa"/>
                  <w:gridSpan w:val="5"/>
                  <w:shd w:val="clear" w:color="auto" w:fill="0099CC"/>
                </w:tcPr>
                <w:p w14:paraId="2757DBC8" w14:textId="77777777" w:rsidR="007A069D" w:rsidRPr="00F20ACC" w:rsidRDefault="007A069D" w:rsidP="007A069D">
                  <w:pPr>
                    <w:pStyle w:val="BodyText"/>
                    <w:keepLines/>
                    <w:spacing w:before="0" w:after="20" w:line="240" w:lineRule="auto"/>
                    <w:jc w:val="center"/>
                    <w:rPr>
                      <w:b w:val="0"/>
                      <w:color w:val="FFFFFF" w:themeColor="background1"/>
                      <w:sz w:val="17"/>
                      <w:szCs w:val="17"/>
                    </w:rPr>
                  </w:pPr>
                  <w:r>
                    <w:rPr>
                      <w:color w:val="FFFFFF" w:themeColor="background1"/>
                      <w:sz w:val="17"/>
                      <w:szCs w:val="17"/>
                    </w:rPr>
                    <w:t>Auction a</w:t>
                  </w:r>
                  <w:r w:rsidRPr="00CF73B3">
                    <w:rPr>
                      <w:color w:val="FFFFFF" w:themeColor="background1"/>
                      <w:sz w:val="17"/>
                      <w:szCs w:val="17"/>
                    </w:rPr>
                    <w:t>llocation</w:t>
                  </w:r>
                </w:p>
              </w:tc>
              <w:tc>
                <w:tcPr>
                  <w:tcW w:w="1776" w:type="dxa"/>
                  <w:vMerge w:val="restart"/>
                  <w:shd w:val="clear" w:color="auto" w:fill="0099CC"/>
                </w:tcPr>
                <w:p w14:paraId="70974A31" w14:textId="77777777" w:rsidR="007A069D" w:rsidRPr="00C838C0" w:rsidRDefault="007A069D" w:rsidP="007A069D">
                  <w:pPr>
                    <w:pStyle w:val="BodyText"/>
                    <w:spacing w:before="0" w:after="20" w:line="240" w:lineRule="auto"/>
                    <w:ind w:left="0"/>
                    <w:jc w:val="center"/>
                    <w:rPr>
                      <w:color w:val="FFFFFF" w:themeColor="background1"/>
                      <w:sz w:val="17"/>
                      <w:szCs w:val="17"/>
                    </w:rPr>
                  </w:pPr>
                  <w:r w:rsidRPr="00C838C0">
                    <w:rPr>
                      <w:color w:val="FFFFFF" w:themeColor="background1"/>
                      <w:sz w:val="17"/>
                      <w:szCs w:val="17"/>
                    </w:rPr>
                    <w:t>Comments</w:t>
                  </w:r>
                </w:p>
              </w:tc>
            </w:tr>
            <w:tr w:rsidR="007A069D" w14:paraId="66B1C184" w14:textId="77777777" w:rsidTr="00610057">
              <w:trPr>
                <w:jc w:val="center"/>
              </w:trPr>
              <w:tc>
                <w:tcPr>
                  <w:tcW w:w="757" w:type="dxa"/>
                  <w:vMerge/>
                  <w:shd w:val="clear" w:color="auto" w:fill="0099CC"/>
                </w:tcPr>
                <w:p w14:paraId="40E138AB" w14:textId="77777777" w:rsidR="007A069D" w:rsidRPr="00CF73B3" w:rsidRDefault="007A069D" w:rsidP="007A069D">
                  <w:pPr>
                    <w:pStyle w:val="BodyText"/>
                    <w:spacing w:before="0" w:after="20" w:line="240" w:lineRule="auto"/>
                    <w:ind w:left="0"/>
                    <w:jc w:val="center"/>
                    <w:rPr>
                      <w:b/>
                      <w:color w:val="FFFFFF" w:themeColor="background1"/>
                      <w:sz w:val="17"/>
                      <w:szCs w:val="17"/>
                    </w:rPr>
                  </w:pPr>
                </w:p>
              </w:tc>
              <w:tc>
                <w:tcPr>
                  <w:tcW w:w="550" w:type="dxa"/>
                  <w:shd w:val="clear" w:color="auto" w:fill="0099CC"/>
                </w:tcPr>
                <w:p w14:paraId="1B47CBF8" w14:textId="77777777" w:rsidR="007A069D" w:rsidRPr="00CF73B3" w:rsidRDefault="007A069D" w:rsidP="007A069D">
                  <w:pPr>
                    <w:pStyle w:val="BodyText"/>
                    <w:keepLines/>
                    <w:spacing w:before="0" w:after="0" w:line="240" w:lineRule="auto"/>
                    <w:ind w:left="0"/>
                    <w:jc w:val="center"/>
                    <w:rPr>
                      <w:b/>
                      <w:color w:val="FFFFFF" w:themeColor="background1"/>
                      <w:sz w:val="17"/>
                      <w:szCs w:val="17"/>
                    </w:rPr>
                  </w:pPr>
                  <w:r w:rsidRPr="00CF73B3">
                    <w:rPr>
                      <w:b/>
                      <w:color w:val="FFFFFF" w:themeColor="background1"/>
                      <w:sz w:val="17"/>
                      <w:szCs w:val="17"/>
                    </w:rPr>
                    <w:t xml:space="preserve">Price </w:t>
                  </w:r>
                </w:p>
                <w:p w14:paraId="2C68A663" w14:textId="77777777" w:rsidR="007A069D" w:rsidRPr="00CF73B3" w:rsidRDefault="007A069D" w:rsidP="007A069D">
                  <w:pPr>
                    <w:pStyle w:val="BodyText"/>
                    <w:spacing w:before="0" w:after="20" w:line="240" w:lineRule="auto"/>
                    <w:jc w:val="center"/>
                    <w:rPr>
                      <w:b/>
                      <w:color w:val="FFFFFF" w:themeColor="background1"/>
                      <w:sz w:val="17"/>
                      <w:szCs w:val="17"/>
                    </w:rPr>
                  </w:pPr>
                  <w:r w:rsidRPr="00CF73B3">
                    <w:rPr>
                      <w:b/>
                      <w:color w:val="FFFFFF" w:themeColor="background1"/>
                      <w:sz w:val="17"/>
                      <w:szCs w:val="17"/>
                    </w:rPr>
                    <w:t>(per unit)</w:t>
                  </w:r>
                </w:p>
              </w:tc>
              <w:tc>
                <w:tcPr>
                  <w:tcW w:w="522" w:type="dxa"/>
                  <w:shd w:val="clear" w:color="auto" w:fill="0099CC"/>
                </w:tcPr>
                <w:p w14:paraId="45C3EDC5" w14:textId="77777777" w:rsidR="007A069D" w:rsidRPr="00CF73B3" w:rsidRDefault="007A069D" w:rsidP="007A069D">
                  <w:pPr>
                    <w:pStyle w:val="BodyText"/>
                    <w:spacing w:before="0" w:after="20" w:line="240" w:lineRule="auto"/>
                    <w:jc w:val="center"/>
                    <w:rPr>
                      <w:b/>
                      <w:color w:val="FFFFFF" w:themeColor="background1"/>
                      <w:sz w:val="17"/>
                      <w:szCs w:val="17"/>
                    </w:rPr>
                  </w:pPr>
                  <w:proofErr w:type="spellStart"/>
                  <w:r w:rsidRPr="00CF73B3">
                    <w:rPr>
                      <w:b/>
                      <w:color w:val="FFFFFF" w:themeColor="background1"/>
                      <w:sz w:val="17"/>
                      <w:szCs w:val="17"/>
                    </w:rPr>
                    <w:t>Qty</w:t>
                  </w:r>
                  <w:proofErr w:type="spellEnd"/>
                </w:p>
              </w:tc>
              <w:tc>
                <w:tcPr>
                  <w:tcW w:w="1002" w:type="dxa"/>
                  <w:shd w:val="clear" w:color="auto" w:fill="0099CC"/>
                </w:tcPr>
                <w:p w14:paraId="08857530" w14:textId="77777777" w:rsidR="007A069D" w:rsidRPr="00CF73B3" w:rsidRDefault="007A069D" w:rsidP="007A069D">
                  <w:pPr>
                    <w:pStyle w:val="BodyText"/>
                    <w:spacing w:before="0" w:after="20" w:line="240" w:lineRule="auto"/>
                    <w:ind w:left="0"/>
                    <w:jc w:val="center"/>
                    <w:rPr>
                      <w:b/>
                      <w:color w:val="FFFFFF" w:themeColor="background1"/>
                      <w:sz w:val="17"/>
                      <w:szCs w:val="17"/>
                    </w:rPr>
                  </w:pPr>
                  <w:proofErr w:type="spellStart"/>
                  <w:r w:rsidRPr="00CF73B3">
                    <w:rPr>
                      <w:b/>
                      <w:color w:val="FFFFFF" w:themeColor="background1"/>
                      <w:sz w:val="17"/>
                      <w:szCs w:val="17"/>
                    </w:rPr>
                    <w:t>Q</w:t>
                  </w:r>
                  <w:r>
                    <w:rPr>
                      <w:b/>
                      <w:color w:val="FFFFFF" w:themeColor="background1"/>
                      <w:sz w:val="17"/>
                      <w:szCs w:val="17"/>
                    </w:rPr>
                    <w:t>ty</w:t>
                  </w:r>
                  <w:proofErr w:type="spellEnd"/>
                </w:p>
              </w:tc>
              <w:tc>
                <w:tcPr>
                  <w:tcW w:w="971" w:type="dxa"/>
                  <w:tcBorders>
                    <w:bottom w:val="single" w:sz="4" w:space="0" w:color="auto"/>
                  </w:tcBorders>
                  <w:shd w:val="clear" w:color="auto" w:fill="0099CC"/>
                </w:tcPr>
                <w:p w14:paraId="02ED6505" w14:textId="77777777" w:rsidR="007A069D" w:rsidRPr="00F20ACC" w:rsidRDefault="007A069D" w:rsidP="007A069D">
                  <w:pPr>
                    <w:pStyle w:val="BodyText"/>
                    <w:keepLines/>
                    <w:spacing w:before="0" w:after="20" w:line="240" w:lineRule="auto"/>
                    <w:ind w:left="0"/>
                    <w:jc w:val="center"/>
                    <w:rPr>
                      <w:b/>
                      <w:color w:val="FFFFFF" w:themeColor="background1"/>
                      <w:sz w:val="17"/>
                      <w:szCs w:val="17"/>
                    </w:rPr>
                  </w:pPr>
                  <w:r w:rsidRPr="00F20ACC">
                    <w:rPr>
                      <w:b/>
                      <w:color w:val="FFFFFF" w:themeColor="background1"/>
                      <w:sz w:val="17"/>
                      <w:szCs w:val="17"/>
                    </w:rPr>
                    <w:t>S1</w:t>
                  </w:r>
                </w:p>
                <w:p w14:paraId="6849153B" w14:textId="77777777" w:rsidR="007A069D" w:rsidRPr="00F20ACC" w:rsidRDefault="007A069D" w:rsidP="007A069D">
                  <w:pPr>
                    <w:pStyle w:val="BodyText"/>
                    <w:keepLines/>
                    <w:spacing w:before="0" w:after="20" w:line="240" w:lineRule="auto"/>
                    <w:ind w:left="0"/>
                    <w:jc w:val="center"/>
                    <w:rPr>
                      <w:b/>
                      <w:color w:val="FFFFFF" w:themeColor="background1"/>
                      <w:sz w:val="17"/>
                      <w:szCs w:val="17"/>
                    </w:rPr>
                  </w:pPr>
                  <w:r w:rsidRPr="00F20ACC">
                    <w:rPr>
                      <w:b/>
                      <w:color w:val="FFFFFF" w:themeColor="background1"/>
                      <w:sz w:val="17"/>
                      <w:szCs w:val="17"/>
                    </w:rPr>
                    <w:t>(C</w:t>
                  </w:r>
                  <w:r w:rsidRPr="00F20ACC">
                    <w:rPr>
                      <w:b/>
                      <w:color w:val="FFFFFF" w:themeColor="background1"/>
                      <w:sz w:val="17"/>
                      <w:szCs w:val="17"/>
                      <w:vertAlign w:val="subscript"/>
                    </w:rPr>
                    <w:t>1</w:t>
                  </w:r>
                  <w:r w:rsidRPr="00F20ACC">
                    <w:rPr>
                      <w:b/>
                      <w:color w:val="FFFFFF" w:themeColor="background1"/>
                      <w:sz w:val="17"/>
                      <w:szCs w:val="17"/>
                    </w:rPr>
                    <w:t xml:space="preserve"> = 300)</w:t>
                  </w:r>
                </w:p>
              </w:tc>
              <w:tc>
                <w:tcPr>
                  <w:tcW w:w="925" w:type="dxa"/>
                  <w:tcBorders>
                    <w:bottom w:val="single" w:sz="4" w:space="0" w:color="auto"/>
                  </w:tcBorders>
                  <w:shd w:val="clear" w:color="auto" w:fill="0099CC"/>
                </w:tcPr>
                <w:p w14:paraId="56C05CEA" w14:textId="77777777" w:rsidR="007A069D" w:rsidRPr="00F20ACC" w:rsidRDefault="007A069D" w:rsidP="007A069D">
                  <w:pPr>
                    <w:pStyle w:val="BodyText"/>
                    <w:keepLines/>
                    <w:spacing w:before="0" w:after="20" w:line="240" w:lineRule="auto"/>
                    <w:ind w:left="0"/>
                    <w:jc w:val="center"/>
                    <w:rPr>
                      <w:b/>
                      <w:color w:val="FFFFFF" w:themeColor="background1"/>
                      <w:sz w:val="17"/>
                      <w:szCs w:val="17"/>
                    </w:rPr>
                  </w:pPr>
                  <w:r w:rsidRPr="00F20ACC">
                    <w:rPr>
                      <w:b/>
                      <w:color w:val="FFFFFF" w:themeColor="background1"/>
                      <w:sz w:val="17"/>
                      <w:szCs w:val="17"/>
                    </w:rPr>
                    <w:t>S2</w:t>
                  </w:r>
                </w:p>
                <w:p w14:paraId="2CB95DBE" w14:textId="77777777" w:rsidR="007A069D" w:rsidRPr="00F20ACC" w:rsidRDefault="007A069D" w:rsidP="007A069D">
                  <w:pPr>
                    <w:pStyle w:val="BodyText"/>
                    <w:keepLines/>
                    <w:spacing w:before="0" w:after="20" w:line="240" w:lineRule="auto"/>
                    <w:ind w:left="0"/>
                    <w:jc w:val="center"/>
                    <w:rPr>
                      <w:b/>
                      <w:color w:val="FFFFFF" w:themeColor="background1"/>
                      <w:sz w:val="17"/>
                      <w:szCs w:val="17"/>
                    </w:rPr>
                  </w:pPr>
                  <w:r w:rsidRPr="00F20ACC">
                    <w:rPr>
                      <w:b/>
                      <w:color w:val="FFFFFF" w:themeColor="background1"/>
                      <w:sz w:val="17"/>
                      <w:szCs w:val="17"/>
                    </w:rPr>
                    <w:t>(C</w:t>
                  </w:r>
                  <w:r w:rsidRPr="00F20ACC">
                    <w:rPr>
                      <w:b/>
                      <w:color w:val="FFFFFF" w:themeColor="background1"/>
                      <w:sz w:val="17"/>
                      <w:szCs w:val="17"/>
                      <w:vertAlign w:val="subscript"/>
                    </w:rPr>
                    <w:t>2</w:t>
                  </w:r>
                  <w:r w:rsidRPr="00F20ACC">
                    <w:rPr>
                      <w:b/>
                      <w:color w:val="FFFFFF" w:themeColor="background1"/>
                      <w:sz w:val="17"/>
                      <w:szCs w:val="17"/>
                    </w:rPr>
                    <w:t xml:space="preserve"> = 200)</w:t>
                  </w:r>
                </w:p>
              </w:tc>
              <w:tc>
                <w:tcPr>
                  <w:tcW w:w="1135" w:type="dxa"/>
                  <w:tcBorders>
                    <w:bottom w:val="single" w:sz="4" w:space="0" w:color="auto"/>
                  </w:tcBorders>
                  <w:shd w:val="clear" w:color="auto" w:fill="0099CC"/>
                </w:tcPr>
                <w:p w14:paraId="5E4E089B" w14:textId="77777777" w:rsidR="007A069D" w:rsidRPr="00F20ACC" w:rsidRDefault="007A069D" w:rsidP="007A069D">
                  <w:pPr>
                    <w:pStyle w:val="BodyText"/>
                    <w:keepLines/>
                    <w:spacing w:before="0" w:after="20" w:line="240" w:lineRule="auto"/>
                    <w:ind w:left="0"/>
                    <w:jc w:val="center"/>
                    <w:rPr>
                      <w:b/>
                      <w:color w:val="FFFFFF" w:themeColor="background1"/>
                      <w:sz w:val="17"/>
                      <w:szCs w:val="17"/>
                    </w:rPr>
                  </w:pPr>
                  <w:r w:rsidRPr="00F20ACC">
                    <w:rPr>
                      <w:b/>
                      <w:color w:val="FFFFFF" w:themeColor="background1"/>
                      <w:sz w:val="17"/>
                      <w:szCs w:val="17"/>
                    </w:rPr>
                    <w:t>S3</w:t>
                  </w:r>
                </w:p>
                <w:p w14:paraId="72AD0031" w14:textId="77777777" w:rsidR="007A069D" w:rsidRPr="00F20ACC" w:rsidRDefault="007A069D" w:rsidP="007A069D">
                  <w:pPr>
                    <w:pStyle w:val="BodyText"/>
                    <w:keepLines/>
                    <w:spacing w:before="0" w:after="20" w:line="240" w:lineRule="auto"/>
                    <w:ind w:left="0"/>
                    <w:jc w:val="center"/>
                    <w:rPr>
                      <w:b/>
                      <w:color w:val="FFFFFF" w:themeColor="background1"/>
                      <w:sz w:val="17"/>
                      <w:szCs w:val="17"/>
                    </w:rPr>
                  </w:pPr>
                  <w:r w:rsidRPr="00F20ACC">
                    <w:rPr>
                      <w:b/>
                      <w:color w:val="FFFFFF" w:themeColor="background1"/>
                      <w:sz w:val="17"/>
                      <w:szCs w:val="17"/>
                    </w:rPr>
                    <w:t>(C</w:t>
                  </w:r>
                  <w:r w:rsidRPr="00F20ACC">
                    <w:rPr>
                      <w:b/>
                      <w:color w:val="FFFFFF" w:themeColor="background1"/>
                      <w:sz w:val="17"/>
                      <w:szCs w:val="17"/>
                      <w:vertAlign w:val="subscript"/>
                    </w:rPr>
                    <w:t>3</w:t>
                  </w:r>
                  <w:r w:rsidRPr="00F20ACC">
                    <w:rPr>
                      <w:b/>
                      <w:color w:val="FFFFFF" w:themeColor="background1"/>
                      <w:sz w:val="17"/>
                      <w:szCs w:val="17"/>
                    </w:rPr>
                    <w:t xml:space="preserve"> = 150)</w:t>
                  </w:r>
                </w:p>
              </w:tc>
              <w:tc>
                <w:tcPr>
                  <w:tcW w:w="1000" w:type="dxa"/>
                  <w:tcBorders>
                    <w:bottom w:val="single" w:sz="4" w:space="0" w:color="auto"/>
                  </w:tcBorders>
                  <w:shd w:val="clear" w:color="auto" w:fill="0099CC"/>
                </w:tcPr>
                <w:p w14:paraId="71ED487D" w14:textId="77777777" w:rsidR="007A069D" w:rsidRPr="00F20ACC" w:rsidRDefault="007A069D" w:rsidP="007A069D">
                  <w:pPr>
                    <w:pStyle w:val="BodyText"/>
                    <w:keepLines/>
                    <w:spacing w:before="0" w:after="20" w:line="240" w:lineRule="auto"/>
                    <w:ind w:left="0"/>
                    <w:jc w:val="center"/>
                    <w:rPr>
                      <w:b/>
                      <w:color w:val="FFFFFF" w:themeColor="background1"/>
                      <w:sz w:val="17"/>
                      <w:szCs w:val="17"/>
                    </w:rPr>
                  </w:pPr>
                  <w:r w:rsidRPr="00F20ACC">
                    <w:rPr>
                      <w:b/>
                      <w:color w:val="FFFFFF" w:themeColor="background1"/>
                      <w:sz w:val="17"/>
                      <w:szCs w:val="17"/>
                    </w:rPr>
                    <w:t>S4</w:t>
                  </w:r>
                </w:p>
                <w:p w14:paraId="3702EACE" w14:textId="77777777" w:rsidR="007A069D" w:rsidRPr="00F20ACC" w:rsidRDefault="007A069D" w:rsidP="007A069D">
                  <w:pPr>
                    <w:pStyle w:val="BodyText"/>
                    <w:spacing w:before="0" w:after="20" w:line="240" w:lineRule="auto"/>
                    <w:ind w:left="0"/>
                    <w:jc w:val="center"/>
                    <w:rPr>
                      <w:b/>
                      <w:color w:val="FFFFFF" w:themeColor="background1"/>
                      <w:sz w:val="17"/>
                      <w:szCs w:val="17"/>
                    </w:rPr>
                  </w:pPr>
                  <w:r w:rsidRPr="00F20ACC">
                    <w:rPr>
                      <w:b/>
                      <w:color w:val="FFFFFF" w:themeColor="background1"/>
                      <w:sz w:val="17"/>
                      <w:szCs w:val="17"/>
                    </w:rPr>
                    <w:t>(C</w:t>
                  </w:r>
                  <w:r w:rsidRPr="00F20ACC">
                    <w:rPr>
                      <w:b/>
                      <w:color w:val="FFFFFF" w:themeColor="background1"/>
                      <w:sz w:val="17"/>
                      <w:szCs w:val="17"/>
                      <w:vertAlign w:val="subscript"/>
                    </w:rPr>
                    <w:t>4</w:t>
                  </w:r>
                  <w:r w:rsidRPr="00F20ACC">
                    <w:rPr>
                      <w:b/>
                      <w:color w:val="FFFFFF" w:themeColor="background1"/>
                      <w:sz w:val="17"/>
                      <w:szCs w:val="17"/>
                    </w:rPr>
                    <w:t xml:space="preserve"> = 100)</w:t>
                  </w:r>
                </w:p>
              </w:tc>
              <w:tc>
                <w:tcPr>
                  <w:tcW w:w="1776" w:type="dxa"/>
                  <w:vMerge/>
                  <w:shd w:val="clear" w:color="auto" w:fill="0099CC"/>
                </w:tcPr>
                <w:p w14:paraId="05F6C35F" w14:textId="77777777" w:rsidR="007A069D" w:rsidRPr="00F20ACC" w:rsidRDefault="007A069D" w:rsidP="007A069D">
                  <w:pPr>
                    <w:pStyle w:val="BodyText"/>
                    <w:spacing w:before="0" w:after="20" w:line="240" w:lineRule="auto"/>
                    <w:ind w:left="0"/>
                    <w:jc w:val="center"/>
                    <w:rPr>
                      <w:b/>
                      <w:color w:val="FFFFFF" w:themeColor="background1"/>
                      <w:sz w:val="17"/>
                      <w:szCs w:val="17"/>
                    </w:rPr>
                  </w:pPr>
                </w:p>
              </w:tc>
            </w:tr>
            <w:tr w:rsidR="007A069D" w14:paraId="0F03AE29" w14:textId="77777777" w:rsidTr="00610057">
              <w:trPr>
                <w:cnfStyle w:val="000000010000" w:firstRow="0" w:lastRow="0" w:firstColumn="0" w:lastColumn="0" w:oddVBand="0" w:evenVBand="0" w:oddHBand="0" w:evenHBand="1" w:firstRowFirstColumn="0" w:firstRowLastColumn="0" w:lastRowFirstColumn="0" w:lastRowLastColumn="0"/>
                <w:trHeight w:val="567"/>
                <w:jc w:val="center"/>
              </w:trPr>
              <w:tc>
                <w:tcPr>
                  <w:tcW w:w="757" w:type="dxa"/>
                  <w:vAlign w:val="center"/>
                </w:tcPr>
                <w:p w14:paraId="4C59D306" w14:textId="77777777" w:rsidR="007A069D" w:rsidRPr="00F20ACC" w:rsidRDefault="007A069D" w:rsidP="007A069D">
                  <w:pPr>
                    <w:pStyle w:val="BodyText"/>
                    <w:spacing w:before="0" w:after="20" w:line="240" w:lineRule="auto"/>
                    <w:ind w:left="0"/>
                    <w:jc w:val="center"/>
                    <w:rPr>
                      <w:sz w:val="17"/>
                      <w:szCs w:val="17"/>
                    </w:rPr>
                  </w:pPr>
                  <w:r w:rsidRPr="00F20ACC">
                    <w:rPr>
                      <w:sz w:val="17"/>
                      <w:szCs w:val="17"/>
                    </w:rPr>
                    <w:t>A</w:t>
                  </w:r>
                </w:p>
              </w:tc>
              <w:tc>
                <w:tcPr>
                  <w:tcW w:w="550" w:type="dxa"/>
                  <w:vAlign w:val="center"/>
                </w:tcPr>
                <w:p w14:paraId="2D016080" w14:textId="77777777" w:rsidR="007A069D" w:rsidRPr="00F20ACC" w:rsidRDefault="007A069D" w:rsidP="007A069D">
                  <w:pPr>
                    <w:pStyle w:val="BodyText"/>
                    <w:spacing w:before="0" w:after="20" w:line="240" w:lineRule="auto"/>
                    <w:jc w:val="center"/>
                    <w:rPr>
                      <w:color w:val="FF0000"/>
                      <w:sz w:val="17"/>
                      <w:szCs w:val="17"/>
                    </w:rPr>
                  </w:pPr>
                  <w:r w:rsidRPr="00F20ACC">
                    <w:rPr>
                      <w:sz w:val="17"/>
                      <w:szCs w:val="17"/>
                    </w:rPr>
                    <w:t>$40</w:t>
                  </w:r>
                </w:p>
              </w:tc>
              <w:tc>
                <w:tcPr>
                  <w:tcW w:w="522" w:type="dxa"/>
                  <w:vAlign w:val="center"/>
                </w:tcPr>
                <w:p w14:paraId="28DFE7BE" w14:textId="77777777" w:rsidR="007A069D" w:rsidRPr="00F20ACC" w:rsidRDefault="007A069D" w:rsidP="007A069D">
                  <w:pPr>
                    <w:pStyle w:val="BodyText"/>
                    <w:spacing w:before="0" w:after="20" w:line="240" w:lineRule="auto"/>
                    <w:jc w:val="center"/>
                    <w:rPr>
                      <w:color w:val="FF0000"/>
                      <w:sz w:val="17"/>
                      <w:szCs w:val="17"/>
                    </w:rPr>
                  </w:pPr>
                  <w:r w:rsidRPr="00F20ACC">
                    <w:rPr>
                      <w:sz w:val="17"/>
                      <w:szCs w:val="17"/>
                    </w:rPr>
                    <w:t>100</w:t>
                  </w:r>
                </w:p>
              </w:tc>
              <w:tc>
                <w:tcPr>
                  <w:tcW w:w="1002" w:type="dxa"/>
                  <w:vAlign w:val="center"/>
                </w:tcPr>
                <w:p w14:paraId="30CA2450" w14:textId="77777777" w:rsidR="007A069D" w:rsidRPr="00F20ACC" w:rsidRDefault="007A069D" w:rsidP="007A069D">
                  <w:pPr>
                    <w:pStyle w:val="BodyText"/>
                    <w:spacing w:before="0" w:after="20" w:line="240" w:lineRule="auto"/>
                    <w:ind w:left="0"/>
                    <w:jc w:val="center"/>
                    <w:rPr>
                      <w:sz w:val="17"/>
                      <w:szCs w:val="17"/>
                    </w:rPr>
                  </w:pPr>
                  <w:r w:rsidRPr="00F20ACC">
                    <w:rPr>
                      <w:color w:val="FF0000"/>
                      <w:sz w:val="17"/>
                      <w:szCs w:val="17"/>
                    </w:rPr>
                    <w:t>40</w:t>
                  </w:r>
                </w:p>
              </w:tc>
              <w:tc>
                <w:tcPr>
                  <w:tcW w:w="971" w:type="dxa"/>
                  <w:tcBorders>
                    <w:bottom w:val="single" w:sz="4" w:space="0" w:color="auto"/>
                  </w:tcBorders>
                  <w:shd w:val="clear" w:color="auto" w:fill="FFFFFF" w:themeFill="background1"/>
                  <w:vAlign w:val="center"/>
                </w:tcPr>
                <w:p w14:paraId="55DFE50E" w14:textId="77777777" w:rsidR="007A069D" w:rsidRPr="00F20ACC" w:rsidRDefault="007A069D" w:rsidP="007A069D">
                  <w:pPr>
                    <w:pStyle w:val="BodyText"/>
                    <w:spacing w:before="0" w:after="20" w:line="240" w:lineRule="auto"/>
                    <w:ind w:left="0"/>
                    <w:jc w:val="center"/>
                    <w:rPr>
                      <w:sz w:val="17"/>
                      <w:szCs w:val="17"/>
                    </w:rPr>
                  </w:pPr>
                  <w:r w:rsidRPr="00F20ACC">
                    <w:rPr>
                      <w:sz w:val="17"/>
                      <w:szCs w:val="17"/>
                    </w:rPr>
                    <w:t>X</w:t>
                  </w:r>
                </w:p>
              </w:tc>
              <w:tc>
                <w:tcPr>
                  <w:tcW w:w="925" w:type="dxa"/>
                  <w:shd w:val="clear" w:color="auto" w:fill="FFFFFF" w:themeFill="background1"/>
                  <w:vAlign w:val="center"/>
                </w:tcPr>
                <w:p w14:paraId="09633BAE" w14:textId="77777777" w:rsidR="007A069D" w:rsidRPr="00F20ACC" w:rsidRDefault="007A069D" w:rsidP="007A069D">
                  <w:pPr>
                    <w:pStyle w:val="BodyText"/>
                    <w:spacing w:before="0" w:after="20" w:line="240" w:lineRule="auto"/>
                    <w:ind w:left="0"/>
                    <w:jc w:val="center"/>
                    <w:rPr>
                      <w:sz w:val="17"/>
                      <w:szCs w:val="17"/>
                    </w:rPr>
                  </w:pPr>
                  <w:r w:rsidRPr="00F20ACC">
                    <w:rPr>
                      <w:sz w:val="17"/>
                      <w:szCs w:val="17"/>
                    </w:rPr>
                    <w:t>X</w:t>
                  </w:r>
                </w:p>
              </w:tc>
              <w:tc>
                <w:tcPr>
                  <w:tcW w:w="1135" w:type="dxa"/>
                  <w:shd w:val="clear" w:color="auto" w:fill="FFFFFF" w:themeFill="background1"/>
                  <w:vAlign w:val="center"/>
                </w:tcPr>
                <w:p w14:paraId="3EF543C6" w14:textId="77777777" w:rsidR="007A069D" w:rsidRPr="00F20ACC" w:rsidRDefault="007A069D" w:rsidP="007A069D">
                  <w:pPr>
                    <w:pStyle w:val="BodyText"/>
                    <w:spacing w:before="0" w:after="20" w:line="240" w:lineRule="auto"/>
                    <w:ind w:left="0"/>
                    <w:jc w:val="center"/>
                    <w:rPr>
                      <w:sz w:val="17"/>
                      <w:szCs w:val="17"/>
                    </w:rPr>
                  </w:pPr>
                  <w:r w:rsidRPr="00F20ACC">
                    <w:rPr>
                      <w:sz w:val="17"/>
                      <w:szCs w:val="17"/>
                    </w:rPr>
                    <w:t>X</w:t>
                  </w:r>
                </w:p>
              </w:tc>
              <w:tc>
                <w:tcPr>
                  <w:tcW w:w="1000" w:type="dxa"/>
                </w:tcPr>
                <w:p w14:paraId="6235DA4B" w14:textId="77777777" w:rsidR="007A069D" w:rsidRPr="00F20ACC" w:rsidRDefault="007A069D" w:rsidP="007A069D">
                  <w:pPr>
                    <w:pStyle w:val="BodyText"/>
                    <w:spacing w:before="0" w:after="20" w:line="240" w:lineRule="auto"/>
                    <w:ind w:left="0"/>
                    <w:jc w:val="center"/>
                    <w:rPr>
                      <w:sz w:val="17"/>
                      <w:szCs w:val="17"/>
                    </w:rPr>
                  </w:pPr>
                </w:p>
              </w:tc>
              <w:tc>
                <w:tcPr>
                  <w:tcW w:w="1776" w:type="dxa"/>
                  <w:shd w:val="clear" w:color="auto" w:fill="FFFFFF" w:themeFill="background1"/>
                  <w:vAlign w:val="center"/>
                </w:tcPr>
                <w:p w14:paraId="47046782" w14:textId="77777777" w:rsidR="007A069D" w:rsidRPr="00F20ACC" w:rsidRDefault="007A069D" w:rsidP="007A069D">
                  <w:pPr>
                    <w:pStyle w:val="BodyText"/>
                    <w:spacing w:before="0" w:after="20" w:line="240" w:lineRule="auto"/>
                    <w:ind w:left="28"/>
                    <w:rPr>
                      <w:sz w:val="17"/>
                      <w:szCs w:val="17"/>
                    </w:rPr>
                  </w:pPr>
                  <w:r>
                    <w:rPr>
                      <w:sz w:val="17"/>
                      <w:szCs w:val="17"/>
                    </w:rPr>
                    <w:t xml:space="preserve">A has </w:t>
                  </w:r>
                  <w:r w:rsidRPr="00F20ACC">
                    <w:rPr>
                      <w:sz w:val="17"/>
                      <w:szCs w:val="17"/>
                    </w:rPr>
                    <w:t>the lowest accepted bid for S2. It is only partially filled (40 of a total of 100).</w:t>
                  </w:r>
                </w:p>
              </w:tc>
            </w:tr>
            <w:tr w:rsidR="007A069D" w14:paraId="2CA51C58" w14:textId="77777777" w:rsidTr="00610057">
              <w:trPr>
                <w:trHeight w:val="567"/>
                <w:jc w:val="center"/>
              </w:trPr>
              <w:tc>
                <w:tcPr>
                  <w:tcW w:w="757" w:type="dxa"/>
                  <w:vAlign w:val="center"/>
                </w:tcPr>
                <w:p w14:paraId="1B3D1CC2" w14:textId="77777777" w:rsidR="007A069D" w:rsidRPr="00F20ACC" w:rsidRDefault="007A069D" w:rsidP="007A069D">
                  <w:pPr>
                    <w:pStyle w:val="BodyText"/>
                    <w:spacing w:before="0" w:after="20" w:line="240" w:lineRule="auto"/>
                    <w:ind w:left="0"/>
                    <w:jc w:val="center"/>
                    <w:rPr>
                      <w:sz w:val="17"/>
                      <w:szCs w:val="17"/>
                    </w:rPr>
                  </w:pPr>
                  <w:r w:rsidRPr="00F20ACC">
                    <w:rPr>
                      <w:sz w:val="17"/>
                      <w:szCs w:val="17"/>
                    </w:rPr>
                    <w:t>B</w:t>
                  </w:r>
                </w:p>
              </w:tc>
              <w:tc>
                <w:tcPr>
                  <w:tcW w:w="550" w:type="dxa"/>
                  <w:vAlign w:val="center"/>
                </w:tcPr>
                <w:p w14:paraId="12850B5B" w14:textId="77777777" w:rsidR="007A069D" w:rsidRPr="00F20ACC" w:rsidRDefault="007A069D" w:rsidP="007A069D">
                  <w:pPr>
                    <w:pStyle w:val="BodyText"/>
                    <w:spacing w:before="0" w:after="20" w:line="240" w:lineRule="auto"/>
                    <w:jc w:val="center"/>
                    <w:rPr>
                      <w:sz w:val="17"/>
                      <w:szCs w:val="17"/>
                    </w:rPr>
                  </w:pPr>
                  <w:r w:rsidRPr="00F20ACC">
                    <w:rPr>
                      <w:sz w:val="17"/>
                      <w:szCs w:val="17"/>
                    </w:rPr>
                    <w:t>$50</w:t>
                  </w:r>
                </w:p>
              </w:tc>
              <w:tc>
                <w:tcPr>
                  <w:tcW w:w="522" w:type="dxa"/>
                  <w:vAlign w:val="center"/>
                </w:tcPr>
                <w:p w14:paraId="15116379" w14:textId="77777777" w:rsidR="007A069D" w:rsidRPr="00F20ACC" w:rsidRDefault="007A069D" w:rsidP="007A069D">
                  <w:pPr>
                    <w:pStyle w:val="BodyText"/>
                    <w:spacing w:before="0" w:after="20" w:line="240" w:lineRule="auto"/>
                    <w:jc w:val="center"/>
                    <w:rPr>
                      <w:sz w:val="17"/>
                      <w:szCs w:val="17"/>
                    </w:rPr>
                  </w:pPr>
                  <w:r w:rsidRPr="00F20ACC">
                    <w:rPr>
                      <w:sz w:val="17"/>
                      <w:szCs w:val="17"/>
                    </w:rPr>
                    <w:t>100</w:t>
                  </w:r>
                </w:p>
              </w:tc>
              <w:tc>
                <w:tcPr>
                  <w:tcW w:w="1002" w:type="dxa"/>
                  <w:vAlign w:val="center"/>
                </w:tcPr>
                <w:p w14:paraId="5721E263" w14:textId="77777777" w:rsidR="007A069D" w:rsidRPr="00F20ACC" w:rsidRDefault="007A069D" w:rsidP="007A069D">
                  <w:pPr>
                    <w:pStyle w:val="BodyText"/>
                    <w:spacing w:before="0" w:after="20" w:line="240" w:lineRule="auto"/>
                    <w:ind w:left="0"/>
                    <w:jc w:val="center"/>
                    <w:rPr>
                      <w:sz w:val="17"/>
                      <w:szCs w:val="17"/>
                    </w:rPr>
                  </w:pPr>
                  <w:r w:rsidRPr="00F20ACC">
                    <w:rPr>
                      <w:sz w:val="17"/>
                      <w:szCs w:val="17"/>
                    </w:rPr>
                    <w:t>100</w:t>
                  </w:r>
                </w:p>
              </w:tc>
              <w:tc>
                <w:tcPr>
                  <w:tcW w:w="971" w:type="dxa"/>
                  <w:shd w:val="clear" w:color="auto" w:fill="FFFFFF" w:themeFill="background1"/>
                  <w:vAlign w:val="center"/>
                </w:tcPr>
                <w:p w14:paraId="49F6CA1A" w14:textId="77777777" w:rsidR="007A069D" w:rsidRPr="00F20ACC" w:rsidRDefault="007A069D" w:rsidP="007A069D">
                  <w:pPr>
                    <w:pStyle w:val="BodyText"/>
                    <w:spacing w:before="0" w:after="20" w:line="240" w:lineRule="auto"/>
                    <w:ind w:left="0"/>
                    <w:jc w:val="center"/>
                    <w:rPr>
                      <w:sz w:val="17"/>
                      <w:szCs w:val="17"/>
                    </w:rPr>
                  </w:pPr>
                  <w:r w:rsidRPr="00F20ACC">
                    <w:rPr>
                      <w:sz w:val="17"/>
                      <w:szCs w:val="17"/>
                    </w:rPr>
                    <w:t>X</w:t>
                  </w:r>
                </w:p>
              </w:tc>
              <w:tc>
                <w:tcPr>
                  <w:tcW w:w="925" w:type="dxa"/>
                  <w:tcBorders>
                    <w:bottom w:val="single" w:sz="4" w:space="0" w:color="auto"/>
                  </w:tcBorders>
                  <w:vAlign w:val="center"/>
                </w:tcPr>
                <w:p w14:paraId="1BB434FE" w14:textId="77777777" w:rsidR="007A069D" w:rsidRPr="00F20ACC" w:rsidRDefault="007A069D" w:rsidP="007A069D">
                  <w:pPr>
                    <w:pStyle w:val="BodyText"/>
                    <w:spacing w:before="0" w:after="20" w:line="240" w:lineRule="auto"/>
                    <w:ind w:left="0"/>
                    <w:jc w:val="center"/>
                    <w:rPr>
                      <w:sz w:val="17"/>
                      <w:szCs w:val="17"/>
                    </w:rPr>
                  </w:pPr>
                </w:p>
              </w:tc>
              <w:tc>
                <w:tcPr>
                  <w:tcW w:w="1135" w:type="dxa"/>
                  <w:vAlign w:val="center"/>
                </w:tcPr>
                <w:p w14:paraId="6B61BD2D" w14:textId="77777777" w:rsidR="007A069D" w:rsidRPr="00F20ACC" w:rsidRDefault="007A069D" w:rsidP="007A069D">
                  <w:pPr>
                    <w:pStyle w:val="BodyText"/>
                    <w:spacing w:before="0" w:after="20" w:line="240" w:lineRule="auto"/>
                    <w:ind w:left="0"/>
                    <w:jc w:val="center"/>
                    <w:rPr>
                      <w:sz w:val="17"/>
                      <w:szCs w:val="17"/>
                    </w:rPr>
                  </w:pPr>
                </w:p>
              </w:tc>
              <w:tc>
                <w:tcPr>
                  <w:tcW w:w="1000" w:type="dxa"/>
                </w:tcPr>
                <w:p w14:paraId="1FA35D70" w14:textId="77777777" w:rsidR="007A069D" w:rsidRPr="00F20ACC" w:rsidRDefault="007A069D" w:rsidP="007A069D">
                  <w:pPr>
                    <w:pStyle w:val="BodyText"/>
                    <w:spacing w:before="0" w:after="20" w:line="240" w:lineRule="auto"/>
                    <w:ind w:left="0"/>
                    <w:rPr>
                      <w:sz w:val="17"/>
                      <w:szCs w:val="17"/>
                    </w:rPr>
                  </w:pPr>
                </w:p>
              </w:tc>
              <w:tc>
                <w:tcPr>
                  <w:tcW w:w="1776" w:type="dxa"/>
                  <w:vAlign w:val="center"/>
                </w:tcPr>
                <w:p w14:paraId="59444F5A" w14:textId="77777777" w:rsidR="007A069D" w:rsidRPr="00F20ACC" w:rsidRDefault="007A069D" w:rsidP="007A069D">
                  <w:pPr>
                    <w:pStyle w:val="BodyText"/>
                    <w:spacing w:before="0" w:after="20" w:line="240" w:lineRule="auto"/>
                    <w:ind w:left="28"/>
                    <w:rPr>
                      <w:sz w:val="17"/>
                      <w:szCs w:val="17"/>
                    </w:rPr>
                  </w:pPr>
                </w:p>
              </w:tc>
            </w:tr>
            <w:tr w:rsidR="007A069D" w14:paraId="4A57ED76" w14:textId="77777777" w:rsidTr="00610057">
              <w:trPr>
                <w:cnfStyle w:val="000000010000" w:firstRow="0" w:lastRow="0" w:firstColumn="0" w:lastColumn="0" w:oddVBand="0" w:evenVBand="0" w:oddHBand="0" w:evenHBand="1" w:firstRowFirstColumn="0" w:firstRowLastColumn="0" w:lastRowFirstColumn="0" w:lastRowLastColumn="0"/>
                <w:trHeight w:val="567"/>
                <w:jc w:val="center"/>
              </w:trPr>
              <w:tc>
                <w:tcPr>
                  <w:tcW w:w="757" w:type="dxa"/>
                  <w:vAlign w:val="center"/>
                </w:tcPr>
                <w:p w14:paraId="553D1DFB" w14:textId="77777777" w:rsidR="007A069D" w:rsidRPr="00F20ACC" w:rsidRDefault="007A069D" w:rsidP="007A069D">
                  <w:pPr>
                    <w:pStyle w:val="BodyText"/>
                    <w:spacing w:before="0" w:after="20" w:line="240" w:lineRule="auto"/>
                    <w:ind w:left="0"/>
                    <w:jc w:val="center"/>
                    <w:rPr>
                      <w:sz w:val="17"/>
                      <w:szCs w:val="17"/>
                    </w:rPr>
                  </w:pPr>
                  <w:r w:rsidRPr="00F20ACC">
                    <w:rPr>
                      <w:sz w:val="17"/>
                      <w:szCs w:val="17"/>
                    </w:rPr>
                    <w:t>C</w:t>
                  </w:r>
                </w:p>
              </w:tc>
              <w:tc>
                <w:tcPr>
                  <w:tcW w:w="550" w:type="dxa"/>
                  <w:vAlign w:val="center"/>
                </w:tcPr>
                <w:p w14:paraId="24B40100" w14:textId="77777777" w:rsidR="007A069D" w:rsidRPr="00F20ACC" w:rsidRDefault="007A069D" w:rsidP="007A069D">
                  <w:pPr>
                    <w:pStyle w:val="BodyText"/>
                    <w:spacing w:before="0" w:after="20" w:line="240" w:lineRule="auto"/>
                    <w:jc w:val="center"/>
                    <w:rPr>
                      <w:sz w:val="17"/>
                      <w:szCs w:val="17"/>
                    </w:rPr>
                  </w:pPr>
                  <w:r w:rsidRPr="00F20ACC">
                    <w:rPr>
                      <w:sz w:val="17"/>
                      <w:szCs w:val="17"/>
                    </w:rPr>
                    <w:t>$30</w:t>
                  </w:r>
                </w:p>
              </w:tc>
              <w:tc>
                <w:tcPr>
                  <w:tcW w:w="522" w:type="dxa"/>
                  <w:vAlign w:val="center"/>
                </w:tcPr>
                <w:p w14:paraId="2897162C" w14:textId="77777777" w:rsidR="007A069D" w:rsidRPr="00F20ACC" w:rsidRDefault="007A069D" w:rsidP="007A069D">
                  <w:pPr>
                    <w:pStyle w:val="BodyText"/>
                    <w:spacing w:before="0" w:after="20" w:line="240" w:lineRule="auto"/>
                    <w:jc w:val="center"/>
                    <w:rPr>
                      <w:sz w:val="17"/>
                      <w:szCs w:val="17"/>
                    </w:rPr>
                  </w:pPr>
                  <w:r w:rsidRPr="00F20ACC">
                    <w:rPr>
                      <w:sz w:val="17"/>
                      <w:szCs w:val="17"/>
                    </w:rPr>
                    <w:t>160</w:t>
                  </w:r>
                </w:p>
              </w:tc>
              <w:tc>
                <w:tcPr>
                  <w:tcW w:w="1002" w:type="dxa"/>
                  <w:vAlign w:val="center"/>
                </w:tcPr>
                <w:p w14:paraId="473A602A" w14:textId="77777777" w:rsidR="007A069D" w:rsidRPr="00F20ACC" w:rsidRDefault="007A069D" w:rsidP="007A069D">
                  <w:pPr>
                    <w:pStyle w:val="BodyText"/>
                    <w:spacing w:before="0" w:after="20" w:line="240" w:lineRule="auto"/>
                    <w:ind w:left="0"/>
                    <w:jc w:val="center"/>
                    <w:rPr>
                      <w:sz w:val="17"/>
                      <w:szCs w:val="17"/>
                    </w:rPr>
                  </w:pPr>
                  <w:r w:rsidRPr="00F20ACC">
                    <w:rPr>
                      <w:sz w:val="17"/>
                      <w:szCs w:val="17"/>
                    </w:rPr>
                    <w:t>160</w:t>
                  </w:r>
                </w:p>
              </w:tc>
              <w:tc>
                <w:tcPr>
                  <w:tcW w:w="971" w:type="dxa"/>
                  <w:vAlign w:val="center"/>
                </w:tcPr>
                <w:p w14:paraId="2587FE5B" w14:textId="77777777" w:rsidR="007A069D" w:rsidRPr="00F20ACC" w:rsidRDefault="007A069D" w:rsidP="007A069D">
                  <w:pPr>
                    <w:pStyle w:val="BodyText"/>
                    <w:spacing w:before="0" w:after="20" w:line="240" w:lineRule="auto"/>
                    <w:ind w:left="0"/>
                    <w:jc w:val="center"/>
                    <w:rPr>
                      <w:sz w:val="17"/>
                      <w:szCs w:val="17"/>
                    </w:rPr>
                  </w:pPr>
                </w:p>
              </w:tc>
              <w:tc>
                <w:tcPr>
                  <w:tcW w:w="925" w:type="dxa"/>
                  <w:shd w:val="clear" w:color="auto" w:fill="FFFFFF" w:themeFill="background1"/>
                  <w:vAlign w:val="center"/>
                </w:tcPr>
                <w:p w14:paraId="6D35AD64" w14:textId="77777777" w:rsidR="007A069D" w:rsidRPr="00F20ACC" w:rsidRDefault="007A069D" w:rsidP="007A069D">
                  <w:pPr>
                    <w:pStyle w:val="BodyText"/>
                    <w:spacing w:before="0" w:after="20" w:line="240" w:lineRule="auto"/>
                    <w:ind w:left="0"/>
                    <w:jc w:val="center"/>
                    <w:rPr>
                      <w:sz w:val="17"/>
                      <w:szCs w:val="17"/>
                    </w:rPr>
                  </w:pPr>
                  <w:r w:rsidRPr="00F20ACC">
                    <w:rPr>
                      <w:sz w:val="17"/>
                      <w:szCs w:val="17"/>
                    </w:rPr>
                    <w:t>X</w:t>
                  </w:r>
                </w:p>
              </w:tc>
              <w:tc>
                <w:tcPr>
                  <w:tcW w:w="1135" w:type="dxa"/>
                  <w:tcBorders>
                    <w:bottom w:val="single" w:sz="4" w:space="0" w:color="auto"/>
                  </w:tcBorders>
                  <w:vAlign w:val="center"/>
                </w:tcPr>
                <w:p w14:paraId="3F49C858" w14:textId="77777777" w:rsidR="007A069D" w:rsidRPr="00F20ACC" w:rsidRDefault="007A069D" w:rsidP="007A069D">
                  <w:pPr>
                    <w:pStyle w:val="BodyText"/>
                    <w:spacing w:before="0" w:after="20" w:line="240" w:lineRule="auto"/>
                    <w:ind w:left="0"/>
                    <w:jc w:val="center"/>
                    <w:rPr>
                      <w:sz w:val="17"/>
                      <w:szCs w:val="17"/>
                    </w:rPr>
                  </w:pPr>
                </w:p>
              </w:tc>
              <w:tc>
                <w:tcPr>
                  <w:tcW w:w="1000" w:type="dxa"/>
                </w:tcPr>
                <w:p w14:paraId="0C97AAEB" w14:textId="77777777" w:rsidR="007A069D" w:rsidRPr="00F20ACC" w:rsidRDefault="007A069D" w:rsidP="007A069D">
                  <w:pPr>
                    <w:pStyle w:val="BodyText"/>
                    <w:spacing w:before="0" w:after="20" w:line="240" w:lineRule="auto"/>
                    <w:ind w:left="0"/>
                    <w:rPr>
                      <w:sz w:val="17"/>
                      <w:szCs w:val="17"/>
                    </w:rPr>
                  </w:pPr>
                </w:p>
              </w:tc>
              <w:tc>
                <w:tcPr>
                  <w:tcW w:w="1776" w:type="dxa"/>
                  <w:vAlign w:val="center"/>
                </w:tcPr>
                <w:p w14:paraId="3184AFC5" w14:textId="77777777" w:rsidR="007A069D" w:rsidRPr="00F20ACC" w:rsidRDefault="007A069D" w:rsidP="007A069D">
                  <w:pPr>
                    <w:pStyle w:val="BodyText"/>
                    <w:spacing w:before="0" w:after="20" w:line="240" w:lineRule="auto"/>
                    <w:ind w:left="28"/>
                    <w:rPr>
                      <w:sz w:val="17"/>
                      <w:szCs w:val="17"/>
                    </w:rPr>
                  </w:pPr>
                </w:p>
              </w:tc>
            </w:tr>
            <w:tr w:rsidR="007A069D" w14:paraId="5CDE5104" w14:textId="77777777" w:rsidTr="00610057">
              <w:trPr>
                <w:trHeight w:val="567"/>
                <w:jc w:val="center"/>
              </w:trPr>
              <w:tc>
                <w:tcPr>
                  <w:tcW w:w="757" w:type="dxa"/>
                  <w:vAlign w:val="center"/>
                </w:tcPr>
                <w:p w14:paraId="2A3D99FE" w14:textId="77777777" w:rsidR="007A069D" w:rsidRPr="00F20ACC" w:rsidRDefault="007A069D" w:rsidP="007A069D">
                  <w:pPr>
                    <w:pStyle w:val="BodyText"/>
                    <w:spacing w:before="0" w:after="20" w:line="240" w:lineRule="auto"/>
                    <w:ind w:left="0"/>
                    <w:jc w:val="center"/>
                    <w:rPr>
                      <w:sz w:val="17"/>
                      <w:szCs w:val="17"/>
                    </w:rPr>
                  </w:pPr>
                  <w:r w:rsidRPr="00F20ACC">
                    <w:rPr>
                      <w:sz w:val="17"/>
                      <w:szCs w:val="17"/>
                    </w:rPr>
                    <w:t>D</w:t>
                  </w:r>
                </w:p>
              </w:tc>
              <w:tc>
                <w:tcPr>
                  <w:tcW w:w="550" w:type="dxa"/>
                  <w:vAlign w:val="center"/>
                </w:tcPr>
                <w:p w14:paraId="18495BC0" w14:textId="77777777" w:rsidR="007A069D" w:rsidRPr="00F20ACC" w:rsidRDefault="007A069D" w:rsidP="007A069D">
                  <w:pPr>
                    <w:pStyle w:val="BodyText"/>
                    <w:spacing w:before="0" w:after="20" w:line="240" w:lineRule="auto"/>
                    <w:jc w:val="center"/>
                    <w:rPr>
                      <w:sz w:val="17"/>
                      <w:szCs w:val="17"/>
                    </w:rPr>
                  </w:pPr>
                  <w:r w:rsidRPr="00F20ACC">
                    <w:rPr>
                      <w:sz w:val="17"/>
                      <w:szCs w:val="17"/>
                    </w:rPr>
                    <w:t>$20</w:t>
                  </w:r>
                </w:p>
              </w:tc>
              <w:tc>
                <w:tcPr>
                  <w:tcW w:w="522" w:type="dxa"/>
                  <w:vAlign w:val="center"/>
                </w:tcPr>
                <w:p w14:paraId="51518A40" w14:textId="77777777" w:rsidR="007A069D" w:rsidRPr="00F20ACC" w:rsidRDefault="007A069D" w:rsidP="007A069D">
                  <w:pPr>
                    <w:pStyle w:val="BodyText"/>
                    <w:spacing w:before="0" w:after="20" w:line="240" w:lineRule="auto"/>
                    <w:jc w:val="center"/>
                    <w:rPr>
                      <w:sz w:val="17"/>
                      <w:szCs w:val="17"/>
                    </w:rPr>
                  </w:pPr>
                  <w:r w:rsidRPr="00F20ACC">
                    <w:rPr>
                      <w:sz w:val="17"/>
                      <w:szCs w:val="17"/>
                    </w:rPr>
                    <w:t>100</w:t>
                  </w:r>
                </w:p>
              </w:tc>
              <w:tc>
                <w:tcPr>
                  <w:tcW w:w="1002" w:type="dxa"/>
                  <w:vAlign w:val="center"/>
                </w:tcPr>
                <w:p w14:paraId="40318740" w14:textId="77777777" w:rsidR="007A069D" w:rsidRPr="00F20ACC" w:rsidRDefault="007A069D" w:rsidP="007A069D">
                  <w:pPr>
                    <w:pStyle w:val="BodyText"/>
                    <w:spacing w:before="0" w:after="20" w:line="240" w:lineRule="auto"/>
                    <w:ind w:left="0"/>
                    <w:jc w:val="center"/>
                    <w:rPr>
                      <w:color w:val="FF0000"/>
                      <w:sz w:val="17"/>
                      <w:szCs w:val="17"/>
                    </w:rPr>
                  </w:pPr>
                  <w:r w:rsidRPr="00F20ACC">
                    <w:rPr>
                      <w:sz w:val="17"/>
                      <w:szCs w:val="17"/>
                    </w:rPr>
                    <w:t>100</w:t>
                  </w:r>
                </w:p>
              </w:tc>
              <w:tc>
                <w:tcPr>
                  <w:tcW w:w="971" w:type="dxa"/>
                  <w:vAlign w:val="center"/>
                </w:tcPr>
                <w:p w14:paraId="471E7F76" w14:textId="77777777" w:rsidR="007A069D" w:rsidRPr="00F20ACC" w:rsidRDefault="007A069D" w:rsidP="007A069D">
                  <w:pPr>
                    <w:pStyle w:val="BodyText"/>
                    <w:spacing w:before="0" w:after="20" w:line="240" w:lineRule="auto"/>
                    <w:ind w:left="0"/>
                    <w:jc w:val="center"/>
                    <w:rPr>
                      <w:sz w:val="17"/>
                      <w:szCs w:val="17"/>
                    </w:rPr>
                  </w:pPr>
                </w:p>
              </w:tc>
              <w:tc>
                <w:tcPr>
                  <w:tcW w:w="925" w:type="dxa"/>
                  <w:shd w:val="clear" w:color="auto" w:fill="auto"/>
                  <w:vAlign w:val="center"/>
                </w:tcPr>
                <w:p w14:paraId="780CAA34" w14:textId="77777777" w:rsidR="007A069D" w:rsidRPr="00F20ACC" w:rsidRDefault="007A069D" w:rsidP="007A069D">
                  <w:pPr>
                    <w:pStyle w:val="BodyText"/>
                    <w:spacing w:before="0" w:after="20" w:line="240" w:lineRule="auto"/>
                    <w:ind w:left="0"/>
                    <w:jc w:val="center"/>
                    <w:rPr>
                      <w:sz w:val="17"/>
                      <w:szCs w:val="17"/>
                    </w:rPr>
                  </w:pPr>
                </w:p>
              </w:tc>
              <w:tc>
                <w:tcPr>
                  <w:tcW w:w="1135" w:type="dxa"/>
                  <w:tcBorders>
                    <w:bottom w:val="single" w:sz="4" w:space="0" w:color="auto"/>
                  </w:tcBorders>
                  <w:shd w:val="clear" w:color="auto" w:fill="FFFFFF" w:themeFill="background1"/>
                  <w:vAlign w:val="center"/>
                </w:tcPr>
                <w:p w14:paraId="18EA9304" w14:textId="77777777" w:rsidR="007A069D" w:rsidRPr="00F20ACC" w:rsidRDefault="007A069D" w:rsidP="007A069D">
                  <w:pPr>
                    <w:pStyle w:val="BodyText"/>
                    <w:spacing w:before="0" w:after="20" w:line="240" w:lineRule="auto"/>
                    <w:ind w:left="0"/>
                    <w:jc w:val="center"/>
                    <w:rPr>
                      <w:sz w:val="17"/>
                      <w:szCs w:val="17"/>
                    </w:rPr>
                  </w:pPr>
                  <w:r w:rsidRPr="00F20ACC">
                    <w:rPr>
                      <w:sz w:val="17"/>
                      <w:szCs w:val="17"/>
                    </w:rPr>
                    <w:t>X</w:t>
                  </w:r>
                </w:p>
              </w:tc>
              <w:tc>
                <w:tcPr>
                  <w:tcW w:w="1000" w:type="dxa"/>
                  <w:tcBorders>
                    <w:bottom w:val="single" w:sz="4" w:space="0" w:color="auto"/>
                  </w:tcBorders>
                </w:tcPr>
                <w:p w14:paraId="7A16B952" w14:textId="77777777" w:rsidR="007A069D" w:rsidRPr="00F20ACC" w:rsidRDefault="007A069D" w:rsidP="007A069D">
                  <w:pPr>
                    <w:pStyle w:val="BodyText"/>
                    <w:spacing w:before="0" w:after="20" w:line="240" w:lineRule="auto"/>
                    <w:ind w:left="0"/>
                    <w:rPr>
                      <w:sz w:val="17"/>
                      <w:szCs w:val="17"/>
                    </w:rPr>
                  </w:pPr>
                </w:p>
              </w:tc>
              <w:tc>
                <w:tcPr>
                  <w:tcW w:w="1776" w:type="dxa"/>
                  <w:tcBorders>
                    <w:bottom w:val="single" w:sz="4" w:space="0" w:color="auto"/>
                  </w:tcBorders>
                  <w:vAlign w:val="center"/>
                </w:tcPr>
                <w:p w14:paraId="54D079D2" w14:textId="77777777" w:rsidR="007A069D" w:rsidRPr="00F20ACC" w:rsidRDefault="007A069D" w:rsidP="007A069D">
                  <w:pPr>
                    <w:pStyle w:val="BodyText"/>
                    <w:spacing w:before="0" w:after="20" w:line="240" w:lineRule="auto"/>
                    <w:ind w:left="28"/>
                    <w:rPr>
                      <w:sz w:val="17"/>
                      <w:szCs w:val="17"/>
                    </w:rPr>
                  </w:pPr>
                </w:p>
              </w:tc>
            </w:tr>
            <w:tr w:rsidR="007A069D" w14:paraId="7A64AF2E" w14:textId="77777777" w:rsidTr="00610057">
              <w:trPr>
                <w:cnfStyle w:val="000000010000" w:firstRow="0" w:lastRow="0" w:firstColumn="0" w:lastColumn="0" w:oddVBand="0" w:evenVBand="0" w:oddHBand="0" w:evenHBand="1" w:firstRowFirstColumn="0" w:firstRowLastColumn="0" w:lastRowFirstColumn="0" w:lastRowLastColumn="0"/>
                <w:trHeight w:val="567"/>
                <w:jc w:val="center"/>
              </w:trPr>
              <w:tc>
                <w:tcPr>
                  <w:tcW w:w="757" w:type="dxa"/>
                  <w:vAlign w:val="center"/>
                </w:tcPr>
                <w:p w14:paraId="57D6FD97" w14:textId="77777777" w:rsidR="007A069D" w:rsidRPr="00F20ACC" w:rsidRDefault="007A069D" w:rsidP="007A069D">
                  <w:pPr>
                    <w:pStyle w:val="BodyText"/>
                    <w:spacing w:before="0" w:after="20" w:line="240" w:lineRule="auto"/>
                    <w:ind w:left="0"/>
                    <w:jc w:val="center"/>
                    <w:rPr>
                      <w:sz w:val="17"/>
                      <w:szCs w:val="17"/>
                    </w:rPr>
                  </w:pPr>
                  <w:r w:rsidRPr="00F20ACC">
                    <w:rPr>
                      <w:sz w:val="17"/>
                      <w:szCs w:val="17"/>
                    </w:rPr>
                    <w:t>E</w:t>
                  </w:r>
                </w:p>
              </w:tc>
              <w:tc>
                <w:tcPr>
                  <w:tcW w:w="550" w:type="dxa"/>
                  <w:vAlign w:val="center"/>
                </w:tcPr>
                <w:p w14:paraId="6DCB5C59" w14:textId="77777777" w:rsidR="007A069D" w:rsidRPr="00F20ACC" w:rsidRDefault="007A069D" w:rsidP="007A069D">
                  <w:pPr>
                    <w:pStyle w:val="BodyText"/>
                    <w:spacing w:before="0" w:after="20" w:line="240" w:lineRule="auto"/>
                    <w:jc w:val="center"/>
                    <w:rPr>
                      <w:color w:val="FF0000"/>
                      <w:sz w:val="17"/>
                      <w:szCs w:val="17"/>
                    </w:rPr>
                  </w:pPr>
                  <w:r w:rsidRPr="00F20ACC">
                    <w:rPr>
                      <w:sz w:val="17"/>
                      <w:szCs w:val="17"/>
                    </w:rPr>
                    <w:t>$15</w:t>
                  </w:r>
                </w:p>
              </w:tc>
              <w:tc>
                <w:tcPr>
                  <w:tcW w:w="522" w:type="dxa"/>
                  <w:vAlign w:val="center"/>
                </w:tcPr>
                <w:p w14:paraId="2DA2C203" w14:textId="77777777" w:rsidR="007A069D" w:rsidRPr="00F20ACC" w:rsidRDefault="007A069D" w:rsidP="007A069D">
                  <w:pPr>
                    <w:pStyle w:val="BodyText"/>
                    <w:spacing w:before="0" w:after="20" w:line="240" w:lineRule="auto"/>
                    <w:jc w:val="center"/>
                    <w:rPr>
                      <w:color w:val="FF0000"/>
                      <w:sz w:val="17"/>
                      <w:szCs w:val="17"/>
                    </w:rPr>
                  </w:pPr>
                  <w:r w:rsidRPr="00F20ACC">
                    <w:rPr>
                      <w:sz w:val="17"/>
                      <w:szCs w:val="17"/>
                    </w:rPr>
                    <w:t>20</w:t>
                  </w:r>
                </w:p>
              </w:tc>
              <w:tc>
                <w:tcPr>
                  <w:tcW w:w="1002" w:type="dxa"/>
                  <w:vAlign w:val="center"/>
                </w:tcPr>
                <w:p w14:paraId="57F9B458" w14:textId="77777777" w:rsidR="007A069D" w:rsidRPr="00F20ACC" w:rsidRDefault="007A069D" w:rsidP="007A069D">
                  <w:pPr>
                    <w:pStyle w:val="BodyText"/>
                    <w:spacing w:before="0" w:after="20" w:line="240" w:lineRule="auto"/>
                    <w:ind w:left="0"/>
                    <w:jc w:val="center"/>
                    <w:rPr>
                      <w:color w:val="FF0000"/>
                      <w:sz w:val="17"/>
                      <w:szCs w:val="17"/>
                    </w:rPr>
                  </w:pPr>
                  <w:r w:rsidRPr="00F20ACC">
                    <w:rPr>
                      <w:color w:val="FF0000"/>
                      <w:sz w:val="17"/>
                      <w:szCs w:val="17"/>
                    </w:rPr>
                    <w:t>10</w:t>
                  </w:r>
                </w:p>
              </w:tc>
              <w:tc>
                <w:tcPr>
                  <w:tcW w:w="971" w:type="dxa"/>
                  <w:vAlign w:val="center"/>
                </w:tcPr>
                <w:p w14:paraId="21888A35" w14:textId="77777777" w:rsidR="007A069D" w:rsidRPr="00F20ACC" w:rsidRDefault="007A069D" w:rsidP="007A069D">
                  <w:pPr>
                    <w:pStyle w:val="BodyText"/>
                    <w:spacing w:before="0" w:after="20" w:line="240" w:lineRule="auto"/>
                    <w:ind w:left="0"/>
                    <w:jc w:val="center"/>
                    <w:rPr>
                      <w:sz w:val="17"/>
                      <w:szCs w:val="17"/>
                    </w:rPr>
                  </w:pPr>
                </w:p>
              </w:tc>
              <w:tc>
                <w:tcPr>
                  <w:tcW w:w="925" w:type="dxa"/>
                  <w:shd w:val="clear" w:color="auto" w:fill="auto"/>
                  <w:vAlign w:val="center"/>
                </w:tcPr>
                <w:p w14:paraId="0E2ADEDC" w14:textId="77777777" w:rsidR="007A069D" w:rsidRPr="00F20ACC" w:rsidRDefault="007A069D" w:rsidP="007A069D">
                  <w:pPr>
                    <w:pStyle w:val="BodyText"/>
                    <w:spacing w:before="0" w:after="20" w:line="240" w:lineRule="auto"/>
                    <w:ind w:left="0"/>
                    <w:jc w:val="center"/>
                    <w:rPr>
                      <w:sz w:val="17"/>
                      <w:szCs w:val="17"/>
                    </w:rPr>
                  </w:pPr>
                </w:p>
              </w:tc>
              <w:tc>
                <w:tcPr>
                  <w:tcW w:w="1135" w:type="dxa"/>
                  <w:shd w:val="clear" w:color="auto" w:fill="FFFFFF" w:themeFill="background1"/>
                  <w:vAlign w:val="center"/>
                </w:tcPr>
                <w:p w14:paraId="1DB45BF7" w14:textId="77777777" w:rsidR="007A069D" w:rsidRPr="00F20ACC" w:rsidRDefault="007A069D" w:rsidP="007A069D">
                  <w:pPr>
                    <w:pStyle w:val="BodyText"/>
                    <w:spacing w:before="0" w:after="20" w:line="240" w:lineRule="auto"/>
                    <w:ind w:left="0"/>
                    <w:jc w:val="center"/>
                    <w:rPr>
                      <w:sz w:val="17"/>
                      <w:szCs w:val="17"/>
                    </w:rPr>
                  </w:pPr>
                  <w:r w:rsidRPr="00F20ACC">
                    <w:rPr>
                      <w:sz w:val="17"/>
                      <w:szCs w:val="17"/>
                    </w:rPr>
                    <w:t>X</w:t>
                  </w:r>
                </w:p>
              </w:tc>
              <w:tc>
                <w:tcPr>
                  <w:tcW w:w="1000" w:type="dxa"/>
                  <w:shd w:val="clear" w:color="auto" w:fill="FFFFFF" w:themeFill="background1"/>
                  <w:vAlign w:val="center"/>
                </w:tcPr>
                <w:p w14:paraId="2B38D57E" w14:textId="77777777" w:rsidR="007A069D" w:rsidRPr="00F20ACC" w:rsidRDefault="007A069D" w:rsidP="007A069D">
                  <w:pPr>
                    <w:pStyle w:val="BodyText"/>
                    <w:spacing w:before="0" w:after="20" w:line="240" w:lineRule="auto"/>
                    <w:ind w:left="0"/>
                    <w:jc w:val="center"/>
                    <w:rPr>
                      <w:sz w:val="17"/>
                      <w:szCs w:val="17"/>
                    </w:rPr>
                  </w:pPr>
                  <w:r w:rsidRPr="00F20ACC">
                    <w:rPr>
                      <w:sz w:val="17"/>
                      <w:szCs w:val="17"/>
                    </w:rPr>
                    <w:t>X</w:t>
                  </w:r>
                </w:p>
              </w:tc>
              <w:tc>
                <w:tcPr>
                  <w:tcW w:w="1776" w:type="dxa"/>
                  <w:shd w:val="clear" w:color="auto" w:fill="FFFFFF" w:themeFill="background1"/>
                  <w:vAlign w:val="center"/>
                </w:tcPr>
                <w:p w14:paraId="3E63168B" w14:textId="77777777" w:rsidR="007A069D" w:rsidRPr="00F20ACC" w:rsidRDefault="007A069D" w:rsidP="007A069D">
                  <w:pPr>
                    <w:pStyle w:val="BodyText"/>
                    <w:spacing w:before="0" w:after="20" w:line="240" w:lineRule="auto"/>
                    <w:ind w:left="28"/>
                    <w:rPr>
                      <w:sz w:val="17"/>
                      <w:szCs w:val="17"/>
                    </w:rPr>
                  </w:pPr>
                  <w:proofErr w:type="spellStart"/>
                  <w:r>
                    <w:rPr>
                      <w:sz w:val="17"/>
                      <w:szCs w:val="17"/>
                    </w:rPr>
                    <w:t>E</w:t>
                  </w:r>
                  <w:proofErr w:type="spellEnd"/>
                  <w:r>
                    <w:rPr>
                      <w:sz w:val="17"/>
                      <w:szCs w:val="17"/>
                    </w:rPr>
                    <w:t xml:space="preserve"> has </w:t>
                  </w:r>
                  <w:r w:rsidRPr="00F20ACC">
                    <w:rPr>
                      <w:sz w:val="17"/>
                      <w:szCs w:val="17"/>
                    </w:rPr>
                    <w:t>the lowest accepted bid for S3. It is only partially filled (10 of a total of 20).</w:t>
                  </w:r>
                </w:p>
              </w:tc>
            </w:tr>
          </w:tbl>
          <w:p w14:paraId="03A16C01" w14:textId="77777777" w:rsidR="007A069D" w:rsidRPr="006A7251" w:rsidRDefault="007A069D" w:rsidP="007A069D">
            <w:pPr>
              <w:pStyle w:val="BodyText"/>
              <w:spacing w:before="0" w:after="40"/>
              <w:rPr>
                <w:rFonts w:asciiTheme="majorHAnsi" w:hAnsiTheme="majorHAnsi" w:cstheme="majorHAnsi"/>
                <w:sz w:val="20"/>
                <w:szCs w:val="20"/>
              </w:rPr>
            </w:pPr>
            <w:r w:rsidRPr="006A7251">
              <w:rPr>
                <w:rFonts w:asciiTheme="majorHAnsi" w:hAnsiTheme="majorHAnsi" w:cstheme="majorHAnsi"/>
                <w:sz w:val="20"/>
                <w:szCs w:val="20"/>
              </w:rPr>
              <w:t>In this example:</w:t>
            </w:r>
          </w:p>
          <w:p w14:paraId="62B9123E" w14:textId="77777777" w:rsidR="007A069D" w:rsidRPr="006A7251" w:rsidRDefault="007A069D" w:rsidP="007A069D">
            <w:pPr>
              <w:pStyle w:val="ListBullet"/>
              <w:spacing w:before="0" w:after="40"/>
              <w:rPr>
                <w:sz w:val="20"/>
                <w:szCs w:val="20"/>
              </w:rPr>
            </w:pPr>
            <w:r w:rsidRPr="006A7251">
              <w:rPr>
                <w:sz w:val="20"/>
                <w:szCs w:val="20"/>
              </w:rPr>
              <w:t>the prices of S1 and S4 are zero because there is unsold capacity; and</w:t>
            </w:r>
          </w:p>
          <w:p w14:paraId="70FDB0FB" w14:textId="77777777" w:rsidR="007A069D" w:rsidRPr="006A7251" w:rsidRDefault="007A069D" w:rsidP="007A069D">
            <w:pPr>
              <w:pStyle w:val="ListBullet"/>
              <w:spacing w:before="0" w:after="40"/>
              <w:rPr>
                <w:sz w:val="20"/>
                <w:szCs w:val="20"/>
              </w:rPr>
            </w:pPr>
            <w:proofErr w:type="gramStart"/>
            <w:r w:rsidRPr="006A7251">
              <w:rPr>
                <w:sz w:val="20"/>
                <w:szCs w:val="20"/>
              </w:rPr>
              <w:t>the</w:t>
            </w:r>
            <w:proofErr w:type="gramEnd"/>
            <w:r w:rsidRPr="006A7251">
              <w:rPr>
                <w:sz w:val="20"/>
                <w:szCs w:val="20"/>
              </w:rPr>
              <w:t xml:space="preserve"> price of S3 is set by shipper E ($15). </w:t>
            </w:r>
          </w:p>
          <w:p w14:paraId="4F7B92EE" w14:textId="77777777" w:rsidR="007A069D" w:rsidRPr="006A7251" w:rsidRDefault="007A069D" w:rsidP="007A069D">
            <w:pPr>
              <w:pStyle w:val="BodyText"/>
              <w:spacing w:before="0" w:after="40"/>
              <w:rPr>
                <w:rFonts w:asciiTheme="majorHAnsi" w:hAnsiTheme="majorHAnsi" w:cstheme="majorHAnsi"/>
                <w:sz w:val="20"/>
                <w:szCs w:val="20"/>
              </w:rPr>
            </w:pPr>
            <w:r w:rsidRPr="006A7251">
              <w:rPr>
                <w:rFonts w:asciiTheme="majorHAnsi" w:hAnsiTheme="majorHAnsi" w:cstheme="majorHAnsi"/>
                <w:sz w:val="20"/>
                <w:szCs w:val="20"/>
              </w:rPr>
              <w:t xml:space="preserve">The price of S2 is determined as follows. Shipper A has the lowest accepted bid across S1, S2 and S3. It thus requires that the price of these three segments sum to $40. As the price of S1 is $0 and the price of S3 is $15, the price of S2 is set to $25. </w:t>
            </w:r>
          </w:p>
          <w:p w14:paraId="1CEC679E" w14:textId="52C09724" w:rsidR="007A069D" w:rsidRDefault="007A069D" w:rsidP="007A069D">
            <w:pPr>
              <w:keepLines/>
              <w:spacing w:after="120"/>
            </w:pPr>
            <w:r w:rsidRPr="006A7251">
              <w:rPr>
                <w:rFonts w:asciiTheme="majorHAnsi" w:hAnsiTheme="majorHAnsi" w:cstheme="majorHAnsi"/>
                <w:sz w:val="20"/>
                <w:szCs w:val="20"/>
              </w:rPr>
              <w:t>The total revenue under this auction is therefore $7,250 with $5,000 earned at S2 ($25x200) and $2,250 ($15x150) earned at S3. For simplicity, the cost of running the auction is $0. The owner of S2 would therefore receive $5,000 and the owner of S3 would receive $2,250.</w:t>
            </w:r>
          </w:p>
        </w:tc>
      </w:tr>
    </w:tbl>
    <w:p w14:paraId="154953BB" w14:textId="214F2767" w:rsidR="00E54C65" w:rsidRDefault="00B90862" w:rsidP="00E54C65">
      <w:pPr>
        <w:pStyle w:val="BodyText"/>
      </w:pPr>
      <w:r>
        <w:t xml:space="preserve">Like the project team, the GMRG agrees with NERA’s recommendation </w:t>
      </w:r>
      <w:r w:rsidR="00E54C65">
        <w:t xml:space="preserve">that </w:t>
      </w:r>
      <w:r>
        <w:t xml:space="preserve">the </w:t>
      </w:r>
      <w:r w:rsidR="00E54C65">
        <w:t>auction residue should be allocated on the basis of revenues generated by individual products. The GMRG is, however, interested in hearing other stakeholders’ views on this issue.</w:t>
      </w:r>
    </w:p>
    <w:tbl>
      <w:tblPr>
        <w:tblStyle w:val="PullOutBoxTable"/>
        <w:tblW w:w="5000" w:type="pct"/>
        <w:shd w:val="clear" w:color="auto" w:fill="B7E7FF"/>
        <w:tblLook w:val="0600" w:firstRow="0" w:lastRow="0" w:firstColumn="0" w:lastColumn="0" w:noHBand="1" w:noVBand="1"/>
        <w:tblCaption w:val="Box 4.15: Questions on the allocation of the auction residue"/>
        <w:tblDescription w:val="Questions on the allocation of the auction residue"/>
      </w:tblPr>
      <w:tblGrid>
        <w:gridCol w:w="8788"/>
      </w:tblGrid>
      <w:tr w:rsidR="00E54C65" w:rsidRPr="002F5B6B" w14:paraId="0958336D" w14:textId="77777777" w:rsidTr="007A069D">
        <w:trPr>
          <w:tblHeader/>
        </w:trPr>
        <w:tc>
          <w:tcPr>
            <w:tcW w:w="5000" w:type="pct"/>
            <w:shd w:val="clear" w:color="auto" w:fill="auto"/>
          </w:tcPr>
          <w:p w14:paraId="7B47B784" w14:textId="2C2BA2F0" w:rsidR="00E54C65" w:rsidRPr="007A069D" w:rsidRDefault="007A069D" w:rsidP="007A069D">
            <w:pPr>
              <w:pStyle w:val="ListNumber"/>
              <w:numPr>
                <w:ilvl w:val="0"/>
                <w:numId w:val="0"/>
              </w:numPr>
              <w:spacing w:before="0" w:after="0"/>
              <w:ind w:left="360" w:hanging="360"/>
              <w:rPr>
                <w:rFonts w:eastAsiaTheme="majorEastAsia"/>
                <w:b/>
                <w:sz w:val="20"/>
                <w:szCs w:val="20"/>
              </w:rPr>
            </w:pPr>
            <w:r w:rsidRPr="007A069D">
              <w:rPr>
                <w:b/>
              </w:rPr>
              <w:t xml:space="preserve">Box </w:t>
            </w:r>
            <w:r w:rsidRPr="007A069D">
              <w:rPr>
                <w:b/>
              </w:rPr>
              <w:fldChar w:fldCharType="begin"/>
            </w:r>
            <w:r w:rsidRPr="007A069D">
              <w:rPr>
                <w:b/>
              </w:rPr>
              <w:instrText xml:space="preserve"> STYLEREF 1 \s </w:instrText>
            </w:r>
            <w:r w:rsidRPr="007A069D">
              <w:rPr>
                <w:b/>
              </w:rPr>
              <w:fldChar w:fldCharType="separate"/>
            </w:r>
            <w:r w:rsidRPr="007A069D">
              <w:rPr>
                <w:b/>
                <w:noProof/>
              </w:rPr>
              <w:t>4</w:t>
            </w:r>
            <w:r w:rsidRPr="007A069D">
              <w:rPr>
                <w:b/>
                <w:noProof/>
              </w:rPr>
              <w:fldChar w:fldCharType="end"/>
            </w:r>
            <w:r w:rsidRPr="007A069D">
              <w:rPr>
                <w:b/>
              </w:rPr>
              <w:t>.</w:t>
            </w:r>
            <w:r w:rsidRPr="007A069D">
              <w:rPr>
                <w:b/>
              </w:rPr>
              <w:fldChar w:fldCharType="begin"/>
            </w:r>
            <w:r w:rsidRPr="007A069D">
              <w:rPr>
                <w:b/>
              </w:rPr>
              <w:instrText xml:space="preserve"> SEQ Box \* ARABIC \s 1 </w:instrText>
            </w:r>
            <w:r w:rsidRPr="007A069D">
              <w:rPr>
                <w:b/>
              </w:rPr>
              <w:fldChar w:fldCharType="separate"/>
            </w:r>
            <w:r w:rsidRPr="007A069D">
              <w:rPr>
                <w:b/>
                <w:noProof/>
              </w:rPr>
              <w:t>15</w:t>
            </w:r>
            <w:r w:rsidRPr="007A069D">
              <w:rPr>
                <w:b/>
                <w:noProof/>
              </w:rPr>
              <w:fldChar w:fldCharType="end"/>
            </w:r>
            <w:r w:rsidRPr="007A069D">
              <w:rPr>
                <w:b/>
              </w:rPr>
              <w:t xml:space="preserve">: </w:t>
            </w:r>
            <w:r w:rsidRPr="007A069D">
              <w:rPr>
                <w:b/>
                <w:bCs/>
              </w:rPr>
              <w:t>Questions on the allocation of the auction residue</w:t>
            </w:r>
          </w:p>
        </w:tc>
      </w:tr>
      <w:tr w:rsidR="007A069D" w:rsidRPr="002F5B6B" w14:paraId="5EA9DEC8" w14:textId="77777777" w:rsidTr="00E54C65">
        <w:tc>
          <w:tcPr>
            <w:tcW w:w="5000" w:type="pct"/>
            <w:shd w:val="clear" w:color="auto" w:fill="B7E7FF"/>
          </w:tcPr>
          <w:p w14:paraId="751FC3DD" w14:textId="7D2EDC1B" w:rsidR="007A069D" w:rsidRDefault="007A069D" w:rsidP="00E54C65">
            <w:pPr>
              <w:pStyle w:val="ListNumber"/>
              <w:numPr>
                <w:ilvl w:val="0"/>
                <w:numId w:val="20"/>
              </w:numPr>
              <w:spacing w:before="0" w:after="40"/>
              <w:ind w:left="357" w:hanging="357"/>
              <w:rPr>
                <w:rFonts w:eastAsiaTheme="majorEastAsia"/>
                <w:sz w:val="21"/>
                <w:szCs w:val="21"/>
              </w:rPr>
            </w:pPr>
            <w:r>
              <w:rPr>
                <w:rFonts w:eastAsiaTheme="majorEastAsia"/>
                <w:sz w:val="21"/>
                <w:szCs w:val="21"/>
              </w:rPr>
              <w:t>Do you agree with the proposal to allocate the auction residue to service providers based on the revenue achieved by individual products? If not, please explain why and set out what alternative approach you think should be employed.</w:t>
            </w:r>
          </w:p>
        </w:tc>
      </w:tr>
    </w:tbl>
    <w:p w14:paraId="16D039F0" w14:textId="3023D533" w:rsidR="000A474B" w:rsidRPr="008611DC" w:rsidRDefault="000A474B" w:rsidP="000A474B">
      <w:pPr>
        <w:pStyle w:val="Heading2"/>
      </w:pPr>
      <w:bookmarkStart w:id="117" w:name="_Ref494425366"/>
      <w:bookmarkStart w:id="118" w:name="_Ref494450725"/>
      <w:bookmarkStart w:id="119" w:name="_Toc495351643"/>
      <w:r w:rsidRPr="008611DC">
        <w:t xml:space="preserve">Information </w:t>
      </w:r>
      <w:r w:rsidR="005B0E1A" w:rsidRPr="008611DC">
        <w:t>available</w:t>
      </w:r>
      <w:r w:rsidRPr="008611DC">
        <w:t xml:space="preserve"> to </w:t>
      </w:r>
      <w:r w:rsidR="005B0E1A" w:rsidRPr="008611DC">
        <w:t>auction participants</w:t>
      </w:r>
      <w:bookmarkEnd w:id="117"/>
      <w:bookmarkEnd w:id="118"/>
      <w:bookmarkEnd w:id="119"/>
    </w:p>
    <w:p w14:paraId="547BE357" w14:textId="286F0BD3" w:rsidR="005B0E1A" w:rsidRDefault="005B0E1A" w:rsidP="005B0E1A">
      <w:pPr>
        <w:pStyle w:val="BodyText"/>
      </w:pPr>
      <w:r>
        <w:t xml:space="preserve">Before the day-ahead auction is conducted, </w:t>
      </w:r>
      <w:r w:rsidR="00043A10">
        <w:t xml:space="preserve">information on the </w:t>
      </w:r>
      <w:r>
        <w:t xml:space="preserve">products </w:t>
      </w:r>
      <w:r w:rsidR="00280220">
        <w:t xml:space="preserve">and auction quantities </w:t>
      </w:r>
      <w:r w:rsidR="00043A10">
        <w:t>would be published on the auction platform</w:t>
      </w:r>
      <w:r w:rsidR="00280220">
        <w:t>, which will inform the price that auction participants are willing to bid in the auction</w:t>
      </w:r>
      <w:r>
        <w:t>.</w:t>
      </w:r>
      <w:r w:rsidR="006B7AC6">
        <w:t xml:space="preserve"> </w:t>
      </w:r>
      <w:r>
        <w:t xml:space="preserve">Once the auction is conducted, </w:t>
      </w:r>
      <w:r w:rsidR="00280220">
        <w:t>auction participants</w:t>
      </w:r>
      <w:r>
        <w:t xml:space="preserve"> would be provided with</w:t>
      </w:r>
      <w:r w:rsidR="00280220">
        <w:t xml:space="preserve"> information on</w:t>
      </w:r>
      <w:r>
        <w:t>:</w:t>
      </w:r>
    </w:p>
    <w:p w14:paraId="2FCD6E87" w14:textId="5241ADBC" w:rsidR="005B0E1A" w:rsidRDefault="00280220" w:rsidP="005B0E1A">
      <w:pPr>
        <w:pStyle w:val="ListBullet"/>
      </w:pPr>
      <w:r>
        <w:t xml:space="preserve">their </w:t>
      </w:r>
      <w:r w:rsidR="005B0E1A">
        <w:t xml:space="preserve">own winning bids, including the quantities won and the products included in </w:t>
      </w:r>
      <w:r w:rsidR="008D0BFF">
        <w:t xml:space="preserve">their </w:t>
      </w:r>
      <w:r w:rsidR="005B0E1A">
        <w:t>winning bids; and</w:t>
      </w:r>
    </w:p>
    <w:p w14:paraId="7715F66C" w14:textId="4ABC1EF8" w:rsidR="005B0E1A" w:rsidRDefault="005B0E1A" w:rsidP="005B0E1A">
      <w:pPr>
        <w:pStyle w:val="ListBullet"/>
      </w:pPr>
      <w:proofErr w:type="gramStart"/>
      <w:r>
        <w:t>the</w:t>
      </w:r>
      <w:proofErr w:type="gramEnd"/>
      <w:r>
        <w:t xml:space="preserve"> price of all the products sold through the auction, which is </w:t>
      </w:r>
      <w:r w:rsidR="00043A10">
        <w:t xml:space="preserve">also </w:t>
      </w:r>
      <w:r>
        <w:t xml:space="preserve">intended to be published on the </w:t>
      </w:r>
      <w:r w:rsidR="00D20E32">
        <w:t>BB</w:t>
      </w:r>
      <w:r w:rsidR="006878B5">
        <w:t xml:space="preserve"> website</w:t>
      </w:r>
      <w:r>
        <w:t>.</w:t>
      </w:r>
    </w:p>
    <w:p w14:paraId="3B4FE489" w14:textId="6211B2B5" w:rsidR="005B0E1A" w:rsidRDefault="005B0E1A" w:rsidP="005B0E1A">
      <w:pPr>
        <w:pStyle w:val="BodyText"/>
      </w:pPr>
      <w:r>
        <w:t xml:space="preserve">One issue that is yet to be resolved is whether the bid-stack should also be published. In markets with a large number of participants, the release of </w:t>
      </w:r>
      <w:r w:rsidR="00280220">
        <w:t xml:space="preserve">this type of </w:t>
      </w:r>
      <w:r>
        <w:t xml:space="preserve">information is generally perceived as beneficial. However, it is unclear at this point whether there will be sufficient participation in the day-ahead auction to overcome the risks that may arise if information on the bid-stack is published. The risk in this case is that if only a few parties participate in the auction, then given the repeated nature of the auction, the provision of more information might make it easier for auction participants to tacitly coordinate a low-price outcome. </w:t>
      </w:r>
    </w:p>
    <w:p w14:paraId="2AF9C62D" w14:textId="728CC261" w:rsidR="00F106D2" w:rsidRDefault="005B0E1A" w:rsidP="00F106D2">
      <w:pPr>
        <w:pStyle w:val="BodyText"/>
      </w:pPr>
      <w:r>
        <w:t>Given the potential for the bid-stack to be misused in this way, NERA has suggested that</w:t>
      </w:r>
      <w:r w:rsidR="00F106D2">
        <w:t xml:space="preserve"> </w:t>
      </w:r>
      <w:r>
        <w:t>information on individual bids not be made public</w:t>
      </w:r>
      <w:r w:rsidR="00F106D2">
        <w:t xml:space="preserve"> in the initial stages of the auction’s </w:t>
      </w:r>
      <w:r w:rsidR="00D87000">
        <w:t>operation</w:t>
      </w:r>
      <w:r w:rsidR="00D97D78">
        <w:t>, which is the approach that has been employed in Europe</w:t>
      </w:r>
      <w:r w:rsidR="00F106D2">
        <w:t>. NERA also noted that if participation in the auction increases over time and a greater level of competition emerges, then this decision could be revisited.</w:t>
      </w:r>
    </w:p>
    <w:p w14:paraId="6136DB20" w14:textId="53E5AEEF" w:rsidR="00D87000" w:rsidRDefault="00D87000" w:rsidP="00F106D2">
      <w:pPr>
        <w:pStyle w:val="BodyText"/>
      </w:pPr>
      <w:r>
        <w:t>Mixed views were expressed on this issue by the Day-Ahead Auction project team, with some team members advocating the publication of the bid stack</w:t>
      </w:r>
      <w:r w:rsidR="00D97D78">
        <w:t xml:space="preserve"> as is currently done in mandatory markets in the east coast, while other team members either </w:t>
      </w:r>
      <w:r>
        <w:t>agreed with NERA’s suggestion or were indifferent.</w:t>
      </w:r>
      <w:r w:rsidR="00D97D78">
        <w:t xml:space="preserve"> </w:t>
      </w:r>
    </w:p>
    <w:p w14:paraId="4CF10B18" w14:textId="29967710" w:rsidR="00280220" w:rsidRDefault="00D97D78" w:rsidP="00F106D2">
      <w:pPr>
        <w:pStyle w:val="BodyText"/>
      </w:pPr>
      <w:r>
        <w:t>The GMRG’s preliminary view on this issue is that the bid-stack should not be published in the initial stages of the auction’s operation</w:t>
      </w:r>
      <w:r w:rsidR="00043A10">
        <w:t xml:space="preserve"> and that the issue should be reconsidered by the AEMC when it conducts its second biennial review into the liquidity in the wholesale gas and pipeline capacity trading markets in 2020</w:t>
      </w:r>
      <w:r>
        <w:t xml:space="preserve">. While the GMRG understands that this </w:t>
      </w:r>
      <w:r w:rsidR="00043A10">
        <w:t xml:space="preserve">approach </w:t>
      </w:r>
      <w:r>
        <w:t xml:space="preserve">differs from </w:t>
      </w:r>
      <w:r w:rsidR="00043A10">
        <w:t xml:space="preserve">what has occurred </w:t>
      </w:r>
      <w:r>
        <w:t xml:space="preserve">in the STTM and DWGM, </w:t>
      </w:r>
      <w:r w:rsidR="00043A10">
        <w:t xml:space="preserve">it is important to recognise that </w:t>
      </w:r>
      <w:r>
        <w:t xml:space="preserve">these are mandatory markets </w:t>
      </w:r>
      <w:r w:rsidR="00043A10">
        <w:t>and have a greater level of participation than what is anticipated in the initial stages of the day-ahead auction</w:t>
      </w:r>
      <w:r>
        <w:t xml:space="preserve">. The gaming risks that NERA has identified are therefore </w:t>
      </w:r>
      <w:r w:rsidR="00043A10">
        <w:t xml:space="preserve">less </w:t>
      </w:r>
      <w:r>
        <w:t xml:space="preserve">likely to </w:t>
      </w:r>
      <w:r w:rsidR="00043A10">
        <w:t xml:space="preserve">afflict these </w:t>
      </w:r>
      <w:r w:rsidR="00C838C0">
        <w:t xml:space="preserve">other </w:t>
      </w:r>
      <w:r w:rsidR="00043A10">
        <w:t xml:space="preserve">markets. </w:t>
      </w:r>
    </w:p>
    <w:p w14:paraId="726BF565" w14:textId="744D4367" w:rsidR="00D97D78" w:rsidRDefault="00280220" w:rsidP="00F106D2">
      <w:pPr>
        <w:pStyle w:val="BodyText"/>
      </w:pPr>
      <w:r>
        <w:t xml:space="preserve">While the GMRG has formed a preliminary view on this issue, it is </w:t>
      </w:r>
      <w:r w:rsidR="00043A10">
        <w:t>interested in hearing other stakeholders’ views on this issue</w:t>
      </w:r>
      <w:r>
        <w:t xml:space="preserve"> and on the questions set out in the box below</w:t>
      </w:r>
      <w:r w:rsidR="00043A10">
        <w:t>.</w:t>
      </w:r>
    </w:p>
    <w:tbl>
      <w:tblPr>
        <w:tblStyle w:val="PullOutBoxTable"/>
        <w:tblW w:w="5000" w:type="pct"/>
        <w:shd w:val="clear" w:color="auto" w:fill="B7E7FF"/>
        <w:tblLook w:val="0620" w:firstRow="1" w:lastRow="0" w:firstColumn="0" w:lastColumn="0" w:noHBand="1" w:noVBand="1"/>
        <w:tblCaption w:val="Box 4.16: Questions on the information to be provided to auction participants"/>
        <w:tblDescription w:val="Questions on the information to be provided to auction participants"/>
      </w:tblPr>
      <w:tblGrid>
        <w:gridCol w:w="8788"/>
      </w:tblGrid>
      <w:tr w:rsidR="00661B19" w:rsidRPr="00D20E32" w14:paraId="1ACC0711" w14:textId="77777777" w:rsidTr="003974E4">
        <w:trPr>
          <w:tblHeader/>
        </w:trPr>
        <w:tc>
          <w:tcPr>
            <w:tcW w:w="5000" w:type="pct"/>
            <w:shd w:val="clear" w:color="auto" w:fill="auto"/>
          </w:tcPr>
          <w:p w14:paraId="07747C2A" w14:textId="6F390BE0" w:rsidR="00043A10" w:rsidRPr="007A069D" w:rsidRDefault="007A069D" w:rsidP="007A069D">
            <w:pPr>
              <w:pStyle w:val="ListNumber"/>
              <w:keepNext/>
              <w:numPr>
                <w:ilvl w:val="0"/>
                <w:numId w:val="0"/>
              </w:numPr>
              <w:spacing w:before="0" w:after="40"/>
              <w:rPr>
                <w:rFonts w:eastAsiaTheme="majorEastAsia"/>
                <w:b/>
                <w:sz w:val="21"/>
                <w:szCs w:val="21"/>
              </w:rPr>
            </w:pPr>
            <w:r w:rsidRPr="007A069D">
              <w:rPr>
                <w:b/>
              </w:rPr>
              <w:t xml:space="preserve">Box </w:t>
            </w:r>
            <w:r w:rsidRPr="007A069D">
              <w:rPr>
                <w:b/>
              </w:rPr>
              <w:fldChar w:fldCharType="begin"/>
            </w:r>
            <w:r w:rsidRPr="007A069D">
              <w:rPr>
                <w:b/>
              </w:rPr>
              <w:instrText xml:space="preserve"> STYLEREF 1 \s </w:instrText>
            </w:r>
            <w:r w:rsidRPr="007A069D">
              <w:rPr>
                <w:b/>
              </w:rPr>
              <w:fldChar w:fldCharType="separate"/>
            </w:r>
            <w:r w:rsidRPr="007A069D">
              <w:rPr>
                <w:b/>
                <w:noProof/>
              </w:rPr>
              <w:t>4</w:t>
            </w:r>
            <w:r w:rsidRPr="007A069D">
              <w:rPr>
                <w:b/>
                <w:noProof/>
              </w:rPr>
              <w:fldChar w:fldCharType="end"/>
            </w:r>
            <w:r w:rsidRPr="007A069D">
              <w:rPr>
                <w:b/>
              </w:rPr>
              <w:t>.</w:t>
            </w:r>
            <w:r w:rsidRPr="007A069D">
              <w:rPr>
                <w:b/>
              </w:rPr>
              <w:fldChar w:fldCharType="begin"/>
            </w:r>
            <w:r w:rsidRPr="007A069D">
              <w:rPr>
                <w:b/>
              </w:rPr>
              <w:instrText xml:space="preserve"> SEQ Box \* ARABIC \s 1 </w:instrText>
            </w:r>
            <w:r w:rsidRPr="007A069D">
              <w:rPr>
                <w:b/>
              </w:rPr>
              <w:fldChar w:fldCharType="separate"/>
            </w:r>
            <w:r w:rsidRPr="007A069D">
              <w:rPr>
                <w:b/>
                <w:noProof/>
              </w:rPr>
              <w:t>16</w:t>
            </w:r>
            <w:r w:rsidRPr="007A069D">
              <w:rPr>
                <w:b/>
                <w:noProof/>
              </w:rPr>
              <w:fldChar w:fldCharType="end"/>
            </w:r>
            <w:r w:rsidRPr="007A069D">
              <w:rPr>
                <w:b/>
              </w:rPr>
              <w:t xml:space="preserve">: </w:t>
            </w:r>
            <w:r w:rsidRPr="007A069D">
              <w:rPr>
                <w:b/>
                <w:bCs/>
              </w:rPr>
              <w:t>Questions on the information to be provided to auction participants</w:t>
            </w:r>
          </w:p>
        </w:tc>
      </w:tr>
      <w:tr w:rsidR="007A069D" w:rsidRPr="00D20E32" w14:paraId="480119C6" w14:textId="77777777" w:rsidTr="003974E4">
        <w:tc>
          <w:tcPr>
            <w:tcW w:w="5000" w:type="pct"/>
            <w:shd w:val="clear" w:color="auto" w:fill="B7E7FF"/>
          </w:tcPr>
          <w:p w14:paraId="30F27E9F" w14:textId="77777777" w:rsidR="007A069D" w:rsidRPr="00D20E32" w:rsidRDefault="007A069D" w:rsidP="007A069D">
            <w:pPr>
              <w:pStyle w:val="ListNumber"/>
              <w:keepNext/>
              <w:numPr>
                <w:ilvl w:val="0"/>
                <w:numId w:val="20"/>
              </w:numPr>
              <w:spacing w:before="0" w:after="40"/>
              <w:rPr>
                <w:rFonts w:eastAsiaTheme="majorEastAsia"/>
                <w:sz w:val="21"/>
                <w:szCs w:val="21"/>
              </w:rPr>
            </w:pPr>
            <w:r w:rsidRPr="00D20E32">
              <w:rPr>
                <w:rFonts w:eastAsiaTheme="majorEastAsia"/>
                <w:sz w:val="21"/>
                <w:szCs w:val="21"/>
              </w:rPr>
              <w:t xml:space="preserve">Do you agree with the proposal to: </w:t>
            </w:r>
          </w:p>
          <w:p w14:paraId="61F05ADF" w14:textId="77777777" w:rsidR="007A069D" w:rsidRPr="00D20E32" w:rsidRDefault="007A069D" w:rsidP="007A069D">
            <w:pPr>
              <w:pStyle w:val="ListBullet2"/>
              <w:keepNext/>
              <w:rPr>
                <w:rFonts w:eastAsiaTheme="majorEastAsia"/>
                <w:sz w:val="21"/>
                <w:szCs w:val="21"/>
              </w:rPr>
            </w:pPr>
            <w:proofErr w:type="gramStart"/>
            <w:r w:rsidRPr="00D20E32">
              <w:rPr>
                <w:rFonts w:eastAsiaTheme="majorEastAsia"/>
                <w:sz w:val="21"/>
                <w:szCs w:val="21"/>
              </w:rPr>
              <w:t>provide</w:t>
            </w:r>
            <w:proofErr w:type="gramEnd"/>
            <w:r w:rsidRPr="00D20E32">
              <w:rPr>
                <w:rFonts w:eastAsiaTheme="majorEastAsia"/>
                <w:sz w:val="21"/>
                <w:szCs w:val="21"/>
              </w:rPr>
              <w:t xml:space="preserve"> auction participants with information on the products to be auctioned and the auction quantities prior to the auction?</w:t>
            </w:r>
          </w:p>
          <w:p w14:paraId="5CDB174B" w14:textId="77777777" w:rsidR="007A069D" w:rsidRPr="00D20E32" w:rsidRDefault="007A069D" w:rsidP="007A069D">
            <w:pPr>
              <w:pStyle w:val="ListBullet2"/>
              <w:keepNext/>
              <w:rPr>
                <w:sz w:val="21"/>
                <w:szCs w:val="21"/>
              </w:rPr>
            </w:pPr>
            <w:proofErr w:type="gramStart"/>
            <w:r w:rsidRPr="00D20E32">
              <w:rPr>
                <w:rFonts w:eastAsiaTheme="majorEastAsia"/>
                <w:sz w:val="21"/>
                <w:szCs w:val="21"/>
              </w:rPr>
              <w:t>provide</w:t>
            </w:r>
            <w:proofErr w:type="gramEnd"/>
            <w:r w:rsidRPr="00D20E32">
              <w:rPr>
                <w:rFonts w:eastAsiaTheme="majorEastAsia"/>
                <w:sz w:val="21"/>
                <w:szCs w:val="21"/>
              </w:rPr>
              <w:t xml:space="preserve"> auction winners with </w:t>
            </w:r>
            <w:r w:rsidRPr="00D20E32">
              <w:rPr>
                <w:sz w:val="21"/>
                <w:szCs w:val="21"/>
              </w:rPr>
              <w:t>information on their own winning bids and the clearing price for all the products sold through the auction?</w:t>
            </w:r>
          </w:p>
          <w:p w14:paraId="5C1982DE" w14:textId="77777777" w:rsidR="007A069D" w:rsidRPr="00D20E32" w:rsidRDefault="007A069D" w:rsidP="007A069D">
            <w:pPr>
              <w:pStyle w:val="ListBullet2"/>
              <w:keepNext/>
              <w:rPr>
                <w:sz w:val="21"/>
                <w:szCs w:val="21"/>
              </w:rPr>
            </w:pPr>
            <w:proofErr w:type="gramStart"/>
            <w:r w:rsidRPr="00D20E32">
              <w:rPr>
                <w:sz w:val="21"/>
                <w:szCs w:val="21"/>
              </w:rPr>
              <w:t>publish</w:t>
            </w:r>
            <w:proofErr w:type="gramEnd"/>
            <w:r w:rsidRPr="00D20E32">
              <w:rPr>
                <w:sz w:val="21"/>
                <w:szCs w:val="21"/>
              </w:rPr>
              <w:t xml:space="preserve"> information on auction quantities and the clearing prices on the BB</w:t>
            </w:r>
            <w:r>
              <w:rPr>
                <w:sz w:val="21"/>
                <w:szCs w:val="21"/>
              </w:rPr>
              <w:t xml:space="preserve"> website</w:t>
            </w:r>
            <w:r w:rsidRPr="00D20E32">
              <w:rPr>
                <w:sz w:val="21"/>
                <w:szCs w:val="21"/>
              </w:rPr>
              <w:t>?</w:t>
            </w:r>
          </w:p>
          <w:p w14:paraId="1E8DFBC9" w14:textId="59BE6AB2" w:rsidR="007A069D" w:rsidRPr="00D20E32" w:rsidRDefault="007A069D" w:rsidP="007A069D">
            <w:pPr>
              <w:pStyle w:val="ListNumber"/>
              <w:keepNext/>
              <w:numPr>
                <w:ilvl w:val="0"/>
                <w:numId w:val="20"/>
              </w:numPr>
              <w:spacing w:before="0" w:after="40"/>
              <w:rPr>
                <w:rFonts w:eastAsiaTheme="majorEastAsia"/>
                <w:sz w:val="21"/>
                <w:szCs w:val="21"/>
              </w:rPr>
            </w:pPr>
            <w:r w:rsidRPr="00D20E32">
              <w:rPr>
                <w:rFonts w:eastAsiaTheme="majorEastAsia"/>
                <w:sz w:val="21"/>
                <w:szCs w:val="21"/>
              </w:rPr>
              <w:t>Do you agree with the proposal not to publish the bid-stack in the initial stages of the auction’s operation? If not, please explain why you think the gaming issues identified by NERA are unlikely to affect the robustness of the auction.</w:t>
            </w:r>
          </w:p>
        </w:tc>
      </w:tr>
    </w:tbl>
    <w:p w14:paraId="71B62226" w14:textId="1FBCBF15" w:rsidR="00272D81" w:rsidRPr="00355921" w:rsidRDefault="00272D81" w:rsidP="00445FC0">
      <w:pPr>
        <w:pStyle w:val="Heading2"/>
        <w:spacing w:after="120"/>
      </w:pPr>
      <w:bookmarkStart w:id="120" w:name="_Toc495351644"/>
      <w:r w:rsidRPr="00355921">
        <w:t>Auction timing</w:t>
      </w:r>
      <w:bookmarkEnd w:id="120"/>
      <w:r w:rsidRPr="00355921">
        <w:t xml:space="preserve"> </w:t>
      </w:r>
    </w:p>
    <w:p w14:paraId="3F55982A" w14:textId="69857D6A" w:rsidR="00CF73B3" w:rsidRDefault="00CF73B3" w:rsidP="00445FC0">
      <w:pPr>
        <w:pStyle w:val="BodyText"/>
        <w:spacing w:before="120"/>
        <w:rPr>
          <w:rFonts w:cs="Arial"/>
        </w:rPr>
      </w:pPr>
      <w:r>
        <w:rPr>
          <w:rFonts w:cs="Arial"/>
        </w:rPr>
        <w:t>One of the AEMC’s required outcomes for the day-ahead auction is that the auction be conducted shortly after nomination cut-off time.</w:t>
      </w:r>
      <w:r w:rsidR="00155ABB">
        <w:rPr>
          <w:rStyle w:val="FootnoteReference"/>
          <w:rFonts w:cs="Arial"/>
        </w:rPr>
        <w:footnoteReference w:id="65"/>
      </w:r>
      <w:r>
        <w:rPr>
          <w:rFonts w:cs="Arial"/>
        </w:rPr>
        <w:t xml:space="preserve"> </w:t>
      </w:r>
    </w:p>
    <w:p w14:paraId="5F00A826" w14:textId="5A9E72F7" w:rsidR="002445D7" w:rsidRDefault="00CF73B3" w:rsidP="00CF73B3">
      <w:pPr>
        <w:pStyle w:val="BodyText"/>
        <w:rPr>
          <w:rFonts w:cs="Arial"/>
        </w:rPr>
      </w:pPr>
      <w:r>
        <w:rPr>
          <w:rFonts w:cs="Arial"/>
        </w:rPr>
        <w:t xml:space="preserve">Nomination cut-off times in the east coast currently range from 2 pm to 4 pm (see </w:t>
      </w:r>
      <w:r w:rsidR="009C6A19">
        <w:rPr>
          <w:rFonts w:cs="Arial"/>
        </w:rPr>
        <w:fldChar w:fldCharType="begin"/>
      </w:r>
      <w:r w:rsidR="009C6A19">
        <w:rPr>
          <w:rFonts w:cs="Arial"/>
        </w:rPr>
        <w:instrText xml:space="preserve"> REF _Ref490636402 \h </w:instrText>
      </w:r>
      <w:r w:rsidR="009C6A19">
        <w:rPr>
          <w:rFonts w:cs="Arial"/>
        </w:rPr>
      </w:r>
      <w:r w:rsidR="009C6A19">
        <w:rPr>
          <w:rFonts w:cs="Arial"/>
        </w:rPr>
        <w:fldChar w:fldCharType="separate"/>
      </w:r>
      <w:r w:rsidR="00272B32">
        <w:t xml:space="preserve">Table </w:t>
      </w:r>
      <w:r w:rsidR="00272B32">
        <w:rPr>
          <w:noProof/>
        </w:rPr>
        <w:t>4</w:t>
      </w:r>
      <w:r w:rsidR="00272B32">
        <w:t>.</w:t>
      </w:r>
      <w:r w:rsidR="00272B32">
        <w:rPr>
          <w:noProof/>
        </w:rPr>
        <w:t>5</w:t>
      </w:r>
      <w:r w:rsidR="009C6A19">
        <w:rPr>
          <w:rFonts w:cs="Arial"/>
        </w:rPr>
        <w:fldChar w:fldCharType="end"/>
      </w:r>
      <w:r>
        <w:rPr>
          <w:rFonts w:cs="Arial"/>
        </w:rPr>
        <w:t xml:space="preserve">). </w:t>
      </w:r>
      <w:r w:rsidR="00587DFD">
        <w:rPr>
          <w:rFonts w:cs="Arial"/>
        </w:rPr>
        <w:t xml:space="preserve">Before the auction can be conducted, the </w:t>
      </w:r>
      <w:r w:rsidR="002445D7">
        <w:rPr>
          <w:rFonts w:cs="Arial"/>
        </w:rPr>
        <w:t xml:space="preserve">following activities will need to </w:t>
      </w:r>
      <w:r w:rsidR="009C6A19">
        <w:rPr>
          <w:rFonts w:cs="Arial"/>
        </w:rPr>
        <w:t>be carried out</w:t>
      </w:r>
      <w:r w:rsidR="002445D7">
        <w:rPr>
          <w:rFonts w:cs="Arial"/>
        </w:rPr>
        <w:t>:</w:t>
      </w:r>
    </w:p>
    <w:p w14:paraId="286A7E76" w14:textId="433B3B5E" w:rsidR="002445D7" w:rsidRDefault="001D1A6F" w:rsidP="001D1A6F">
      <w:pPr>
        <w:pStyle w:val="ListBullet"/>
      </w:pPr>
      <w:r>
        <w:t>s</w:t>
      </w:r>
      <w:r w:rsidR="002445D7">
        <w:t xml:space="preserve">ervice providers will need to run an initial schedule </w:t>
      </w:r>
      <w:r>
        <w:t xml:space="preserve">for gas day D </w:t>
      </w:r>
      <w:r w:rsidR="002445D7">
        <w:t xml:space="preserve">based on the nominations received </w:t>
      </w:r>
      <w:r>
        <w:t xml:space="preserve">by nomination cut-off time </w:t>
      </w:r>
      <w:r w:rsidR="002445D7">
        <w:t xml:space="preserve">and then calculate the </w:t>
      </w:r>
      <w:r w:rsidR="00B90862">
        <w:t xml:space="preserve">auction </w:t>
      </w:r>
      <w:r w:rsidR="002445D7">
        <w:t>quantity;</w:t>
      </w:r>
    </w:p>
    <w:p w14:paraId="1CF1DC6E" w14:textId="2D76D084" w:rsidR="002445D7" w:rsidRDefault="001D1A6F" w:rsidP="001D1A6F">
      <w:pPr>
        <w:pStyle w:val="ListBullet"/>
      </w:pPr>
      <w:r>
        <w:t>service providers will need to transfer the i</w:t>
      </w:r>
      <w:r w:rsidR="002445D7">
        <w:t xml:space="preserve">nformation on the quantity of capacity that can be released in the auction to AEMO, who will then need to publish the </w:t>
      </w:r>
      <w:r>
        <w:t xml:space="preserve">information </w:t>
      </w:r>
      <w:r w:rsidR="002445D7">
        <w:t>on the auction platform;</w:t>
      </w:r>
      <w:r>
        <w:t xml:space="preserve"> and</w:t>
      </w:r>
    </w:p>
    <w:p w14:paraId="0FCCAB6E" w14:textId="4C0AC42A" w:rsidR="002445D7" w:rsidRDefault="001D1A6F" w:rsidP="001D1A6F">
      <w:pPr>
        <w:pStyle w:val="ListBullet"/>
      </w:pPr>
      <w:proofErr w:type="gramStart"/>
      <w:r>
        <w:t>a</w:t>
      </w:r>
      <w:r w:rsidR="002445D7">
        <w:t>uction</w:t>
      </w:r>
      <w:proofErr w:type="gramEnd"/>
      <w:r w:rsidR="002445D7">
        <w:t xml:space="preserve"> participants will need to submit their bids, which will be informed by </w:t>
      </w:r>
      <w:r w:rsidR="00B90862">
        <w:t xml:space="preserve">the </w:t>
      </w:r>
      <w:r w:rsidR="002445D7">
        <w:t>auction quantity</w:t>
      </w:r>
      <w:r w:rsidR="00B90862">
        <w:t xml:space="preserve"> information published on the auction platform</w:t>
      </w:r>
      <w:r>
        <w:t>.</w:t>
      </w:r>
    </w:p>
    <w:p w14:paraId="62E4264D" w14:textId="2FF48843" w:rsidR="009C6A19" w:rsidRDefault="009C6A19" w:rsidP="009C6A19">
      <w:pPr>
        <w:pStyle w:val="BodyText"/>
      </w:pPr>
      <w:r>
        <w:t xml:space="preserve">Once the auction is conducted, then auction winners will be notified by AEMO. AEMO will also </w:t>
      </w:r>
      <w:r w:rsidR="008120A4">
        <w:t xml:space="preserve">provide </w:t>
      </w:r>
      <w:r>
        <w:t xml:space="preserve">service providers </w:t>
      </w:r>
      <w:r w:rsidR="008D0BFF">
        <w:t xml:space="preserve">with </w:t>
      </w:r>
      <w:r w:rsidR="008120A4">
        <w:t xml:space="preserve">details on who has won </w:t>
      </w:r>
      <w:r>
        <w:t xml:space="preserve">capacity and the quantity of capacity procured by each </w:t>
      </w:r>
      <w:r w:rsidR="008120A4">
        <w:t>auction winner</w:t>
      </w:r>
      <w:r>
        <w:t>.</w:t>
      </w:r>
      <w:r w:rsidR="006B7AC6">
        <w:t xml:space="preserve"> </w:t>
      </w:r>
      <w:r w:rsidR="008120A4">
        <w:t xml:space="preserve">This information will then be used by service providers to </w:t>
      </w:r>
      <w:r w:rsidR="00B90862">
        <w:t xml:space="preserve">allocate </w:t>
      </w:r>
      <w:r w:rsidR="008120A4">
        <w:t>capacity to the auction winners who will then be able to submit their nominations for the next gas day.</w:t>
      </w:r>
    </w:p>
    <w:p w14:paraId="2F9E4CC8" w14:textId="2A12B84B" w:rsidR="001D1A6F" w:rsidRDefault="00587DFD" w:rsidP="009C6A19">
      <w:pPr>
        <w:pStyle w:val="BodyText"/>
      </w:pPr>
      <w:r>
        <w:t xml:space="preserve">Some indicative timings for each of these </w:t>
      </w:r>
      <w:r w:rsidR="001D1A6F">
        <w:t xml:space="preserve">activities </w:t>
      </w:r>
      <w:r>
        <w:t xml:space="preserve">are </w:t>
      </w:r>
      <w:r w:rsidR="001D1A6F">
        <w:t xml:space="preserve">set out in </w:t>
      </w:r>
      <w:r w:rsidR="009C6A19">
        <w:rPr>
          <w:rFonts w:cs="Arial"/>
        </w:rPr>
        <w:fldChar w:fldCharType="begin"/>
      </w:r>
      <w:r w:rsidR="009C6A19">
        <w:rPr>
          <w:rFonts w:cs="Arial"/>
        </w:rPr>
        <w:instrText xml:space="preserve"> REF _Ref490636402 \h </w:instrText>
      </w:r>
      <w:r w:rsidR="009C6A19">
        <w:rPr>
          <w:rFonts w:cs="Arial"/>
        </w:rPr>
      </w:r>
      <w:r w:rsidR="009C6A19">
        <w:rPr>
          <w:rFonts w:cs="Arial"/>
        </w:rPr>
        <w:fldChar w:fldCharType="separate"/>
      </w:r>
      <w:r w:rsidR="00272B32">
        <w:t xml:space="preserve">Table </w:t>
      </w:r>
      <w:r w:rsidR="00272B32">
        <w:rPr>
          <w:noProof/>
        </w:rPr>
        <w:t>4</w:t>
      </w:r>
      <w:r w:rsidR="00272B32">
        <w:t>.</w:t>
      </w:r>
      <w:r w:rsidR="00272B32">
        <w:rPr>
          <w:noProof/>
        </w:rPr>
        <w:t>5</w:t>
      </w:r>
      <w:r w:rsidR="009C6A19">
        <w:rPr>
          <w:rFonts w:cs="Arial"/>
        </w:rPr>
        <w:fldChar w:fldCharType="end"/>
      </w:r>
      <w:r>
        <w:rPr>
          <w:rFonts w:cs="Arial"/>
        </w:rPr>
        <w:t>, which the GMRG is seeking stakeholder feedback on</w:t>
      </w:r>
      <w:r w:rsidR="009C6A19">
        <w:t xml:space="preserve">. </w:t>
      </w:r>
      <w:r w:rsidR="008D0BFF">
        <w:t>T</w:t>
      </w:r>
      <w:r w:rsidR="009C6A19">
        <w:t xml:space="preserve">he timings assumed in this table are based on the </w:t>
      </w:r>
      <w:r w:rsidR="001D1A6F">
        <w:t xml:space="preserve">current gas day </w:t>
      </w:r>
      <w:r w:rsidR="009C6A19">
        <w:t xml:space="preserve">start times </w:t>
      </w:r>
      <w:r w:rsidR="001D1A6F">
        <w:t xml:space="preserve">and nomination cut-off times. If </w:t>
      </w:r>
      <w:r w:rsidR="009C6A19">
        <w:t xml:space="preserve">a decision is made to </w:t>
      </w:r>
      <w:r w:rsidR="002F4591">
        <w:t>harmonise nomination cut-off times and extend the application of gas day start time harmonisation beyond the facilitated markets</w:t>
      </w:r>
      <w:r w:rsidR="001D1A6F">
        <w:t>, then it is possible the auction could be conducted an hour earlier</w:t>
      </w:r>
      <w:r w:rsidR="002A2DED">
        <w:t xml:space="preserve">. This </w:t>
      </w:r>
      <w:r w:rsidR="009C6A19">
        <w:t>would provide auction winners more time to put in place supply and delivery arrangements for the following day</w:t>
      </w:r>
      <w:r w:rsidR="001D1A6F">
        <w:t>.</w:t>
      </w:r>
    </w:p>
    <w:p w14:paraId="2993DD0F" w14:textId="07169B79" w:rsidR="001D1A6F" w:rsidRDefault="001D1A6F" w:rsidP="001D1A6F">
      <w:pPr>
        <w:pStyle w:val="Caption"/>
        <w:spacing w:before="40" w:after="0"/>
      </w:pPr>
      <w:bookmarkStart w:id="121" w:name="_Ref490636402"/>
      <w:bookmarkStart w:id="122" w:name="_Hlk491187433"/>
      <w:r>
        <w:t xml:space="preserve">Table </w:t>
      </w:r>
      <w:r w:rsidR="00115A93">
        <w:fldChar w:fldCharType="begin"/>
      </w:r>
      <w:r w:rsidR="00115A93">
        <w:instrText xml:space="preserve"> STYLEREF 1 \s </w:instrText>
      </w:r>
      <w:r w:rsidR="00115A93">
        <w:fldChar w:fldCharType="separate"/>
      </w:r>
      <w:r w:rsidR="00272B32">
        <w:rPr>
          <w:noProof/>
        </w:rPr>
        <w:t>4</w:t>
      </w:r>
      <w:r w:rsidR="00115A93">
        <w:rPr>
          <w:noProof/>
        </w:rPr>
        <w:fldChar w:fldCharType="end"/>
      </w:r>
      <w:r w:rsidR="009A057E">
        <w:t>.</w:t>
      </w:r>
      <w:r w:rsidR="00115A93">
        <w:fldChar w:fldCharType="begin"/>
      </w:r>
      <w:r w:rsidR="00115A93">
        <w:instrText xml:space="preserve"> SEQ Table \* ARABIC \s 1 </w:instrText>
      </w:r>
      <w:r w:rsidR="00115A93">
        <w:fldChar w:fldCharType="separate"/>
      </w:r>
      <w:r w:rsidR="00272B32">
        <w:rPr>
          <w:noProof/>
        </w:rPr>
        <w:t>5</w:t>
      </w:r>
      <w:r w:rsidR="00115A93">
        <w:rPr>
          <w:noProof/>
        </w:rPr>
        <w:fldChar w:fldCharType="end"/>
      </w:r>
      <w:bookmarkEnd w:id="121"/>
      <w:r>
        <w:t>: Indicative timings for the day-ahead auction based on current gas day and nomination cut-off times (all times AEST)</w:t>
      </w:r>
    </w:p>
    <w:tbl>
      <w:tblPr>
        <w:tblStyle w:val="TableGrid"/>
        <w:tblW w:w="5003" w:type="pct"/>
        <w:tblBorders>
          <w:left w:val="single" w:sz="4" w:space="0" w:color="auto"/>
          <w:right w:val="single" w:sz="4" w:space="0" w:color="auto"/>
        </w:tblBorders>
        <w:tblLayout w:type="fixed"/>
        <w:tblLook w:val="04A0" w:firstRow="1" w:lastRow="0" w:firstColumn="1" w:lastColumn="0" w:noHBand="0" w:noVBand="1"/>
        <w:tblCaption w:val="Table 4.5: Indicative timings for the day-ahead auction"/>
        <w:tblDescription w:val="Indicative timings for the day-ahead auction based on current gas day and nomination cut-off times (all times AEST)"/>
      </w:tblPr>
      <w:tblGrid>
        <w:gridCol w:w="965"/>
        <w:gridCol w:w="1006"/>
        <w:gridCol w:w="1115"/>
        <w:gridCol w:w="920"/>
        <w:gridCol w:w="984"/>
        <w:gridCol w:w="813"/>
        <w:gridCol w:w="1115"/>
        <w:gridCol w:w="964"/>
        <w:gridCol w:w="901"/>
      </w:tblGrid>
      <w:tr w:rsidR="009C6A19" w:rsidRPr="001D1A6F" w14:paraId="6F9CE004" w14:textId="0BFFEE04" w:rsidTr="00445FC0">
        <w:trPr>
          <w:cnfStyle w:val="100000000000" w:firstRow="1" w:lastRow="0" w:firstColumn="0" w:lastColumn="0" w:oddVBand="0" w:evenVBand="0" w:oddHBand="0" w:evenHBand="0" w:firstRowFirstColumn="0" w:firstRowLastColumn="0" w:lastRowFirstColumn="0" w:lastRowLastColumn="0"/>
          <w:cantSplit/>
          <w:tblHeader/>
        </w:trPr>
        <w:tc>
          <w:tcPr>
            <w:tcW w:w="549" w:type="pct"/>
            <w:vMerge w:val="restart"/>
            <w:shd w:val="clear" w:color="auto" w:fill="0099CC"/>
            <w:noWrap/>
            <w:vAlign w:val="bottom"/>
            <w:hideMark/>
          </w:tcPr>
          <w:p w14:paraId="2894546E" w14:textId="67137C1A" w:rsidR="001D1A6F" w:rsidRPr="001D1A6F" w:rsidRDefault="009C6A19" w:rsidP="00445FC0">
            <w:pPr>
              <w:pStyle w:val="TableHeading"/>
              <w:spacing w:before="0" w:after="0"/>
              <w:rPr>
                <w:sz w:val="17"/>
                <w:szCs w:val="17"/>
              </w:rPr>
            </w:pPr>
            <w:r>
              <w:rPr>
                <w:sz w:val="17"/>
                <w:szCs w:val="17"/>
              </w:rPr>
              <w:t>State/</w:t>
            </w:r>
            <w:r>
              <w:rPr>
                <w:sz w:val="17"/>
                <w:szCs w:val="17"/>
              </w:rPr>
              <w:br/>
              <w:t>Territory</w:t>
            </w:r>
          </w:p>
        </w:tc>
        <w:tc>
          <w:tcPr>
            <w:tcW w:w="572" w:type="pct"/>
            <w:vMerge w:val="restart"/>
            <w:shd w:val="clear" w:color="auto" w:fill="0099CC"/>
            <w:vAlign w:val="bottom"/>
            <w:hideMark/>
          </w:tcPr>
          <w:p w14:paraId="5D77C5FB" w14:textId="77777777" w:rsidR="001D1A6F" w:rsidRPr="001D1A6F" w:rsidRDefault="001D1A6F" w:rsidP="00445FC0">
            <w:pPr>
              <w:pStyle w:val="TableHeading"/>
              <w:spacing w:before="0" w:after="0"/>
              <w:rPr>
                <w:sz w:val="17"/>
                <w:szCs w:val="17"/>
              </w:rPr>
            </w:pPr>
            <w:r w:rsidRPr="001D1A6F">
              <w:rPr>
                <w:sz w:val="17"/>
                <w:szCs w:val="17"/>
              </w:rPr>
              <w:t xml:space="preserve">Gas Day Start Time </w:t>
            </w:r>
          </w:p>
        </w:tc>
        <w:tc>
          <w:tcPr>
            <w:tcW w:w="635" w:type="pct"/>
            <w:vMerge w:val="restart"/>
            <w:shd w:val="clear" w:color="auto" w:fill="0099CC"/>
            <w:vAlign w:val="bottom"/>
            <w:hideMark/>
          </w:tcPr>
          <w:p w14:paraId="45ED7FB7" w14:textId="6E09E87C" w:rsidR="001D1A6F" w:rsidRPr="001D1A6F" w:rsidRDefault="001D1A6F" w:rsidP="00445FC0">
            <w:pPr>
              <w:pStyle w:val="TableHeading"/>
              <w:spacing w:before="0" w:after="0"/>
              <w:rPr>
                <w:sz w:val="17"/>
                <w:szCs w:val="17"/>
              </w:rPr>
            </w:pPr>
            <w:r w:rsidRPr="001D1A6F">
              <w:rPr>
                <w:sz w:val="17"/>
                <w:szCs w:val="17"/>
              </w:rPr>
              <w:t>Pipeline Nomination Cut Off Time for Gas Day D+1*</w:t>
            </w:r>
          </w:p>
        </w:tc>
        <w:tc>
          <w:tcPr>
            <w:tcW w:w="524" w:type="pct"/>
            <w:vMerge w:val="restart"/>
            <w:shd w:val="clear" w:color="auto" w:fill="0099CC"/>
            <w:vAlign w:val="bottom"/>
          </w:tcPr>
          <w:p w14:paraId="00BFCC32" w14:textId="3F00D277" w:rsidR="001D1A6F" w:rsidRPr="001D1A6F" w:rsidRDefault="001D1A6F" w:rsidP="00445FC0">
            <w:pPr>
              <w:pStyle w:val="TableBodyText"/>
              <w:spacing w:before="0" w:after="0"/>
              <w:rPr>
                <w:sz w:val="17"/>
                <w:szCs w:val="17"/>
              </w:rPr>
            </w:pPr>
            <w:r w:rsidRPr="001D1A6F">
              <w:rPr>
                <w:bCs/>
                <w:color w:val="FFFFFF" w:themeColor="background1"/>
                <w:sz w:val="17"/>
                <w:szCs w:val="17"/>
              </w:rPr>
              <w:t>Service Provider Provides Auction Quantity to AEMO</w:t>
            </w:r>
          </w:p>
        </w:tc>
        <w:tc>
          <w:tcPr>
            <w:tcW w:w="1658" w:type="pct"/>
            <w:gridSpan w:val="3"/>
            <w:shd w:val="clear" w:color="auto" w:fill="0099CC"/>
            <w:vAlign w:val="bottom"/>
            <w:hideMark/>
          </w:tcPr>
          <w:p w14:paraId="4349570A" w14:textId="426E3597" w:rsidR="001D1A6F" w:rsidRPr="001D1A6F" w:rsidRDefault="001D1A6F" w:rsidP="00445FC0">
            <w:pPr>
              <w:pStyle w:val="TableHeading"/>
              <w:spacing w:before="0" w:after="0"/>
              <w:jc w:val="center"/>
              <w:rPr>
                <w:sz w:val="17"/>
                <w:szCs w:val="17"/>
              </w:rPr>
            </w:pPr>
            <w:r w:rsidRPr="001D1A6F">
              <w:rPr>
                <w:sz w:val="17"/>
                <w:szCs w:val="17"/>
              </w:rPr>
              <w:t>Indicativ</w:t>
            </w:r>
            <w:r w:rsidR="00587DFD">
              <w:rPr>
                <w:sz w:val="17"/>
                <w:szCs w:val="17"/>
              </w:rPr>
              <w:t>e Timing for Day-Ahead Auction</w:t>
            </w:r>
          </w:p>
        </w:tc>
        <w:tc>
          <w:tcPr>
            <w:tcW w:w="549" w:type="pct"/>
            <w:vMerge w:val="restart"/>
            <w:shd w:val="clear" w:color="auto" w:fill="0099CC"/>
            <w:vAlign w:val="bottom"/>
          </w:tcPr>
          <w:p w14:paraId="349C1407" w14:textId="2D57CD6E" w:rsidR="001D1A6F" w:rsidRPr="001D1A6F" w:rsidRDefault="001D1A6F" w:rsidP="00445FC0">
            <w:pPr>
              <w:pStyle w:val="TableBodyText"/>
              <w:spacing w:before="0" w:after="0"/>
              <w:rPr>
                <w:sz w:val="17"/>
                <w:szCs w:val="17"/>
              </w:rPr>
            </w:pPr>
            <w:r w:rsidRPr="001D1A6F">
              <w:rPr>
                <w:bCs/>
                <w:color w:val="FFFFFF" w:themeColor="background1"/>
                <w:sz w:val="17"/>
                <w:szCs w:val="17"/>
              </w:rPr>
              <w:t xml:space="preserve">Service Provider </w:t>
            </w:r>
            <w:r w:rsidR="009E3D4E">
              <w:rPr>
                <w:bCs/>
                <w:color w:val="FFFFFF" w:themeColor="background1"/>
                <w:sz w:val="17"/>
                <w:szCs w:val="17"/>
              </w:rPr>
              <w:t>Allocates Auction</w:t>
            </w:r>
            <w:r w:rsidRPr="001D1A6F">
              <w:rPr>
                <w:bCs/>
                <w:color w:val="FFFFFF" w:themeColor="background1"/>
                <w:sz w:val="17"/>
                <w:szCs w:val="17"/>
              </w:rPr>
              <w:t xml:space="preserve"> MDQ</w:t>
            </w:r>
          </w:p>
        </w:tc>
        <w:tc>
          <w:tcPr>
            <w:tcW w:w="513" w:type="pct"/>
            <w:vMerge w:val="restart"/>
            <w:shd w:val="clear" w:color="auto" w:fill="0099CC"/>
            <w:vAlign w:val="bottom"/>
          </w:tcPr>
          <w:p w14:paraId="745AD2D0" w14:textId="664FBFC5" w:rsidR="001D1A6F" w:rsidRPr="001D1A6F" w:rsidRDefault="001D1A6F" w:rsidP="00445FC0">
            <w:pPr>
              <w:pStyle w:val="TableBodyText"/>
              <w:spacing w:before="0" w:after="0"/>
              <w:rPr>
                <w:bCs/>
                <w:color w:val="FFFFFF" w:themeColor="background1"/>
                <w:sz w:val="17"/>
                <w:szCs w:val="17"/>
              </w:rPr>
            </w:pPr>
            <w:r>
              <w:rPr>
                <w:bCs/>
                <w:color w:val="FFFFFF" w:themeColor="background1"/>
                <w:sz w:val="17"/>
                <w:szCs w:val="17"/>
              </w:rPr>
              <w:t xml:space="preserve">Auction </w:t>
            </w:r>
            <w:r w:rsidR="009C6A19">
              <w:rPr>
                <w:bCs/>
                <w:color w:val="FFFFFF" w:themeColor="background1"/>
                <w:sz w:val="17"/>
                <w:szCs w:val="17"/>
              </w:rPr>
              <w:t>Winners</w:t>
            </w:r>
            <w:r>
              <w:rPr>
                <w:bCs/>
                <w:color w:val="FFFFFF" w:themeColor="background1"/>
                <w:sz w:val="17"/>
                <w:szCs w:val="17"/>
              </w:rPr>
              <w:t xml:space="preserve"> Submit </w:t>
            </w:r>
            <w:proofErr w:type="spellStart"/>
            <w:r w:rsidR="009C6A19">
              <w:rPr>
                <w:bCs/>
                <w:color w:val="FFFFFF" w:themeColor="background1"/>
                <w:sz w:val="17"/>
                <w:szCs w:val="17"/>
              </w:rPr>
              <w:t>Noms</w:t>
            </w:r>
            <w:proofErr w:type="spellEnd"/>
          </w:p>
        </w:tc>
      </w:tr>
      <w:tr w:rsidR="009C6A19" w:rsidRPr="001D1A6F" w14:paraId="7005BF06" w14:textId="5B565AB7" w:rsidTr="00445FC0">
        <w:trPr>
          <w:cnfStyle w:val="100000000000" w:firstRow="1" w:lastRow="0" w:firstColumn="0" w:lastColumn="0" w:oddVBand="0" w:evenVBand="0" w:oddHBand="0" w:evenHBand="0" w:firstRowFirstColumn="0" w:firstRowLastColumn="0" w:lastRowFirstColumn="0" w:lastRowLastColumn="0"/>
          <w:cantSplit/>
          <w:tblHeader/>
        </w:trPr>
        <w:tc>
          <w:tcPr>
            <w:tcW w:w="549" w:type="pct"/>
            <w:vMerge/>
            <w:tcBorders>
              <w:bottom w:val="single" w:sz="4" w:space="0" w:color="auto"/>
            </w:tcBorders>
            <w:shd w:val="clear" w:color="auto" w:fill="0099CC"/>
            <w:noWrap/>
            <w:hideMark/>
          </w:tcPr>
          <w:p w14:paraId="704ADAEF" w14:textId="77777777" w:rsidR="001D1A6F" w:rsidRPr="001D1A6F" w:rsidRDefault="001D1A6F" w:rsidP="009C6A19">
            <w:pPr>
              <w:pStyle w:val="TableBodyText"/>
              <w:spacing w:before="40" w:after="40"/>
              <w:rPr>
                <w:bCs/>
                <w:color w:val="000000"/>
                <w:sz w:val="17"/>
                <w:szCs w:val="17"/>
              </w:rPr>
            </w:pPr>
          </w:p>
        </w:tc>
        <w:tc>
          <w:tcPr>
            <w:tcW w:w="572" w:type="pct"/>
            <w:vMerge/>
            <w:tcBorders>
              <w:bottom w:val="single" w:sz="4" w:space="0" w:color="auto"/>
            </w:tcBorders>
            <w:shd w:val="clear" w:color="auto" w:fill="0099CC"/>
            <w:hideMark/>
          </w:tcPr>
          <w:p w14:paraId="02BDE8CE" w14:textId="77777777" w:rsidR="001D1A6F" w:rsidRPr="001D1A6F" w:rsidRDefault="001D1A6F" w:rsidP="009C6A19">
            <w:pPr>
              <w:pStyle w:val="TableBodyText"/>
              <w:spacing w:before="40" w:after="40"/>
              <w:rPr>
                <w:bCs/>
                <w:color w:val="000000"/>
                <w:sz w:val="17"/>
                <w:szCs w:val="17"/>
              </w:rPr>
            </w:pPr>
          </w:p>
        </w:tc>
        <w:tc>
          <w:tcPr>
            <w:tcW w:w="635" w:type="pct"/>
            <w:vMerge/>
            <w:tcBorders>
              <w:bottom w:val="single" w:sz="4" w:space="0" w:color="auto"/>
            </w:tcBorders>
            <w:shd w:val="clear" w:color="auto" w:fill="0099CC"/>
            <w:hideMark/>
          </w:tcPr>
          <w:p w14:paraId="66383282" w14:textId="77777777" w:rsidR="001D1A6F" w:rsidRPr="001D1A6F" w:rsidRDefault="001D1A6F" w:rsidP="009C6A19">
            <w:pPr>
              <w:pStyle w:val="TableBodyText"/>
              <w:spacing w:before="40" w:after="40"/>
              <w:rPr>
                <w:bCs/>
                <w:color w:val="000000"/>
                <w:sz w:val="17"/>
                <w:szCs w:val="17"/>
              </w:rPr>
            </w:pPr>
          </w:p>
        </w:tc>
        <w:tc>
          <w:tcPr>
            <w:tcW w:w="524" w:type="pct"/>
            <w:vMerge/>
            <w:tcBorders>
              <w:bottom w:val="single" w:sz="4" w:space="0" w:color="auto"/>
            </w:tcBorders>
            <w:shd w:val="clear" w:color="auto" w:fill="0099CC"/>
          </w:tcPr>
          <w:p w14:paraId="52D7F690" w14:textId="3960209D" w:rsidR="001D1A6F" w:rsidRPr="001D1A6F" w:rsidRDefault="001D1A6F" w:rsidP="009C6A19">
            <w:pPr>
              <w:pStyle w:val="TableBodyText"/>
              <w:spacing w:before="40" w:after="40"/>
              <w:rPr>
                <w:bCs/>
                <w:color w:val="FFFFFF" w:themeColor="background1"/>
                <w:sz w:val="17"/>
                <w:szCs w:val="17"/>
              </w:rPr>
            </w:pPr>
          </w:p>
        </w:tc>
        <w:tc>
          <w:tcPr>
            <w:tcW w:w="560" w:type="pct"/>
            <w:tcBorders>
              <w:bottom w:val="single" w:sz="4" w:space="0" w:color="auto"/>
            </w:tcBorders>
            <w:shd w:val="clear" w:color="auto" w:fill="0099CC"/>
            <w:vAlign w:val="bottom"/>
            <w:hideMark/>
          </w:tcPr>
          <w:p w14:paraId="14F69CAA" w14:textId="6D83D728" w:rsidR="001D1A6F" w:rsidRPr="001D1A6F" w:rsidRDefault="001D1A6F" w:rsidP="009C6A19">
            <w:pPr>
              <w:pStyle w:val="TableBodyText"/>
              <w:spacing w:before="40" w:after="40"/>
              <w:rPr>
                <w:bCs/>
                <w:color w:val="FFFFFF" w:themeColor="background1"/>
                <w:sz w:val="17"/>
                <w:szCs w:val="17"/>
              </w:rPr>
            </w:pPr>
            <w:r w:rsidRPr="001D1A6F">
              <w:rPr>
                <w:bCs/>
                <w:color w:val="FFFFFF" w:themeColor="background1"/>
                <w:sz w:val="17"/>
                <w:szCs w:val="17"/>
              </w:rPr>
              <w:t xml:space="preserve">AEMO Publishes Auction Capacity </w:t>
            </w:r>
          </w:p>
        </w:tc>
        <w:tc>
          <w:tcPr>
            <w:tcW w:w="463" w:type="pct"/>
            <w:tcBorders>
              <w:bottom w:val="single" w:sz="4" w:space="0" w:color="auto"/>
            </w:tcBorders>
            <w:shd w:val="clear" w:color="auto" w:fill="0099CC"/>
            <w:vAlign w:val="bottom"/>
            <w:hideMark/>
          </w:tcPr>
          <w:p w14:paraId="53E4EDC3" w14:textId="77777777" w:rsidR="001D1A6F" w:rsidRPr="001D1A6F" w:rsidRDefault="001D1A6F" w:rsidP="009C6A19">
            <w:pPr>
              <w:pStyle w:val="TableBodyText"/>
              <w:spacing w:before="40" w:after="40"/>
              <w:rPr>
                <w:bCs/>
                <w:color w:val="FFFFFF" w:themeColor="background1"/>
                <w:sz w:val="17"/>
                <w:szCs w:val="17"/>
              </w:rPr>
            </w:pPr>
            <w:r w:rsidRPr="001D1A6F">
              <w:rPr>
                <w:bCs/>
                <w:color w:val="FFFFFF" w:themeColor="background1"/>
                <w:sz w:val="17"/>
                <w:szCs w:val="17"/>
              </w:rPr>
              <w:t>Auction Bids Due</w:t>
            </w:r>
          </w:p>
        </w:tc>
        <w:tc>
          <w:tcPr>
            <w:tcW w:w="635" w:type="pct"/>
            <w:tcBorders>
              <w:bottom w:val="single" w:sz="4" w:space="0" w:color="auto"/>
            </w:tcBorders>
            <w:shd w:val="clear" w:color="auto" w:fill="0099CC"/>
            <w:vAlign w:val="bottom"/>
            <w:hideMark/>
          </w:tcPr>
          <w:p w14:paraId="10824109" w14:textId="6BD0410D" w:rsidR="001D1A6F" w:rsidRPr="001D1A6F" w:rsidRDefault="001D1A6F" w:rsidP="009C6A19">
            <w:pPr>
              <w:pStyle w:val="TableBodyText"/>
              <w:spacing w:before="40" w:after="40"/>
              <w:rPr>
                <w:bCs/>
                <w:color w:val="FFFFFF" w:themeColor="background1"/>
                <w:sz w:val="17"/>
                <w:szCs w:val="17"/>
              </w:rPr>
            </w:pPr>
            <w:r w:rsidRPr="001D1A6F">
              <w:rPr>
                <w:bCs/>
                <w:color w:val="FFFFFF" w:themeColor="background1"/>
                <w:sz w:val="17"/>
                <w:szCs w:val="17"/>
              </w:rPr>
              <w:t>Auction Completed Results Announced</w:t>
            </w:r>
          </w:p>
        </w:tc>
        <w:tc>
          <w:tcPr>
            <w:tcW w:w="549" w:type="pct"/>
            <w:vMerge/>
            <w:tcBorders>
              <w:bottom w:val="single" w:sz="4" w:space="0" w:color="auto"/>
            </w:tcBorders>
            <w:shd w:val="clear" w:color="auto" w:fill="0099CC"/>
          </w:tcPr>
          <w:p w14:paraId="73A76E43" w14:textId="25A7ACB2" w:rsidR="001D1A6F" w:rsidRPr="001D1A6F" w:rsidRDefault="001D1A6F" w:rsidP="009C6A19">
            <w:pPr>
              <w:pStyle w:val="TableBodyText"/>
              <w:spacing w:before="40" w:after="40"/>
              <w:rPr>
                <w:bCs/>
                <w:color w:val="FFFFFF" w:themeColor="background1"/>
                <w:sz w:val="17"/>
                <w:szCs w:val="17"/>
              </w:rPr>
            </w:pPr>
          </w:p>
        </w:tc>
        <w:tc>
          <w:tcPr>
            <w:tcW w:w="513" w:type="pct"/>
            <w:vMerge/>
            <w:tcBorders>
              <w:bottom w:val="single" w:sz="4" w:space="0" w:color="auto"/>
            </w:tcBorders>
            <w:shd w:val="clear" w:color="auto" w:fill="0099CC"/>
          </w:tcPr>
          <w:p w14:paraId="1AE300B7" w14:textId="77777777" w:rsidR="001D1A6F" w:rsidRPr="001D1A6F" w:rsidRDefault="001D1A6F" w:rsidP="009C6A19">
            <w:pPr>
              <w:pStyle w:val="TableBodyText"/>
              <w:spacing w:before="40" w:after="40"/>
              <w:rPr>
                <w:bCs/>
                <w:color w:val="FFFFFF" w:themeColor="background1"/>
                <w:sz w:val="17"/>
                <w:szCs w:val="17"/>
              </w:rPr>
            </w:pPr>
          </w:p>
        </w:tc>
      </w:tr>
      <w:tr w:rsidR="001D1A6F" w:rsidRPr="001D1A6F" w14:paraId="7795036B" w14:textId="119F24FB" w:rsidTr="009C6A19">
        <w:trPr>
          <w:cnfStyle w:val="100000000000" w:firstRow="1" w:lastRow="0" w:firstColumn="0" w:lastColumn="0" w:oddVBand="0" w:evenVBand="0" w:oddHBand="0" w:evenHBand="0" w:firstRowFirstColumn="0" w:firstRowLastColumn="0" w:lastRowFirstColumn="0" w:lastRowLastColumn="0"/>
          <w:cantSplit/>
          <w:tblHeader/>
        </w:trPr>
        <w:tc>
          <w:tcPr>
            <w:tcW w:w="549" w:type="pct"/>
            <w:shd w:val="clear" w:color="auto" w:fill="auto"/>
            <w:noWrap/>
            <w:hideMark/>
          </w:tcPr>
          <w:p w14:paraId="78027DA8" w14:textId="77777777" w:rsidR="001D1A6F" w:rsidRPr="001D1A6F" w:rsidRDefault="001D1A6F" w:rsidP="009C6A19">
            <w:pPr>
              <w:pStyle w:val="TableBodyText"/>
              <w:spacing w:before="40" w:after="40"/>
              <w:rPr>
                <w:b w:val="0"/>
                <w:bCs/>
                <w:color w:val="000000"/>
                <w:sz w:val="17"/>
                <w:szCs w:val="17"/>
              </w:rPr>
            </w:pPr>
            <w:r w:rsidRPr="001D1A6F">
              <w:rPr>
                <w:b w:val="0"/>
                <w:bCs/>
                <w:color w:val="000000"/>
                <w:sz w:val="17"/>
                <w:szCs w:val="17"/>
              </w:rPr>
              <w:t>NSW/ACT</w:t>
            </w:r>
          </w:p>
        </w:tc>
        <w:tc>
          <w:tcPr>
            <w:tcW w:w="572" w:type="pct"/>
            <w:shd w:val="clear" w:color="auto" w:fill="auto"/>
            <w:noWrap/>
            <w:vAlign w:val="center"/>
            <w:hideMark/>
          </w:tcPr>
          <w:p w14:paraId="129B7D36" w14:textId="77777777" w:rsidR="001D1A6F" w:rsidRPr="001D1A6F" w:rsidRDefault="001D1A6F" w:rsidP="009C6A19">
            <w:pPr>
              <w:pStyle w:val="TableBodyText"/>
              <w:spacing w:before="40" w:after="40"/>
              <w:jc w:val="center"/>
              <w:rPr>
                <w:b w:val="0"/>
                <w:bCs/>
                <w:color w:val="000000"/>
                <w:sz w:val="17"/>
                <w:szCs w:val="17"/>
              </w:rPr>
            </w:pPr>
            <w:r w:rsidRPr="001D1A6F">
              <w:rPr>
                <w:b w:val="0"/>
                <w:bCs/>
                <w:color w:val="000000"/>
                <w:sz w:val="17"/>
                <w:szCs w:val="17"/>
              </w:rPr>
              <w:t>6:30 am</w:t>
            </w:r>
          </w:p>
        </w:tc>
        <w:tc>
          <w:tcPr>
            <w:tcW w:w="635" w:type="pct"/>
            <w:shd w:val="clear" w:color="auto" w:fill="auto"/>
            <w:noWrap/>
            <w:vAlign w:val="center"/>
            <w:hideMark/>
          </w:tcPr>
          <w:p w14:paraId="32D08660" w14:textId="77777777" w:rsidR="001D1A6F" w:rsidRPr="001D1A6F" w:rsidRDefault="001D1A6F" w:rsidP="009C6A19">
            <w:pPr>
              <w:pStyle w:val="TableBodyText"/>
              <w:spacing w:before="40" w:after="40"/>
              <w:jc w:val="center"/>
              <w:rPr>
                <w:b w:val="0"/>
                <w:bCs/>
                <w:color w:val="000000"/>
                <w:sz w:val="17"/>
                <w:szCs w:val="17"/>
              </w:rPr>
            </w:pPr>
            <w:r w:rsidRPr="001D1A6F">
              <w:rPr>
                <w:b w:val="0"/>
                <w:bCs/>
                <w:color w:val="000000"/>
                <w:sz w:val="17"/>
                <w:szCs w:val="17"/>
              </w:rPr>
              <w:t>2 -2:30 pm</w:t>
            </w:r>
          </w:p>
        </w:tc>
        <w:tc>
          <w:tcPr>
            <w:tcW w:w="524" w:type="pct"/>
            <w:vMerge w:val="restart"/>
            <w:shd w:val="clear" w:color="auto" w:fill="FFFFFF" w:themeFill="background1"/>
            <w:vAlign w:val="center"/>
          </w:tcPr>
          <w:p w14:paraId="1BDCC5E6" w14:textId="5FCE1818" w:rsidR="001D1A6F" w:rsidRPr="001D1A6F" w:rsidRDefault="00DA5EFF" w:rsidP="009C6A19">
            <w:pPr>
              <w:pStyle w:val="TableBodyText"/>
              <w:spacing w:before="40" w:after="40"/>
              <w:jc w:val="center"/>
              <w:rPr>
                <w:b w:val="0"/>
                <w:bCs/>
                <w:color w:val="000000"/>
                <w:sz w:val="17"/>
                <w:szCs w:val="17"/>
              </w:rPr>
            </w:pPr>
            <w:r>
              <w:rPr>
                <w:b w:val="0"/>
                <w:bCs/>
                <w:color w:val="000000"/>
                <w:sz w:val="17"/>
                <w:szCs w:val="17"/>
              </w:rPr>
              <w:t>5</w:t>
            </w:r>
            <w:r w:rsidR="001D1A6F" w:rsidRPr="001D1A6F">
              <w:rPr>
                <w:b w:val="0"/>
                <w:bCs/>
                <w:color w:val="000000"/>
                <w:sz w:val="17"/>
                <w:szCs w:val="17"/>
              </w:rPr>
              <w:t>.</w:t>
            </w:r>
            <w:r w:rsidR="00587DFD">
              <w:rPr>
                <w:b w:val="0"/>
                <w:bCs/>
                <w:color w:val="000000"/>
                <w:sz w:val="17"/>
                <w:szCs w:val="17"/>
              </w:rPr>
              <w:t>3</w:t>
            </w:r>
            <w:r>
              <w:rPr>
                <w:b w:val="0"/>
                <w:bCs/>
                <w:color w:val="000000"/>
                <w:sz w:val="17"/>
                <w:szCs w:val="17"/>
              </w:rPr>
              <w:t>0</w:t>
            </w:r>
            <w:r w:rsidR="001D1A6F" w:rsidRPr="001D1A6F">
              <w:rPr>
                <w:b w:val="0"/>
                <w:bCs/>
                <w:color w:val="000000"/>
                <w:sz w:val="17"/>
                <w:szCs w:val="17"/>
              </w:rPr>
              <w:t xml:space="preserve"> pm</w:t>
            </w:r>
          </w:p>
        </w:tc>
        <w:tc>
          <w:tcPr>
            <w:tcW w:w="560" w:type="pct"/>
            <w:vMerge w:val="restart"/>
            <w:shd w:val="clear" w:color="auto" w:fill="FFFFFF" w:themeFill="background1"/>
            <w:noWrap/>
            <w:vAlign w:val="center"/>
            <w:hideMark/>
          </w:tcPr>
          <w:p w14:paraId="04BFD0F1" w14:textId="77852462" w:rsidR="001D1A6F" w:rsidRPr="001D1A6F" w:rsidRDefault="001D1A6F" w:rsidP="009C6A19">
            <w:pPr>
              <w:pStyle w:val="TableBodyText"/>
              <w:spacing w:before="40" w:after="40"/>
              <w:jc w:val="center"/>
              <w:rPr>
                <w:b w:val="0"/>
                <w:bCs/>
                <w:color w:val="000000"/>
                <w:sz w:val="17"/>
                <w:szCs w:val="17"/>
              </w:rPr>
            </w:pPr>
            <w:r w:rsidRPr="001D1A6F">
              <w:rPr>
                <w:b w:val="0"/>
                <w:bCs/>
                <w:color w:val="000000"/>
                <w:sz w:val="17"/>
                <w:szCs w:val="17"/>
              </w:rPr>
              <w:t>5:</w:t>
            </w:r>
            <w:r w:rsidR="00587DFD">
              <w:rPr>
                <w:b w:val="0"/>
                <w:bCs/>
                <w:color w:val="000000"/>
                <w:sz w:val="17"/>
                <w:szCs w:val="17"/>
              </w:rPr>
              <w:t>45</w:t>
            </w:r>
            <w:r w:rsidRPr="001D1A6F">
              <w:rPr>
                <w:b w:val="0"/>
                <w:bCs/>
                <w:color w:val="000000"/>
                <w:sz w:val="17"/>
                <w:szCs w:val="17"/>
              </w:rPr>
              <w:t xml:space="preserve"> pm</w:t>
            </w:r>
          </w:p>
        </w:tc>
        <w:tc>
          <w:tcPr>
            <w:tcW w:w="463" w:type="pct"/>
            <w:vMerge w:val="restart"/>
            <w:shd w:val="clear" w:color="auto" w:fill="FFFFFF" w:themeFill="background1"/>
            <w:noWrap/>
            <w:vAlign w:val="center"/>
            <w:hideMark/>
          </w:tcPr>
          <w:p w14:paraId="4DBF6CA4" w14:textId="04813ECA" w:rsidR="001D1A6F" w:rsidRPr="001D1A6F" w:rsidRDefault="00587DFD" w:rsidP="009C6A19">
            <w:pPr>
              <w:pStyle w:val="TableBodyText"/>
              <w:spacing w:before="40" w:after="40"/>
              <w:jc w:val="center"/>
              <w:rPr>
                <w:b w:val="0"/>
                <w:bCs/>
                <w:color w:val="000000"/>
                <w:sz w:val="17"/>
                <w:szCs w:val="17"/>
              </w:rPr>
            </w:pPr>
            <w:r>
              <w:rPr>
                <w:b w:val="0"/>
                <w:bCs/>
                <w:color w:val="000000"/>
                <w:sz w:val="17"/>
                <w:szCs w:val="17"/>
              </w:rPr>
              <w:t>6</w:t>
            </w:r>
            <w:r w:rsidR="001D1A6F" w:rsidRPr="001D1A6F">
              <w:rPr>
                <w:b w:val="0"/>
                <w:bCs/>
                <w:color w:val="000000"/>
                <w:sz w:val="17"/>
                <w:szCs w:val="17"/>
              </w:rPr>
              <w:t>:</w:t>
            </w:r>
            <w:r>
              <w:rPr>
                <w:b w:val="0"/>
                <w:bCs/>
                <w:color w:val="000000"/>
                <w:sz w:val="17"/>
                <w:szCs w:val="17"/>
              </w:rPr>
              <w:t>15</w:t>
            </w:r>
            <w:r w:rsidR="001D1A6F" w:rsidRPr="001D1A6F">
              <w:rPr>
                <w:b w:val="0"/>
                <w:bCs/>
                <w:color w:val="000000"/>
                <w:sz w:val="17"/>
                <w:szCs w:val="17"/>
              </w:rPr>
              <w:t xml:space="preserve"> pm</w:t>
            </w:r>
          </w:p>
        </w:tc>
        <w:tc>
          <w:tcPr>
            <w:tcW w:w="635" w:type="pct"/>
            <w:vMerge w:val="restart"/>
            <w:shd w:val="clear" w:color="auto" w:fill="FFFFFF" w:themeFill="background1"/>
            <w:noWrap/>
            <w:vAlign w:val="center"/>
            <w:hideMark/>
          </w:tcPr>
          <w:p w14:paraId="43B7A72B" w14:textId="0C9679A2" w:rsidR="001D1A6F" w:rsidRPr="001D1A6F" w:rsidRDefault="008E2796" w:rsidP="009C6A19">
            <w:pPr>
              <w:pStyle w:val="TableBodyText"/>
              <w:spacing w:before="40" w:after="40"/>
              <w:jc w:val="center"/>
              <w:rPr>
                <w:b w:val="0"/>
                <w:bCs/>
                <w:color w:val="000000"/>
                <w:sz w:val="17"/>
                <w:szCs w:val="17"/>
              </w:rPr>
            </w:pPr>
            <w:r>
              <w:rPr>
                <w:b w:val="0"/>
                <w:bCs/>
                <w:color w:val="000000"/>
                <w:sz w:val="17"/>
                <w:szCs w:val="17"/>
              </w:rPr>
              <w:t>6</w:t>
            </w:r>
            <w:r w:rsidR="001D1A6F" w:rsidRPr="001D1A6F">
              <w:rPr>
                <w:b w:val="0"/>
                <w:bCs/>
                <w:color w:val="000000"/>
                <w:sz w:val="17"/>
                <w:szCs w:val="17"/>
              </w:rPr>
              <w:t>:</w:t>
            </w:r>
            <w:r w:rsidR="00587DFD">
              <w:rPr>
                <w:b w:val="0"/>
                <w:bCs/>
                <w:color w:val="000000"/>
                <w:sz w:val="17"/>
                <w:szCs w:val="17"/>
              </w:rPr>
              <w:t>45</w:t>
            </w:r>
            <w:r w:rsidR="001D1A6F" w:rsidRPr="001D1A6F">
              <w:rPr>
                <w:b w:val="0"/>
                <w:bCs/>
                <w:color w:val="000000"/>
                <w:sz w:val="17"/>
                <w:szCs w:val="17"/>
              </w:rPr>
              <w:t xml:space="preserve"> pm</w:t>
            </w:r>
          </w:p>
        </w:tc>
        <w:tc>
          <w:tcPr>
            <w:tcW w:w="549" w:type="pct"/>
            <w:vMerge w:val="restart"/>
            <w:shd w:val="clear" w:color="auto" w:fill="FFFFFF" w:themeFill="background1"/>
            <w:vAlign w:val="center"/>
          </w:tcPr>
          <w:p w14:paraId="5B56FE47" w14:textId="4C642CFC" w:rsidR="001D1A6F" w:rsidRPr="001D1A6F" w:rsidRDefault="00587DFD" w:rsidP="009C6A19">
            <w:pPr>
              <w:pStyle w:val="TableBodyText"/>
              <w:spacing w:before="40" w:after="40"/>
              <w:jc w:val="center"/>
              <w:rPr>
                <w:b w:val="0"/>
                <w:bCs/>
                <w:color w:val="000000"/>
                <w:sz w:val="17"/>
                <w:szCs w:val="17"/>
              </w:rPr>
            </w:pPr>
            <w:r>
              <w:rPr>
                <w:b w:val="0"/>
                <w:bCs/>
                <w:color w:val="000000"/>
                <w:sz w:val="17"/>
                <w:szCs w:val="17"/>
              </w:rPr>
              <w:t>7</w:t>
            </w:r>
            <w:r w:rsidR="001D1A6F" w:rsidRPr="001D1A6F">
              <w:rPr>
                <w:b w:val="0"/>
                <w:bCs/>
                <w:color w:val="000000"/>
                <w:sz w:val="17"/>
                <w:szCs w:val="17"/>
              </w:rPr>
              <w:t>.</w:t>
            </w:r>
            <w:r>
              <w:rPr>
                <w:b w:val="0"/>
                <w:bCs/>
                <w:color w:val="000000"/>
                <w:sz w:val="17"/>
                <w:szCs w:val="17"/>
              </w:rPr>
              <w:t>15</w:t>
            </w:r>
            <w:r w:rsidR="001D1A6F" w:rsidRPr="001D1A6F">
              <w:rPr>
                <w:b w:val="0"/>
                <w:bCs/>
                <w:color w:val="000000"/>
                <w:sz w:val="17"/>
                <w:szCs w:val="17"/>
              </w:rPr>
              <w:t xml:space="preserve"> pm</w:t>
            </w:r>
          </w:p>
        </w:tc>
        <w:tc>
          <w:tcPr>
            <w:tcW w:w="513" w:type="pct"/>
            <w:vMerge w:val="restart"/>
            <w:shd w:val="clear" w:color="auto" w:fill="FFFFFF" w:themeFill="background1"/>
            <w:vAlign w:val="center"/>
          </w:tcPr>
          <w:p w14:paraId="215A6303" w14:textId="1CA0EE90" w:rsidR="001D1A6F" w:rsidRPr="001D1A6F" w:rsidRDefault="001D1A6F" w:rsidP="009C6A19">
            <w:pPr>
              <w:pStyle w:val="TableBodyText"/>
              <w:spacing w:before="40" w:after="40"/>
              <w:jc w:val="center"/>
              <w:rPr>
                <w:b w:val="0"/>
                <w:bCs/>
                <w:color w:val="000000"/>
                <w:sz w:val="17"/>
                <w:szCs w:val="17"/>
              </w:rPr>
            </w:pPr>
            <w:r w:rsidRPr="001D1A6F">
              <w:rPr>
                <w:b w:val="0"/>
                <w:bCs/>
                <w:color w:val="000000"/>
                <w:sz w:val="17"/>
                <w:szCs w:val="17"/>
              </w:rPr>
              <w:t>7.</w:t>
            </w:r>
            <w:r w:rsidR="00587DFD">
              <w:rPr>
                <w:b w:val="0"/>
                <w:bCs/>
                <w:color w:val="000000"/>
                <w:sz w:val="17"/>
                <w:szCs w:val="17"/>
              </w:rPr>
              <w:t>45</w:t>
            </w:r>
            <w:r w:rsidRPr="001D1A6F">
              <w:rPr>
                <w:b w:val="0"/>
                <w:bCs/>
                <w:color w:val="000000"/>
                <w:sz w:val="17"/>
                <w:szCs w:val="17"/>
              </w:rPr>
              <w:t xml:space="preserve"> pm</w:t>
            </w:r>
          </w:p>
        </w:tc>
      </w:tr>
      <w:tr w:rsidR="001D1A6F" w:rsidRPr="001D1A6F" w14:paraId="40DBB004" w14:textId="23953BEA" w:rsidTr="009C6A19">
        <w:trPr>
          <w:cnfStyle w:val="100000000000" w:firstRow="1" w:lastRow="0" w:firstColumn="0" w:lastColumn="0" w:oddVBand="0" w:evenVBand="0" w:oddHBand="0" w:evenHBand="0" w:firstRowFirstColumn="0" w:firstRowLastColumn="0" w:lastRowFirstColumn="0" w:lastRowLastColumn="0"/>
          <w:cantSplit/>
          <w:tblHeader/>
        </w:trPr>
        <w:tc>
          <w:tcPr>
            <w:tcW w:w="549" w:type="pct"/>
            <w:shd w:val="clear" w:color="auto" w:fill="auto"/>
            <w:noWrap/>
            <w:hideMark/>
          </w:tcPr>
          <w:p w14:paraId="2AB1282B" w14:textId="77777777" w:rsidR="001D1A6F" w:rsidRPr="001D1A6F" w:rsidRDefault="001D1A6F" w:rsidP="009C6A19">
            <w:pPr>
              <w:pStyle w:val="TableBodyText"/>
              <w:spacing w:before="40" w:after="40"/>
              <w:rPr>
                <w:b w:val="0"/>
                <w:bCs/>
                <w:color w:val="000000"/>
                <w:sz w:val="17"/>
                <w:szCs w:val="17"/>
              </w:rPr>
            </w:pPr>
            <w:r w:rsidRPr="001D1A6F">
              <w:rPr>
                <w:b w:val="0"/>
                <w:bCs/>
                <w:color w:val="000000"/>
                <w:sz w:val="17"/>
                <w:szCs w:val="17"/>
              </w:rPr>
              <w:t>SA</w:t>
            </w:r>
          </w:p>
        </w:tc>
        <w:tc>
          <w:tcPr>
            <w:tcW w:w="572" w:type="pct"/>
            <w:shd w:val="clear" w:color="auto" w:fill="auto"/>
            <w:noWrap/>
            <w:vAlign w:val="center"/>
            <w:hideMark/>
          </w:tcPr>
          <w:p w14:paraId="695EBCAE" w14:textId="77777777" w:rsidR="001D1A6F" w:rsidRPr="001D1A6F" w:rsidRDefault="001D1A6F" w:rsidP="009C6A19">
            <w:pPr>
              <w:pStyle w:val="TableBodyText"/>
              <w:spacing w:before="40" w:after="40"/>
              <w:jc w:val="center"/>
              <w:rPr>
                <w:b w:val="0"/>
                <w:bCs/>
                <w:color w:val="000000"/>
                <w:sz w:val="17"/>
                <w:szCs w:val="17"/>
              </w:rPr>
            </w:pPr>
            <w:r w:rsidRPr="001D1A6F">
              <w:rPr>
                <w:b w:val="0"/>
                <w:bCs/>
                <w:color w:val="000000"/>
                <w:sz w:val="17"/>
                <w:szCs w:val="17"/>
              </w:rPr>
              <w:t>6:30 am</w:t>
            </w:r>
          </w:p>
        </w:tc>
        <w:tc>
          <w:tcPr>
            <w:tcW w:w="635" w:type="pct"/>
            <w:shd w:val="clear" w:color="auto" w:fill="auto"/>
            <w:noWrap/>
            <w:vAlign w:val="center"/>
            <w:hideMark/>
          </w:tcPr>
          <w:p w14:paraId="32D2F3C3" w14:textId="77777777" w:rsidR="001D1A6F" w:rsidRPr="001D1A6F" w:rsidRDefault="001D1A6F" w:rsidP="009C6A19">
            <w:pPr>
              <w:pStyle w:val="TableBodyText"/>
              <w:spacing w:before="40" w:after="40"/>
              <w:jc w:val="center"/>
              <w:rPr>
                <w:b w:val="0"/>
                <w:bCs/>
                <w:color w:val="000000"/>
                <w:sz w:val="17"/>
                <w:szCs w:val="17"/>
              </w:rPr>
            </w:pPr>
            <w:r w:rsidRPr="001D1A6F">
              <w:rPr>
                <w:b w:val="0"/>
                <w:bCs/>
                <w:color w:val="000000"/>
                <w:sz w:val="17"/>
                <w:szCs w:val="17"/>
              </w:rPr>
              <w:t>3:30 pm</w:t>
            </w:r>
          </w:p>
        </w:tc>
        <w:tc>
          <w:tcPr>
            <w:tcW w:w="524" w:type="pct"/>
            <w:vMerge/>
            <w:shd w:val="clear" w:color="auto" w:fill="FFFFFF" w:themeFill="background1"/>
          </w:tcPr>
          <w:p w14:paraId="56F81272" w14:textId="77777777" w:rsidR="001D1A6F" w:rsidRPr="001D1A6F" w:rsidRDefault="001D1A6F" w:rsidP="009C6A19">
            <w:pPr>
              <w:pStyle w:val="TableBodyText"/>
              <w:spacing w:before="40" w:after="40"/>
              <w:jc w:val="center"/>
              <w:rPr>
                <w:b w:val="0"/>
                <w:bCs/>
                <w:color w:val="000000"/>
                <w:sz w:val="17"/>
                <w:szCs w:val="17"/>
              </w:rPr>
            </w:pPr>
          </w:p>
        </w:tc>
        <w:tc>
          <w:tcPr>
            <w:tcW w:w="560" w:type="pct"/>
            <w:vMerge/>
            <w:shd w:val="clear" w:color="auto" w:fill="FFFFFF" w:themeFill="background1"/>
            <w:vAlign w:val="center"/>
            <w:hideMark/>
          </w:tcPr>
          <w:p w14:paraId="61DE4F56" w14:textId="7FA0CD7C" w:rsidR="001D1A6F" w:rsidRPr="001D1A6F" w:rsidRDefault="001D1A6F" w:rsidP="009C6A19">
            <w:pPr>
              <w:pStyle w:val="TableBodyText"/>
              <w:spacing w:before="40" w:after="40"/>
              <w:jc w:val="center"/>
              <w:rPr>
                <w:b w:val="0"/>
                <w:bCs/>
                <w:color w:val="000000"/>
                <w:sz w:val="17"/>
                <w:szCs w:val="17"/>
              </w:rPr>
            </w:pPr>
          </w:p>
        </w:tc>
        <w:tc>
          <w:tcPr>
            <w:tcW w:w="463" w:type="pct"/>
            <w:vMerge/>
            <w:shd w:val="clear" w:color="auto" w:fill="FFFFFF" w:themeFill="background1"/>
            <w:vAlign w:val="center"/>
            <w:hideMark/>
          </w:tcPr>
          <w:p w14:paraId="28968BBB" w14:textId="77777777" w:rsidR="001D1A6F" w:rsidRPr="001D1A6F" w:rsidRDefault="001D1A6F" w:rsidP="009C6A19">
            <w:pPr>
              <w:pStyle w:val="TableBodyText"/>
              <w:spacing w:before="40" w:after="40"/>
              <w:jc w:val="center"/>
              <w:rPr>
                <w:b w:val="0"/>
                <w:bCs/>
                <w:color w:val="000000"/>
                <w:sz w:val="17"/>
                <w:szCs w:val="17"/>
              </w:rPr>
            </w:pPr>
          </w:p>
        </w:tc>
        <w:tc>
          <w:tcPr>
            <w:tcW w:w="635" w:type="pct"/>
            <w:vMerge/>
            <w:shd w:val="clear" w:color="auto" w:fill="FFFFFF" w:themeFill="background1"/>
            <w:vAlign w:val="center"/>
            <w:hideMark/>
          </w:tcPr>
          <w:p w14:paraId="327B5795" w14:textId="77777777" w:rsidR="001D1A6F" w:rsidRPr="001D1A6F" w:rsidRDefault="001D1A6F" w:rsidP="009C6A19">
            <w:pPr>
              <w:pStyle w:val="TableBodyText"/>
              <w:spacing w:before="40" w:after="40"/>
              <w:jc w:val="center"/>
              <w:rPr>
                <w:b w:val="0"/>
                <w:bCs/>
                <w:color w:val="000000"/>
                <w:sz w:val="17"/>
                <w:szCs w:val="17"/>
              </w:rPr>
            </w:pPr>
          </w:p>
        </w:tc>
        <w:tc>
          <w:tcPr>
            <w:tcW w:w="549" w:type="pct"/>
            <w:vMerge/>
            <w:shd w:val="clear" w:color="auto" w:fill="FFFFFF" w:themeFill="background1"/>
          </w:tcPr>
          <w:p w14:paraId="6492D28D" w14:textId="77777777" w:rsidR="001D1A6F" w:rsidRPr="001D1A6F" w:rsidRDefault="001D1A6F" w:rsidP="009C6A19">
            <w:pPr>
              <w:pStyle w:val="TableBodyText"/>
              <w:spacing w:before="40" w:after="40"/>
              <w:jc w:val="center"/>
              <w:rPr>
                <w:b w:val="0"/>
                <w:bCs/>
                <w:color w:val="000000"/>
                <w:sz w:val="17"/>
                <w:szCs w:val="17"/>
              </w:rPr>
            </w:pPr>
          </w:p>
        </w:tc>
        <w:tc>
          <w:tcPr>
            <w:tcW w:w="513" w:type="pct"/>
            <w:vMerge/>
            <w:shd w:val="clear" w:color="auto" w:fill="FFFFFF" w:themeFill="background1"/>
          </w:tcPr>
          <w:p w14:paraId="2F2840F9" w14:textId="77777777" w:rsidR="001D1A6F" w:rsidRPr="001D1A6F" w:rsidRDefault="001D1A6F" w:rsidP="009C6A19">
            <w:pPr>
              <w:pStyle w:val="TableBodyText"/>
              <w:spacing w:before="40" w:after="40"/>
              <w:jc w:val="center"/>
              <w:rPr>
                <w:b w:val="0"/>
                <w:bCs/>
                <w:color w:val="000000"/>
                <w:sz w:val="17"/>
                <w:szCs w:val="17"/>
              </w:rPr>
            </w:pPr>
          </w:p>
        </w:tc>
      </w:tr>
      <w:tr w:rsidR="001D1A6F" w:rsidRPr="001D1A6F" w14:paraId="5F367DB7" w14:textId="36515671" w:rsidTr="009C6A19">
        <w:trPr>
          <w:cnfStyle w:val="100000000000" w:firstRow="1" w:lastRow="0" w:firstColumn="0" w:lastColumn="0" w:oddVBand="0" w:evenVBand="0" w:oddHBand="0" w:evenHBand="0" w:firstRowFirstColumn="0" w:firstRowLastColumn="0" w:lastRowFirstColumn="0" w:lastRowLastColumn="0"/>
          <w:cantSplit/>
          <w:tblHeader/>
        </w:trPr>
        <w:tc>
          <w:tcPr>
            <w:tcW w:w="549" w:type="pct"/>
            <w:shd w:val="clear" w:color="auto" w:fill="auto"/>
            <w:noWrap/>
            <w:hideMark/>
          </w:tcPr>
          <w:p w14:paraId="46FC6ED5" w14:textId="43A3BC97" w:rsidR="001D1A6F" w:rsidRPr="001D1A6F" w:rsidRDefault="001D1A6F" w:rsidP="009C6A19">
            <w:pPr>
              <w:pStyle w:val="TableBodyText"/>
              <w:spacing w:before="40" w:after="40"/>
              <w:rPr>
                <w:b w:val="0"/>
                <w:bCs/>
                <w:color w:val="000000"/>
                <w:sz w:val="17"/>
                <w:szCs w:val="17"/>
              </w:rPr>
            </w:pPr>
            <w:r w:rsidRPr="001D1A6F">
              <w:rPr>
                <w:b w:val="0"/>
                <w:bCs/>
                <w:color w:val="000000"/>
                <w:sz w:val="17"/>
                <w:szCs w:val="17"/>
              </w:rPr>
              <w:t>Qld</w:t>
            </w:r>
          </w:p>
        </w:tc>
        <w:tc>
          <w:tcPr>
            <w:tcW w:w="572" w:type="pct"/>
            <w:shd w:val="clear" w:color="auto" w:fill="auto"/>
            <w:noWrap/>
            <w:vAlign w:val="center"/>
            <w:hideMark/>
          </w:tcPr>
          <w:p w14:paraId="5D34B200" w14:textId="77777777" w:rsidR="001D1A6F" w:rsidRPr="001D1A6F" w:rsidRDefault="001D1A6F" w:rsidP="009C6A19">
            <w:pPr>
              <w:pStyle w:val="TableBodyText"/>
              <w:spacing w:before="40" w:after="40"/>
              <w:jc w:val="center"/>
              <w:rPr>
                <w:b w:val="0"/>
                <w:bCs/>
                <w:color w:val="000000"/>
                <w:sz w:val="17"/>
                <w:szCs w:val="17"/>
              </w:rPr>
            </w:pPr>
            <w:r w:rsidRPr="001D1A6F">
              <w:rPr>
                <w:b w:val="0"/>
                <w:bCs/>
                <w:color w:val="000000"/>
                <w:sz w:val="17"/>
                <w:szCs w:val="17"/>
              </w:rPr>
              <w:t>8:00 am</w:t>
            </w:r>
          </w:p>
        </w:tc>
        <w:tc>
          <w:tcPr>
            <w:tcW w:w="635" w:type="pct"/>
            <w:shd w:val="clear" w:color="auto" w:fill="auto"/>
            <w:noWrap/>
            <w:vAlign w:val="center"/>
            <w:hideMark/>
          </w:tcPr>
          <w:p w14:paraId="3D67034B" w14:textId="77777777" w:rsidR="001D1A6F" w:rsidRPr="001D1A6F" w:rsidRDefault="001D1A6F" w:rsidP="009C6A19">
            <w:pPr>
              <w:pStyle w:val="TableBodyText"/>
              <w:spacing w:before="40" w:after="40"/>
              <w:jc w:val="center"/>
              <w:rPr>
                <w:b w:val="0"/>
                <w:bCs/>
                <w:color w:val="000000"/>
                <w:sz w:val="17"/>
                <w:szCs w:val="17"/>
              </w:rPr>
            </w:pPr>
            <w:r w:rsidRPr="001D1A6F">
              <w:rPr>
                <w:b w:val="0"/>
                <w:bCs/>
                <w:color w:val="000000"/>
                <w:sz w:val="17"/>
                <w:szCs w:val="17"/>
              </w:rPr>
              <w:t>3-4:00 pm</w:t>
            </w:r>
          </w:p>
        </w:tc>
        <w:tc>
          <w:tcPr>
            <w:tcW w:w="524" w:type="pct"/>
            <w:vMerge/>
            <w:shd w:val="clear" w:color="auto" w:fill="FFFFFF" w:themeFill="background1"/>
          </w:tcPr>
          <w:p w14:paraId="424706DF" w14:textId="77777777" w:rsidR="001D1A6F" w:rsidRPr="001D1A6F" w:rsidRDefault="001D1A6F" w:rsidP="009C6A19">
            <w:pPr>
              <w:pStyle w:val="TableBodyText"/>
              <w:spacing w:before="40" w:after="40"/>
              <w:jc w:val="center"/>
              <w:rPr>
                <w:b w:val="0"/>
                <w:bCs/>
                <w:color w:val="000000"/>
                <w:sz w:val="17"/>
                <w:szCs w:val="17"/>
              </w:rPr>
            </w:pPr>
          </w:p>
        </w:tc>
        <w:tc>
          <w:tcPr>
            <w:tcW w:w="560" w:type="pct"/>
            <w:vMerge/>
            <w:shd w:val="clear" w:color="auto" w:fill="FFFFFF" w:themeFill="background1"/>
            <w:vAlign w:val="center"/>
            <w:hideMark/>
          </w:tcPr>
          <w:p w14:paraId="33F61AC1" w14:textId="05E877C2" w:rsidR="001D1A6F" w:rsidRPr="001D1A6F" w:rsidRDefault="001D1A6F" w:rsidP="009C6A19">
            <w:pPr>
              <w:pStyle w:val="TableBodyText"/>
              <w:spacing w:before="40" w:after="40"/>
              <w:jc w:val="center"/>
              <w:rPr>
                <w:b w:val="0"/>
                <w:bCs/>
                <w:color w:val="000000"/>
                <w:sz w:val="17"/>
                <w:szCs w:val="17"/>
              </w:rPr>
            </w:pPr>
          </w:p>
        </w:tc>
        <w:tc>
          <w:tcPr>
            <w:tcW w:w="463" w:type="pct"/>
            <w:vMerge/>
            <w:shd w:val="clear" w:color="auto" w:fill="FFFFFF" w:themeFill="background1"/>
            <w:vAlign w:val="center"/>
            <w:hideMark/>
          </w:tcPr>
          <w:p w14:paraId="036D3509" w14:textId="77777777" w:rsidR="001D1A6F" w:rsidRPr="001D1A6F" w:rsidRDefault="001D1A6F" w:rsidP="009C6A19">
            <w:pPr>
              <w:pStyle w:val="TableBodyText"/>
              <w:spacing w:before="40" w:after="40"/>
              <w:jc w:val="center"/>
              <w:rPr>
                <w:b w:val="0"/>
                <w:bCs/>
                <w:color w:val="000000"/>
                <w:sz w:val="17"/>
                <w:szCs w:val="17"/>
              </w:rPr>
            </w:pPr>
          </w:p>
        </w:tc>
        <w:tc>
          <w:tcPr>
            <w:tcW w:w="635" w:type="pct"/>
            <w:vMerge/>
            <w:shd w:val="clear" w:color="auto" w:fill="FFFFFF" w:themeFill="background1"/>
            <w:vAlign w:val="center"/>
            <w:hideMark/>
          </w:tcPr>
          <w:p w14:paraId="0F98425C" w14:textId="77777777" w:rsidR="001D1A6F" w:rsidRPr="001D1A6F" w:rsidRDefault="001D1A6F" w:rsidP="009C6A19">
            <w:pPr>
              <w:pStyle w:val="TableBodyText"/>
              <w:spacing w:before="40" w:after="40"/>
              <w:jc w:val="center"/>
              <w:rPr>
                <w:b w:val="0"/>
                <w:bCs/>
                <w:color w:val="000000"/>
                <w:sz w:val="17"/>
                <w:szCs w:val="17"/>
              </w:rPr>
            </w:pPr>
          </w:p>
        </w:tc>
        <w:tc>
          <w:tcPr>
            <w:tcW w:w="549" w:type="pct"/>
            <w:vMerge/>
            <w:shd w:val="clear" w:color="auto" w:fill="FFFFFF" w:themeFill="background1"/>
          </w:tcPr>
          <w:p w14:paraId="114CCB30" w14:textId="77777777" w:rsidR="001D1A6F" w:rsidRPr="001D1A6F" w:rsidRDefault="001D1A6F" w:rsidP="009C6A19">
            <w:pPr>
              <w:pStyle w:val="TableBodyText"/>
              <w:spacing w:before="40" w:after="40"/>
              <w:jc w:val="center"/>
              <w:rPr>
                <w:b w:val="0"/>
                <w:bCs/>
                <w:color w:val="000000"/>
                <w:sz w:val="17"/>
                <w:szCs w:val="17"/>
              </w:rPr>
            </w:pPr>
          </w:p>
        </w:tc>
        <w:tc>
          <w:tcPr>
            <w:tcW w:w="513" w:type="pct"/>
            <w:vMerge/>
            <w:shd w:val="clear" w:color="auto" w:fill="FFFFFF" w:themeFill="background1"/>
          </w:tcPr>
          <w:p w14:paraId="696DF98D" w14:textId="77777777" w:rsidR="001D1A6F" w:rsidRPr="001D1A6F" w:rsidRDefault="001D1A6F" w:rsidP="009C6A19">
            <w:pPr>
              <w:pStyle w:val="TableBodyText"/>
              <w:spacing w:before="40" w:after="40"/>
              <w:jc w:val="center"/>
              <w:rPr>
                <w:b w:val="0"/>
                <w:bCs/>
                <w:color w:val="000000"/>
                <w:sz w:val="17"/>
                <w:szCs w:val="17"/>
              </w:rPr>
            </w:pPr>
          </w:p>
        </w:tc>
      </w:tr>
      <w:tr w:rsidR="001D1A6F" w:rsidRPr="001D1A6F" w14:paraId="1E53F6C3" w14:textId="3B0B8185" w:rsidTr="009C6A19">
        <w:trPr>
          <w:cnfStyle w:val="100000000000" w:firstRow="1" w:lastRow="0" w:firstColumn="0" w:lastColumn="0" w:oddVBand="0" w:evenVBand="0" w:oddHBand="0" w:evenHBand="0" w:firstRowFirstColumn="0" w:firstRowLastColumn="0" w:lastRowFirstColumn="0" w:lastRowLastColumn="0"/>
          <w:cantSplit/>
          <w:tblHeader/>
        </w:trPr>
        <w:tc>
          <w:tcPr>
            <w:tcW w:w="549" w:type="pct"/>
            <w:shd w:val="clear" w:color="auto" w:fill="auto"/>
            <w:noWrap/>
            <w:hideMark/>
          </w:tcPr>
          <w:p w14:paraId="4881BB75" w14:textId="4D44479C" w:rsidR="001D1A6F" w:rsidRPr="001D1A6F" w:rsidRDefault="001D1A6F" w:rsidP="009C6A19">
            <w:pPr>
              <w:pStyle w:val="TableBodyText"/>
              <w:spacing w:before="40" w:after="40"/>
              <w:rPr>
                <w:b w:val="0"/>
                <w:bCs/>
                <w:color w:val="000000"/>
                <w:sz w:val="17"/>
                <w:szCs w:val="17"/>
              </w:rPr>
            </w:pPr>
            <w:r w:rsidRPr="001D1A6F">
              <w:rPr>
                <w:b w:val="0"/>
                <w:bCs/>
                <w:color w:val="000000"/>
                <w:sz w:val="17"/>
                <w:szCs w:val="17"/>
              </w:rPr>
              <w:t>Tas</w:t>
            </w:r>
          </w:p>
        </w:tc>
        <w:tc>
          <w:tcPr>
            <w:tcW w:w="572" w:type="pct"/>
            <w:shd w:val="clear" w:color="auto" w:fill="auto"/>
            <w:noWrap/>
            <w:vAlign w:val="center"/>
            <w:hideMark/>
          </w:tcPr>
          <w:p w14:paraId="34015983" w14:textId="77777777" w:rsidR="001D1A6F" w:rsidRPr="001D1A6F" w:rsidRDefault="001D1A6F" w:rsidP="009C6A19">
            <w:pPr>
              <w:pStyle w:val="TableBodyText"/>
              <w:spacing w:before="40" w:after="40"/>
              <w:jc w:val="center"/>
              <w:rPr>
                <w:b w:val="0"/>
                <w:bCs/>
                <w:color w:val="000000"/>
                <w:sz w:val="17"/>
                <w:szCs w:val="17"/>
              </w:rPr>
            </w:pPr>
            <w:r w:rsidRPr="001D1A6F">
              <w:rPr>
                <w:b w:val="0"/>
                <w:bCs/>
                <w:color w:val="000000"/>
                <w:sz w:val="17"/>
                <w:szCs w:val="17"/>
              </w:rPr>
              <w:t>6:30 am</w:t>
            </w:r>
          </w:p>
        </w:tc>
        <w:tc>
          <w:tcPr>
            <w:tcW w:w="635" w:type="pct"/>
            <w:shd w:val="clear" w:color="auto" w:fill="auto"/>
            <w:noWrap/>
            <w:vAlign w:val="center"/>
            <w:hideMark/>
          </w:tcPr>
          <w:p w14:paraId="008E790E" w14:textId="77777777" w:rsidR="001D1A6F" w:rsidRPr="001D1A6F" w:rsidRDefault="001D1A6F" w:rsidP="009C6A19">
            <w:pPr>
              <w:pStyle w:val="TableBodyText"/>
              <w:spacing w:before="40" w:after="40"/>
              <w:jc w:val="center"/>
              <w:rPr>
                <w:b w:val="0"/>
                <w:bCs/>
                <w:color w:val="000000"/>
                <w:sz w:val="17"/>
                <w:szCs w:val="17"/>
              </w:rPr>
            </w:pPr>
            <w:r w:rsidRPr="001D1A6F">
              <w:rPr>
                <w:b w:val="0"/>
                <w:bCs/>
                <w:color w:val="000000"/>
                <w:sz w:val="17"/>
                <w:szCs w:val="17"/>
              </w:rPr>
              <w:t>1:30 pm</w:t>
            </w:r>
          </w:p>
        </w:tc>
        <w:tc>
          <w:tcPr>
            <w:tcW w:w="524" w:type="pct"/>
            <w:vMerge/>
            <w:shd w:val="clear" w:color="auto" w:fill="FFFFFF" w:themeFill="background1"/>
          </w:tcPr>
          <w:p w14:paraId="4D0F1DD0" w14:textId="77777777" w:rsidR="001D1A6F" w:rsidRPr="001D1A6F" w:rsidRDefault="001D1A6F" w:rsidP="009C6A19">
            <w:pPr>
              <w:pStyle w:val="TableBodyText"/>
              <w:spacing w:before="40" w:after="40"/>
              <w:jc w:val="center"/>
              <w:rPr>
                <w:b w:val="0"/>
                <w:bCs/>
                <w:color w:val="000000"/>
                <w:sz w:val="17"/>
                <w:szCs w:val="17"/>
              </w:rPr>
            </w:pPr>
          </w:p>
        </w:tc>
        <w:tc>
          <w:tcPr>
            <w:tcW w:w="560" w:type="pct"/>
            <w:vMerge/>
            <w:shd w:val="clear" w:color="auto" w:fill="FFFFFF" w:themeFill="background1"/>
            <w:vAlign w:val="center"/>
            <w:hideMark/>
          </w:tcPr>
          <w:p w14:paraId="74C6B86B" w14:textId="39DF7819" w:rsidR="001D1A6F" w:rsidRPr="001D1A6F" w:rsidRDefault="001D1A6F" w:rsidP="009C6A19">
            <w:pPr>
              <w:pStyle w:val="TableBodyText"/>
              <w:spacing w:before="40" w:after="40"/>
              <w:jc w:val="center"/>
              <w:rPr>
                <w:b w:val="0"/>
                <w:bCs/>
                <w:color w:val="000000"/>
                <w:sz w:val="17"/>
                <w:szCs w:val="17"/>
              </w:rPr>
            </w:pPr>
          </w:p>
        </w:tc>
        <w:tc>
          <w:tcPr>
            <w:tcW w:w="463" w:type="pct"/>
            <w:vMerge/>
            <w:shd w:val="clear" w:color="auto" w:fill="FFFFFF" w:themeFill="background1"/>
            <w:vAlign w:val="center"/>
            <w:hideMark/>
          </w:tcPr>
          <w:p w14:paraId="069DD2C4" w14:textId="77777777" w:rsidR="001D1A6F" w:rsidRPr="001D1A6F" w:rsidRDefault="001D1A6F" w:rsidP="009C6A19">
            <w:pPr>
              <w:pStyle w:val="TableBodyText"/>
              <w:spacing w:before="40" w:after="40"/>
              <w:jc w:val="center"/>
              <w:rPr>
                <w:b w:val="0"/>
                <w:bCs/>
                <w:color w:val="000000"/>
                <w:sz w:val="17"/>
                <w:szCs w:val="17"/>
              </w:rPr>
            </w:pPr>
          </w:p>
        </w:tc>
        <w:tc>
          <w:tcPr>
            <w:tcW w:w="635" w:type="pct"/>
            <w:vMerge/>
            <w:shd w:val="clear" w:color="auto" w:fill="FFFFFF" w:themeFill="background1"/>
            <w:vAlign w:val="center"/>
            <w:hideMark/>
          </w:tcPr>
          <w:p w14:paraId="6FAB6BD0" w14:textId="77777777" w:rsidR="001D1A6F" w:rsidRPr="001D1A6F" w:rsidRDefault="001D1A6F" w:rsidP="009C6A19">
            <w:pPr>
              <w:pStyle w:val="TableBodyText"/>
              <w:spacing w:before="40" w:after="40"/>
              <w:jc w:val="center"/>
              <w:rPr>
                <w:b w:val="0"/>
                <w:bCs/>
                <w:color w:val="000000"/>
                <w:sz w:val="17"/>
                <w:szCs w:val="17"/>
              </w:rPr>
            </w:pPr>
          </w:p>
        </w:tc>
        <w:tc>
          <w:tcPr>
            <w:tcW w:w="549" w:type="pct"/>
            <w:vMerge/>
            <w:shd w:val="clear" w:color="auto" w:fill="FFFFFF" w:themeFill="background1"/>
          </w:tcPr>
          <w:p w14:paraId="21D39507" w14:textId="77777777" w:rsidR="001D1A6F" w:rsidRPr="001D1A6F" w:rsidRDefault="001D1A6F" w:rsidP="009C6A19">
            <w:pPr>
              <w:pStyle w:val="TableBodyText"/>
              <w:spacing w:before="40" w:after="40"/>
              <w:jc w:val="center"/>
              <w:rPr>
                <w:b w:val="0"/>
                <w:bCs/>
                <w:color w:val="000000"/>
                <w:sz w:val="17"/>
                <w:szCs w:val="17"/>
              </w:rPr>
            </w:pPr>
          </w:p>
        </w:tc>
        <w:tc>
          <w:tcPr>
            <w:tcW w:w="513" w:type="pct"/>
            <w:vMerge/>
            <w:shd w:val="clear" w:color="auto" w:fill="FFFFFF" w:themeFill="background1"/>
          </w:tcPr>
          <w:p w14:paraId="4374A95A" w14:textId="77777777" w:rsidR="001D1A6F" w:rsidRPr="001D1A6F" w:rsidRDefault="001D1A6F" w:rsidP="009C6A19">
            <w:pPr>
              <w:pStyle w:val="TableBodyText"/>
              <w:spacing w:before="40" w:after="40"/>
              <w:jc w:val="center"/>
              <w:rPr>
                <w:b w:val="0"/>
                <w:bCs/>
                <w:color w:val="000000"/>
                <w:sz w:val="17"/>
                <w:szCs w:val="17"/>
              </w:rPr>
            </w:pPr>
          </w:p>
        </w:tc>
      </w:tr>
      <w:tr w:rsidR="001D1A6F" w:rsidRPr="001D1A6F" w14:paraId="7B3B3DAB" w14:textId="6D91B9F5" w:rsidTr="009C6A19">
        <w:trPr>
          <w:cnfStyle w:val="100000000000" w:firstRow="1" w:lastRow="0" w:firstColumn="0" w:lastColumn="0" w:oddVBand="0" w:evenVBand="0" w:oddHBand="0" w:evenHBand="0" w:firstRowFirstColumn="0" w:firstRowLastColumn="0" w:lastRowFirstColumn="0" w:lastRowLastColumn="0"/>
          <w:cantSplit/>
          <w:tblHeader/>
        </w:trPr>
        <w:tc>
          <w:tcPr>
            <w:tcW w:w="549" w:type="pct"/>
            <w:shd w:val="clear" w:color="auto" w:fill="auto"/>
            <w:noWrap/>
          </w:tcPr>
          <w:p w14:paraId="162E5568" w14:textId="340F6352" w:rsidR="001D1A6F" w:rsidRPr="001D1A6F" w:rsidRDefault="001D1A6F" w:rsidP="009C6A19">
            <w:pPr>
              <w:pStyle w:val="TableBodyText"/>
              <w:spacing w:before="40" w:after="40"/>
              <w:rPr>
                <w:b w:val="0"/>
                <w:bCs/>
                <w:color w:val="000000"/>
                <w:sz w:val="17"/>
                <w:szCs w:val="17"/>
              </w:rPr>
            </w:pPr>
            <w:r w:rsidRPr="001D1A6F">
              <w:rPr>
                <w:b w:val="0"/>
                <w:bCs/>
                <w:color w:val="000000"/>
                <w:sz w:val="17"/>
                <w:szCs w:val="17"/>
              </w:rPr>
              <w:t>NT</w:t>
            </w:r>
          </w:p>
        </w:tc>
        <w:tc>
          <w:tcPr>
            <w:tcW w:w="572" w:type="pct"/>
            <w:shd w:val="clear" w:color="auto" w:fill="auto"/>
            <w:noWrap/>
            <w:vAlign w:val="center"/>
          </w:tcPr>
          <w:p w14:paraId="0A8F43F6" w14:textId="77777777" w:rsidR="001D1A6F" w:rsidRPr="001D1A6F" w:rsidRDefault="001D1A6F" w:rsidP="009C6A19">
            <w:pPr>
              <w:pStyle w:val="TableBodyText"/>
              <w:spacing w:before="40" w:after="40"/>
              <w:jc w:val="center"/>
              <w:rPr>
                <w:b w:val="0"/>
                <w:bCs/>
                <w:color w:val="000000"/>
                <w:sz w:val="17"/>
                <w:szCs w:val="17"/>
              </w:rPr>
            </w:pPr>
            <w:r w:rsidRPr="001D1A6F">
              <w:rPr>
                <w:b w:val="0"/>
                <w:bCs/>
                <w:color w:val="000000"/>
                <w:sz w:val="17"/>
                <w:szCs w:val="17"/>
              </w:rPr>
              <w:t>8.30 am</w:t>
            </w:r>
          </w:p>
        </w:tc>
        <w:tc>
          <w:tcPr>
            <w:tcW w:w="635" w:type="pct"/>
            <w:shd w:val="clear" w:color="auto" w:fill="auto"/>
            <w:noWrap/>
            <w:vAlign w:val="center"/>
          </w:tcPr>
          <w:p w14:paraId="64055531" w14:textId="77777777" w:rsidR="001D1A6F" w:rsidRPr="001D1A6F" w:rsidRDefault="001D1A6F" w:rsidP="009C6A19">
            <w:pPr>
              <w:pStyle w:val="TableBodyText"/>
              <w:spacing w:before="40" w:after="40"/>
              <w:jc w:val="center"/>
              <w:rPr>
                <w:b w:val="0"/>
                <w:bCs/>
                <w:color w:val="000000"/>
                <w:sz w:val="17"/>
                <w:szCs w:val="17"/>
              </w:rPr>
            </w:pPr>
            <w:r w:rsidRPr="001D1A6F">
              <w:rPr>
                <w:b w:val="0"/>
                <w:bCs/>
                <w:color w:val="000000"/>
                <w:sz w:val="17"/>
                <w:szCs w:val="17"/>
              </w:rPr>
              <w:t>2-2:30 pm</w:t>
            </w:r>
          </w:p>
        </w:tc>
        <w:tc>
          <w:tcPr>
            <w:tcW w:w="524" w:type="pct"/>
            <w:vMerge/>
            <w:shd w:val="clear" w:color="auto" w:fill="FFFFFF" w:themeFill="background1"/>
          </w:tcPr>
          <w:p w14:paraId="51D0B80D" w14:textId="77777777" w:rsidR="001D1A6F" w:rsidRPr="001D1A6F" w:rsidRDefault="001D1A6F" w:rsidP="009C6A19">
            <w:pPr>
              <w:pStyle w:val="TableBodyText"/>
              <w:spacing w:before="40" w:after="40"/>
              <w:jc w:val="center"/>
              <w:rPr>
                <w:b w:val="0"/>
                <w:bCs/>
                <w:color w:val="000000"/>
                <w:sz w:val="17"/>
                <w:szCs w:val="17"/>
              </w:rPr>
            </w:pPr>
          </w:p>
        </w:tc>
        <w:tc>
          <w:tcPr>
            <w:tcW w:w="560" w:type="pct"/>
            <w:vMerge/>
            <w:shd w:val="clear" w:color="auto" w:fill="FFFFFF" w:themeFill="background1"/>
            <w:vAlign w:val="center"/>
          </w:tcPr>
          <w:p w14:paraId="3BA21470" w14:textId="57F7A062" w:rsidR="001D1A6F" w:rsidRPr="001D1A6F" w:rsidRDefault="001D1A6F" w:rsidP="009C6A19">
            <w:pPr>
              <w:pStyle w:val="TableBodyText"/>
              <w:spacing w:before="40" w:after="40"/>
              <w:jc w:val="center"/>
              <w:rPr>
                <w:b w:val="0"/>
                <w:bCs/>
                <w:color w:val="000000"/>
                <w:sz w:val="17"/>
                <w:szCs w:val="17"/>
              </w:rPr>
            </w:pPr>
          </w:p>
        </w:tc>
        <w:tc>
          <w:tcPr>
            <w:tcW w:w="463" w:type="pct"/>
            <w:vMerge/>
            <w:shd w:val="clear" w:color="auto" w:fill="FFFFFF" w:themeFill="background1"/>
            <w:vAlign w:val="center"/>
          </w:tcPr>
          <w:p w14:paraId="53F6EC25" w14:textId="77777777" w:rsidR="001D1A6F" w:rsidRPr="001D1A6F" w:rsidRDefault="001D1A6F" w:rsidP="009C6A19">
            <w:pPr>
              <w:pStyle w:val="TableBodyText"/>
              <w:spacing w:before="40" w:after="40"/>
              <w:jc w:val="center"/>
              <w:rPr>
                <w:b w:val="0"/>
                <w:bCs/>
                <w:color w:val="000000"/>
                <w:sz w:val="17"/>
                <w:szCs w:val="17"/>
              </w:rPr>
            </w:pPr>
          </w:p>
        </w:tc>
        <w:tc>
          <w:tcPr>
            <w:tcW w:w="635" w:type="pct"/>
            <w:vMerge/>
            <w:shd w:val="clear" w:color="auto" w:fill="FFFFFF" w:themeFill="background1"/>
            <w:vAlign w:val="center"/>
          </w:tcPr>
          <w:p w14:paraId="42CE3104" w14:textId="77777777" w:rsidR="001D1A6F" w:rsidRPr="001D1A6F" w:rsidRDefault="001D1A6F" w:rsidP="009C6A19">
            <w:pPr>
              <w:pStyle w:val="TableBodyText"/>
              <w:spacing w:before="40" w:after="40"/>
              <w:jc w:val="center"/>
              <w:rPr>
                <w:b w:val="0"/>
                <w:bCs/>
                <w:color w:val="000000"/>
                <w:sz w:val="17"/>
                <w:szCs w:val="17"/>
              </w:rPr>
            </w:pPr>
          </w:p>
        </w:tc>
        <w:tc>
          <w:tcPr>
            <w:tcW w:w="549" w:type="pct"/>
            <w:vMerge/>
            <w:shd w:val="clear" w:color="auto" w:fill="FFFFFF" w:themeFill="background1"/>
          </w:tcPr>
          <w:p w14:paraId="695F8678" w14:textId="77777777" w:rsidR="001D1A6F" w:rsidRPr="001D1A6F" w:rsidRDefault="001D1A6F" w:rsidP="009C6A19">
            <w:pPr>
              <w:pStyle w:val="TableBodyText"/>
              <w:spacing w:before="40" w:after="40"/>
              <w:jc w:val="center"/>
              <w:rPr>
                <w:b w:val="0"/>
                <w:bCs/>
                <w:color w:val="000000"/>
                <w:sz w:val="17"/>
                <w:szCs w:val="17"/>
              </w:rPr>
            </w:pPr>
          </w:p>
        </w:tc>
        <w:tc>
          <w:tcPr>
            <w:tcW w:w="513" w:type="pct"/>
            <w:vMerge/>
            <w:shd w:val="clear" w:color="auto" w:fill="FFFFFF" w:themeFill="background1"/>
          </w:tcPr>
          <w:p w14:paraId="0A97EB29" w14:textId="77777777" w:rsidR="001D1A6F" w:rsidRPr="001D1A6F" w:rsidRDefault="001D1A6F" w:rsidP="009C6A19">
            <w:pPr>
              <w:pStyle w:val="TableBodyText"/>
              <w:spacing w:before="40" w:after="40"/>
              <w:jc w:val="center"/>
              <w:rPr>
                <w:b w:val="0"/>
                <w:bCs/>
                <w:color w:val="000000"/>
                <w:sz w:val="17"/>
                <w:szCs w:val="17"/>
              </w:rPr>
            </w:pPr>
          </w:p>
        </w:tc>
      </w:tr>
      <w:tr w:rsidR="009C6A19" w:rsidRPr="001D1A6F" w14:paraId="0201D0D4" w14:textId="012540D1" w:rsidTr="009C6A19">
        <w:trPr>
          <w:cnfStyle w:val="100000000000" w:firstRow="1" w:lastRow="0" w:firstColumn="0" w:lastColumn="0" w:oddVBand="0" w:evenVBand="0" w:oddHBand="0" w:evenHBand="0" w:firstRowFirstColumn="0" w:firstRowLastColumn="0" w:lastRowFirstColumn="0" w:lastRowLastColumn="0"/>
          <w:cantSplit/>
          <w:tblHeader/>
        </w:trPr>
        <w:tc>
          <w:tcPr>
            <w:tcW w:w="549" w:type="pct"/>
            <w:tcBorders>
              <w:bottom w:val="single" w:sz="4" w:space="0" w:color="auto"/>
            </w:tcBorders>
            <w:shd w:val="clear" w:color="auto" w:fill="auto"/>
            <w:noWrap/>
            <w:hideMark/>
          </w:tcPr>
          <w:p w14:paraId="2AB9B372" w14:textId="6404423B" w:rsidR="001D1A6F" w:rsidRPr="001D1A6F" w:rsidRDefault="001D1A6F" w:rsidP="009C6A19">
            <w:pPr>
              <w:pStyle w:val="TableBodyText"/>
              <w:spacing w:before="40" w:after="40"/>
              <w:rPr>
                <w:b w:val="0"/>
                <w:bCs/>
                <w:color w:val="000000"/>
                <w:sz w:val="17"/>
                <w:szCs w:val="17"/>
              </w:rPr>
            </w:pPr>
            <w:r w:rsidRPr="001D1A6F">
              <w:rPr>
                <w:b w:val="0"/>
                <w:bCs/>
                <w:color w:val="000000"/>
                <w:sz w:val="17"/>
                <w:szCs w:val="17"/>
              </w:rPr>
              <w:t>Vic</w:t>
            </w:r>
            <w:r w:rsidR="0065529C">
              <w:rPr>
                <w:b w:val="0"/>
                <w:bCs/>
                <w:color w:val="000000"/>
                <w:sz w:val="17"/>
                <w:szCs w:val="17"/>
              </w:rPr>
              <w:t xml:space="preserve"> (DTS)</w:t>
            </w:r>
          </w:p>
        </w:tc>
        <w:tc>
          <w:tcPr>
            <w:tcW w:w="572" w:type="pct"/>
            <w:tcBorders>
              <w:bottom w:val="single" w:sz="4" w:space="0" w:color="auto"/>
            </w:tcBorders>
            <w:shd w:val="clear" w:color="auto" w:fill="auto"/>
            <w:noWrap/>
            <w:vAlign w:val="center"/>
            <w:hideMark/>
          </w:tcPr>
          <w:p w14:paraId="3125ECAA" w14:textId="77777777" w:rsidR="001D1A6F" w:rsidRPr="001D1A6F" w:rsidRDefault="001D1A6F" w:rsidP="009C6A19">
            <w:pPr>
              <w:pStyle w:val="TableBodyText"/>
              <w:spacing w:before="40" w:after="40"/>
              <w:jc w:val="center"/>
              <w:rPr>
                <w:b w:val="0"/>
                <w:bCs/>
                <w:color w:val="000000"/>
                <w:sz w:val="17"/>
                <w:szCs w:val="17"/>
              </w:rPr>
            </w:pPr>
            <w:r w:rsidRPr="001D1A6F">
              <w:rPr>
                <w:b w:val="0"/>
                <w:bCs/>
                <w:color w:val="000000"/>
                <w:sz w:val="17"/>
                <w:szCs w:val="17"/>
              </w:rPr>
              <w:t>6:00 am</w:t>
            </w:r>
          </w:p>
        </w:tc>
        <w:tc>
          <w:tcPr>
            <w:tcW w:w="635" w:type="pct"/>
            <w:tcBorders>
              <w:bottom w:val="single" w:sz="4" w:space="0" w:color="auto"/>
            </w:tcBorders>
            <w:shd w:val="clear" w:color="auto" w:fill="auto"/>
            <w:noWrap/>
            <w:vAlign w:val="center"/>
            <w:hideMark/>
          </w:tcPr>
          <w:p w14:paraId="4FBAF0E7" w14:textId="77777777" w:rsidR="001D1A6F" w:rsidRPr="001D1A6F" w:rsidRDefault="001D1A6F" w:rsidP="009C6A19">
            <w:pPr>
              <w:pStyle w:val="TableBodyText"/>
              <w:spacing w:before="40" w:after="40"/>
              <w:jc w:val="center"/>
              <w:rPr>
                <w:b w:val="0"/>
                <w:bCs/>
                <w:color w:val="000000"/>
                <w:sz w:val="17"/>
                <w:szCs w:val="17"/>
              </w:rPr>
            </w:pPr>
            <w:proofErr w:type="spellStart"/>
            <w:r w:rsidRPr="001D1A6F">
              <w:rPr>
                <w:b w:val="0"/>
                <w:bCs/>
                <w:color w:val="000000"/>
                <w:sz w:val="17"/>
                <w:szCs w:val="17"/>
              </w:rPr>
              <w:t>n.a</w:t>
            </w:r>
            <w:proofErr w:type="spellEnd"/>
            <w:r w:rsidRPr="001D1A6F">
              <w:rPr>
                <w:b w:val="0"/>
                <w:bCs/>
                <w:color w:val="000000"/>
                <w:sz w:val="17"/>
                <w:szCs w:val="17"/>
              </w:rPr>
              <w:t>.</w:t>
            </w:r>
          </w:p>
        </w:tc>
        <w:tc>
          <w:tcPr>
            <w:tcW w:w="524" w:type="pct"/>
            <w:tcBorders>
              <w:bottom w:val="single" w:sz="4" w:space="0" w:color="auto"/>
            </w:tcBorders>
            <w:shd w:val="clear" w:color="auto" w:fill="FFFFFF" w:themeFill="background1"/>
          </w:tcPr>
          <w:p w14:paraId="3FB3AC47" w14:textId="7B0859C4" w:rsidR="001D1A6F" w:rsidRPr="001D1A6F" w:rsidRDefault="001D1A6F" w:rsidP="009C6A19">
            <w:pPr>
              <w:pStyle w:val="TableBodyText"/>
              <w:spacing w:before="40" w:after="40"/>
              <w:jc w:val="center"/>
              <w:rPr>
                <w:b w:val="0"/>
                <w:bCs/>
                <w:color w:val="000000"/>
                <w:sz w:val="17"/>
                <w:szCs w:val="17"/>
              </w:rPr>
            </w:pPr>
            <w:proofErr w:type="spellStart"/>
            <w:r w:rsidRPr="001D1A6F">
              <w:rPr>
                <w:b w:val="0"/>
                <w:bCs/>
                <w:color w:val="000000"/>
                <w:sz w:val="17"/>
                <w:szCs w:val="17"/>
              </w:rPr>
              <w:t>n.a</w:t>
            </w:r>
            <w:proofErr w:type="spellEnd"/>
            <w:r w:rsidRPr="001D1A6F">
              <w:rPr>
                <w:b w:val="0"/>
                <w:bCs/>
                <w:color w:val="000000"/>
                <w:sz w:val="17"/>
                <w:szCs w:val="17"/>
              </w:rPr>
              <w:t>.</w:t>
            </w:r>
          </w:p>
        </w:tc>
        <w:tc>
          <w:tcPr>
            <w:tcW w:w="560" w:type="pct"/>
            <w:tcBorders>
              <w:bottom w:val="single" w:sz="4" w:space="0" w:color="auto"/>
            </w:tcBorders>
            <w:shd w:val="clear" w:color="auto" w:fill="FFFFFF" w:themeFill="background1"/>
            <w:noWrap/>
            <w:vAlign w:val="center"/>
            <w:hideMark/>
          </w:tcPr>
          <w:p w14:paraId="51B8B8EA" w14:textId="4F31AC81" w:rsidR="001D1A6F" w:rsidRPr="001D1A6F" w:rsidRDefault="001D1A6F" w:rsidP="009C6A19">
            <w:pPr>
              <w:pStyle w:val="TableBodyText"/>
              <w:spacing w:before="40" w:after="40"/>
              <w:jc w:val="center"/>
              <w:rPr>
                <w:b w:val="0"/>
                <w:bCs/>
                <w:color w:val="000000"/>
                <w:sz w:val="17"/>
                <w:szCs w:val="17"/>
              </w:rPr>
            </w:pPr>
            <w:proofErr w:type="spellStart"/>
            <w:r w:rsidRPr="001D1A6F">
              <w:rPr>
                <w:b w:val="0"/>
                <w:bCs/>
                <w:color w:val="000000"/>
                <w:sz w:val="17"/>
                <w:szCs w:val="17"/>
              </w:rPr>
              <w:t>n.a</w:t>
            </w:r>
            <w:proofErr w:type="spellEnd"/>
            <w:r w:rsidRPr="001D1A6F">
              <w:rPr>
                <w:b w:val="0"/>
                <w:bCs/>
                <w:color w:val="000000"/>
                <w:sz w:val="17"/>
                <w:szCs w:val="17"/>
              </w:rPr>
              <w:t>.</w:t>
            </w:r>
          </w:p>
        </w:tc>
        <w:tc>
          <w:tcPr>
            <w:tcW w:w="463" w:type="pct"/>
            <w:tcBorders>
              <w:bottom w:val="single" w:sz="4" w:space="0" w:color="auto"/>
            </w:tcBorders>
            <w:shd w:val="clear" w:color="auto" w:fill="FFFFFF" w:themeFill="background1"/>
            <w:noWrap/>
            <w:vAlign w:val="center"/>
            <w:hideMark/>
          </w:tcPr>
          <w:p w14:paraId="369AD189" w14:textId="77777777" w:rsidR="001D1A6F" w:rsidRPr="001D1A6F" w:rsidRDefault="001D1A6F" w:rsidP="009C6A19">
            <w:pPr>
              <w:pStyle w:val="TableBodyText"/>
              <w:spacing w:before="40" w:after="40"/>
              <w:jc w:val="center"/>
              <w:rPr>
                <w:b w:val="0"/>
                <w:bCs/>
                <w:color w:val="000000"/>
                <w:sz w:val="17"/>
                <w:szCs w:val="17"/>
              </w:rPr>
            </w:pPr>
            <w:proofErr w:type="spellStart"/>
            <w:r w:rsidRPr="001D1A6F">
              <w:rPr>
                <w:b w:val="0"/>
                <w:bCs/>
                <w:color w:val="000000"/>
                <w:sz w:val="17"/>
                <w:szCs w:val="17"/>
              </w:rPr>
              <w:t>n.a</w:t>
            </w:r>
            <w:proofErr w:type="spellEnd"/>
            <w:r w:rsidRPr="001D1A6F">
              <w:rPr>
                <w:b w:val="0"/>
                <w:bCs/>
                <w:color w:val="000000"/>
                <w:sz w:val="17"/>
                <w:szCs w:val="17"/>
              </w:rPr>
              <w:t>.</w:t>
            </w:r>
          </w:p>
        </w:tc>
        <w:tc>
          <w:tcPr>
            <w:tcW w:w="635" w:type="pct"/>
            <w:tcBorders>
              <w:bottom w:val="single" w:sz="4" w:space="0" w:color="auto"/>
            </w:tcBorders>
            <w:shd w:val="clear" w:color="auto" w:fill="FFFFFF" w:themeFill="background1"/>
            <w:noWrap/>
            <w:vAlign w:val="center"/>
            <w:hideMark/>
          </w:tcPr>
          <w:p w14:paraId="6C653727" w14:textId="77777777" w:rsidR="001D1A6F" w:rsidRPr="001D1A6F" w:rsidRDefault="001D1A6F" w:rsidP="009C6A19">
            <w:pPr>
              <w:pStyle w:val="TableBodyText"/>
              <w:spacing w:before="40" w:after="40"/>
              <w:jc w:val="center"/>
              <w:rPr>
                <w:b w:val="0"/>
                <w:bCs/>
                <w:color w:val="000000"/>
                <w:sz w:val="17"/>
                <w:szCs w:val="17"/>
              </w:rPr>
            </w:pPr>
            <w:proofErr w:type="spellStart"/>
            <w:r w:rsidRPr="001D1A6F">
              <w:rPr>
                <w:b w:val="0"/>
                <w:bCs/>
                <w:color w:val="000000"/>
                <w:sz w:val="17"/>
                <w:szCs w:val="17"/>
              </w:rPr>
              <w:t>n.a</w:t>
            </w:r>
            <w:proofErr w:type="spellEnd"/>
            <w:r w:rsidRPr="001D1A6F">
              <w:rPr>
                <w:b w:val="0"/>
                <w:bCs/>
                <w:color w:val="000000"/>
                <w:sz w:val="17"/>
                <w:szCs w:val="17"/>
              </w:rPr>
              <w:t>.</w:t>
            </w:r>
          </w:p>
        </w:tc>
        <w:tc>
          <w:tcPr>
            <w:tcW w:w="549" w:type="pct"/>
            <w:tcBorders>
              <w:bottom w:val="single" w:sz="4" w:space="0" w:color="auto"/>
            </w:tcBorders>
            <w:shd w:val="clear" w:color="auto" w:fill="FFFFFF" w:themeFill="background1"/>
          </w:tcPr>
          <w:p w14:paraId="46BFF545" w14:textId="4E31E457" w:rsidR="001D1A6F" w:rsidRPr="001D1A6F" w:rsidRDefault="00355921" w:rsidP="009C6A19">
            <w:pPr>
              <w:pStyle w:val="TableBodyText"/>
              <w:spacing w:before="40" w:after="40"/>
              <w:jc w:val="center"/>
              <w:rPr>
                <w:b w:val="0"/>
                <w:bCs/>
                <w:color w:val="000000"/>
                <w:sz w:val="17"/>
                <w:szCs w:val="17"/>
              </w:rPr>
            </w:pPr>
            <w:proofErr w:type="spellStart"/>
            <w:r>
              <w:rPr>
                <w:b w:val="0"/>
                <w:bCs/>
                <w:color w:val="000000"/>
                <w:sz w:val="17"/>
                <w:szCs w:val="17"/>
              </w:rPr>
              <w:t>n.a</w:t>
            </w:r>
            <w:proofErr w:type="spellEnd"/>
            <w:r>
              <w:rPr>
                <w:b w:val="0"/>
                <w:bCs/>
                <w:color w:val="000000"/>
                <w:sz w:val="17"/>
                <w:szCs w:val="17"/>
              </w:rPr>
              <w:t>.</w:t>
            </w:r>
          </w:p>
        </w:tc>
        <w:tc>
          <w:tcPr>
            <w:tcW w:w="513" w:type="pct"/>
            <w:tcBorders>
              <w:bottom w:val="single" w:sz="4" w:space="0" w:color="auto"/>
            </w:tcBorders>
            <w:shd w:val="clear" w:color="auto" w:fill="FFFFFF" w:themeFill="background1"/>
          </w:tcPr>
          <w:p w14:paraId="0D3438E4" w14:textId="41B28EEB" w:rsidR="001D1A6F" w:rsidRPr="001D1A6F" w:rsidRDefault="00355921" w:rsidP="009C6A19">
            <w:pPr>
              <w:pStyle w:val="TableBodyText"/>
              <w:spacing w:before="40" w:after="40"/>
              <w:jc w:val="center"/>
              <w:rPr>
                <w:b w:val="0"/>
                <w:bCs/>
                <w:color w:val="000000"/>
                <w:sz w:val="17"/>
                <w:szCs w:val="17"/>
              </w:rPr>
            </w:pPr>
            <w:proofErr w:type="spellStart"/>
            <w:r>
              <w:rPr>
                <w:b w:val="0"/>
                <w:bCs/>
                <w:color w:val="000000"/>
                <w:sz w:val="17"/>
                <w:szCs w:val="17"/>
              </w:rPr>
              <w:t>n.a</w:t>
            </w:r>
            <w:proofErr w:type="spellEnd"/>
            <w:r>
              <w:rPr>
                <w:b w:val="0"/>
                <w:bCs/>
                <w:color w:val="000000"/>
                <w:sz w:val="17"/>
                <w:szCs w:val="17"/>
              </w:rPr>
              <w:t>.</w:t>
            </w:r>
          </w:p>
        </w:tc>
      </w:tr>
    </w:tbl>
    <w:p w14:paraId="11240994" w14:textId="6130880D" w:rsidR="001D1A6F" w:rsidRPr="004F36FB" w:rsidRDefault="001D1A6F" w:rsidP="001D1A6F">
      <w:pPr>
        <w:pStyle w:val="BodyText"/>
        <w:spacing w:before="0" w:after="20"/>
        <w:rPr>
          <w:sz w:val="16"/>
          <w:szCs w:val="16"/>
        </w:rPr>
      </w:pPr>
      <w:r w:rsidRPr="004F36FB">
        <w:rPr>
          <w:sz w:val="16"/>
          <w:szCs w:val="16"/>
        </w:rPr>
        <w:t>Notes: * Nomination cut-off times assumed to be offsets to gas day start times.</w:t>
      </w:r>
    </w:p>
    <w:bookmarkEnd w:id="122"/>
    <w:p w14:paraId="1909EEE8" w14:textId="216DD96A" w:rsidR="009E3D4E" w:rsidRDefault="009E3D4E" w:rsidP="00CF73B3">
      <w:pPr>
        <w:pStyle w:val="BodyText"/>
        <w:rPr>
          <w:rFonts w:cs="Arial"/>
        </w:rPr>
      </w:pPr>
      <w:r>
        <w:rPr>
          <w:rFonts w:cs="Arial"/>
        </w:rPr>
        <w:t xml:space="preserve">One issue that is yet to be resolved, is what will occur if: </w:t>
      </w:r>
    </w:p>
    <w:p w14:paraId="24FE0B31" w14:textId="358B9700" w:rsidR="009E3D4E" w:rsidRDefault="009E3D4E" w:rsidP="009E3D4E">
      <w:pPr>
        <w:pStyle w:val="ListBullet"/>
      </w:pPr>
      <w:r>
        <w:t xml:space="preserve">Service providers are unable to provide AEMO with the auction quantity within the required timeframe (e.g. because </w:t>
      </w:r>
      <w:r w:rsidR="002A2DED">
        <w:t xml:space="preserve">the service provider </w:t>
      </w:r>
      <w:r>
        <w:t xml:space="preserve">has </w:t>
      </w:r>
      <w:r w:rsidR="002A2DED">
        <w:t xml:space="preserve">experienced some form of </w:t>
      </w:r>
      <w:r>
        <w:t>system failure) – the options in this case could include:</w:t>
      </w:r>
    </w:p>
    <w:p w14:paraId="6D0E5FC0" w14:textId="2F2AE254" w:rsidR="009E3D4E" w:rsidRDefault="009E3D4E" w:rsidP="009E3D4E">
      <w:pPr>
        <w:pStyle w:val="ListBullet2"/>
      </w:pPr>
      <w:r>
        <w:t xml:space="preserve">conducting the auction at a later time; </w:t>
      </w:r>
    </w:p>
    <w:p w14:paraId="5B7C44FB" w14:textId="2722E61A" w:rsidR="009E3D4E" w:rsidRDefault="009E3D4E" w:rsidP="009E3D4E">
      <w:pPr>
        <w:pStyle w:val="ListBullet2"/>
      </w:pPr>
      <w:r>
        <w:t>excluding the pipeline or compression asset from the auction; or</w:t>
      </w:r>
    </w:p>
    <w:p w14:paraId="496F3151" w14:textId="099BDB40" w:rsidR="009E3D4E" w:rsidRDefault="009E3D4E" w:rsidP="009E3D4E">
      <w:pPr>
        <w:pStyle w:val="ListBullet2"/>
      </w:pPr>
      <w:proofErr w:type="gramStart"/>
      <w:r>
        <w:t>cancelling</w:t>
      </w:r>
      <w:proofErr w:type="gramEnd"/>
      <w:r>
        <w:t xml:space="preserve"> the auction.</w:t>
      </w:r>
    </w:p>
    <w:p w14:paraId="6B34CA80" w14:textId="6059AAD4" w:rsidR="009E3D4E" w:rsidRPr="009E3D4E" w:rsidRDefault="009E3D4E" w:rsidP="009E3D4E">
      <w:pPr>
        <w:pStyle w:val="ListBullet"/>
        <w:rPr>
          <w:rFonts w:cs="Arial"/>
        </w:rPr>
      </w:pPr>
      <w:r>
        <w:t>AEMO experiences a system failure and is unable to conduct the auction within the required timeframe – the options in this case could include:</w:t>
      </w:r>
    </w:p>
    <w:p w14:paraId="2A2802AD" w14:textId="3A55E37C" w:rsidR="009E3D4E" w:rsidRDefault="009E3D4E" w:rsidP="009E3D4E">
      <w:pPr>
        <w:pStyle w:val="ListBullet2"/>
      </w:pPr>
      <w:r>
        <w:t>conducting the auction at a later time; or</w:t>
      </w:r>
    </w:p>
    <w:p w14:paraId="49427C00" w14:textId="0C23856C" w:rsidR="009E3D4E" w:rsidRDefault="009E3D4E" w:rsidP="009E3D4E">
      <w:pPr>
        <w:pStyle w:val="ListBullet2"/>
      </w:pPr>
      <w:proofErr w:type="gramStart"/>
      <w:r>
        <w:t>cancelling</w:t>
      </w:r>
      <w:proofErr w:type="gramEnd"/>
      <w:r>
        <w:t xml:space="preserve"> the auction.</w:t>
      </w:r>
    </w:p>
    <w:p w14:paraId="6BFE642E" w14:textId="74B12839" w:rsidR="001D1A6F" w:rsidRDefault="009C6A19" w:rsidP="00CF73B3">
      <w:pPr>
        <w:pStyle w:val="BodyText"/>
        <w:rPr>
          <w:rFonts w:cs="Arial"/>
        </w:rPr>
      </w:pPr>
      <w:r>
        <w:rPr>
          <w:rFonts w:cs="Arial"/>
        </w:rPr>
        <w:t>The GMRG is interested in getting feedback on the</w:t>
      </w:r>
      <w:r w:rsidR="009E3D4E">
        <w:rPr>
          <w:rFonts w:cs="Arial"/>
        </w:rPr>
        <w:t>se options and the</w:t>
      </w:r>
      <w:r>
        <w:rPr>
          <w:rFonts w:cs="Arial"/>
        </w:rPr>
        <w:t xml:space="preserve"> proposed timing of the auction</w:t>
      </w:r>
      <w:r w:rsidR="008120A4">
        <w:rPr>
          <w:rFonts w:cs="Arial"/>
        </w:rPr>
        <w:t>.</w:t>
      </w:r>
    </w:p>
    <w:tbl>
      <w:tblPr>
        <w:tblStyle w:val="PullOutBoxTable"/>
        <w:tblW w:w="5000" w:type="pct"/>
        <w:shd w:val="clear" w:color="auto" w:fill="B7E7FF"/>
        <w:tblLook w:val="0620" w:firstRow="1" w:lastRow="0" w:firstColumn="0" w:lastColumn="0" w:noHBand="1" w:noVBand="1"/>
        <w:tblCaption w:val="Box 4.17: Questions on the auction timing "/>
        <w:tblDescription w:val="Questions on the auction timing "/>
      </w:tblPr>
      <w:tblGrid>
        <w:gridCol w:w="8788"/>
      </w:tblGrid>
      <w:tr w:rsidR="009C6A19" w:rsidRPr="009E3D4E" w14:paraId="1AAC9B03" w14:textId="77777777" w:rsidTr="003974E4">
        <w:trPr>
          <w:tblHeader/>
        </w:trPr>
        <w:tc>
          <w:tcPr>
            <w:tcW w:w="5000" w:type="pct"/>
            <w:shd w:val="clear" w:color="auto" w:fill="auto"/>
          </w:tcPr>
          <w:p w14:paraId="1F04EAB3" w14:textId="357C4F62" w:rsidR="009E3D4E" w:rsidRPr="009E3D4E" w:rsidRDefault="008E1F54" w:rsidP="008E1F54">
            <w:pPr>
              <w:pStyle w:val="ListBullet2"/>
              <w:numPr>
                <w:ilvl w:val="0"/>
                <w:numId w:val="0"/>
              </w:numPr>
              <w:spacing w:before="0" w:after="0"/>
              <w:rPr>
                <w:sz w:val="21"/>
                <w:szCs w:val="21"/>
              </w:rPr>
            </w:pPr>
            <w:r w:rsidRPr="0057020B">
              <w:rPr>
                <w:rFonts w:eastAsiaTheme="minorHAnsi" w:cstheme="minorBidi"/>
                <w:b/>
                <w:bCs/>
                <w:lang w:eastAsia="fr-CA"/>
              </w:rPr>
              <w:t xml:space="preserve">Box </w:t>
            </w:r>
            <w:r>
              <w:rPr>
                <w:rFonts w:eastAsiaTheme="minorHAnsi" w:cstheme="minorBidi"/>
                <w:b/>
                <w:bCs/>
                <w:lang w:eastAsia="fr-CA"/>
              </w:rPr>
              <w:fldChar w:fldCharType="begin"/>
            </w:r>
            <w:r>
              <w:rPr>
                <w:rFonts w:eastAsiaTheme="minorHAnsi" w:cstheme="minorBidi"/>
                <w:b/>
                <w:bCs/>
                <w:lang w:eastAsia="fr-CA"/>
              </w:rPr>
              <w:instrText xml:space="preserve"> STYLEREF 1 \s </w:instrText>
            </w:r>
            <w:r>
              <w:rPr>
                <w:rFonts w:eastAsiaTheme="minorHAnsi" w:cstheme="minorBidi"/>
                <w:b/>
                <w:bCs/>
                <w:lang w:eastAsia="fr-CA"/>
              </w:rPr>
              <w:fldChar w:fldCharType="separate"/>
            </w:r>
            <w:r>
              <w:rPr>
                <w:rFonts w:eastAsiaTheme="minorHAnsi" w:cstheme="minorBidi"/>
                <w:b/>
                <w:bCs/>
                <w:noProof/>
                <w:lang w:eastAsia="fr-CA"/>
              </w:rPr>
              <w:t>4</w:t>
            </w:r>
            <w:r>
              <w:rPr>
                <w:rFonts w:eastAsiaTheme="minorHAnsi" w:cstheme="minorBidi"/>
                <w:b/>
                <w:bCs/>
                <w:lang w:eastAsia="fr-CA"/>
              </w:rPr>
              <w:fldChar w:fldCharType="end"/>
            </w:r>
            <w:r>
              <w:rPr>
                <w:rFonts w:eastAsiaTheme="minorHAnsi" w:cstheme="minorBidi"/>
                <w:b/>
                <w:bCs/>
                <w:lang w:eastAsia="fr-CA"/>
              </w:rPr>
              <w:t>.</w:t>
            </w:r>
            <w:r>
              <w:rPr>
                <w:rFonts w:eastAsiaTheme="minorHAnsi" w:cstheme="minorBidi"/>
                <w:b/>
                <w:bCs/>
                <w:lang w:eastAsia="fr-CA"/>
              </w:rPr>
              <w:fldChar w:fldCharType="begin"/>
            </w:r>
            <w:r>
              <w:rPr>
                <w:rFonts w:eastAsiaTheme="minorHAnsi" w:cstheme="minorBidi"/>
                <w:b/>
                <w:bCs/>
                <w:lang w:eastAsia="fr-CA"/>
              </w:rPr>
              <w:instrText xml:space="preserve"> SEQ Box \* ARABIC \s 1 </w:instrText>
            </w:r>
            <w:r>
              <w:rPr>
                <w:rFonts w:eastAsiaTheme="minorHAnsi" w:cstheme="minorBidi"/>
                <w:b/>
                <w:bCs/>
                <w:lang w:eastAsia="fr-CA"/>
              </w:rPr>
              <w:fldChar w:fldCharType="separate"/>
            </w:r>
            <w:r>
              <w:rPr>
                <w:rFonts w:eastAsiaTheme="minorHAnsi" w:cstheme="minorBidi"/>
                <w:b/>
                <w:bCs/>
                <w:noProof/>
                <w:lang w:eastAsia="fr-CA"/>
              </w:rPr>
              <w:t>17</w:t>
            </w:r>
            <w:r>
              <w:rPr>
                <w:rFonts w:eastAsiaTheme="minorHAnsi" w:cstheme="minorBidi"/>
                <w:b/>
                <w:bCs/>
                <w:lang w:eastAsia="fr-CA"/>
              </w:rPr>
              <w:fldChar w:fldCharType="end"/>
            </w:r>
            <w:r w:rsidRPr="0057020B">
              <w:rPr>
                <w:rFonts w:eastAsiaTheme="minorHAnsi" w:cstheme="minorBidi"/>
                <w:b/>
                <w:bCs/>
                <w:lang w:eastAsia="fr-CA"/>
              </w:rPr>
              <w:t xml:space="preserve">: </w:t>
            </w:r>
            <w:r w:rsidRPr="0057020B">
              <w:rPr>
                <w:rFonts w:eastAsiaTheme="minorHAnsi" w:cstheme="minorBidi"/>
                <w:b/>
                <w:lang w:eastAsia="fr-CA"/>
              </w:rPr>
              <w:t xml:space="preserve">Questions on </w:t>
            </w:r>
            <w:r>
              <w:rPr>
                <w:rFonts w:eastAsiaTheme="minorHAnsi" w:cstheme="minorBidi"/>
                <w:b/>
                <w:lang w:eastAsia="fr-CA"/>
              </w:rPr>
              <w:t>the auction timing</w:t>
            </w:r>
          </w:p>
        </w:tc>
      </w:tr>
      <w:tr w:rsidR="008E1F54" w:rsidRPr="009E3D4E" w14:paraId="3AFB5317" w14:textId="77777777" w:rsidTr="003974E4">
        <w:tc>
          <w:tcPr>
            <w:tcW w:w="5000" w:type="pct"/>
            <w:shd w:val="clear" w:color="auto" w:fill="B7E7FF"/>
          </w:tcPr>
          <w:p w14:paraId="07B73BBF" w14:textId="77777777" w:rsidR="008E1F54" w:rsidRPr="009E3D4E" w:rsidRDefault="008E1F54" w:rsidP="008E1F54">
            <w:pPr>
              <w:pStyle w:val="ListNumber"/>
              <w:numPr>
                <w:ilvl w:val="0"/>
                <w:numId w:val="20"/>
              </w:numPr>
              <w:spacing w:before="40" w:after="40"/>
              <w:rPr>
                <w:sz w:val="21"/>
                <w:szCs w:val="21"/>
              </w:rPr>
            </w:pPr>
            <w:r w:rsidRPr="009E3D4E">
              <w:rPr>
                <w:sz w:val="21"/>
                <w:szCs w:val="21"/>
              </w:rPr>
              <w:t>Do you agree with the proposed timing offsets for the auction related D-1 activities? If not, how long do you think should be allowed for each activity?</w:t>
            </w:r>
          </w:p>
          <w:p w14:paraId="1B7BBE1E" w14:textId="77777777" w:rsidR="008E1F54" w:rsidRPr="009E3D4E" w:rsidRDefault="008E1F54" w:rsidP="008E1F54">
            <w:pPr>
              <w:pStyle w:val="ListNumber"/>
              <w:numPr>
                <w:ilvl w:val="0"/>
                <w:numId w:val="20"/>
              </w:numPr>
              <w:spacing w:before="40" w:after="40"/>
              <w:rPr>
                <w:sz w:val="21"/>
                <w:szCs w:val="21"/>
              </w:rPr>
            </w:pPr>
            <w:r w:rsidRPr="009E3D4E">
              <w:rPr>
                <w:sz w:val="21"/>
                <w:szCs w:val="21"/>
              </w:rPr>
              <w:t xml:space="preserve">What do you think should occur if: </w:t>
            </w:r>
          </w:p>
          <w:p w14:paraId="0E6556C8" w14:textId="77777777" w:rsidR="008E1F54" w:rsidRDefault="008E1F54" w:rsidP="008E1F54">
            <w:pPr>
              <w:pStyle w:val="ListBullet2"/>
              <w:spacing w:before="40" w:after="40"/>
              <w:rPr>
                <w:sz w:val="21"/>
                <w:szCs w:val="21"/>
              </w:rPr>
            </w:pPr>
            <w:proofErr w:type="gramStart"/>
            <w:r w:rsidRPr="009E3D4E">
              <w:rPr>
                <w:sz w:val="21"/>
                <w:szCs w:val="21"/>
              </w:rPr>
              <w:t>a</w:t>
            </w:r>
            <w:proofErr w:type="gramEnd"/>
            <w:r w:rsidRPr="009E3D4E">
              <w:rPr>
                <w:sz w:val="21"/>
                <w:szCs w:val="21"/>
              </w:rPr>
              <w:t xml:space="preserve"> service provider is unable to provide AEMO with the auction quantity within the required timeframe?</w:t>
            </w:r>
          </w:p>
          <w:p w14:paraId="5B71E216" w14:textId="60BEE436" w:rsidR="008E1F54" w:rsidRPr="008E1F54" w:rsidRDefault="008E1F54" w:rsidP="008E1F54">
            <w:pPr>
              <w:pStyle w:val="ListBullet2"/>
              <w:spacing w:before="40" w:after="40"/>
              <w:rPr>
                <w:sz w:val="21"/>
                <w:szCs w:val="21"/>
              </w:rPr>
            </w:pPr>
            <w:r w:rsidRPr="008E1F54">
              <w:rPr>
                <w:sz w:val="21"/>
                <w:szCs w:val="21"/>
              </w:rPr>
              <w:t>AEMO experiences a system failure and is unable to conduct the auction within the required timeframe?</w:t>
            </w:r>
          </w:p>
        </w:tc>
      </w:tr>
    </w:tbl>
    <w:p w14:paraId="696DCEAF" w14:textId="6A1DA0DB" w:rsidR="00661B19" w:rsidRPr="000809B0" w:rsidRDefault="00661B19" w:rsidP="00037C20">
      <w:pPr>
        <w:pStyle w:val="Heading2"/>
        <w:spacing w:after="120"/>
      </w:pPr>
      <w:bookmarkStart w:id="123" w:name="_Toc495351645"/>
      <w:r w:rsidRPr="000809B0">
        <w:t xml:space="preserve">Summary of </w:t>
      </w:r>
      <w:r w:rsidR="000809B0" w:rsidRPr="000809B0">
        <w:t xml:space="preserve">the GMRG’s preliminary view on </w:t>
      </w:r>
      <w:r w:rsidRPr="000809B0">
        <w:t>auction design</w:t>
      </w:r>
      <w:bookmarkEnd w:id="123"/>
    </w:p>
    <w:p w14:paraId="2EAF076D" w14:textId="565D5272" w:rsidR="00661B19" w:rsidRDefault="000809B0" w:rsidP="00037C20">
      <w:pPr>
        <w:pStyle w:val="BodyText"/>
        <w:spacing w:before="120"/>
      </w:pPr>
      <w:r>
        <w:t xml:space="preserve">The table </w:t>
      </w:r>
      <w:r w:rsidR="00037C20">
        <w:t xml:space="preserve">below </w:t>
      </w:r>
      <w:r w:rsidR="00661B19">
        <w:t xml:space="preserve">summarises the </w:t>
      </w:r>
      <w:r>
        <w:t xml:space="preserve">GMRG’s preliminary view on the </w:t>
      </w:r>
      <w:r w:rsidR="00661B19">
        <w:t xml:space="preserve">design </w:t>
      </w:r>
      <w:r>
        <w:t>of the day-ahead auction.</w:t>
      </w:r>
      <w:r w:rsidR="00D20E32">
        <w:t xml:space="preserve"> </w:t>
      </w:r>
      <w:r w:rsidR="00933FF7">
        <w:t xml:space="preserve">Table A.2 in </w:t>
      </w:r>
      <w:r w:rsidR="002A2DED">
        <w:t xml:space="preserve">Appendix A shows how these preliminary views compare with the AEMC’s </w:t>
      </w:r>
      <w:r w:rsidR="00641DFE">
        <w:t>recommendations</w:t>
      </w:r>
      <w:r w:rsidR="002A2DED">
        <w:t xml:space="preserve">. </w:t>
      </w:r>
    </w:p>
    <w:bookmarkEnd w:id="85"/>
    <w:bookmarkEnd w:id="86"/>
    <w:p w14:paraId="55F2E2CC" w14:textId="69E5EAE5" w:rsidR="008200C8" w:rsidRPr="00037C20" w:rsidRDefault="000809B0" w:rsidP="00037C20">
      <w:pPr>
        <w:pStyle w:val="Caption"/>
        <w:spacing w:after="0" w:line="247" w:lineRule="auto"/>
      </w:pPr>
      <w:r w:rsidRPr="00037C20">
        <w:t xml:space="preserve">Table </w:t>
      </w:r>
      <w:r w:rsidR="00115A93">
        <w:fldChar w:fldCharType="begin"/>
      </w:r>
      <w:r w:rsidR="00115A93">
        <w:instrText xml:space="preserve"> STYLEREF 1 \s </w:instrText>
      </w:r>
      <w:r w:rsidR="00115A93">
        <w:fldChar w:fldCharType="separate"/>
      </w:r>
      <w:r w:rsidR="00272B32">
        <w:rPr>
          <w:noProof/>
        </w:rPr>
        <w:t>4</w:t>
      </w:r>
      <w:r w:rsidR="00115A93">
        <w:rPr>
          <w:noProof/>
        </w:rPr>
        <w:fldChar w:fldCharType="end"/>
      </w:r>
      <w:r w:rsidR="009A057E" w:rsidRPr="00037C20">
        <w:t>.</w:t>
      </w:r>
      <w:r w:rsidR="00115A93">
        <w:fldChar w:fldCharType="begin"/>
      </w:r>
      <w:r w:rsidR="00115A93">
        <w:instrText xml:space="preserve"> SEQ Table \* ARABIC \s 1 </w:instrText>
      </w:r>
      <w:r w:rsidR="00115A93">
        <w:fldChar w:fldCharType="separate"/>
      </w:r>
      <w:r w:rsidR="00272B32">
        <w:rPr>
          <w:noProof/>
        </w:rPr>
        <w:t>6</w:t>
      </w:r>
      <w:r w:rsidR="00115A93">
        <w:rPr>
          <w:noProof/>
        </w:rPr>
        <w:fldChar w:fldCharType="end"/>
      </w:r>
      <w:r w:rsidRPr="00037C20">
        <w:t>: Summary of the GMRG’s preliminary view on the auction design</w:t>
      </w:r>
    </w:p>
    <w:tbl>
      <w:tblPr>
        <w:tblStyle w:val="TableGrid"/>
        <w:tblW w:w="5000" w:type="pct"/>
        <w:tblLook w:val="04A0" w:firstRow="1" w:lastRow="0" w:firstColumn="1" w:lastColumn="0" w:noHBand="0" w:noVBand="1"/>
        <w:tblCaption w:val="Table 4.6: Summary of the GMRG’s preliminary view on the auction design"/>
        <w:tblDescription w:val="Summary of the GMRG’s preliminary view on the auction design"/>
      </w:tblPr>
      <w:tblGrid>
        <w:gridCol w:w="1562"/>
        <w:gridCol w:w="1373"/>
        <w:gridCol w:w="5853"/>
      </w:tblGrid>
      <w:tr w:rsidR="000809B0" w:rsidRPr="00037C20" w14:paraId="3775374E" w14:textId="77777777" w:rsidTr="008F0DF9">
        <w:trPr>
          <w:cnfStyle w:val="100000000000" w:firstRow="1" w:lastRow="0" w:firstColumn="0" w:lastColumn="0" w:oddVBand="0" w:evenVBand="0" w:oddHBand="0" w:evenHBand="0" w:firstRowFirstColumn="0" w:firstRowLastColumn="0" w:lastRowFirstColumn="0" w:lastRowLastColumn="0"/>
          <w:cantSplit/>
          <w:tblHeader/>
        </w:trPr>
        <w:tc>
          <w:tcPr>
            <w:tcW w:w="889" w:type="pct"/>
            <w:tcBorders>
              <w:bottom w:val="single" w:sz="4" w:space="0" w:color="auto"/>
            </w:tcBorders>
            <w:shd w:val="clear" w:color="auto" w:fill="0099CC"/>
          </w:tcPr>
          <w:p w14:paraId="0BD6E3B6" w14:textId="6DFBE129" w:rsidR="000809B0" w:rsidRPr="00037C20" w:rsidRDefault="00472BB2" w:rsidP="00037C20">
            <w:pPr>
              <w:pStyle w:val="TableHeading"/>
              <w:spacing w:line="247" w:lineRule="auto"/>
              <w:rPr>
                <w:sz w:val="17"/>
                <w:szCs w:val="17"/>
              </w:rPr>
            </w:pPr>
            <w:r w:rsidRPr="00037C20">
              <w:rPr>
                <w:sz w:val="17"/>
                <w:szCs w:val="17"/>
              </w:rPr>
              <w:t>Design Element</w:t>
            </w:r>
          </w:p>
        </w:tc>
        <w:tc>
          <w:tcPr>
            <w:tcW w:w="4111" w:type="pct"/>
            <w:gridSpan w:val="2"/>
            <w:tcBorders>
              <w:bottom w:val="single" w:sz="4" w:space="0" w:color="auto"/>
            </w:tcBorders>
            <w:shd w:val="clear" w:color="auto" w:fill="0099CC"/>
          </w:tcPr>
          <w:p w14:paraId="4DEA7AC8" w14:textId="66BEF6C0" w:rsidR="000809B0" w:rsidRPr="00037C20" w:rsidRDefault="00472BB2" w:rsidP="00037C20">
            <w:pPr>
              <w:pStyle w:val="TableHeading"/>
              <w:spacing w:line="247" w:lineRule="auto"/>
              <w:rPr>
                <w:sz w:val="17"/>
                <w:szCs w:val="17"/>
              </w:rPr>
            </w:pPr>
            <w:r w:rsidRPr="00037C20">
              <w:rPr>
                <w:sz w:val="17"/>
                <w:szCs w:val="17"/>
              </w:rPr>
              <w:t>Preliminary View</w:t>
            </w:r>
          </w:p>
        </w:tc>
      </w:tr>
      <w:tr w:rsidR="002A2DED" w:rsidRPr="002A2DED" w14:paraId="7847578B" w14:textId="77777777" w:rsidTr="00DA5EFF">
        <w:trPr>
          <w:cnfStyle w:val="100000000000" w:firstRow="1" w:lastRow="0" w:firstColumn="0" w:lastColumn="0" w:oddVBand="0" w:evenVBand="0" w:oddHBand="0" w:evenHBand="0" w:firstRowFirstColumn="0" w:firstRowLastColumn="0" w:lastRowFirstColumn="0" w:lastRowLastColumn="0"/>
          <w:cantSplit/>
          <w:tblHeader/>
        </w:trPr>
        <w:tc>
          <w:tcPr>
            <w:tcW w:w="889" w:type="pct"/>
            <w:shd w:val="clear" w:color="auto" w:fill="auto"/>
          </w:tcPr>
          <w:p w14:paraId="2D3B3396" w14:textId="77777777" w:rsidR="002A2DED" w:rsidRPr="002A2DED" w:rsidRDefault="002A2DED" w:rsidP="00DA5EFF">
            <w:pPr>
              <w:pStyle w:val="TableBodyText"/>
              <w:spacing w:line="247" w:lineRule="auto"/>
              <w:rPr>
                <w:b w:val="0"/>
                <w:color w:val="auto"/>
                <w:sz w:val="17"/>
                <w:szCs w:val="17"/>
              </w:rPr>
            </w:pPr>
            <w:r w:rsidRPr="002A2DED">
              <w:rPr>
                <w:b w:val="0"/>
                <w:color w:val="auto"/>
                <w:sz w:val="17"/>
                <w:szCs w:val="17"/>
              </w:rPr>
              <w:t>Auction quantity</w:t>
            </w:r>
          </w:p>
        </w:tc>
        <w:tc>
          <w:tcPr>
            <w:tcW w:w="4111" w:type="pct"/>
            <w:gridSpan w:val="2"/>
            <w:shd w:val="clear" w:color="auto" w:fill="auto"/>
          </w:tcPr>
          <w:p w14:paraId="5336CC45" w14:textId="77777777" w:rsidR="002A2DED" w:rsidRPr="002A2DED" w:rsidRDefault="002A2DED" w:rsidP="00DA5EFF">
            <w:pPr>
              <w:pStyle w:val="TableBodyText"/>
              <w:spacing w:line="247" w:lineRule="auto"/>
              <w:rPr>
                <w:b w:val="0"/>
                <w:color w:val="auto"/>
                <w:sz w:val="17"/>
                <w:szCs w:val="17"/>
              </w:rPr>
            </w:pPr>
            <w:r w:rsidRPr="002A2DED">
              <w:rPr>
                <w:b w:val="0"/>
                <w:color w:val="auto"/>
                <w:sz w:val="17"/>
                <w:szCs w:val="17"/>
              </w:rPr>
              <w:t xml:space="preserve">If the auction product is defined as a second priority firm product, then as available and interruptible nominations received prior to nomination cut-off should not be included in the calculation of contracted but un-nominated capacity. </w:t>
            </w:r>
          </w:p>
        </w:tc>
      </w:tr>
      <w:tr w:rsidR="00DC12C7" w:rsidRPr="00037C20" w14:paraId="3479CCFA" w14:textId="77777777" w:rsidTr="008F0DF9">
        <w:trPr>
          <w:cnfStyle w:val="100000000000" w:firstRow="1" w:lastRow="0" w:firstColumn="0" w:lastColumn="0" w:oddVBand="0" w:evenVBand="0" w:oddHBand="0" w:evenHBand="0" w:firstRowFirstColumn="0" w:firstRowLastColumn="0" w:lastRowFirstColumn="0" w:lastRowLastColumn="0"/>
          <w:cantSplit/>
          <w:tblHeader/>
        </w:trPr>
        <w:tc>
          <w:tcPr>
            <w:tcW w:w="889" w:type="pct"/>
            <w:vMerge w:val="restart"/>
            <w:shd w:val="clear" w:color="auto" w:fill="auto"/>
          </w:tcPr>
          <w:p w14:paraId="26D76D5A" w14:textId="77777777" w:rsidR="00DC12C7" w:rsidRPr="00037C20" w:rsidRDefault="00DC12C7" w:rsidP="00037C20">
            <w:pPr>
              <w:pStyle w:val="TableBodyText"/>
              <w:spacing w:line="247" w:lineRule="auto"/>
              <w:rPr>
                <w:b w:val="0"/>
                <w:color w:val="auto"/>
                <w:sz w:val="17"/>
                <w:szCs w:val="17"/>
              </w:rPr>
            </w:pPr>
            <w:r w:rsidRPr="00037C20">
              <w:rPr>
                <w:b w:val="0"/>
                <w:color w:val="auto"/>
                <w:sz w:val="17"/>
                <w:szCs w:val="17"/>
              </w:rPr>
              <w:t>Auction format</w:t>
            </w:r>
          </w:p>
        </w:tc>
        <w:tc>
          <w:tcPr>
            <w:tcW w:w="4111" w:type="pct"/>
            <w:gridSpan w:val="2"/>
            <w:shd w:val="clear" w:color="auto" w:fill="auto"/>
          </w:tcPr>
          <w:p w14:paraId="03689637" w14:textId="77777777" w:rsidR="00DC12C7" w:rsidRPr="00037C20" w:rsidRDefault="00DC12C7" w:rsidP="00037C20">
            <w:pPr>
              <w:pStyle w:val="TableBodyText"/>
              <w:spacing w:line="247" w:lineRule="auto"/>
              <w:rPr>
                <w:b w:val="0"/>
                <w:color w:val="auto"/>
                <w:sz w:val="17"/>
                <w:szCs w:val="17"/>
              </w:rPr>
            </w:pPr>
            <w:r w:rsidRPr="00037C20">
              <w:rPr>
                <w:b w:val="0"/>
                <w:color w:val="auto"/>
                <w:sz w:val="17"/>
                <w:szCs w:val="17"/>
              </w:rPr>
              <w:t>Partial combinatorial format.</w:t>
            </w:r>
          </w:p>
          <w:p w14:paraId="318ACA25" w14:textId="5B2DBE2E" w:rsidR="00DC12C7" w:rsidRPr="00037C20" w:rsidRDefault="00472BB2" w:rsidP="00037C20">
            <w:pPr>
              <w:pStyle w:val="TableBodyText"/>
              <w:spacing w:line="247" w:lineRule="auto"/>
              <w:rPr>
                <w:b w:val="0"/>
                <w:color w:val="auto"/>
                <w:sz w:val="17"/>
                <w:szCs w:val="17"/>
              </w:rPr>
            </w:pPr>
            <w:r w:rsidRPr="00037C20">
              <w:rPr>
                <w:b w:val="0"/>
                <w:color w:val="auto"/>
                <w:sz w:val="17"/>
                <w:szCs w:val="17"/>
              </w:rPr>
              <w:t xml:space="preserve">Under this auction format, </w:t>
            </w:r>
            <w:r w:rsidR="00DC12C7" w:rsidRPr="00037C20">
              <w:rPr>
                <w:b w:val="0"/>
                <w:color w:val="auto"/>
                <w:sz w:val="17"/>
                <w:szCs w:val="17"/>
              </w:rPr>
              <w:t xml:space="preserve">a </w:t>
            </w:r>
            <w:r w:rsidRPr="00037C20">
              <w:rPr>
                <w:b w:val="0"/>
                <w:color w:val="auto"/>
                <w:sz w:val="17"/>
                <w:szCs w:val="17"/>
              </w:rPr>
              <w:t xml:space="preserve">bid </w:t>
            </w:r>
            <w:r w:rsidR="00DC12C7" w:rsidRPr="00037C20">
              <w:rPr>
                <w:b w:val="0"/>
                <w:color w:val="auto"/>
                <w:sz w:val="17"/>
                <w:szCs w:val="17"/>
              </w:rPr>
              <w:t xml:space="preserve">will </w:t>
            </w:r>
            <w:r w:rsidRPr="00037C20">
              <w:rPr>
                <w:b w:val="0"/>
                <w:color w:val="auto"/>
                <w:sz w:val="17"/>
                <w:szCs w:val="17"/>
              </w:rPr>
              <w:t xml:space="preserve">comprise: the </w:t>
            </w:r>
            <w:r w:rsidR="00DC12C7" w:rsidRPr="00037C20">
              <w:rPr>
                <w:b w:val="0"/>
                <w:color w:val="auto"/>
                <w:sz w:val="17"/>
                <w:szCs w:val="17"/>
              </w:rPr>
              <w:t xml:space="preserve">bid quantity (GJ); the products (receipt and deliver points, pipeline segments and compression services) included in the bid; and </w:t>
            </w:r>
            <w:r w:rsidRPr="00037C20">
              <w:rPr>
                <w:b w:val="0"/>
                <w:color w:val="auto"/>
                <w:sz w:val="17"/>
                <w:szCs w:val="17"/>
              </w:rPr>
              <w:t xml:space="preserve">the </w:t>
            </w:r>
            <w:r w:rsidR="00DC12C7" w:rsidRPr="00037C20">
              <w:rPr>
                <w:b w:val="0"/>
                <w:color w:val="auto"/>
                <w:sz w:val="17"/>
                <w:szCs w:val="17"/>
              </w:rPr>
              <w:t>bid price per GJ.</w:t>
            </w:r>
            <w:r w:rsidRPr="00037C20">
              <w:rPr>
                <w:b w:val="0"/>
                <w:color w:val="auto"/>
                <w:sz w:val="17"/>
                <w:szCs w:val="17"/>
              </w:rPr>
              <w:t xml:space="preserve"> </w:t>
            </w:r>
            <w:r w:rsidR="00DC12C7" w:rsidRPr="00037C20">
              <w:rPr>
                <w:b w:val="0"/>
                <w:color w:val="auto"/>
                <w:sz w:val="17"/>
                <w:szCs w:val="17"/>
              </w:rPr>
              <w:t xml:space="preserve">A bidder </w:t>
            </w:r>
            <w:r w:rsidRPr="00037C20">
              <w:rPr>
                <w:b w:val="0"/>
                <w:color w:val="auto"/>
                <w:sz w:val="17"/>
                <w:szCs w:val="17"/>
              </w:rPr>
              <w:t xml:space="preserve">will be able to </w:t>
            </w:r>
            <w:r w:rsidR="00DC12C7" w:rsidRPr="00037C20">
              <w:rPr>
                <w:b w:val="0"/>
                <w:color w:val="auto"/>
                <w:sz w:val="17"/>
                <w:szCs w:val="17"/>
              </w:rPr>
              <w:t>submit more than one bid and may win more than one of them.</w:t>
            </w:r>
            <w:r w:rsidR="006B7AC6">
              <w:rPr>
                <w:b w:val="0"/>
                <w:color w:val="auto"/>
                <w:sz w:val="17"/>
                <w:szCs w:val="17"/>
              </w:rPr>
              <w:t xml:space="preserve"> </w:t>
            </w:r>
          </w:p>
        </w:tc>
      </w:tr>
      <w:tr w:rsidR="00DC12C7" w:rsidRPr="00037C20" w14:paraId="3BADE886" w14:textId="77777777" w:rsidTr="008F0DF9">
        <w:trPr>
          <w:cnfStyle w:val="100000000000" w:firstRow="1" w:lastRow="0" w:firstColumn="0" w:lastColumn="0" w:oddVBand="0" w:evenVBand="0" w:oddHBand="0" w:evenHBand="0" w:firstRowFirstColumn="0" w:firstRowLastColumn="0" w:lastRowFirstColumn="0" w:lastRowLastColumn="0"/>
          <w:cantSplit/>
          <w:tblHeader/>
        </w:trPr>
        <w:tc>
          <w:tcPr>
            <w:tcW w:w="889" w:type="pct"/>
            <w:vMerge/>
            <w:shd w:val="clear" w:color="auto" w:fill="auto"/>
          </w:tcPr>
          <w:p w14:paraId="3FB95D00" w14:textId="77777777" w:rsidR="00DC12C7" w:rsidRPr="00037C20" w:rsidRDefault="00DC12C7" w:rsidP="00037C20">
            <w:pPr>
              <w:pStyle w:val="TableBodyText"/>
              <w:spacing w:line="247" w:lineRule="auto"/>
              <w:rPr>
                <w:b w:val="0"/>
                <w:color w:val="auto"/>
                <w:sz w:val="17"/>
                <w:szCs w:val="17"/>
              </w:rPr>
            </w:pPr>
          </w:p>
        </w:tc>
        <w:tc>
          <w:tcPr>
            <w:tcW w:w="781" w:type="pct"/>
            <w:shd w:val="clear" w:color="auto" w:fill="auto"/>
          </w:tcPr>
          <w:p w14:paraId="45319C18" w14:textId="77777777" w:rsidR="00DC12C7" w:rsidRPr="00037C20" w:rsidRDefault="00DC12C7" w:rsidP="00037C20">
            <w:pPr>
              <w:pStyle w:val="TableBodyText"/>
              <w:spacing w:line="247" w:lineRule="auto"/>
              <w:rPr>
                <w:rFonts w:eastAsia="MS Mincho"/>
                <w:b w:val="0"/>
                <w:color w:val="auto"/>
                <w:sz w:val="17"/>
                <w:szCs w:val="17"/>
                <w:lang w:val="en-US" w:eastAsia="zh-CN"/>
              </w:rPr>
            </w:pPr>
            <w:r w:rsidRPr="00037C20">
              <w:rPr>
                <w:b w:val="0"/>
                <w:color w:val="auto"/>
                <w:sz w:val="17"/>
                <w:szCs w:val="17"/>
              </w:rPr>
              <w:t>Optional feature 1: Minimum requirement</w:t>
            </w:r>
          </w:p>
        </w:tc>
        <w:tc>
          <w:tcPr>
            <w:tcW w:w="3330" w:type="pct"/>
            <w:shd w:val="clear" w:color="auto" w:fill="auto"/>
          </w:tcPr>
          <w:p w14:paraId="1B3E2F6B" w14:textId="3AC01E2B" w:rsidR="00DC12C7" w:rsidRPr="00037C20" w:rsidRDefault="00F97628" w:rsidP="00037C20">
            <w:pPr>
              <w:pStyle w:val="TableBodyText"/>
              <w:spacing w:line="247" w:lineRule="auto"/>
              <w:rPr>
                <w:b w:val="0"/>
                <w:color w:val="auto"/>
                <w:sz w:val="17"/>
                <w:szCs w:val="17"/>
              </w:rPr>
            </w:pPr>
            <w:r w:rsidRPr="00037C20">
              <w:rPr>
                <w:b w:val="0"/>
                <w:color w:val="auto"/>
                <w:sz w:val="17"/>
                <w:szCs w:val="17"/>
              </w:rPr>
              <w:t>Not included in the initial stages of the auction’s development but could be added at a later stage if the benefits from doing so are found to outweigh the costs.</w:t>
            </w:r>
          </w:p>
        </w:tc>
      </w:tr>
      <w:tr w:rsidR="00DC12C7" w:rsidRPr="00037C20" w14:paraId="4F4016F6" w14:textId="77777777" w:rsidTr="008F0DF9">
        <w:trPr>
          <w:cnfStyle w:val="100000000000" w:firstRow="1" w:lastRow="0" w:firstColumn="0" w:lastColumn="0" w:oddVBand="0" w:evenVBand="0" w:oddHBand="0" w:evenHBand="0" w:firstRowFirstColumn="0" w:firstRowLastColumn="0" w:lastRowFirstColumn="0" w:lastRowLastColumn="0"/>
          <w:cantSplit/>
          <w:tblHeader/>
        </w:trPr>
        <w:tc>
          <w:tcPr>
            <w:tcW w:w="889" w:type="pct"/>
            <w:vMerge/>
            <w:shd w:val="clear" w:color="auto" w:fill="auto"/>
          </w:tcPr>
          <w:p w14:paraId="19BE2F8E" w14:textId="77777777" w:rsidR="00DC12C7" w:rsidRPr="00037C20" w:rsidRDefault="00DC12C7" w:rsidP="00037C20">
            <w:pPr>
              <w:pStyle w:val="TableBodyText"/>
              <w:spacing w:line="247" w:lineRule="auto"/>
              <w:rPr>
                <w:b w:val="0"/>
                <w:color w:val="auto"/>
                <w:sz w:val="17"/>
                <w:szCs w:val="17"/>
              </w:rPr>
            </w:pPr>
          </w:p>
        </w:tc>
        <w:tc>
          <w:tcPr>
            <w:tcW w:w="781" w:type="pct"/>
            <w:shd w:val="clear" w:color="auto" w:fill="auto"/>
          </w:tcPr>
          <w:p w14:paraId="30330A04" w14:textId="77777777" w:rsidR="00DC12C7" w:rsidRPr="00037C20" w:rsidRDefault="00DC12C7" w:rsidP="00037C20">
            <w:pPr>
              <w:pStyle w:val="TableBodyText"/>
              <w:spacing w:line="247" w:lineRule="auto"/>
              <w:rPr>
                <w:rFonts w:eastAsia="MS Mincho"/>
                <w:b w:val="0"/>
                <w:color w:val="auto"/>
                <w:sz w:val="17"/>
                <w:szCs w:val="17"/>
                <w:lang w:val="en-US" w:eastAsia="zh-CN"/>
              </w:rPr>
            </w:pPr>
            <w:r w:rsidRPr="00037C20">
              <w:rPr>
                <w:b w:val="0"/>
                <w:color w:val="auto"/>
                <w:sz w:val="17"/>
                <w:szCs w:val="17"/>
              </w:rPr>
              <w:t>Optional feature 2: XOR Sets</w:t>
            </w:r>
          </w:p>
        </w:tc>
        <w:tc>
          <w:tcPr>
            <w:tcW w:w="3330" w:type="pct"/>
            <w:shd w:val="clear" w:color="auto" w:fill="auto"/>
          </w:tcPr>
          <w:p w14:paraId="6A621157" w14:textId="5F3B2425" w:rsidR="00DC12C7" w:rsidRPr="00037C20" w:rsidRDefault="00F97628" w:rsidP="00037C20">
            <w:pPr>
              <w:pStyle w:val="TableBodyText"/>
              <w:spacing w:line="247" w:lineRule="auto"/>
              <w:rPr>
                <w:b w:val="0"/>
                <w:color w:val="auto"/>
                <w:sz w:val="17"/>
                <w:szCs w:val="17"/>
              </w:rPr>
            </w:pPr>
            <w:r w:rsidRPr="00037C20">
              <w:rPr>
                <w:b w:val="0"/>
                <w:color w:val="auto"/>
                <w:sz w:val="17"/>
                <w:szCs w:val="17"/>
              </w:rPr>
              <w:t>Not included in the initial stages of the auction’s development but could be added at a later stage if the nature of demand changes such that there is greater demand for substitutable routes.</w:t>
            </w:r>
          </w:p>
        </w:tc>
      </w:tr>
      <w:tr w:rsidR="00DC12C7" w:rsidRPr="00037C20" w14:paraId="5228CADF" w14:textId="77777777" w:rsidTr="008F0DF9">
        <w:trPr>
          <w:cnfStyle w:val="100000000000" w:firstRow="1" w:lastRow="0" w:firstColumn="0" w:lastColumn="0" w:oddVBand="0" w:evenVBand="0" w:oddHBand="0" w:evenHBand="0" w:firstRowFirstColumn="0" w:firstRowLastColumn="0" w:lastRowFirstColumn="0" w:lastRowLastColumn="0"/>
          <w:cantSplit/>
          <w:tblHeader/>
        </w:trPr>
        <w:tc>
          <w:tcPr>
            <w:tcW w:w="889" w:type="pct"/>
            <w:vMerge/>
            <w:shd w:val="clear" w:color="auto" w:fill="auto"/>
          </w:tcPr>
          <w:p w14:paraId="68BDCBD5" w14:textId="77777777" w:rsidR="00DC12C7" w:rsidRPr="00037C20" w:rsidRDefault="00DC12C7" w:rsidP="00037C20">
            <w:pPr>
              <w:pStyle w:val="TableBodyText"/>
              <w:spacing w:line="247" w:lineRule="auto"/>
              <w:rPr>
                <w:b w:val="0"/>
                <w:color w:val="auto"/>
                <w:sz w:val="17"/>
                <w:szCs w:val="17"/>
              </w:rPr>
            </w:pPr>
          </w:p>
        </w:tc>
        <w:tc>
          <w:tcPr>
            <w:tcW w:w="781" w:type="pct"/>
            <w:shd w:val="clear" w:color="auto" w:fill="auto"/>
          </w:tcPr>
          <w:p w14:paraId="54419CDE" w14:textId="23EEBC85" w:rsidR="00DC12C7" w:rsidRPr="00037C20" w:rsidRDefault="00DC12C7" w:rsidP="00037C20">
            <w:pPr>
              <w:pStyle w:val="TableBodyText"/>
              <w:spacing w:line="247" w:lineRule="auto"/>
              <w:rPr>
                <w:rFonts w:eastAsia="MS Mincho"/>
                <w:b w:val="0"/>
                <w:color w:val="auto"/>
                <w:sz w:val="17"/>
                <w:szCs w:val="17"/>
                <w:lang w:val="en-US" w:eastAsia="zh-CN"/>
              </w:rPr>
            </w:pPr>
            <w:r w:rsidRPr="00037C20">
              <w:rPr>
                <w:b w:val="0"/>
                <w:color w:val="auto"/>
                <w:sz w:val="17"/>
                <w:szCs w:val="17"/>
              </w:rPr>
              <w:t>Option</w:t>
            </w:r>
            <w:r w:rsidR="00437DC2" w:rsidRPr="00037C20">
              <w:rPr>
                <w:b w:val="0"/>
                <w:color w:val="auto"/>
                <w:sz w:val="17"/>
                <w:szCs w:val="17"/>
              </w:rPr>
              <w:t>al</w:t>
            </w:r>
            <w:r w:rsidRPr="00037C20">
              <w:rPr>
                <w:b w:val="0"/>
                <w:color w:val="auto"/>
                <w:sz w:val="17"/>
                <w:szCs w:val="17"/>
              </w:rPr>
              <w:t xml:space="preserve"> feature 3: </w:t>
            </w:r>
            <w:r w:rsidR="00F97628" w:rsidRPr="00037C20">
              <w:rPr>
                <w:b w:val="0"/>
                <w:color w:val="auto"/>
                <w:sz w:val="17"/>
                <w:szCs w:val="17"/>
              </w:rPr>
              <w:t>B</w:t>
            </w:r>
            <w:r w:rsidRPr="00037C20">
              <w:rPr>
                <w:b w:val="0"/>
                <w:color w:val="auto"/>
                <w:sz w:val="17"/>
                <w:szCs w:val="17"/>
              </w:rPr>
              <w:t xml:space="preserve">ackhaul </w:t>
            </w:r>
          </w:p>
        </w:tc>
        <w:tc>
          <w:tcPr>
            <w:tcW w:w="3330" w:type="pct"/>
            <w:shd w:val="clear" w:color="auto" w:fill="auto"/>
          </w:tcPr>
          <w:p w14:paraId="742BDF77" w14:textId="11BF948E" w:rsidR="00DC12C7" w:rsidRPr="00037C20" w:rsidRDefault="00F97628" w:rsidP="00037C20">
            <w:pPr>
              <w:pStyle w:val="TableBodyText"/>
              <w:spacing w:line="247" w:lineRule="auto"/>
              <w:rPr>
                <w:b w:val="0"/>
                <w:color w:val="auto"/>
                <w:sz w:val="17"/>
                <w:szCs w:val="17"/>
              </w:rPr>
            </w:pPr>
            <w:r w:rsidRPr="00037C20">
              <w:rPr>
                <w:b w:val="0"/>
                <w:color w:val="auto"/>
                <w:sz w:val="17"/>
                <w:szCs w:val="17"/>
              </w:rPr>
              <w:t>Static backhaul capacity included in the auction given the efficiency benefits associated with backhaul.</w:t>
            </w:r>
          </w:p>
        </w:tc>
      </w:tr>
      <w:tr w:rsidR="00B90862" w:rsidRPr="00037C20" w14:paraId="63D5353B" w14:textId="77777777" w:rsidTr="00B90862">
        <w:trPr>
          <w:cnfStyle w:val="100000000000" w:firstRow="1" w:lastRow="0" w:firstColumn="0" w:lastColumn="0" w:oddVBand="0" w:evenVBand="0" w:oddHBand="0" w:evenHBand="0" w:firstRowFirstColumn="0" w:firstRowLastColumn="0" w:lastRowFirstColumn="0" w:lastRowLastColumn="0"/>
          <w:cantSplit/>
          <w:tblHeader/>
        </w:trPr>
        <w:tc>
          <w:tcPr>
            <w:tcW w:w="889" w:type="pct"/>
            <w:shd w:val="clear" w:color="auto" w:fill="auto"/>
          </w:tcPr>
          <w:p w14:paraId="09A86B56" w14:textId="77777777" w:rsidR="00B90862" w:rsidRPr="00037C20" w:rsidRDefault="00B90862" w:rsidP="00037C20">
            <w:pPr>
              <w:pStyle w:val="TableBodyText"/>
              <w:spacing w:line="247" w:lineRule="auto"/>
              <w:rPr>
                <w:b w:val="0"/>
                <w:color w:val="auto"/>
                <w:sz w:val="17"/>
                <w:szCs w:val="17"/>
              </w:rPr>
            </w:pPr>
            <w:r w:rsidRPr="00037C20">
              <w:rPr>
                <w:b w:val="0"/>
                <w:color w:val="auto"/>
                <w:sz w:val="17"/>
                <w:szCs w:val="17"/>
              </w:rPr>
              <w:t>Reserve price</w:t>
            </w:r>
          </w:p>
        </w:tc>
        <w:tc>
          <w:tcPr>
            <w:tcW w:w="4111" w:type="pct"/>
            <w:gridSpan w:val="2"/>
            <w:shd w:val="clear" w:color="auto" w:fill="auto"/>
          </w:tcPr>
          <w:p w14:paraId="1D2A769F" w14:textId="77777777" w:rsidR="00B90862" w:rsidRPr="00037C20" w:rsidRDefault="00B90862" w:rsidP="00037C20">
            <w:pPr>
              <w:pStyle w:val="TableBodyText"/>
              <w:spacing w:line="247" w:lineRule="auto"/>
              <w:rPr>
                <w:b w:val="0"/>
                <w:color w:val="auto"/>
                <w:sz w:val="17"/>
                <w:szCs w:val="17"/>
              </w:rPr>
            </w:pPr>
            <w:r w:rsidRPr="00037C20">
              <w:rPr>
                <w:b w:val="0"/>
                <w:color w:val="auto"/>
                <w:sz w:val="17"/>
                <w:szCs w:val="17"/>
              </w:rPr>
              <w:t xml:space="preserve">Reserve price of zero dollars with compressor fuel either provided by: </w:t>
            </w:r>
          </w:p>
          <w:p w14:paraId="011571A0" w14:textId="77777777" w:rsidR="00B90862" w:rsidRPr="00037C20" w:rsidRDefault="00B90862" w:rsidP="00037C20">
            <w:pPr>
              <w:pStyle w:val="TableBullet1"/>
              <w:spacing w:line="247" w:lineRule="auto"/>
              <w:rPr>
                <w:b w:val="0"/>
                <w:color w:val="auto"/>
                <w:sz w:val="17"/>
                <w:szCs w:val="17"/>
              </w:rPr>
            </w:pPr>
            <w:r w:rsidRPr="00037C20">
              <w:rPr>
                <w:b w:val="0"/>
                <w:color w:val="auto"/>
                <w:sz w:val="17"/>
                <w:szCs w:val="17"/>
              </w:rPr>
              <w:t xml:space="preserve">shippers in-kind; or </w:t>
            </w:r>
          </w:p>
          <w:p w14:paraId="2EB4A972" w14:textId="77777777" w:rsidR="00B90862" w:rsidRPr="00037C20" w:rsidRDefault="00B90862" w:rsidP="00037C20">
            <w:pPr>
              <w:pStyle w:val="TableBullet1"/>
              <w:spacing w:line="247" w:lineRule="auto"/>
              <w:rPr>
                <w:sz w:val="17"/>
                <w:szCs w:val="17"/>
              </w:rPr>
            </w:pPr>
            <w:proofErr w:type="gramStart"/>
            <w:r w:rsidRPr="00037C20">
              <w:rPr>
                <w:b w:val="0"/>
                <w:color w:val="auto"/>
                <w:sz w:val="17"/>
                <w:szCs w:val="17"/>
              </w:rPr>
              <w:t>the</w:t>
            </w:r>
            <w:proofErr w:type="gramEnd"/>
            <w:r w:rsidRPr="00037C20">
              <w:rPr>
                <w:b w:val="0"/>
                <w:color w:val="auto"/>
                <w:sz w:val="17"/>
                <w:szCs w:val="17"/>
              </w:rPr>
              <w:t xml:space="preserve"> service provider with the costs then recovered through the operational GTA.</w:t>
            </w:r>
          </w:p>
        </w:tc>
      </w:tr>
      <w:tr w:rsidR="00DC12C7" w:rsidRPr="00037C20" w14:paraId="226FCA88" w14:textId="77777777" w:rsidTr="008F0DF9">
        <w:trPr>
          <w:cnfStyle w:val="100000000000" w:firstRow="1" w:lastRow="0" w:firstColumn="0" w:lastColumn="0" w:oddVBand="0" w:evenVBand="0" w:oddHBand="0" w:evenHBand="0" w:firstRowFirstColumn="0" w:firstRowLastColumn="0" w:lastRowFirstColumn="0" w:lastRowLastColumn="0"/>
          <w:cantSplit/>
          <w:tblHeader/>
        </w:trPr>
        <w:tc>
          <w:tcPr>
            <w:tcW w:w="889" w:type="pct"/>
            <w:shd w:val="clear" w:color="auto" w:fill="auto"/>
          </w:tcPr>
          <w:p w14:paraId="128F0129" w14:textId="77777777" w:rsidR="00DC12C7" w:rsidRPr="00037C20" w:rsidRDefault="00DC12C7" w:rsidP="00037C20">
            <w:pPr>
              <w:pStyle w:val="TableBodyText"/>
              <w:spacing w:line="247" w:lineRule="auto"/>
              <w:rPr>
                <w:b w:val="0"/>
                <w:color w:val="auto"/>
                <w:sz w:val="17"/>
                <w:szCs w:val="17"/>
              </w:rPr>
            </w:pPr>
            <w:r w:rsidRPr="00037C20">
              <w:rPr>
                <w:b w:val="0"/>
                <w:color w:val="auto"/>
                <w:sz w:val="17"/>
                <w:szCs w:val="17"/>
              </w:rPr>
              <w:t>Pricing rule</w:t>
            </w:r>
          </w:p>
        </w:tc>
        <w:tc>
          <w:tcPr>
            <w:tcW w:w="4111" w:type="pct"/>
            <w:gridSpan w:val="2"/>
            <w:shd w:val="clear" w:color="auto" w:fill="auto"/>
          </w:tcPr>
          <w:p w14:paraId="132C3812" w14:textId="77777777" w:rsidR="00DC12C7" w:rsidRPr="00037C20" w:rsidRDefault="00DC12C7" w:rsidP="00037C20">
            <w:pPr>
              <w:pStyle w:val="TableBodyText"/>
              <w:spacing w:line="247" w:lineRule="auto"/>
              <w:rPr>
                <w:b w:val="0"/>
                <w:color w:val="auto"/>
                <w:sz w:val="17"/>
                <w:szCs w:val="17"/>
              </w:rPr>
            </w:pPr>
            <w:r w:rsidRPr="00037C20">
              <w:rPr>
                <w:b w:val="0"/>
                <w:color w:val="auto"/>
                <w:sz w:val="17"/>
                <w:szCs w:val="17"/>
              </w:rPr>
              <w:t>Pay-as cleared pricing rule, which is determined by lowest accepted bids in the auction.</w:t>
            </w:r>
          </w:p>
        </w:tc>
      </w:tr>
      <w:tr w:rsidR="00DC12C7" w:rsidRPr="00037C20" w14:paraId="42E3638A" w14:textId="77777777" w:rsidTr="008F0DF9">
        <w:trPr>
          <w:cnfStyle w:val="100000000000" w:firstRow="1" w:lastRow="0" w:firstColumn="0" w:lastColumn="0" w:oddVBand="0" w:evenVBand="0" w:oddHBand="0" w:evenHBand="0" w:firstRowFirstColumn="0" w:firstRowLastColumn="0" w:lastRowFirstColumn="0" w:lastRowLastColumn="0"/>
          <w:cantSplit/>
          <w:tblHeader/>
        </w:trPr>
        <w:tc>
          <w:tcPr>
            <w:tcW w:w="889" w:type="pct"/>
            <w:shd w:val="clear" w:color="auto" w:fill="auto"/>
          </w:tcPr>
          <w:p w14:paraId="35B97B87" w14:textId="77777777" w:rsidR="00DC12C7" w:rsidRPr="00037C20" w:rsidRDefault="00DC12C7" w:rsidP="00037C20">
            <w:pPr>
              <w:pStyle w:val="TableBodyText"/>
              <w:spacing w:line="247" w:lineRule="auto"/>
              <w:rPr>
                <w:b w:val="0"/>
                <w:color w:val="auto"/>
                <w:sz w:val="17"/>
                <w:szCs w:val="17"/>
              </w:rPr>
            </w:pPr>
            <w:r w:rsidRPr="00037C20">
              <w:rPr>
                <w:b w:val="0"/>
                <w:color w:val="auto"/>
                <w:sz w:val="17"/>
                <w:szCs w:val="17"/>
              </w:rPr>
              <w:t>Determination of auction winners</w:t>
            </w:r>
          </w:p>
        </w:tc>
        <w:tc>
          <w:tcPr>
            <w:tcW w:w="4111" w:type="pct"/>
            <w:gridSpan w:val="2"/>
            <w:shd w:val="clear" w:color="auto" w:fill="auto"/>
          </w:tcPr>
          <w:p w14:paraId="27C4C5C2" w14:textId="77777777" w:rsidR="00DC12C7" w:rsidRPr="00037C20" w:rsidRDefault="00DC12C7" w:rsidP="00037C20">
            <w:pPr>
              <w:pStyle w:val="TableBodyText"/>
              <w:spacing w:line="247" w:lineRule="auto"/>
              <w:rPr>
                <w:b w:val="0"/>
                <w:color w:val="auto"/>
                <w:sz w:val="17"/>
                <w:szCs w:val="17"/>
              </w:rPr>
            </w:pPr>
            <w:r w:rsidRPr="00037C20">
              <w:rPr>
                <w:b w:val="0"/>
                <w:color w:val="auto"/>
                <w:sz w:val="17"/>
                <w:szCs w:val="17"/>
              </w:rPr>
              <w:t>Profit-maximising combination of bids wins.</w:t>
            </w:r>
          </w:p>
        </w:tc>
      </w:tr>
      <w:tr w:rsidR="00F97628" w:rsidRPr="00037C20" w14:paraId="05BD306F" w14:textId="77777777" w:rsidTr="008F0DF9">
        <w:trPr>
          <w:cnfStyle w:val="100000000000" w:firstRow="1" w:lastRow="0" w:firstColumn="0" w:lastColumn="0" w:oddVBand="0" w:evenVBand="0" w:oddHBand="0" w:evenHBand="0" w:firstRowFirstColumn="0" w:firstRowLastColumn="0" w:lastRowFirstColumn="0" w:lastRowLastColumn="0"/>
          <w:cantSplit/>
          <w:tblHeader/>
        </w:trPr>
        <w:tc>
          <w:tcPr>
            <w:tcW w:w="889" w:type="pct"/>
            <w:shd w:val="clear" w:color="auto" w:fill="auto"/>
          </w:tcPr>
          <w:p w14:paraId="286E8A96" w14:textId="77777777" w:rsidR="00DC12C7" w:rsidRPr="00037C20" w:rsidRDefault="00DC12C7" w:rsidP="00037C20">
            <w:pPr>
              <w:pStyle w:val="TableBodyText"/>
              <w:spacing w:line="247" w:lineRule="auto"/>
              <w:rPr>
                <w:b w:val="0"/>
                <w:color w:val="auto"/>
                <w:sz w:val="17"/>
                <w:szCs w:val="17"/>
              </w:rPr>
            </w:pPr>
            <w:r w:rsidRPr="00037C20">
              <w:rPr>
                <w:b w:val="0"/>
                <w:color w:val="auto"/>
                <w:sz w:val="17"/>
                <w:szCs w:val="17"/>
              </w:rPr>
              <w:t>Curtailment</w:t>
            </w:r>
          </w:p>
        </w:tc>
        <w:tc>
          <w:tcPr>
            <w:tcW w:w="4111" w:type="pct"/>
            <w:gridSpan w:val="2"/>
            <w:shd w:val="clear" w:color="auto" w:fill="auto"/>
          </w:tcPr>
          <w:p w14:paraId="73EC6C89" w14:textId="2F67B175" w:rsidR="00F97628" w:rsidRPr="00037C20" w:rsidRDefault="00F97628" w:rsidP="00037C20">
            <w:pPr>
              <w:pStyle w:val="TableBullet1"/>
              <w:spacing w:line="247" w:lineRule="auto"/>
              <w:rPr>
                <w:b w:val="0"/>
                <w:color w:val="auto"/>
                <w:sz w:val="17"/>
                <w:szCs w:val="17"/>
              </w:rPr>
            </w:pPr>
            <w:r w:rsidRPr="00037C20">
              <w:rPr>
                <w:b w:val="0"/>
                <w:color w:val="auto"/>
                <w:sz w:val="17"/>
                <w:szCs w:val="17"/>
              </w:rPr>
              <w:t>Auction winners have the option to try and avoid curtailment of the affected product by procuring primary capacity from the service provider if there is spare capacity available and, if they are unable to do so, have the option to choose whether they are only curtailed on that product; or curtailed by the same amount across all products included in the winning bid.</w:t>
            </w:r>
          </w:p>
          <w:p w14:paraId="33C77416" w14:textId="2DB1AB73" w:rsidR="00DC12C7" w:rsidRPr="00037C20" w:rsidRDefault="00F97628" w:rsidP="00037C20">
            <w:pPr>
              <w:pStyle w:val="TableBullet1"/>
              <w:spacing w:line="247" w:lineRule="auto"/>
              <w:rPr>
                <w:b w:val="0"/>
                <w:color w:val="auto"/>
                <w:sz w:val="17"/>
                <w:szCs w:val="17"/>
              </w:rPr>
            </w:pPr>
            <w:r w:rsidRPr="00037C20">
              <w:rPr>
                <w:b w:val="0"/>
                <w:color w:val="auto"/>
                <w:sz w:val="17"/>
                <w:szCs w:val="17"/>
              </w:rPr>
              <w:t>Pro-rata with compensation approach for curtailment-compensation rules.</w:t>
            </w:r>
          </w:p>
        </w:tc>
      </w:tr>
      <w:tr w:rsidR="00DC12C7" w:rsidRPr="00037C20" w14:paraId="4D0EE006" w14:textId="77777777" w:rsidTr="008F0DF9">
        <w:trPr>
          <w:cnfStyle w:val="100000000000" w:firstRow="1" w:lastRow="0" w:firstColumn="0" w:lastColumn="0" w:oddVBand="0" w:evenVBand="0" w:oddHBand="0" w:evenHBand="0" w:firstRowFirstColumn="0" w:firstRowLastColumn="0" w:lastRowFirstColumn="0" w:lastRowLastColumn="0"/>
          <w:cantSplit/>
          <w:tblHeader/>
        </w:trPr>
        <w:tc>
          <w:tcPr>
            <w:tcW w:w="889" w:type="pct"/>
            <w:shd w:val="clear" w:color="auto" w:fill="auto"/>
          </w:tcPr>
          <w:p w14:paraId="45F7CDE4" w14:textId="77777777" w:rsidR="00DC12C7" w:rsidRPr="00037C20" w:rsidRDefault="00DC12C7" w:rsidP="00037C20">
            <w:pPr>
              <w:pStyle w:val="TableBodyText"/>
              <w:spacing w:line="247" w:lineRule="auto"/>
              <w:rPr>
                <w:b w:val="0"/>
                <w:color w:val="auto"/>
                <w:sz w:val="17"/>
                <w:szCs w:val="17"/>
              </w:rPr>
            </w:pPr>
            <w:r w:rsidRPr="00037C20">
              <w:rPr>
                <w:b w:val="0"/>
                <w:color w:val="auto"/>
                <w:sz w:val="17"/>
                <w:szCs w:val="17"/>
              </w:rPr>
              <w:t>Allocation of auction residue</w:t>
            </w:r>
          </w:p>
        </w:tc>
        <w:tc>
          <w:tcPr>
            <w:tcW w:w="4111" w:type="pct"/>
            <w:gridSpan w:val="2"/>
            <w:shd w:val="clear" w:color="auto" w:fill="auto"/>
          </w:tcPr>
          <w:p w14:paraId="4EA28D2D" w14:textId="77777777" w:rsidR="00DC12C7" w:rsidRPr="002A2DED" w:rsidRDefault="00DC12C7" w:rsidP="00037C20">
            <w:pPr>
              <w:pStyle w:val="TableBodyText"/>
              <w:spacing w:line="247" w:lineRule="auto"/>
              <w:rPr>
                <w:b w:val="0"/>
                <w:color w:val="auto"/>
                <w:sz w:val="17"/>
                <w:szCs w:val="17"/>
              </w:rPr>
            </w:pPr>
            <w:r w:rsidRPr="002A2DED">
              <w:rPr>
                <w:b w:val="0"/>
                <w:color w:val="auto"/>
                <w:sz w:val="17"/>
                <w:szCs w:val="17"/>
              </w:rPr>
              <w:t>Auction residue allocated to service providers based on the revenues achieved by the products (receipt and deliver points, pipeline segments and compression services) owned by each service provider.</w:t>
            </w:r>
          </w:p>
        </w:tc>
      </w:tr>
      <w:tr w:rsidR="00DC12C7" w:rsidRPr="00037C20" w14:paraId="61CACEF1" w14:textId="77777777" w:rsidTr="008F0DF9">
        <w:trPr>
          <w:cnfStyle w:val="100000000000" w:firstRow="1" w:lastRow="0" w:firstColumn="0" w:lastColumn="0" w:oddVBand="0" w:evenVBand="0" w:oddHBand="0" w:evenHBand="0" w:firstRowFirstColumn="0" w:firstRowLastColumn="0" w:lastRowFirstColumn="0" w:lastRowLastColumn="0"/>
          <w:cantSplit/>
          <w:tblHeader/>
        </w:trPr>
        <w:tc>
          <w:tcPr>
            <w:tcW w:w="889" w:type="pct"/>
            <w:shd w:val="clear" w:color="auto" w:fill="auto"/>
          </w:tcPr>
          <w:p w14:paraId="5DFDF9F2" w14:textId="77777777" w:rsidR="00DC12C7" w:rsidRPr="00037C20" w:rsidRDefault="00DC12C7" w:rsidP="00037C20">
            <w:pPr>
              <w:pStyle w:val="TableBodyText"/>
              <w:spacing w:line="247" w:lineRule="auto"/>
              <w:rPr>
                <w:b w:val="0"/>
                <w:color w:val="auto"/>
                <w:sz w:val="17"/>
                <w:szCs w:val="17"/>
              </w:rPr>
            </w:pPr>
            <w:r w:rsidRPr="00037C20">
              <w:rPr>
                <w:b w:val="0"/>
                <w:color w:val="auto"/>
                <w:sz w:val="17"/>
                <w:szCs w:val="17"/>
              </w:rPr>
              <w:t>Information provided to bidders</w:t>
            </w:r>
          </w:p>
        </w:tc>
        <w:tc>
          <w:tcPr>
            <w:tcW w:w="4111" w:type="pct"/>
            <w:gridSpan w:val="2"/>
            <w:shd w:val="clear" w:color="auto" w:fill="auto"/>
          </w:tcPr>
          <w:p w14:paraId="5C391484" w14:textId="40A8846C" w:rsidR="00DC12C7" w:rsidRPr="00037C20" w:rsidRDefault="00DC12C7" w:rsidP="00037C20">
            <w:pPr>
              <w:pStyle w:val="TableBodyText"/>
              <w:spacing w:line="247" w:lineRule="auto"/>
              <w:rPr>
                <w:b w:val="0"/>
                <w:color w:val="auto"/>
                <w:sz w:val="17"/>
                <w:szCs w:val="17"/>
              </w:rPr>
            </w:pPr>
            <w:r w:rsidRPr="00037C20">
              <w:rPr>
                <w:b w:val="0"/>
                <w:color w:val="auto"/>
                <w:sz w:val="17"/>
                <w:szCs w:val="17"/>
              </w:rPr>
              <w:t xml:space="preserve">Before the auction, </w:t>
            </w:r>
            <w:r w:rsidR="00B90862" w:rsidRPr="00037C20">
              <w:rPr>
                <w:b w:val="0"/>
                <w:color w:val="auto"/>
                <w:sz w:val="17"/>
                <w:szCs w:val="17"/>
              </w:rPr>
              <w:t xml:space="preserve">auction participants would </w:t>
            </w:r>
            <w:r w:rsidRPr="00037C20">
              <w:rPr>
                <w:b w:val="0"/>
                <w:color w:val="auto"/>
                <w:sz w:val="17"/>
                <w:szCs w:val="17"/>
              </w:rPr>
              <w:t xml:space="preserve">be told what products are available in the auction and the auction quantity. After the auction, </w:t>
            </w:r>
            <w:r w:rsidR="00B90862" w:rsidRPr="00037C20">
              <w:rPr>
                <w:b w:val="0"/>
                <w:color w:val="auto"/>
                <w:sz w:val="17"/>
                <w:szCs w:val="17"/>
              </w:rPr>
              <w:t xml:space="preserve">auction participants would be </w:t>
            </w:r>
            <w:r w:rsidRPr="00037C20">
              <w:rPr>
                <w:b w:val="0"/>
                <w:color w:val="auto"/>
                <w:sz w:val="17"/>
                <w:szCs w:val="17"/>
              </w:rPr>
              <w:t>provided with information</w:t>
            </w:r>
            <w:r w:rsidR="00B90862" w:rsidRPr="00037C20">
              <w:rPr>
                <w:b w:val="0"/>
                <w:color w:val="auto"/>
                <w:sz w:val="17"/>
                <w:szCs w:val="17"/>
              </w:rPr>
              <w:t xml:space="preserve"> on</w:t>
            </w:r>
            <w:r w:rsidRPr="00037C20">
              <w:rPr>
                <w:b w:val="0"/>
                <w:color w:val="auto"/>
                <w:sz w:val="17"/>
                <w:szCs w:val="17"/>
              </w:rPr>
              <w:t>:</w:t>
            </w:r>
          </w:p>
          <w:p w14:paraId="14D4E532" w14:textId="6F7E7DAD" w:rsidR="00DC12C7" w:rsidRPr="00037C20" w:rsidRDefault="00B90862" w:rsidP="00037C20">
            <w:pPr>
              <w:pStyle w:val="TableBullet1"/>
              <w:spacing w:line="247" w:lineRule="auto"/>
              <w:rPr>
                <w:b w:val="0"/>
                <w:color w:val="auto"/>
                <w:sz w:val="17"/>
                <w:szCs w:val="17"/>
              </w:rPr>
            </w:pPr>
            <w:r w:rsidRPr="00037C20">
              <w:rPr>
                <w:b w:val="0"/>
                <w:color w:val="auto"/>
                <w:sz w:val="17"/>
                <w:szCs w:val="17"/>
              </w:rPr>
              <w:t xml:space="preserve">their </w:t>
            </w:r>
            <w:r w:rsidR="00DC12C7" w:rsidRPr="00037C20">
              <w:rPr>
                <w:b w:val="0"/>
                <w:color w:val="auto"/>
                <w:sz w:val="17"/>
                <w:szCs w:val="17"/>
              </w:rPr>
              <w:t xml:space="preserve">own winning bids, including the quantities of each product </w:t>
            </w:r>
            <w:r w:rsidRPr="00037C20">
              <w:rPr>
                <w:b w:val="0"/>
                <w:color w:val="auto"/>
                <w:sz w:val="17"/>
                <w:szCs w:val="17"/>
              </w:rPr>
              <w:t>procured</w:t>
            </w:r>
            <w:r w:rsidR="00DC12C7" w:rsidRPr="00037C20">
              <w:rPr>
                <w:b w:val="0"/>
                <w:color w:val="auto"/>
                <w:sz w:val="17"/>
                <w:szCs w:val="17"/>
              </w:rPr>
              <w:t>; and</w:t>
            </w:r>
          </w:p>
          <w:p w14:paraId="46696F74" w14:textId="77777777" w:rsidR="00DC12C7" w:rsidRPr="00037C20" w:rsidRDefault="00DC12C7" w:rsidP="00037C20">
            <w:pPr>
              <w:pStyle w:val="TableBullet1"/>
              <w:spacing w:line="247" w:lineRule="auto"/>
              <w:rPr>
                <w:b w:val="0"/>
                <w:color w:val="auto"/>
                <w:sz w:val="17"/>
                <w:szCs w:val="17"/>
              </w:rPr>
            </w:pPr>
            <w:proofErr w:type="gramStart"/>
            <w:r w:rsidRPr="00037C20">
              <w:rPr>
                <w:b w:val="0"/>
                <w:color w:val="auto"/>
                <w:sz w:val="17"/>
                <w:szCs w:val="17"/>
              </w:rPr>
              <w:t>the</w:t>
            </w:r>
            <w:proofErr w:type="gramEnd"/>
            <w:r w:rsidRPr="00037C20">
              <w:rPr>
                <w:b w:val="0"/>
                <w:color w:val="auto"/>
                <w:sz w:val="17"/>
                <w:szCs w:val="17"/>
              </w:rPr>
              <w:t xml:space="preserve"> price of all products in the auction.</w:t>
            </w:r>
          </w:p>
          <w:p w14:paraId="55E58922" w14:textId="0340CB3E" w:rsidR="00DC12C7" w:rsidRPr="00037C20" w:rsidRDefault="00DC12C7" w:rsidP="00037C20">
            <w:pPr>
              <w:pStyle w:val="TableBodyText"/>
              <w:spacing w:line="247" w:lineRule="auto"/>
              <w:rPr>
                <w:b w:val="0"/>
                <w:color w:val="auto"/>
                <w:sz w:val="17"/>
                <w:szCs w:val="17"/>
              </w:rPr>
            </w:pPr>
            <w:r w:rsidRPr="00037C20">
              <w:rPr>
                <w:b w:val="0"/>
                <w:color w:val="auto"/>
                <w:sz w:val="17"/>
                <w:szCs w:val="17"/>
              </w:rPr>
              <w:t xml:space="preserve">In the initial stages, the bid-stack </w:t>
            </w:r>
            <w:r w:rsidR="00B90862" w:rsidRPr="00037C20">
              <w:rPr>
                <w:b w:val="0"/>
                <w:color w:val="auto"/>
                <w:sz w:val="17"/>
                <w:szCs w:val="17"/>
              </w:rPr>
              <w:t>would</w:t>
            </w:r>
            <w:r w:rsidRPr="00037C20">
              <w:rPr>
                <w:b w:val="0"/>
                <w:color w:val="auto"/>
                <w:sz w:val="17"/>
                <w:szCs w:val="17"/>
              </w:rPr>
              <w:t xml:space="preserve"> not be made public. The performance of the auction will be reviewed periodically. If participation is high and there is strong competition in the auction, consideration could be given to publishing this </w:t>
            </w:r>
            <w:r w:rsidR="00B90862" w:rsidRPr="00037C20">
              <w:rPr>
                <w:b w:val="0"/>
                <w:color w:val="auto"/>
                <w:sz w:val="17"/>
                <w:szCs w:val="17"/>
              </w:rPr>
              <w:t>information</w:t>
            </w:r>
            <w:r w:rsidRPr="00037C20">
              <w:rPr>
                <w:b w:val="0"/>
                <w:color w:val="auto"/>
                <w:sz w:val="17"/>
                <w:szCs w:val="17"/>
              </w:rPr>
              <w:t>.</w:t>
            </w:r>
          </w:p>
        </w:tc>
      </w:tr>
      <w:tr w:rsidR="00DC12C7" w:rsidRPr="00037C20" w14:paraId="7D2367D5" w14:textId="77777777" w:rsidTr="008F0DF9">
        <w:trPr>
          <w:cnfStyle w:val="100000000000" w:firstRow="1" w:lastRow="0" w:firstColumn="0" w:lastColumn="0" w:oddVBand="0" w:evenVBand="0" w:oddHBand="0" w:evenHBand="0" w:firstRowFirstColumn="0" w:firstRowLastColumn="0" w:lastRowFirstColumn="0" w:lastRowLastColumn="0"/>
          <w:cantSplit/>
          <w:tblHeader/>
        </w:trPr>
        <w:tc>
          <w:tcPr>
            <w:tcW w:w="889" w:type="pct"/>
            <w:shd w:val="clear" w:color="auto" w:fill="auto"/>
          </w:tcPr>
          <w:p w14:paraId="3C71DB7A" w14:textId="77777777" w:rsidR="00DC12C7" w:rsidRPr="00037C20" w:rsidRDefault="00DC12C7" w:rsidP="00037C20">
            <w:pPr>
              <w:pStyle w:val="TableBodyText"/>
              <w:spacing w:line="247" w:lineRule="auto"/>
              <w:rPr>
                <w:b w:val="0"/>
                <w:color w:val="auto"/>
                <w:sz w:val="17"/>
                <w:szCs w:val="17"/>
              </w:rPr>
            </w:pPr>
            <w:r w:rsidRPr="00037C20">
              <w:rPr>
                <w:b w:val="0"/>
                <w:color w:val="auto"/>
                <w:sz w:val="17"/>
                <w:szCs w:val="17"/>
              </w:rPr>
              <w:t>Auction timing</w:t>
            </w:r>
          </w:p>
        </w:tc>
        <w:tc>
          <w:tcPr>
            <w:tcW w:w="4111" w:type="pct"/>
            <w:gridSpan w:val="2"/>
            <w:shd w:val="clear" w:color="auto" w:fill="auto"/>
          </w:tcPr>
          <w:p w14:paraId="76FDAEAF" w14:textId="0A603004" w:rsidR="00DC12C7" w:rsidRPr="00037C20" w:rsidRDefault="00DC12C7" w:rsidP="00037C20">
            <w:pPr>
              <w:pStyle w:val="TableBodyText"/>
              <w:spacing w:line="247" w:lineRule="auto"/>
              <w:rPr>
                <w:b w:val="0"/>
                <w:color w:val="auto"/>
                <w:sz w:val="17"/>
                <w:szCs w:val="17"/>
              </w:rPr>
            </w:pPr>
            <w:r w:rsidRPr="00037C20">
              <w:rPr>
                <w:b w:val="0"/>
                <w:color w:val="auto"/>
                <w:sz w:val="17"/>
                <w:szCs w:val="17"/>
              </w:rPr>
              <w:t xml:space="preserve">Based on current gas day start times and nomination cut-off times, the auction is </w:t>
            </w:r>
            <w:r w:rsidR="008773F5">
              <w:rPr>
                <w:b w:val="0"/>
                <w:color w:val="auto"/>
                <w:sz w:val="17"/>
                <w:szCs w:val="17"/>
              </w:rPr>
              <w:t xml:space="preserve">indicatively </w:t>
            </w:r>
            <w:r w:rsidRPr="00037C20">
              <w:rPr>
                <w:b w:val="0"/>
                <w:color w:val="auto"/>
                <w:sz w:val="17"/>
                <w:szCs w:val="17"/>
              </w:rPr>
              <w:t xml:space="preserve">expected to be </w:t>
            </w:r>
            <w:r w:rsidR="002A2DED">
              <w:rPr>
                <w:b w:val="0"/>
                <w:color w:val="auto"/>
                <w:sz w:val="17"/>
                <w:szCs w:val="17"/>
              </w:rPr>
              <w:t>completed by 6</w:t>
            </w:r>
            <w:r w:rsidRPr="00037C20">
              <w:rPr>
                <w:b w:val="0"/>
                <w:color w:val="auto"/>
                <w:sz w:val="17"/>
                <w:szCs w:val="17"/>
              </w:rPr>
              <w:t>.</w:t>
            </w:r>
            <w:r w:rsidR="008773F5">
              <w:rPr>
                <w:b w:val="0"/>
                <w:color w:val="auto"/>
                <w:sz w:val="17"/>
                <w:szCs w:val="17"/>
              </w:rPr>
              <w:t>4</w:t>
            </w:r>
            <w:r w:rsidR="002A2DED">
              <w:rPr>
                <w:b w:val="0"/>
                <w:color w:val="auto"/>
                <w:sz w:val="17"/>
                <w:szCs w:val="17"/>
              </w:rPr>
              <w:t>5</w:t>
            </w:r>
            <w:r w:rsidRPr="00037C20">
              <w:rPr>
                <w:b w:val="0"/>
                <w:color w:val="auto"/>
                <w:sz w:val="17"/>
                <w:szCs w:val="17"/>
              </w:rPr>
              <w:t xml:space="preserve"> pm.</w:t>
            </w:r>
          </w:p>
        </w:tc>
      </w:tr>
    </w:tbl>
    <w:p w14:paraId="5EF17B3B" w14:textId="5C057076" w:rsidR="000809B0" w:rsidRPr="00037C20" w:rsidRDefault="000809B0" w:rsidP="00CA4A86">
      <w:pPr>
        <w:pStyle w:val="BodyText"/>
        <w:spacing w:before="0" w:after="0" w:line="240" w:lineRule="auto"/>
        <w:rPr>
          <w:sz w:val="2"/>
          <w:szCs w:val="2"/>
        </w:rPr>
      </w:pPr>
      <w:r w:rsidRPr="00037C20">
        <w:rPr>
          <w:sz w:val="2"/>
          <w:szCs w:val="2"/>
        </w:rPr>
        <w:br w:type="page"/>
      </w:r>
    </w:p>
    <w:p w14:paraId="267E1516" w14:textId="77777777" w:rsidR="00634483" w:rsidRPr="00E47FB7" w:rsidRDefault="00634483" w:rsidP="00634483">
      <w:pPr>
        <w:pStyle w:val="Heading1"/>
        <w:ind w:right="-143"/>
      </w:pPr>
      <w:bookmarkStart w:id="124" w:name="_Toc495351646"/>
      <w:bookmarkStart w:id="125" w:name="_Hlk494903678"/>
      <w:r w:rsidRPr="00E47FB7">
        <w:t>Coverage of the Auction</w:t>
      </w:r>
      <w:bookmarkEnd w:id="124"/>
    </w:p>
    <w:p w14:paraId="4DFBA364" w14:textId="77777777" w:rsidR="00634483" w:rsidRDefault="00634483" w:rsidP="00634483">
      <w:pPr>
        <w:pStyle w:val="BodyText"/>
        <w:rPr>
          <w:rFonts w:asciiTheme="majorHAnsi" w:eastAsiaTheme="minorEastAsia" w:hAnsiTheme="majorHAnsi" w:cstheme="majorHAnsi"/>
        </w:rPr>
      </w:pPr>
      <w:r>
        <w:rPr>
          <w:rFonts w:asciiTheme="majorHAnsi" w:eastAsiaTheme="minorEastAsia" w:hAnsiTheme="majorHAnsi" w:cstheme="majorHAnsi"/>
        </w:rPr>
        <w:t xml:space="preserve">In the </w:t>
      </w:r>
      <w:r>
        <w:rPr>
          <w:rFonts w:asciiTheme="majorHAnsi" w:eastAsiaTheme="minorEastAsia" w:hAnsiTheme="majorHAnsi" w:cstheme="majorHAnsi"/>
          <w:i/>
        </w:rPr>
        <w:t xml:space="preserve">East Coast Review </w:t>
      </w:r>
      <w:r>
        <w:rPr>
          <w:rFonts w:asciiTheme="majorHAnsi" w:eastAsiaTheme="minorEastAsia" w:hAnsiTheme="majorHAnsi" w:cstheme="majorHAnsi"/>
        </w:rPr>
        <w:t xml:space="preserve">the AEMC noted that the overarching objective of the day-ahead auction is to improve the efficiency with which short-term transportation capacity is allocated and used by making contracted but un-nominated capacity available on a daily basis to shippers that might value it. The auction is expected to achieve this objective by: </w:t>
      </w:r>
    </w:p>
    <w:p w14:paraId="49B80839" w14:textId="7646EF1E" w:rsidR="00634483" w:rsidRDefault="00634483" w:rsidP="00634483">
      <w:pPr>
        <w:pStyle w:val="ListBullet"/>
        <w:rPr>
          <w:rFonts w:eastAsiaTheme="minorEastAsia"/>
        </w:rPr>
      </w:pPr>
      <w:r>
        <w:rPr>
          <w:rFonts w:eastAsiaTheme="minorEastAsia"/>
        </w:rPr>
        <w:t xml:space="preserve">Countering the incentive firm capacity holders may otherwise have to withhold capacity by making </w:t>
      </w:r>
      <w:r w:rsidR="00907A3A">
        <w:rPr>
          <w:rFonts w:eastAsiaTheme="minorEastAsia"/>
        </w:rPr>
        <w:t>contracted but un-</w:t>
      </w:r>
      <w:r>
        <w:rPr>
          <w:rFonts w:eastAsiaTheme="minorEastAsia"/>
        </w:rPr>
        <w:t xml:space="preserve">nominated capacity available through the auction. The release of this capacity is expected to provide firm capacity holders </w:t>
      </w:r>
      <w:proofErr w:type="gramStart"/>
      <w:r>
        <w:rPr>
          <w:rFonts w:eastAsiaTheme="minorEastAsia"/>
        </w:rPr>
        <w:t>an</w:t>
      </w:r>
      <w:proofErr w:type="gramEnd"/>
      <w:r>
        <w:rPr>
          <w:rFonts w:eastAsiaTheme="minorEastAsia"/>
        </w:rPr>
        <w:t xml:space="preserve"> incentive to sell any spare capacity they have prior to the auction, which should, in turn, increase liquidity in the currently undeveloped secondary market</w:t>
      </w:r>
      <w:r w:rsidR="0018544C">
        <w:rPr>
          <w:rFonts w:eastAsiaTheme="minorEastAsia"/>
        </w:rPr>
        <w:t xml:space="preserve"> and enable capacity to be allocated to those that value it most</w:t>
      </w:r>
      <w:r>
        <w:rPr>
          <w:rFonts w:eastAsiaTheme="minorEastAsia"/>
        </w:rPr>
        <w:t>.</w:t>
      </w:r>
    </w:p>
    <w:p w14:paraId="342044D4" w14:textId="77777777" w:rsidR="00634483" w:rsidRDefault="00634483" w:rsidP="00634483">
      <w:pPr>
        <w:pStyle w:val="ListBullet"/>
        <w:rPr>
          <w:rFonts w:eastAsiaTheme="minorEastAsia"/>
        </w:rPr>
      </w:pPr>
      <w:r>
        <w:rPr>
          <w:rFonts w:eastAsiaTheme="minorEastAsia"/>
        </w:rPr>
        <w:t>Limiting the ability of service providers to price short-term capacity products above the levels that would be expected in a workably competitive market.</w:t>
      </w:r>
    </w:p>
    <w:p w14:paraId="54FD55DA" w14:textId="77777777" w:rsidR="00634483" w:rsidRDefault="00634483" w:rsidP="00634483">
      <w:pPr>
        <w:pStyle w:val="BodyText"/>
        <w:rPr>
          <w:rFonts w:asciiTheme="majorHAnsi" w:eastAsiaTheme="minorEastAsia" w:hAnsiTheme="majorHAnsi" w:cstheme="majorHAnsi"/>
        </w:rPr>
      </w:pPr>
      <w:r>
        <w:rPr>
          <w:rFonts w:asciiTheme="majorHAnsi" w:eastAsiaTheme="minorEastAsia" w:hAnsiTheme="majorHAnsi" w:cstheme="majorHAnsi"/>
        </w:rPr>
        <w:t>On the topic of auction coverage, the AEMC recommended the adoption of a single combinatorial auction across the east coast to optimise the allocation of as many products as possible across the market (preferred outcome).</w:t>
      </w:r>
      <w:r w:rsidRPr="008D310C">
        <w:rPr>
          <w:rStyle w:val="FootnoteReference"/>
          <w:rFonts w:asciiTheme="majorHAnsi" w:eastAsiaTheme="minorEastAsia" w:hAnsiTheme="majorHAnsi" w:cstheme="majorHAnsi"/>
        </w:rPr>
        <w:t xml:space="preserve"> </w:t>
      </w:r>
      <w:r w:rsidRPr="00DB3F07">
        <w:rPr>
          <w:rStyle w:val="FootnoteReference"/>
          <w:rFonts w:asciiTheme="majorHAnsi" w:eastAsiaTheme="minorEastAsia" w:hAnsiTheme="majorHAnsi" w:cstheme="majorHAnsi"/>
        </w:rPr>
        <w:footnoteReference w:id="66"/>
      </w:r>
      <w:r>
        <w:rPr>
          <w:rFonts w:asciiTheme="majorHAnsi" w:eastAsiaTheme="minorEastAsia" w:hAnsiTheme="majorHAnsi" w:cstheme="majorHAnsi"/>
        </w:rPr>
        <w:t xml:space="preserve"> The AEMC also recommended that:</w:t>
      </w:r>
      <w:r w:rsidRPr="00DB3F07">
        <w:rPr>
          <w:rStyle w:val="FootnoteReference"/>
          <w:rFonts w:asciiTheme="majorHAnsi" w:eastAsiaTheme="minorEastAsia" w:hAnsiTheme="majorHAnsi" w:cstheme="majorHAnsi"/>
        </w:rPr>
        <w:footnoteReference w:id="67"/>
      </w:r>
      <w:r>
        <w:rPr>
          <w:rFonts w:asciiTheme="majorHAnsi" w:eastAsiaTheme="minorEastAsia" w:hAnsiTheme="majorHAnsi" w:cstheme="majorHAnsi"/>
        </w:rPr>
        <w:t xml:space="preserve"> </w:t>
      </w:r>
    </w:p>
    <w:p w14:paraId="15D3680F" w14:textId="3D028F13" w:rsidR="00634483" w:rsidRDefault="00634483" w:rsidP="00634483">
      <w:pPr>
        <w:pStyle w:val="ListBullet"/>
        <w:rPr>
          <w:rFonts w:eastAsiaTheme="minorEastAsia"/>
        </w:rPr>
      </w:pPr>
      <w:r>
        <w:rPr>
          <w:rFonts w:eastAsiaTheme="minorEastAsia"/>
        </w:rPr>
        <w:t xml:space="preserve">transportation </w:t>
      </w:r>
      <w:r w:rsidRPr="00E9766B">
        <w:rPr>
          <w:rFonts w:eastAsiaTheme="minorEastAsia"/>
        </w:rPr>
        <w:t xml:space="preserve">assets </w:t>
      </w:r>
      <w:r w:rsidR="008445B5">
        <w:rPr>
          <w:rFonts w:eastAsiaTheme="minorEastAsia"/>
        </w:rPr>
        <w:t xml:space="preserve">(i.e. pipelines and compression assets) </w:t>
      </w:r>
      <w:r w:rsidRPr="00E9766B">
        <w:rPr>
          <w:rFonts w:eastAsiaTheme="minorEastAsia"/>
        </w:rPr>
        <w:t>servicing a single facility should be exempt from the auction</w:t>
      </w:r>
      <w:r>
        <w:rPr>
          <w:rFonts w:eastAsiaTheme="minorEastAsia"/>
        </w:rPr>
        <w:t xml:space="preserve"> (preferred outcome); and </w:t>
      </w:r>
    </w:p>
    <w:p w14:paraId="6A4BD573" w14:textId="29A45805" w:rsidR="00634483" w:rsidRDefault="00634483" w:rsidP="00634483">
      <w:pPr>
        <w:pStyle w:val="ListBullet"/>
        <w:rPr>
          <w:rFonts w:eastAsiaTheme="minorEastAsia"/>
        </w:rPr>
      </w:pPr>
      <w:proofErr w:type="gramStart"/>
      <w:r>
        <w:rPr>
          <w:rFonts w:eastAsiaTheme="minorEastAsia"/>
        </w:rPr>
        <w:t>transportation</w:t>
      </w:r>
      <w:proofErr w:type="gramEnd"/>
      <w:r>
        <w:rPr>
          <w:rFonts w:eastAsiaTheme="minorEastAsia"/>
        </w:rPr>
        <w:t xml:space="preserve"> assets that are not fully contracted be exempted on a case-by-case basis from the auction (suggested outcome).</w:t>
      </w:r>
      <w:r w:rsidR="006B7AC6">
        <w:rPr>
          <w:rFonts w:eastAsiaTheme="minorEastAsia"/>
        </w:rPr>
        <w:t xml:space="preserve"> </w:t>
      </w:r>
    </w:p>
    <w:p w14:paraId="7A4879FC" w14:textId="5284F0DE" w:rsidR="00634483" w:rsidRDefault="00634483" w:rsidP="00634483">
      <w:pPr>
        <w:pStyle w:val="BodyText"/>
        <w:rPr>
          <w:rFonts w:asciiTheme="majorHAnsi" w:eastAsiaTheme="minorEastAsia" w:hAnsiTheme="majorHAnsi" w:cstheme="majorHAnsi"/>
        </w:rPr>
      </w:pPr>
      <w:r>
        <w:t xml:space="preserve">In relation to the first of these recommendations, the AEMC noted that if a </w:t>
      </w:r>
      <w:r w:rsidR="0018544C">
        <w:t>transportation asset (</w:t>
      </w:r>
      <w:r>
        <w:t>pipeline or compressor</w:t>
      </w:r>
      <w:r w:rsidR="0018544C">
        <w:t>)</w:t>
      </w:r>
      <w:r>
        <w:t xml:space="preserve"> is only servicing a single user or facility, then an auction of contracted but un-nominated capacity may achieve little because there would be no prospect of the capacity being resold to another shipper.</w:t>
      </w:r>
      <w:r>
        <w:rPr>
          <w:rStyle w:val="FootnoteReference"/>
        </w:rPr>
        <w:footnoteReference w:id="68"/>
      </w:r>
      <w:r>
        <w:t xml:space="preserve"> This recommendation was considered uncontroversial by the AEMC and therefore classified as a preferred outcome.</w:t>
      </w:r>
      <w:r w:rsidR="00525115">
        <w:rPr>
          <w:rStyle w:val="FootnoteReference"/>
        </w:rPr>
        <w:footnoteReference w:id="69"/>
      </w:r>
    </w:p>
    <w:p w14:paraId="497CB740" w14:textId="77777777" w:rsidR="00634483" w:rsidRDefault="00634483" w:rsidP="00634483">
      <w:pPr>
        <w:pStyle w:val="BodyText"/>
        <w:rPr>
          <w:rFonts w:asciiTheme="majorHAnsi" w:eastAsiaTheme="minorEastAsia" w:hAnsiTheme="majorHAnsi" w:cstheme="majorHAnsi"/>
        </w:rPr>
      </w:pPr>
      <w:r>
        <w:rPr>
          <w:rFonts w:asciiTheme="majorHAnsi" w:eastAsiaTheme="minorEastAsia" w:hAnsiTheme="majorHAnsi" w:cstheme="majorHAnsi"/>
        </w:rPr>
        <w:t>The second recommendation, on the other hand, was more controversial. In this case, the AEMC noted that a key rationale of the auction is to address contractual congestion and to counter the market power held by service providers in the market for day-ahead capacity. The AEMC went on to add that neither of these rationales appeared to apply in cases where transportation assets are less than fully contracted.</w:t>
      </w:r>
      <w:r>
        <w:rPr>
          <w:rStyle w:val="FootnoteReference"/>
          <w:rFonts w:asciiTheme="majorHAnsi" w:eastAsiaTheme="minorEastAsia" w:hAnsiTheme="majorHAnsi" w:cstheme="majorHAnsi"/>
        </w:rPr>
        <w:footnoteReference w:id="70"/>
      </w:r>
      <w:r>
        <w:rPr>
          <w:rFonts w:asciiTheme="majorHAnsi" w:eastAsiaTheme="minorEastAsia" w:hAnsiTheme="majorHAnsi" w:cstheme="majorHAnsi"/>
        </w:rPr>
        <w:t xml:space="preserve"> The AEMC did, however, note that there were a number of reasons why pipelines should </w:t>
      </w:r>
      <w:r w:rsidRPr="0036224B">
        <w:rPr>
          <w:rFonts w:asciiTheme="majorHAnsi" w:eastAsiaTheme="minorEastAsia" w:hAnsiTheme="majorHAnsi" w:cstheme="majorHAnsi"/>
        </w:rPr>
        <w:t>not</w:t>
      </w:r>
      <w:r>
        <w:rPr>
          <w:rFonts w:asciiTheme="majorHAnsi" w:eastAsiaTheme="minorEastAsia" w:hAnsiTheme="majorHAnsi" w:cstheme="majorHAnsi"/>
        </w:rPr>
        <w:t xml:space="preserve"> be exempted on the basis of how much capacity is contracted:</w:t>
      </w:r>
      <w:r>
        <w:rPr>
          <w:rStyle w:val="FootnoteReference"/>
          <w:rFonts w:asciiTheme="majorHAnsi" w:eastAsiaTheme="minorEastAsia" w:hAnsiTheme="majorHAnsi" w:cstheme="majorHAnsi"/>
        </w:rPr>
        <w:footnoteReference w:id="71"/>
      </w:r>
      <w:r>
        <w:rPr>
          <w:rFonts w:asciiTheme="majorHAnsi" w:eastAsiaTheme="minorEastAsia" w:hAnsiTheme="majorHAnsi" w:cstheme="majorHAnsi"/>
        </w:rPr>
        <w:t xml:space="preserve"> </w:t>
      </w:r>
    </w:p>
    <w:p w14:paraId="508EF215" w14:textId="77777777" w:rsidR="00634483" w:rsidRDefault="00634483" w:rsidP="00634483">
      <w:pPr>
        <w:pStyle w:val="Quote"/>
      </w:pPr>
      <w:r>
        <w:rPr>
          <w:rFonts w:asciiTheme="majorHAnsi" w:eastAsiaTheme="minorEastAsia" w:hAnsiTheme="majorHAnsi" w:cstheme="majorHAnsi"/>
          <w:sz w:val="21"/>
          <w:szCs w:val="21"/>
        </w:rPr>
        <w:t>“</w:t>
      </w:r>
      <w:r w:rsidRPr="001441EE">
        <w:t xml:space="preserve">Contractual congestion occurs where physical pipeline capacity is available, but cannot be utilised by shippers that value it because it is contractually held by another party. By definition, pipelines that have a low proportion of capacity contracted are not contractually congested. </w:t>
      </w:r>
    </w:p>
    <w:p w14:paraId="16E9F5AF" w14:textId="77777777" w:rsidR="00634483" w:rsidRDefault="00634483" w:rsidP="00634483">
      <w:pPr>
        <w:pStyle w:val="Quote"/>
        <w:rPr>
          <w:color w:val="000000"/>
        </w:rPr>
      </w:pPr>
      <w:r w:rsidRPr="001441EE">
        <w:rPr>
          <w:color w:val="000000"/>
        </w:rPr>
        <w:t xml:space="preserve">Similarly, the incentive and ability to exercise market power is weaker in cases where significant pipeline capacity is not contracted. </w:t>
      </w:r>
    </w:p>
    <w:p w14:paraId="2882FD30" w14:textId="77777777" w:rsidR="00634483" w:rsidRPr="008A4D9F" w:rsidRDefault="00634483" w:rsidP="00634483">
      <w:pPr>
        <w:pStyle w:val="Quote"/>
        <w:rPr>
          <w:rFonts w:asciiTheme="majorHAnsi" w:eastAsiaTheme="minorEastAsia" w:hAnsiTheme="majorHAnsi" w:cstheme="majorHAnsi"/>
          <w:sz w:val="21"/>
          <w:szCs w:val="21"/>
        </w:rPr>
      </w:pPr>
      <w:r w:rsidRPr="001441EE">
        <w:t xml:space="preserve">On the other hand, there are a number of reasons to suggest that pipelines should not be exempted on the basis of how much capacity is contracted. </w:t>
      </w:r>
      <w:r w:rsidRPr="008A4D9F">
        <w:rPr>
          <w:rFonts w:asciiTheme="majorHAnsi" w:eastAsiaTheme="minorEastAsia" w:hAnsiTheme="majorHAnsi" w:cstheme="majorHAnsi"/>
          <w:sz w:val="21"/>
          <w:szCs w:val="21"/>
        </w:rPr>
        <w:t xml:space="preserve">For example, a key benefit of the auction is that it can simultaneously allocate products across the system, taking complementarities into account. Exempting some pipelines will inhibit the ability of the auction algorithm to reach the welfare-maximising allocation. </w:t>
      </w:r>
    </w:p>
    <w:p w14:paraId="4437E045" w14:textId="77777777" w:rsidR="00634483" w:rsidRPr="008A4D9F" w:rsidRDefault="00634483" w:rsidP="00634483">
      <w:pPr>
        <w:pStyle w:val="Quote"/>
        <w:rPr>
          <w:rFonts w:asciiTheme="majorHAnsi" w:eastAsiaTheme="minorEastAsia" w:hAnsiTheme="majorHAnsi" w:cstheme="majorHAnsi"/>
          <w:sz w:val="21"/>
          <w:szCs w:val="21"/>
        </w:rPr>
      </w:pPr>
      <w:r w:rsidRPr="008A4D9F">
        <w:rPr>
          <w:rFonts w:asciiTheme="majorHAnsi" w:eastAsiaTheme="minorEastAsia" w:hAnsiTheme="majorHAnsi" w:cstheme="majorHAnsi"/>
          <w:sz w:val="21"/>
          <w:szCs w:val="21"/>
        </w:rPr>
        <w:t>Furthermore, exempting pipelines that are not fully contracted may create an incentive to 'game' the system by deliberately remaining less than fully contracted, in order to avoid being required to participate in the auction.</w:t>
      </w:r>
      <w:r>
        <w:rPr>
          <w:rFonts w:asciiTheme="majorHAnsi" w:eastAsiaTheme="minorEastAsia" w:hAnsiTheme="majorHAnsi" w:cstheme="majorHAnsi"/>
          <w:sz w:val="21"/>
          <w:szCs w:val="21"/>
        </w:rPr>
        <w:t>”</w:t>
      </w:r>
    </w:p>
    <w:p w14:paraId="2EA39BFF" w14:textId="77777777" w:rsidR="00634483" w:rsidRDefault="00634483" w:rsidP="00634483">
      <w:pPr>
        <w:pStyle w:val="BodyText"/>
        <w:rPr>
          <w:rFonts w:asciiTheme="majorHAnsi" w:eastAsiaTheme="minorEastAsia" w:hAnsiTheme="majorHAnsi" w:cstheme="majorHAnsi"/>
        </w:rPr>
      </w:pPr>
      <w:r>
        <w:rPr>
          <w:rFonts w:asciiTheme="majorHAnsi" w:eastAsiaTheme="minorEastAsia" w:hAnsiTheme="majorHAnsi" w:cstheme="majorHAnsi"/>
        </w:rPr>
        <w:t>The AEMC therefore stopped short of recommending that the auction only apply to contractually congested assets and instead classified this as a ‘suggested’ outcome. The AEMC also recommended that the GMRG undertake further work to determine an appropriate methodology for determining exemptions.</w:t>
      </w:r>
      <w:r>
        <w:rPr>
          <w:rStyle w:val="FootnoteReference"/>
          <w:rFonts w:asciiTheme="majorHAnsi" w:eastAsiaTheme="minorEastAsia" w:hAnsiTheme="majorHAnsi" w:cstheme="majorHAnsi"/>
        </w:rPr>
        <w:footnoteReference w:id="72"/>
      </w:r>
    </w:p>
    <w:p w14:paraId="55A452D0" w14:textId="2B7CBEBA" w:rsidR="00634483" w:rsidRDefault="00634483" w:rsidP="00634483">
      <w:pPr>
        <w:pStyle w:val="BodyText"/>
      </w:pPr>
      <w:r>
        <w:t xml:space="preserve">These recommendations were considered jointly by the Day-Ahead Auction and Capacity Trading Platform project teams, which identified a number of potential options for the coverage of the auction and appropriate exemptions. The GMRG has also obtained independent advice from NERA on the coverage options. Further detail on the options that were identified by the project teams and NERA is provided in the remainder of this chapter, which also sets out </w:t>
      </w:r>
      <w:r w:rsidR="00E452A3">
        <w:t xml:space="preserve">what pipelines would be subject to the auction if it was limited to contractually congested pipelines and </w:t>
      </w:r>
      <w:r>
        <w:t xml:space="preserve">the GMRG’s preliminary view on </w:t>
      </w:r>
      <w:r w:rsidR="00E452A3">
        <w:t>coverage and exemptions</w:t>
      </w:r>
      <w:r>
        <w:t xml:space="preserve">. </w:t>
      </w:r>
    </w:p>
    <w:p w14:paraId="1C09D2DA" w14:textId="729505E5" w:rsidR="00634483" w:rsidRPr="00131776" w:rsidRDefault="00634483" w:rsidP="00634483">
      <w:pPr>
        <w:pStyle w:val="Heading2"/>
      </w:pPr>
      <w:bookmarkStart w:id="126" w:name="_Toc495351647"/>
      <w:r w:rsidRPr="00131776">
        <w:t>Coverage and exemption options</w:t>
      </w:r>
      <w:r>
        <w:t xml:space="preserve"> identified by project teams</w:t>
      </w:r>
      <w:bookmarkEnd w:id="126"/>
    </w:p>
    <w:p w14:paraId="3FEAAE24" w14:textId="78E860F3" w:rsidR="00634483" w:rsidRDefault="00634483" w:rsidP="00634483">
      <w:pPr>
        <w:pStyle w:val="BodyText"/>
      </w:pPr>
      <w:r>
        <w:t xml:space="preserve">In the early stages of the development of the auction and capacity trading platform, the </w:t>
      </w:r>
      <w:r w:rsidRPr="00EA3E3E">
        <w:t xml:space="preserve">Day-Ahead Auction and Capacity Trading project teams </w:t>
      </w:r>
      <w:r w:rsidR="00B63D8F">
        <w:t xml:space="preserve">considered what </w:t>
      </w:r>
      <w:r w:rsidRPr="00EA3E3E">
        <w:t xml:space="preserve">transportation assets should be subject to the auction and the exemptions that should be available. </w:t>
      </w:r>
      <w:r>
        <w:t>Through this discussion, the teams identified the following potential options for coverage of the auction:</w:t>
      </w:r>
    </w:p>
    <w:p w14:paraId="292776B8" w14:textId="7C27782A" w:rsidR="00634483" w:rsidRDefault="00634483" w:rsidP="00827750">
      <w:pPr>
        <w:pStyle w:val="ListNumber"/>
        <w:numPr>
          <w:ilvl w:val="0"/>
          <w:numId w:val="37"/>
        </w:numPr>
      </w:pPr>
      <w:r>
        <w:t xml:space="preserve">the auction only applies to contractually congested </w:t>
      </w:r>
      <w:r w:rsidR="0018544C">
        <w:t>transportation assets</w:t>
      </w:r>
      <w:r>
        <w:t xml:space="preserve"> (Option 1);</w:t>
      </w:r>
      <w:r w:rsidRPr="00EA3E3E">
        <w:t xml:space="preserve"> </w:t>
      </w:r>
    </w:p>
    <w:p w14:paraId="6A0229F0" w14:textId="1D17325D" w:rsidR="00634483" w:rsidRPr="00EA3E3E" w:rsidRDefault="00634483" w:rsidP="00634483">
      <w:pPr>
        <w:pStyle w:val="ListNumber"/>
      </w:pPr>
      <w:r>
        <w:t>the auction applies to a</w:t>
      </w:r>
      <w:r w:rsidRPr="00EA3E3E">
        <w:t xml:space="preserve">ll major </w:t>
      </w:r>
      <w:r w:rsidR="0018544C">
        <w:t>transportation assets</w:t>
      </w:r>
      <w:r>
        <w:t>,</w:t>
      </w:r>
      <w:r w:rsidRPr="00EA3E3E">
        <w:t xml:space="preserve"> irrespective of </w:t>
      </w:r>
      <w:r>
        <w:t xml:space="preserve">the level of </w:t>
      </w:r>
      <w:r w:rsidRPr="00EA3E3E">
        <w:t>contractual congestion</w:t>
      </w:r>
      <w:r>
        <w:t xml:space="preserve"> (Option 2);</w:t>
      </w:r>
      <w:r w:rsidRPr="00EA3E3E">
        <w:t xml:space="preserve"> </w:t>
      </w:r>
      <w:r>
        <w:t>or</w:t>
      </w:r>
    </w:p>
    <w:p w14:paraId="700FC5C2" w14:textId="62566822" w:rsidR="00634483" w:rsidRPr="00EA3E3E" w:rsidRDefault="00634483" w:rsidP="00634483">
      <w:pPr>
        <w:pStyle w:val="ListNumber"/>
      </w:pPr>
      <w:proofErr w:type="gramStart"/>
      <w:r>
        <w:t>the</w:t>
      </w:r>
      <w:proofErr w:type="gramEnd"/>
      <w:r>
        <w:t xml:space="preserve"> auction applies to contractually congested </w:t>
      </w:r>
      <w:r w:rsidR="0018544C">
        <w:t xml:space="preserve">transportation </w:t>
      </w:r>
      <w:r>
        <w:t xml:space="preserve">in the initial stages but a review is </w:t>
      </w:r>
      <w:r w:rsidRPr="00EA3E3E">
        <w:t xml:space="preserve">undertaken 12 months after commencement </w:t>
      </w:r>
      <w:r>
        <w:t xml:space="preserve">of the auction </w:t>
      </w:r>
      <w:r w:rsidRPr="00EA3E3E">
        <w:t>to determine whether other pipelines should be included</w:t>
      </w:r>
      <w:r>
        <w:t xml:space="preserve"> (Option 3)</w:t>
      </w:r>
      <w:r w:rsidRPr="00EA3E3E">
        <w:t xml:space="preserve">. </w:t>
      </w:r>
    </w:p>
    <w:p w14:paraId="2822A10F" w14:textId="3ED9CAF3" w:rsidR="00634483" w:rsidRDefault="00634483" w:rsidP="00634483">
      <w:pPr>
        <w:pStyle w:val="BodyText"/>
      </w:pPr>
      <w:r>
        <w:t>Team members were, however, divided on which of these options should be implemented.</w:t>
      </w:r>
      <w:r w:rsidR="006B7AC6">
        <w:t xml:space="preserve"> </w:t>
      </w:r>
      <w:r>
        <w:t xml:space="preserve">Those team members that advocated Option 1 noted that it was consistent with the AEMC’s suggested outcome and also </w:t>
      </w:r>
      <w:r w:rsidR="00B63D8F">
        <w:t xml:space="preserve">highlighted </w:t>
      </w:r>
      <w:r>
        <w:t>the statement by the AEMC that neither of the key rationales for the auction (i.e. to address contractual congestion and counter the market power held by service providers) appear to apply to assets that are less than fully contracted. These team members also claimed that if the auction was extended to assets that are not contractually congested, then capacity released in the auction may compete with uncontracted primary capacity and service providers may be unable to recover their capital costs, which they noted could adversely affect future investment.</w:t>
      </w:r>
    </w:p>
    <w:p w14:paraId="53898069" w14:textId="1F25BB61" w:rsidR="00634483" w:rsidRDefault="00634483" w:rsidP="00634483">
      <w:pPr>
        <w:pStyle w:val="BodyText"/>
      </w:pPr>
      <w:r>
        <w:t>Those team members that advocated Option 2, on the other hand, thought that limiting the scope of the auction to contractually congested pipelines would be inconsistent with the AEMC’s recommendation that a single combinatorial auction be carried out across the east coast to optimise the allocation o</w:t>
      </w:r>
      <w:r w:rsidR="00B63D8F">
        <w:t>f capacity (preferred outcome).</w:t>
      </w:r>
      <w:r>
        <w:t xml:space="preserve"> They also cited a number of problems with relying on contractual congestion as the trigger for the auction and claimed that a wider application of the day-ahead auction would be more consistent with the broader objectives of the capacity trading reforms (see section 2.3). Some of these team members also challenged the claim by other team members that extending the auction to assets that are not contractually congested would adversely affect the demand for primary capacity or investment. </w:t>
      </w:r>
    </w:p>
    <w:p w14:paraId="5D100C51" w14:textId="7A76D6AA" w:rsidR="00634483" w:rsidRDefault="00634483" w:rsidP="00634483">
      <w:pPr>
        <w:pStyle w:val="BodyText"/>
      </w:pPr>
      <w:r>
        <w:t xml:space="preserve">The team members that supported Option 3 thought it was something they could </w:t>
      </w:r>
      <w:r w:rsidR="0018544C">
        <w:t>“</w:t>
      </w:r>
      <w:r>
        <w:t>live with</w:t>
      </w:r>
      <w:r w:rsidR="0018544C">
        <w:t>”</w:t>
      </w:r>
      <w:r>
        <w:t xml:space="preserve">. </w:t>
      </w:r>
    </w:p>
    <w:p w14:paraId="4BB566E7" w14:textId="77777777" w:rsidR="00634483" w:rsidRDefault="00634483" w:rsidP="00634483">
      <w:pPr>
        <w:pStyle w:val="BodyText"/>
      </w:pPr>
      <w:r>
        <w:t>During this discussion, project team members noted a number of potential problems with using contractual congestion as the trigger for inclusion in the auction, including:</w:t>
      </w:r>
    </w:p>
    <w:p w14:paraId="78AC4E34" w14:textId="0DFC5A08" w:rsidR="0018544C" w:rsidRDefault="00634483" w:rsidP="00634483">
      <w:pPr>
        <w:pStyle w:val="ListBullet"/>
      </w:pPr>
      <w:r>
        <w:t>The lack of a clear definition of how contractual congestion is to be measured</w:t>
      </w:r>
      <w:r w:rsidR="0018544C">
        <w:t>. For example, it is not clear whether:</w:t>
      </w:r>
    </w:p>
    <w:p w14:paraId="52433F15" w14:textId="2D20E08B" w:rsidR="0018544C" w:rsidRDefault="0018544C" w:rsidP="000E6A17">
      <w:pPr>
        <w:pStyle w:val="ListBullet2"/>
      </w:pPr>
      <w:r>
        <w:t xml:space="preserve">contractual congestion would be </w:t>
      </w:r>
      <w:r w:rsidR="00634483">
        <w:t>defined as occurring when the asset is 100% contracted or at a lower level, such as 90</w:t>
      </w:r>
      <w:r>
        <w:t xml:space="preserve">% or </w:t>
      </w:r>
      <w:r w:rsidR="00634483">
        <w:t>95%</w:t>
      </w:r>
      <w:r w:rsidR="00525115">
        <w:t>; and</w:t>
      </w:r>
    </w:p>
    <w:p w14:paraId="1B5A3E59" w14:textId="3E3217CC" w:rsidR="000E6A17" w:rsidRDefault="000E6A17" w:rsidP="000E6A17">
      <w:pPr>
        <w:pStyle w:val="ListBullet2"/>
      </w:pPr>
      <w:proofErr w:type="gramStart"/>
      <w:r>
        <w:t>c</w:t>
      </w:r>
      <w:r w:rsidR="0018544C">
        <w:t>ontractual</w:t>
      </w:r>
      <w:proofErr w:type="gramEnd"/>
      <w:r w:rsidR="0018544C">
        <w:t xml:space="preserve"> congestion should be measured on an historic or prospective basis and the period over which it should be measured (e.g. </w:t>
      </w:r>
      <w:r w:rsidR="00634483">
        <w:t xml:space="preserve">a 12 month outlook period or a shorter or longer period). </w:t>
      </w:r>
    </w:p>
    <w:p w14:paraId="09397FD7" w14:textId="513F4921" w:rsidR="00634483" w:rsidRDefault="00634483" w:rsidP="000E6A17">
      <w:pPr>
        <w:pStyle w:val="ListBullet"/>
        <w:numPr>
          <w:ilvl w:val="0"/>
          <w:numId w:val="0"/>
        </w:numPr>
        <w:ind w:left="357"/>
      </w:pPr>
      <w:r>
        <w:t xml:space="preserve">While </w:t>
      </w:r>
      <w:r w:rsidR="000E6A17">
        <w:t xml:space="preserve">project </w:t>
      </w:r>
      <w:r>
        <w:t xml:space="preserve">team members agreed that </w:t>
      </w:r>
      <w:r w:rsidR="000E6A17">
        <w:t xml:space="preserve">contractual congestion </w:t>
      </w:r>
      <w:r>
        <w:t xml:space="preserve">should be </w:t>
      </w:r>
      <w:r w:rsidR="00B63D8F">
        <w:t xml:space="preserve">defined as lower </w:t>
      </w:r>
      <w:r>
        <w:t>than 100%, they were unable to reach agreement on the specific level that should be used</w:t>
      </w:r>
      <w:r w:rsidR="00B63D8F">
        <w:t>,</w:t>
      </w:r>
      <w:r>
        <w:t xml:space="preserve"> </w:t>
      </w:r>
      <w:r w:rsidR="000E6A17">
        <w:t>or the period over which it should be measured</w:t>
      </w:r>
      <w:r>
        <w:t>.</w:t>
      </w:r>
    </w:p>
    <w:p w14:paraId="7DEA1F5D" w14:textId="0EB54078" w:rsidR="00634483" w:rsidRDefault="00634483" w:rsidP="00634483">
      <w:pPr>
        <w:pStyle w:val="ListBullet"/>
      </w:pPr>
      <w:r>
        <w:t>The potential for contracting changes to result in frequent and rapid changes in the level of contractual congestion</w:t>
      </w:r>
      <w:r w:rsidR="000E6A17">
        <w:t>, which would result in a constantly changing set of transportation assets that are subject to the auction</w:t>
      </w:r>
      <w:r>
        <w:t xml:space="preserve">. To deal with these types of changes, the project team suggested that the assessment of whether an asset is contractually congested be carried out on a periodic basis (e.g. every six months) and that </w:t>
      </w:r>
      <w:r w:rsidR="00B63D8F">
        <w:t xml:space="preserve">any </w:t>
      </w:r>
      <w:r>
        <w:t xml:space="preserve">changes in between not affect the decision as to whether the asset is </w:t>
      </w:r>
      <w:r w:rsidR="00B63D8F">
        <w:t xml:space="preserve">subject to </w:t>
      </w:r>
      <w:r>
        <w:t>the auction.</w:t>
      </w:r>
    </w:p>
    <w:p w14:paraId="19C21ED6" w14:textId="77777777" w:rsidR="00634483" w:rsidRDefault="00634483" w:rsidP="00634483">
      <w:pPr>
        <w:pStyle w:val="ListBullet"/>
      </w:pPr>
      <w:r>
        <w:t>The potential for bi-directional pipelines to be contractually congested in one direction but not the other direction, which could result in one direction being included in the auction but not the other.</w:t>
      </w:r>
    </w:p>
    <w:p w14:paraId="4725A885" w14:textId="77777777" w:rsidR="00634483" w:rsidRPr="00EA3E3E" w:rsidRDefault="00634483" w:rsidP="00634483">
      <w:pPr>
        <w:pStyle w:val="BodyText"/>
      </w:pPr>
      <w:r>
        <w:t xml:space="preserve">In addition to considering the coverage options, the project teams identified two potential </w:t>
      </w:r>
      <w:r w:rsidRPr="00EA3E3E">
        <w:t>categories of exemptions</w:t>
      </w:r>
      <w:r>
        <w:t xml:space="preserve"> from the day-ahead auction</w:t>
      </w:r>
      <w:r w:rsidRPr="00EA3E3E">
        <w:t xml:space="preserve">: </w:t>
      </w:r>
    </w:p>
    <w:p w14:paraId="0ABED9AD" w14:textId="032824BC" w:rsidR="00634483" w:rsidRPr="00EA3E3E" w:rsidRDefault="00634483" w:rsidP="00634483">
      <w:pPr>
        <w:pStyle w:val="ListBullet"/>
      </w:pPr>
      <w:r w:rsidRPr="00EA3E3E">
        <w:t xml:space="preserve">Exemptions for pipelines that </w:t>
      </w:r>
      <w:r>
        <w:t xml:space="preserve">are subject to </w:t>
      </w:r>
      <w:r w:rsidRPr="00EA3E3E">
        <w:t>a 15 year no coverage determination</w:t>
      </w:r>
      <w:r>
        <w:t>, or pipelines that are not providing third party access</w:t>
      </w:r>
      <w:r w:rsidRPr="00EA3E3E">
        <w:t xml:space="preserve">. The rationale </w:t>
      </w:r>
      <w:r w:rsidR="00525115">
        <w:t xml:space="preserve">cited </w:t>
      </w:r>
      <w:r w:rsidR="000E6A17">
        <w:t xml:space="preserve">for </w:t>
      </w:r>
      <w:r w:rsidRPr="00EA3E3E">
        <w:t xml:space="preserve">this exemption </w:t>
      </w:r>
      <w:r>
        <w:t xml:space="preserve">is </w:t>
      </w:r>
      <w:r w:rsidRPr="00EA3E3E">
        <w:t xml:space="preserve">that the auction could, in effect, require the provision of third party access </w:t>
      </w:r>
      <w:r>
        <w:t>when a pipeline is not currently providing such access</w:t>
      </w:r>
      <w:r w:rsidRPr="00EA3E3E">
        <w:t xml:space="preserve">. </w:t>
      </w:r>
    </w:p>
    <w:p w14:paraId="56B16FC7" w14:textId="0F4A0E0E" w:rsidR="00634483" w:rsidRPr="00EA3E3E" w:rsidRDefault="00634483" w:rsidP="00634483">
      <w:pPr>
        <w:pStyle w:val="ListBullet"/>
      </w:pPr>
      <w:r w:rsidRPr="00EA3E3E">
        <w:t xml:space="preserve">Exemptions for </w:t>
      </w:r>
      <w:r>
        <w:t xml:space="preserve">transportation assets servicing </w:t>
      </w:r>
      <w:r w:rsidRPr="00EA3E3E">
        <w:t>a single facility (e.g. gas fired generators or industrial customers)</w:t>
      </w:r>
      <w:r>
        <w:t>, which is a preferred outcome of the AEMC’s recommendations</w:t>
      </w:r>
      <w:r w:rsidRPr="00EA3E3E">
        <w:t xml:space="preserve">. The rationale </w:t>
      </w:r>
      <w:r w:rsidR="00525115">
        <w:t xml:space="preserve">cited </w:t>
      </w:r>
      <w:r>
        <w:t xml:space="preserve">for this exemption is </w:t>
      </w:r>
      <w:r w:rsidRPr="00EA3E3E">
        <w:t xml:space="preserve">that the cost of conducting an auction on such a </w:t>
      </w:r>
      <w:r>
        <w:t xml:space="preserve">transportation asset </w:t>
      </w:r>
      <w:r w:rsidRPr="00EA3E3E">
        <w:t xml:space="preserve">is likely to outweigh the benefits because there are unlikely to be prospective users seeking capacity in the auction. </w:t>
      </w:r>
    </w:p>
    <w:p w14:paraId="701A0C64" w14:textId="58DF19B6" w:rsidR="00634483" w:rsidRPr="00EA3E3E" w:rsidRDefault="00634483" w:rsidP="00610FD3">
      <w:pPr>
        <w:pStyle w:val="BodyText"/>
      </w:pPr>
      <w:r>
        <w:t xml:space="preserve">While project team members agreed that the first exemption category should be implemented, they were unable to reach an agreement on the second exemption category. In this case, there were some project team members that supported the inclusion of this exemption category, while others thought that prospective users may still want to try </w:t>
      </w:r>
      <w:r w:rsidR="0065529C">
        <w:t xml:space="preserve">to </w:t>
      </w:r>
      <w:r>
        <w:t xml:space="preserve">access these pipelines. To accommodate </w:t>
      </w:r>
      <w:r w:rsidR="00B63D8F">
        <w:t>these diverging views</w:t>
      </w:r>
      <w:r>
        <w:t xml:space="preserve">, some team members noted that the exemption arrangements could allow </w:t>
      </w:r>
      <w:r w:rsidRPr="00EA3E3E">
        <w:t xml:space="preserve">prospective users </w:t>
      </w:r>
      <w:r>
        <w:t xml:space="preserve">to </w:t>
      </w:r>
      <w:r w:rsidRPr="00EA3E3E">
        <w:t>register their interest in access</w:t>
      </w:r>
      <w:r w:rsidR="00B63D8F">
        <w:t>ing</w:t>
      </w:r>
      <w:r w:rsidRPr="00EA3E3E">
        <w:t xml:space="preserve"> these types of pipelines through the day-ahead auction</w:t>
      </w:r>
      <w:r w:rsidR="00B63D8F">
        <w:t>, which</w:t>
      </w:r>
      <w:r w:rsidRPr="00EA3E3E">
        <w:t xml:space="preserve"> </w:t>
      </w:r>
      <w:r w:rsidR="00B63D8F">
        <w:t xml:space="preserve">could then </w:t>
      </w:r>
      <w:r w:rsidRPr="00EA3E3E">
        <w:t xml:space="preserve">act as a trigger for </w:t>
      </w:r>
      <w:r>
        <w:t xml:space="preserve">a review of the </w:t>
      </w:r>
      <w:r w:rsidRPr="00EA3E3E">
        <w:t xml:space="preserve">exemption. </w:t>
      </w:r>
    </w:p>
    <w:p w14:paraId="610AC5ED" w14:textId="71171970" w:rsidR="00634483" w:rsidRPr="00A45054" w:rsidRDefault="00634483" w:rsidP="000E6A17">
      <w:pPr>
        <w:pStyle w:val="Heading2"/>
      </w:pPr>
      <w:bookmarkStart w:id="127" w:name="_Toc495351648"/>
      <w:r w:rsidRPr="00A45054">
        <w:t>Coverage options identified by NERA</w:t>
      </w:r>
      <w:bookmarkEnd w:id="127"/>
      <w:r w:rsidRPr="00A45054">
        <w:t xml:space="preserve"> </w:t>
      </w:r>
    </w:p>
    <w:p w14:paraId="5D8B94F1" w14:textId="25082175" w:rsidR="00A45054" w:rsidRDefault="009664F4" w:rsidP="00634483">
      <w:pPr>
        <w:pStyle w:val="BodyText"/>
      </w:pPr>
      <w:r w:rsidRPr="00A45054">
        <w:t xml:space="preserve">Given the </w:t>
      </w:r>
      <w:r w:rsidR="00E75B74">
        <w:t>diversity</w:t>
      </w:r>
      <w:r w:rsidRPr="00A45054">
        <w:t xml:space="preserve"> </w:t>
      </w:r>
      <w:r w:rsidR="00E75B74">
        <w:t xml:space="preserve">of </w:t>
      </w:r>
      <w:r w:rsidRPr="00A45054">
        <w:t>views expressed by project team members about the coverage of the auction, the GMRG obtain</w:t>
      </w:r>
      <w:r w:rsidR="00B63D8F">
        <w:t>ed</w:t>
      </w:r>
      <w:r w:rsidRPr="00A45054">
        <w:t xml:space="preserve"> independent advice from NERA on </w:t>
      </w:r>
      <w:r w:rsidR="00A45054" w:rsidRPr="00A45054">
        <w:t xml:space="preserve">the coverage </w:t>
      </w:r>
      <w:r w:rsidRPr="00A45054">
        <w:t>options</w:t>
      </w:r>
      <w:r w:rsidR="00E75B74">
        <w:t xml:space="preserve"> for pipelines</w:t>
      </w:r>
      <w:r w:rsidR="00A45054" w:rsidRPr="00A45054">
        <w:t>.</w:t>
      </w:r>
      <w:r w:rsidR="00415B41">
        <w:t xml:space="preserve"> </w:t>
      </w:r>
      <w:r w:rsidR="00A45054">
        <w:t xml:space="preserve">NERA identified </w:t>
      </w:r>
      <w:r w:rsidR="00B63D8F">
        <w:t>the following options</w:t>
      </w:r>
      <w:r w:rsidR="00A45054">
        <w:t>:</w:t>
      </w:r>
    </w:p>
    <w:p w14:paraId="44B61918" w14:textId="610509DF" w:rsidR="00A45054" w:rsidRDefault="00415B41" w:rsidP="00415B41">
      <w:pPr>
        <w:pStyle w:val="ListBullet"/>
      </w:pPr>
      <w:r>
        <w:t>a</w:t>
      </w:r>
      <w:r w:rsidR="00A45054">
        <w:t>ll transmission pipelines;</w:t>
      </w:r>
    </w:p>
    <w:p w14:paraId="46A8B3EC" w14:textId="29BBE3F6" w:rsidR="00A45054" w:rsidRPr="00A45054" w:rsidRDefault="00415B41" w:rsidP="00415B41">
      <w:pPr>
        <w:pStyle w:val="ListBullet"/>
      </w:pPr>
      <w:r>
        <w:t>c</w:t>
      </w:r>
      <w:r w:rsidR="00A45054">
        <w:t>ontractually and physically congested pipelines</w:t>
      </w:r>
      <w:r>
        <w:t>;</w:t>
      </w:r>
    </w:p>
    <w:p w14:paraId="2EB5C464" w14:textId="617FCF77" w:rsidR="00A45054" w:rsidRDefault="00415B41" w:rsidP="00415B41">
      <w:pPr>
        <w:pStyle w:val="ListBullet"/>
      </w:pPr>
      <w:r>
        <w:t>c</w:t>
      </w:r>
      <w:r w:rsidR="00A45054">
        <w:t xml:space="preserve">ontractually congested pipelines with no physical congestion; and </w:t>
      </w:r>
    </w:p>
    <w:p w14:paraId="2F1C6B3A" w14:textId="20FE6604" w:rsidR="00A45054" w:rsidRDefault="00415B41" w:rsidP="00415B41">
      <w:pPr>
        <w:pStyle w:val="ListBullet"/>
      </w:pPr>
      <w:proofErr w:type="gramStart"/>
      <w:r>
        <w:t>c</w:t>
      </w:r>
      <w:r w:rsidR="00A45054">
        <w:t>ontractually</w:t>
      </w:r>
      <w:proofErr w:type="gramEnd"/>
      <w:r w:rsidR="00A45054">
        <w:t xml:space="preserve"> and physically uncongested pipelines</w:t>
      </w:r>
      <w:r>
        <w:t>.</w:t>
      </w:r>
    </w:p>
    <w:p w14:paraId="058FED1F" w14:textId="0C6F41DA" w:rsidR="008A7F88" w:rsidRPr="000E6A17" w:rsidRDefault="001404DD" w:rsidP="00B63D8F">
      <w:pPr>
        <w:pStyle w:val="BodyText"/>
      </w:pPr>
      <w:r w:rsidRPr="000E6A17">
        <w:rPr>
          <w:lang w:eastAsia="fr-CA"/>
        </w:rPr>
        <w:t xml:space="preserve">In relation to the first of these options, NERA noted that </w:t>
      </w:r>
      <w:r w:rsidR="00B63D8F">
        <w:rPr>
          <w:lang w:eastAsia="fr-CA"/>
        </w:rPr>
        <w:t xml:space="preserve">this option would be </w:t>
      </w:r>
      <w:r w:rsidRPr="000E6A17">
        <w:rPr>
          <w:lang w:eastAsia="fr-CA"/>
        </w:rPr>
        <w:t>advantageous from an administrative perspective</w:t>
      </w:r>
      <w:r w:rsidR="00525115">
        <w:rPr>
          <w:lang w:eastAsia="fr-CA"/>
        </w:rPr>
        <w:t>,</w:t>
      </w:r>
      <w:r w:rsidRPr="000E6A17">
        <w:rPr>
          <w:lang w:eastAsia="fr-CA"/>
        </w:rPr>
        <w:t xml:space="preserve"> because it does not require monitoring of contractual or physical congestion levels and prevents service providers from trying to game </w:t>
      </w:r>
      <w:r w:rsidR="00B31E8E" w:rsidRPr="000E6A17">
        <w:rPr>
          <w:lang w:eastAsia="fr-CA"/>
        </w:rPr>
        <w:t>its congestion status</w:t>
      </w:r>
      <w:r w:rsidRPr="000E6A17">
        <w:rPr>
          <w:lang w:eastAsia="fr-CA"/>
        </w:rPr>
        <w:t xml:space="preserve">. </w:t>
      </w:r>
      <w:r w:rsidR="008A7F88" w:rsidRPr="000E6A17">
        <w:rPr>
          <w:lang w:eastAsia="fr-CA"/>
        </w:rPr>
        <w:t xml:space="preserve">NERA did, however, note that </w:t>
      </w:r>
      <w:r w:rsidR="00B63D8F">
        <w:rPr>
          <w:lang w:eastAsia="fr-CA"/>
        </w:rPr>
        <w:t xml:space="preserve">given </w:t>
      </w:r>
      <w:r w:rsidRPr="000E6A17">
        <w:t xml:space="preserve">this option does not take into account the expected efficiency effects under different congestion scenarios, it is possible </w:t>
      </w:r>
      <w:r w:rsidR="008A7F88" w:rsidRPr="000E6A17">
        <w:t xml:space="preserve">that </w:t>
      </w:r>
      <w:r w:rsidRPr="000E6A17">
        <w:t xml:space="preserve">the cost of administering the auction may exceed the expected efficiency gains </w:t>
      </w:r>
      <w:r w:rsidR="008A7F88" w:rsidRPr="000E6A17">
        <w:t xml:space="preserve">on </w:t>
      </w:r>
      <w:r w:rsidRPr="000E6A17">
        <w:t>some pipelines.</w:t>
      </w:r>
      <w:r w:rsidR="008A7F88" w:rsidRPr="000E6A17">
        <w:t xml:space="preserve"> </w:t>
      </w:r>
    </w:p>
    <w:p w14:paraId="7C6BF9A7" w14:textId="73C2127A" w:rsidR="00B63D8F" w:rsidRDefault="0022099B" w:rsidP="00B63D8F">
      <w:pPr>
        <w:pStyle w:val="BodyText"/>
      </w:pPr>
      <w:r w:rsidRPr="000E6A17">
        <w:t xml:space="preserve">Further insight into the effect that NERA thought the auction could have on allocative and dynamic efficiency under the different congestion scenarios can be found in </w:t>
      </w:r>
      <w:r w:rsidRPr="000E6A17">
        <w:fldChar w:fldCharType="begin"/>
      </w:r>
      <w:r w:rsidRPr="000E6A17">
        <w:instrText xml:space="preserve"> REF _Ref494877862 \h </w:instrText>
      </w:r>
      <w:r w:rsidR="000E6A17">
        <w:instrText xml:space="preserve"> \* MERGEFORMAT </w:instrText>
      </w:r>
      <w:r w:rsidRPr="000E6A17">
        <w:fldChar w:fldCharType="separate"/>
      </w:r>
      <w:r w:rsidR="00272B32">
        <w:t xml:space="preserve">Table </w:t>
      </w:r>
      <w:r w:rsidR="00272B32">
        <w:rPr>
          <w:noProof/>
        </w:rPr>
        <w:t>5.1</w:t>
      </w:r>
      <w:r w:rsidRPr="000E6A17">
        <w:fldChar w:fldCharType="end"/>
      </w:r>
      <w:r w:rsidR="007C2F20">
        <w:t xml:space="preserve"> (see </w:t>
      </w:r>
      <w:r w:rsidR="007C2F20">
        <w:fldChar w:fldCharType="begin"/>
      </w:r>
      <w:r w:rsidR="007C2F20">
        <w:instrText xml:space="preserve"> REF _Ref495348312 \h </w:instrText>
      </w:r>
      <w:r w:rsidR="007C2F20">
        <w:fldChar w:fldCharType="separate"/>
      </w:r>
      <w:r w:rsidR="00272B32">
        <w:t xml:space="preserve">Box </w:t>
      </w:r>
      <w:r w:rsidR="00272B32">
        <w:rPr>
          <w:noProof/>
        </w:rPr>
        <w:t>2</w:t>
      </w:r>
      <w:r w:rsidR="00272B32">
        <w:t>.</w:t>
      </w:r>
      <w:r w:rsidR="00272B32">
        <w:rPr>
          <w:noProof/>
        </w:rPr>
        <w:t>1</w:t>
      </w:r>
      <w:r w:rsidR="007C2F20">
        <w:fldChar w:fldCharType="end"/>
      </w:r>
      <w:r w:rsidR="007C2F20">
        <w:t xml:space="preserve"> for more detail on these economic efficiency concepts)</w:t>
      </w:r>
      <w:r w:rsidRPr="000E6A17">
        <w:t>.</w:t>
      </w:r>
      <w:r w:rsidR="00B63D8F">
        <w:t xml:space="preserve"> Before looking at this table, it is worth noting that the allocative and dynamic efficiency gains from introducing the auction will depend on: </w:t>
      </w:r>
    </w:p>
    <w:p w14:paraId="555578F2" w14:textId="77777777" w:rsidR="00B63D8F" w:rsidRDefault="00B63D8F" w:rsidP="00827750">
      <w:pPr>
        <w:pStyle w:val="ListNumber"/>
        <w:numPr>
          <w:ilvl w:val="0"/>
          <w:numId w:val="39"/>
        </w:numPr>
      </w:pPr>
      <w:r>
        <w:t xml:space="preserve">the previously-unsatisfied demand for unused capacity that is satisfied following the auction; and </w:t>
      </w:r>
    </w:p>
    <w:p w14:paraId="46B7E8F9" w14:textId="71F14FC9" w:rsidR="000E6A17" w:rsidRPr="000E6A17" w:rsidRDefault="00B63D8F" w:rsidP="007C2F20">
      <w:pPr>
        <w:pStyle w:val="ListNumber"/>
      </w:pPr>
      <w:proofErr w:type="gramStart"/>
      <w:r>
        <w:t>the</w:t>
      </w:r>
      <w:proofErr w:type="gramEnd"/>
      <w:r>
        <w:t xml:space="preserve"> impact of the auction on pipeline revenues and future investment.</w:t>
      </w:r>
      <w:r w:rsidR="007C2F20">
        <w:t xml:space="preserve"> </w:t>
      </w:r>
    </w:p>
    <w:p w14:paraId="7F5080B9" w14:textId="1AE4AFFE" w:rsidR="001404DD" w:rsidRPr="000E6A17" w:rsidRDefault="001404DD" w:rsidP="00827750">
      <w:pPr>
        <w:pStyle w:val="ListBullet"/>
        <w:numPr>
          <w:ilvl w:val="0"/>
          <w:numId w:val="38"/>
        </w:numPr>
        <w:spacing w:before="60" w:after="60"/>
        <w:ind w:left="357" w:hanging="357"/>
        <w:sectPr w:rsidR="001404DD" w:rsidRPr="000E6A17" w:rsidSect="00CF1252">
          <w:headerReference w:type="default" r:id="rId46"/>
          <w:footerReference w:type="default" r:id="rId47"/>
          <w:pgSz w:w="11907" w:h="16839" w:code="9"/>
          <w:pgMar w:top="1361" w:right="1418" w:bottom="992" w:left="1701" w:header="567" w:footer="397" w:gutter="0"/>
          <w:cols w:space="708"/>
          <w:docGrid w:linePitch="360"/>
        </w:sectPr>
      </w:pPr>
    </w:p>
    <w:p w14:paraId="4CDB89B0" w14:textId="37A04AC1" w:rsidR="00E3030C" w:rsidRDefault="00E3030C" w:rsidP="00E3030C">
      <w:pPr>
        <w:pStyle w:val="Caption"/>
        <w:spacing w:after="0"/>
      </w:pPr>
      <w:bookmarkStart w:id="128" w:name="_Ref494877862"/>
      <w:r>
        <w:t xml:space="preserve">Table </w:t>
      </w:r>
      <w:r w:rsidR="00115A93">
        <w:fldChar w:fldCharType="begin"/>
      </w:r>
      <w:r w:rsidR="00115A93">
        <w:instrText xml:space="preserve"> STYLEREF 1 \s </w:instrText>
      </w:r>
      <w:r w:rsidR="00115A93">
        <w:fldChar w:fldCharType="separate"/>
      </w:r>
      <w:r w:rsidR="00272B32">
        <w:rPr>
          <w:noProof/>
        </w:rPr>
        <w:t>5</w:t>
      </w:r>
      <w:r w:rsidR="00115A93">
        <w:rPr>
          <w:noProof/>
        </w:rPr>
        <w:fldChar w:fldCharType="end"/>
      </w:r>
      <w:r w:rsidR="009A057E">
        <w:t>.</w:t>
      </w:r>
      <w:r w:rsidR="00115A93">
        <w:fldChar w:fldCharType="begin"/>
      </w:r>
      <w:r w:rsidR="00115A93">
        <w:instrText xml:space="preserve"> SEQ Table \* ARABIC \s 1 </w:instrText>
      </w:r>
      <w:r w:rsidR="00115A93">
        <w:fldChar w:fldCharType="separate"/>
      </w:r>
      <w:r w:rsidR="00272B32">
        <w:rPr>
          <w:noProof/>
        </w:rPr>
        <w:t>1</w:t>
      </w:r>
      <w:r w:rsidR="00115A93">
        <w:rPr>
          <w:noProof/>
        </w:rPr>
        <w:fldChar w:fldCharType="end"/>
      </w:r>
      <w:bookmarkEnd w:id="128"/>
      <w:r>
        <w:t>: Summary of NERA’s findings on expected efficiency effects under different congestion scenarios</w:t>
      </w:r>
    </w:p>
    <w:tbl>
      <w:tblPr>
        <w:tblStyle w:val="TableGrid"/>
        <w:tblW w:w="5000" w:type="pct"/>
        <w:tblLayout w:type="fixed"/>
        <w:tblLook w:val="0620" w:firstRow="1" w:lastRow="0" w:firstColumn="0" w:lastColumn="0" w:noHBand="1" w:noVBand="1"/>
        <w:tblCaption w:val="Table 5.1: Summary of NERA’s findings on expected efficiency effects under different congestion scenarios"/>
        <w:tblDescription w:val="Summary of NERA’s findings on expected efficiency effects under different congestion scenarios"/>
      </w:tblPr>
      <w:tblGrid>
        <w:gridCol w:w="1110"/>
        <w:gridCol w:w="970"/>
        <w:gridCol w:w="5534"/>
        <w:gridCol w:w="6091"/>
      </w:tblGrid>
      <w:tr w:rsidR="00E3030C" w:rsidRPr="001404DD" w14:paraId="6C399587" w14:textId="77777777" w:rsidTr="001404DD">
        <w:trPr>
          <w:cnfStyle w:val="100000000000" w:firstRow="1" w:lastRow="0" w:firstColumn="0" w:lastColumn="0" w:oddVBand="0" w:evenVBand="0" w:oddHBand="0" w:evenHBand="0" w:firstRowFirstColumn="0" w:firstRowLastColumn="0" w:lastRowFirstColumn="0" w:lastRowLastColumn="0"/>
          <w:cantSplit/>
          <w:tblHeader/>
        </w:trPr>
        <w:tc>
          <w:tcPr>
            <w:tcW w:w="405" w:type="pct"/>
            <w:tcBorders>
              <w:top w:val="nil"/>
              <w:bottom w:val="single" w:sz="12" w:space="0" w:color="auto"/>
              <w:right w:val="nil"/>
            </w:tcBorders>
            <w:shd w:val="clear" w:color="auto" w:fill="auto"/>
          </w:tcPr>
          <w:p w14:paraId="1D3E01ED" w14:textId="77777777" w:rsidR="00E3030C" w:rsidRPr="001404DD" w:rsidRDefault="00E3030C" w:rsidP="001404DD">
            <w:pPr>
              <w:pStyle w:val="TableHeading"/>
              <w:spacing w:before="20" w:after="20" w:line="252" w:lineRule="auto"/>
              <w:rPr>
                <w:b w:val="0"/>
                <w:sz w:val="17"/>
                <w:szCs w:val="17"/>
                <w:lang w:eastAsia="fr-CA"/>
              </w:rPr>
            </w:pPr>
          </w:p>
        </w:tc>
        <w:tc>
          <w:tcPr>
            <w:tcW w:w="354" w:type="pct"/>
            <w:tcBorders>
              <w:top w:val="nil"/>
              <w:left w:val="nil"/>
              <w:bottom w:val="single" w:sz="12" w:space="0" w:color="auto"/>
              <w:right w:val="single" w:sz="12" w:space="0" w:color="auto"/>
            </w:tcBorders>
            <w:shd w:val="clear" w:color="auto" w:fill="auto"/>
          </w:tcPr>
          <w:p w14:paraId="6EDCA488" w14:textId="77777777" w:rsidR="00E3030C" w:rsidRPr="001404DD" w:rsidRDefault="00E3030C" w:rsidP="001404DD">
            <w:pPr>
              <w:pStyle w:val="TableHeading"/>
              <w:spacing w:before="20" w:after="20" w:line="252" w:lineRule="auto"/>
              <w:rPr>
                <w:sz w:val="17"/>
                <w:szCs w:val="17"/>
                <w:lang w:eastAsia="fr-CA"/>
              </w:rPr>
            </w:pPr>
          </w:p>
        </w:tc>
        <w:tc>
          <w:tcPr>
            <w:tcW w:w="2019" w:type="pct"/>
            <w:tcBorders>
              <w:top w:val="single" w:sz="12" w:space="0" w:color="auto"/>
              <w:left w:val="single" w:sz="12" w:space="0" w:color="auto"/>
              <w:bottom w:val="single" w:sz="12" w:space="0" w:color="auto"/>
              <w:right w:val="single" w:sz="12" w:space="0" w:color="auto"/>
            </w:tcBorders>
            <w:shd w:val="clear" w:color="auto" w:fill="0099CC"/>
          </w:tcPr>
          <w:p w14:paraId="21A0E188" w14:textId="77777777" w:rsidR="00E3030C" w:rsidRPr="001404DD" w:rsidRDefault="00E3030C" w:rsidP="001404DD">
            <w:pPr>
              <w:pStyle w:val="TableHeading"/>
              <w:spacing w:before="20" w:after="20" w:line="252" w:lineRule="auto"/>
              <w:jc w:val="center"/>
              <w:rPr>
                <w:sz w:val="17"/>
                <w:szCs w:val="17"/>
                <w:lang w:eastAsia="fr-CA"/>
              </w:rPr>
            </w:pPr>
            <w:r w:rsidRPr="001404DD">
              <w:rPr>
                <w:sz w:val="17"/>
                <w:szCs w:val="17"/>
                <w:lang w:eastAsia="fr-CA"/>
              </w:rPr>
              <w:t>Contractual congestion</w:t>
            </w:r>
          </w:p>
        </w:tc>
        <w:tc>
          <w:tcPr>
            <w:tcW w:w="2222" w:type="pct"/>
            <w:tcBorders>
              <w:top w:val="single" w:sz="12" w:space="0" w:color="auto"/>
              <w:left w:val="single" w:sz="12" w:space="0" w:color="auto"/>
              <w:bottom w:val="single" w:sz="12" w:space="0" w:color="auto"/>
              <w:right w:val="single" w:sz="12" w:space="0" w:color="auto"/>
            </w:tcBorders>
            <w:shd w:val="clear" w:color="auto" w:fill="0099CC"/>
          </w:tcPr>
          <w:p w14:paraId="33F8D614" w14:textId="77777777" w:rsidR="00E3030C" w:rsidRPr="001404DD" w:rsidRDefault="00E3030C" w:rsidP="001404DD">
            <w:pPr>
              <w:pStyle w:val="TableHeading"/>
              <w:spacing w:before="20" w:after="20" w:line="252" w:lineRule="auto"/>
              <w:jc w:val="center"/>
              <w:rPr>
                <w:sz w:val="17"/>
                <w:szCs w:val="17"/>
                <w:lang w:eastAsia="fr-CA"/>
              </w:rPr>
            </w:pPr>
            <w:r w:rsidRPr="001404DD">
              <w:rPr>
                <w:sz w:val="17"/>
                <w:szCs w:val="17"/>
                <w:lang w:eastAsia="fr-CA"/>
              </w:rPr>
              <w:t>No contractual congestion</w:t>
            </w:r>
          </w:p>
        </w:tc>
      </w:tr>
      <w:tr w:rsidR="00E3030C" w:rsidRPr="001404DD" w14:paraId="6A2DEA0F" w14:textId="77777777" w:rsidTr="007C2F20">
        <w:trPr>
          <w:cantSplit/>
          <w:trHeight w:val="260"/>
        </w:trPr>
        <w:tc>
          <w:tcPr>
            <w:tcW w:w="405" w:type="pct"/>
            <w:vMerge w:val="restart"/>
            <w:tcBorders>
              <w:top w:val="single" w:sz="12" w:space="0" w:color="auto"/>
              <w:left w:val="single" w:sz="12" w:space="0" w:color="auto"/>
              <w:bottom w:val="single" w:sz="12" w:space="0" w:color="auto"/>
              <w:right w:val="single" w:sz="12" w:space="0" w:color="auto"/>
            </w:tcBorders>
            <w:shd w:val="clear" w:color="auto" w:fill="0099CC"/>
          </w:tcPr>
          <w:p w14:paraId="782A5B31" w14:textId="77777777" w:rsidR="00E3030C" w:rsidRPr="001404DD" w:rsidRDefault="00E3030C" w:rsidP="001404DD">
            <w:pPr>
              <w:pStyle w:val="TableBodyText"/>
              <w:spacing w:before="20" w:after="20" w:line="252" w:lineRule="auto"/>
              <w:rPr>
                <w:b/>
                <w:color w:val="FFFFFF" w:themeColor="background1"/>
                <w:sz w:val="17"/>
                <w:szCs w:val="17"/>
                <w:lang w:eastAsia="fr-CA"/>
              </w:rPr>
            </w:pPr>
            <w:r w:rsidRPr="001404DD">
              <w:rPr>
                <w:b/>
                <w:color w:val="FFFFFF" w:themeColor="background1"/>
                <w:sz w:val="17"/>
                <w:szCs w:val="17"/>
                <w:lang w:eastAsia="fr-CA"/>
              </w:rPr>
              <w:t>Physical congestion</w:t>
            </w:r>
          </w:p>
        </w:tc>
        <w:tc>
          <w:tcPr>
            <w:tcW w:w="354" w:type="pct"/>
            <w:tcBorders>
              <w:top w:val="single" w:sz="12" w:space="0" w:color="auto"/>
              <w:left w:val="single" w:sz="12" w:space="0" w:color="auto"/>
              <w:bottom w:val="single" w:sz="4" w:space="0" w:color="auto"/>
              <w:right w:val="single" w:sz="12" w:space="0" w:color="auto"/>
            </w:tcBorders>
            <w:vAlign w:val="center"/>
          </w:tcPr>
          <w:p w14:paraId="0BF97073" w14:textId="3AF2C408" w:rsidR="00E3030C" w:rsidRPr="001404DD" w:rsidRDefault="00E3030C" w:rsidP="001404DD">
            <w:pPr>
              <w:pStyle w:val="TableBodyText"/>
              <w:spacing w:before="20" w:after="20" w:line="252" w:lineRule="auto"/>
              <w:rPr>
                <w:sz w:val="17"/>
                <w:szCs w:val="17"/>
                <w:lang w:eastAsia="fr-CA"/>
              </w:rPr>
            </w:pPr>
            <w:r w:rsidRPr="001404DD">
              <w:rPr>
                <w:sz w:val="17"/>
                <w:szCs w:val="17"/>
                <w:lang w:eastAsia="fr-CA"/>
              </w:rPr>
              <w:t>Allocative efficiency</w:t>
            </w:r>
          </w:p>
        </w:tc>
        <w:tc>
          <w:tcPr>
            <w:tcW w:w="2019" w:type="pct"/>
            <w:tcBorders>
              <w:top w:val="single" w:sz="12" w:space="0" w:color="auto"/>
              <w:left w:val="single" w:sz="12" w:space="0" w:color="auto"/>
              <w:bottom w:val="single" w:sz="4" w:space="0" w:color="auto"/>
              <w:right w:val="single" w:sz="12" w:space="0" w:color="auto"/>
            </w:tcBorders>
            <w:shd w:val="clear" w:color="auto" w:fill="E1E2E7" w:themeFill="background2"/>
          </w:tcPr>
          <w:p w14:paraId="3F66C4C0" w14:textId="77777777" w:rsidR="00CD1832" w:rsidRPr="001404DD" w:rsidRDefault="004A4235" w:rsidP="001404DD">
            <w:pPr>
              <w:pStyle w:val="TableBodyText"/>
              <w:spacing w:before="20" w:after="20" w:line="252" w:lineRule="auto"/>
              <w:jc w:val="center"/>
              <w:rPr>
                <w:b/>
                <w:sz w:val="17"/>
                <w:szCs w:val="17"/>
                <w:lang w:eastAsia="fr-CA"/>
              </w:rPr>
            </w:pPr>
            <w:r w:rsidRPr="001404DD">
              <w:rPr>
                <w:b/>
                <w:sz w:val="17"/>
                <w:szCs w:val="17"/>
                <w:lang w:eastAsia="fr-CA"/>
              </w:rPr>
              <w:t>No efficiency gains</w:t>
            </w:r>
          </w:p>
          <w:p w14:paraId="7B5B92D0" w14:textId="0E8D8288" w:rsidR="00E3030C" w:rsidRPr="001404DD" w:rsidRDefault="00390560" w:rsidP="001404DD">
            <w:pPr>
              <w:pStyle w:val="TableBodyText"/>
              <w:spacing w:before="20" w:after="20" w:line="252" w:lineRule="auto"/>
              <w:rPr>
                <w:sz w:val="17"/>
                <w:szCs w:val="17"/>
                <w:lang w:eastAsia="fr-CA"/>
              </w:rPr>
            </w:pPr>
            <w:r w:rsidRPr="001404DD">
              <w:rPr>
                <w:sz w:val="17"/>
                <w:szCs w:val="17"/>
                <w:lang w:eastAsia="fr-CA"/>
              </w:rPr>
              <w:t>In this case t</w:t>
            </w:r>
            <w:r w:rsidR="00E3030C" w:rsidRPr="001404DD">
              <w:rPr>
                <w:sz w:val="17"/>
                <w:szCs w:val="17"/>
                <w:lang w:eastAsia="fr-CA"/>
              </w:rPr>
              <w:t>he auction is not expected to result in significant allocative efficiency gains because on most days the amount of capacity released in the auction will be close to zero.</w:t>
            </w:r>
          </w:p>
        </w:tc>
        <w:tc>
          <w:tcPr>
            <w:tcW w:w="2222" w:type="pct"/>
            <w:vMerge w:val="restart"/>
            <w:tcBorders>
              <w:top w:val="single" w:sz="12" w:space="0" w:color="auto"/>
              <w:left w:val="single" w:sz="12" w:space="0" w:color="auto"/>
              <w:right w:val="single" w:sz="12" w:space="0" w:color="auto"/>
            </w:tcBorders>
            <w:vAlign w:val="center"/>
          </w:tcPr>
          <w:p w14:paraId="031C27C2" w14:textId="13447107" w:rsidR="00E3030C" w:rsidRPr="001404DD" w:rsidRDefault="00E3030C" w:rsidP="001404DD">
            <w:pPr>
              <w:pStyle w:val="TableBodyText"/>
              <w:spacing w:before="20" w:after="20" w:line="252" w:lineRule="auto"/>
              <w:jc w:val="center"/>
              <w:rPr>
                <w:sz w:val="17"/>
                <w:szCs w:val="17"/>
                <w:lang w:eastAsia="fr-CA"/>
              </w:rPr>
            </w:pPr>
            <w:proofErr w:type="spellStart"/>
            <w:proofErr w:type="gramStart"/>
            <w:r w:rsidRPr="001404DD">
              <w:rPr>
                <w:sz w:val="17"/>
                <w:szCs w:val="17"/>
                <w:lang w:eastAsia="fr-CA"/>
              </w:rPr>
              <w:t>n.a</w:t>
            </w:r>
            <w:proofErr w:type="spellEnd"/>
            <w:proofErr w:type="gramEnd"/>
            <w:r w:rsidRPr="001404DD">
              <w:rPr>
                <w:sz w:val="17"/>
                <w:szCs w:val="17"/>
                <w:lang w:eastAsia="fr-CA"/>
              </w:rPr>
              <w:t>.</w:t>
            </w:r>
            <w:r w:rsidR="001404DD">
              <w:rPr>
                <w:sz w:val="17"/>
                <w:szCs w:val="17"/>
                <w:lang w:eastAsia="fr-CA"/>
              </w:rPr>
              <w:t xml:space="preserve"> </w:t>
            </w:r>
            <w:r w:rsidR="001404DD">
              <w:rPr>
                <w:sz w:val="17"/>
                <w:szCs w:val="17"/>
                <w:lang w:eastAsia="fr-CA"/>
              </w:rPr>
              <w:br/>
            </w:r>
            <w:r w:rsidR="001404DD" w:rsidRPr="001404DD">
              <w:rPr>
                <w:i/>
                <w:sz w:val="16"/>
                <w:szCs w:val="16"/>
              </w:rPr>
              <w:t>This scenario would imply that</w:t>
            </w:r>
            <w:r w:rsidR="001404DD">
              <w:rPr>
                <w:i/>
                <w:sz w:val="16"/>
                <w:szCs w:val="16"/>
              </w:rPr>
              <w:t>,</w:t>
            </w:r>
            <w:r w:rsidR="001404DD" w:rsidRPr="001404DD">
              <w:rPr>
                <w:i/>
                <w:sz w:val="16"/>
                <w:szCs w:val="16"/>
              </w:rPr>
              <w:t xml:space="preserve"> despite the fact that the pipeline is not fully contracted, it is physically congested</w:t>
            </w:r>
            <w:r w:rsidR="001404DD">
              <w:rPr>
                <w:i/>
                <w:sz w:val="16"/>
                <w:szCs w:val="16"/>
              </w:rPr>
              <w:t>, which is an unrealistic scenario.</w:t>
            </w:r>
          </w:p>
        </w:tc>
      </w:tr>
      <w:tr w:rsidR="00E3030C" w:rsidRPr="001404DD" w14:paraId="23065249" w14:textId="77777777" w:rsidTr="007C2F20">
        <w:trPr>
          <w:cantSplit/>
          <w:trHeight w:val="258"/>
        </w:trPr>
        <w:tc>
          <w:tcPr>
            <w:tcW w:w="405" w:type="pct"/>
            <w:vMerge/>
            <w:tcBorders>
              <w:top w:val="single" w:sz="12" w:space="0" w:color="auto"/>
              <w:left w:val="single" w:sz="12" w:space="0" w:color="auto"/>
              <w:bottom w:val="single" w:sz="12" w:space="0" w:color="auto"/>
              <w:right w:val="single" w:sz="12" w:space="0" w:color="auto"/>
            </w:tcBorders>
            <w:shd w:val="clear" w:color="auto" w:fill="0099CC"/>
          </w:tcPr>
          <w:p w14:paraId="34470825" w14:textId="77777777" w:rsidR="00E3030C" w:rsidRPr="001404DD" w:rsidRDefault="00E3030C" w:rsidP="001404DD">
            <w:pPr>
              <w:pStyle w:val="TableBodyText"/>
              <w:spacing w:before="20" w:after="20" w:line="252" w:lineRule="auto"/>
              <w:rPr>
                <w:b/>
                <w:color w:val="FFFFFF" w:themeColor="background1"/>
                <w:sz w:val="17"/>
                <w:szCs w:val="17"/>
                <w:lang w:eastAsia="fr-CA"/>
              </w:rPr>
            </w:pPr>
          </w:p>
        </w:tc>
        <w:tc>
          <w:tcPr>
            <w:tcW w:w="354" w:type="pct"/>
            <w:tcBorders>
              <w:top w:val="single" w:sz="4" w:space="0" w:color="auto"/>
              <w:left w:val="single" w:sz="12" w:space="0" w:color="auto"/>
              <w:bottom w:val="single" w:sz="12" w:space="0" w:color="auto"/>
              <w:right w:val="single" w:sz="12" w:space="0" w:color="auto"/>
            </w:tcBorders>
            <w:vAlign w:val="center"/>
          </w:tcPr>
          <w:p w14:paraId="241054C6" w14:textId="1A3F2603" w:rsidR="00E3030C" w:rsidRPr="001404DD" w:rsidRDefault="00E3030C" w:rsidP="001404DD">
            <w:pPr>
              <w:pStyle w:val="TableBodyText"/>
              <w:spacing w:before="20" w:after="20" w:line="252" w:lineRule="auto"/>
              <w:rPr>
                <w:sz w:val="17"/>
                <w:szCs w:val="17"/>
                <w:lang w:eastAsia="fr-CA"/>
              </w:rPr>
            </w:pPr>
            <w:r w:rsidRPr="001404DD">
              <w:rPr>
                <w:sz w:val="17"/>
                <w:szCs w:val="17"/>
                <w:lang w:eastAsia="fr-CA"/>
              </w:rPr>
              <w:t>Dynamic efficiency</w:t>
            </w:r>
          </w:p>
        </w:tc>
        <w:tc>
          <w:tcPr>
            <w:tcW w:w="2019" w:type="pct"/>
            <w:tcBorders>
              <w:top w:val="single" w:sz="4" w:space="0" w:color="auto"/>
              <w:left w:val="single" w:sz="12" w:space="0" w:color="auto"/>
              <w:bottom w:val="single" w:sz="12" w:space="0" w:color="auto"/>
              <w:right w:val="single" w:sz="12" w:space="0" w:color="auto"/>
            </w:tcBorders>
            <w:shd w:val="clear" w:color="auto" w:fill="E1E2E7" w:themeFill="background2"/>
          </w:tcPr>
          <w:p w14:paraId="290975AB" w14:textId="77777777" w:rsidR="00CD1832" w:rsidRPr="001404DD" w:rsidRDefault="004A4235" w:rsidP="001404DD">
            <w:pPr>
              <w:pStyle w:val="TableBodyText"/>
              <w:spacing w:before="20" w:after="20" w:line="252" w:lineRule="auto"/>
              <w:jc w:val="center"/>
              <w:rPr>
                <w:b/>
                <w:sz w:val="17"/>
                <w:szCs w:val="17"/>
                <w:lang w:eastAsia="fr-CA"/>
              </w:rPr>
            </w:pPr>
            <w:r w:rsidRPr="001404DD">
              <w:rPr>
                <w:b/>
                <w:sz w:val="17"/>
                <w:szCs w:val="17"/>
                <w:lang w:eastAsia="fr-CA"/>
              </w:rPr>
              <w:t>No efficiency gains</w:t>
            </w:r>
          </w:p>
          <w:p w14:paraId="219107E6" w14:textId="30167F82" w:rsidR="00E3030C" w:rsidRPr="001404DD" w:rsidRDefault="00390560" w:rsidP="001404DD">
            <w:pPr>
              <w:pStyle w:val="TableBodyText"/>
              <w:spacing w:before="20" w:after="20" w:line="252" w:lineRule="auto"/>
              <w:rPr>
                <w:sz w:val="17"/>
                <w:szCs w:val="17"/>
                <w:lang w:eastAsia="fr-CA"/>
              </w:rPr>
            </w:pPr>
            <w:r w:rsidRPr="001404DD">
              <w:rPr>
                <w:sz w:val="17"/>
                <w:szCs w:val="17"/>
                <w:lang w:eastAsia="fr-CA"/>
              </w:rPr>
              <w:t xml:space="preserve">In this case the auction is not </w:t>
            </w:r>
            <w:r w:rsidR="00E3030C" w:rsidRPr="001404DD">
              <w:rPr>
                <w:sz w:val="17"/>
                <w:szCs w:val="17"/>
                <w:lang w:eastAsia="fr-CA"/>
              </w:rPr>
              <w:t>expect</w:t>
            </w:r>
            <w:r w:rsidRPr="001404DD">
              <w:rPr>
                <w:sz w:val="17"/>
                <w:szCs w:val="17"/>
                <w:lang w:eastAsia="fr-CA"/>
              </w:rPr>
              <w:t>ed to have a</w:t>
            </w:r>
            <w:r w:rsidR="00E3030C" w:rsidRPr="001404DD">
              <w:rPr>
                <w:sz w:val="17"/>
                <w:szCs w:val="17"/>
                <w:lang w:eastAsia="fr-CA"/>
              </w:rPr>
              <w:t xml:space="preserve"> material effect on </w:t>
            </w:r>
            <w:r w:rsidRPr="001404DD">
              <w:rPr>
                <w:sz w:val="17"/>
                <w:szCs w:val="17"/>
                <w:lang w:eastAsia="fr-CA"/>
              </w:rPr>
              <w:t xml:space="preserve">contracting or </w:t>
            </w:r>
            <w:r w:rsidR="00E3030C" w:rsidRPr="001404DD">
              <w:rPr>
                <w:sz w:val="17"/>
                <w:szCs w:val="17"/>
                <w:lang w:eastAsia="fr-CA"/>
              </w:rPr>
              <w:t>investment because the pipeline is highly utilised and capacity is scarce.</w:t>
            </w:r>
          </w:p>
        </w:tc>
        <w:tc>
          <w:tcPr>
            <w:tcW w:w="2222" w:type="pct"/>
            <w:vMerge/>
            <w:tcBorders>
              <w:left w:val="single" w:sz="12" w:space="0" w:color="auto"/>
              <w:bottom w:val="single" w:sz="12" w:space="0" w:color="auto"/>
              <w:right w:val="single" w:sz="12" w:space="0" w:color="auto"/>
            </w:tcBorders>
          </w:tcPr>
          <w:p w14:paraId="53E8BF78" w14:textId="77777777" w:rsidR="00E3030C" w:rsidRPr="001404DD" w:rsidRDefault="00E3030C" w:rsidP="001404DD">
            <w:pPr>
              <w:pStyle w:val="TableBodyText"/>
              <w:spacing w:before="20" w:after="20" w:line="252" w:lineRule="auto"/>
              <w:rPr>
                <w:sz w:val="17"/>
                <w:szCs w:val="17"/>
                <w:lang w:eastAsia="fr-CA"/>
              </w:rPr>
            </w:pPr>
          </w:p>
        </w:tc>
      </w:tr>
      <w:tr w:rsidR="00E3030C" w:rsidRPr="001404DD" w14:paraId="577560E3" w14:textId="77777777" w:rsidTr="007C2F20">
        <w:trPr>
          <w:cantSplit/>
          <w:trHeight w:val="695"/>
        </w:trPr>
        <w:tc>
          <w:tcPr>
            <w:tcW w:w="405" w:type="pct"/>
            <w:vMerge w:val="restart"/>
            <w:tcBorders>
              <w:top w:val="single" w:sz="12" w:space="0" w:color="auto"/>
              <w:left w:val="single" w:sz="12" w:space="0" w:color="auto"/>
            </w:tcBorders>
            <w:shd w:val="clear" w:color="auto" w:fill="0099CC"/>
          </w:tcPr>
          <w:p w14:paraId="49EAB05F" w14:textId="77777777" w:rsidR="00E3030C" w:rsidRPr="001404DD" w:rsidRDefault="00E3030C" w:rsidP="001404DD">
            <w:pPr>
              <w:pStyle w:val="TableBodyText"/>
              <w:widowControl w:val="0"/>
              <w:spacing w:before="20" w:after="20" w:line="252" w:lineRule="auto"/>
              <w:rPr>
                <w:b/>
                <w:color w:val="FFFFFF" w:themeColor="background1"/>
                <w:sz w:val="17"/>
                <w:szCs w:val="17"/>
                <w:lang w:eastAsia="fr-CA"/>
              </w:rPr>
            </w:pPr>
            <w:r w:rsidRPr="001404DD">
              <w:rPr>
                <w:b/>
                <w:color w:val="FFFFFF" w:themeColor="background1"/>
                <w:sz w:val="17"/>
                <w:szCs w:val="17"/>
                <w:lang w:eastAsia="fr-CA"/>
              </w:rPr>
              <w:t xml:space="preserve">No physical congestion </w:t>
            </w:r>
          </w:p>
        </w:tc>
        <w:tc>
          <w:tcPr>
            <w:tcW w:w="354" w:type="pct"/>
            <w:tcBorders>
              <w:top w:val="single" w:sz="12" w:space="0" w:color="auto"/>
              <w:right w:val="single" w:sz="12" w:space="0" w:color="auto"/>
            </w:tcBorders>
            <w:vAlign w:val="center"/>
          </w:tcPr>
          <w:p w14:paraId="4B7D1A22" w14:textId="3E7FB65E" w:rsidR="00E3030C" w:rsidRPr="001404DD" w:rsidRDefault="00E3030C" w:rsidP="001404DD">
            <w:pPr>
              <w:pStyle w:val="TableBodyText"/>
              <w:widowControl w:val="0"/>
              <w:spacing w:before="20" w:after="20" w:line="252" w:lineRule="auto"/>
              <w:rPr>
                <w:sz w:val="17"/>
                <w:szCs w:val="17"/>
                <w:lang w:eastAsia="fr-CA"/>
              </w:rPr>
            </w:pPr>
            <w:r w:rsidRPr="001404DD">
              <w:rPr>
                <w:sz w:val="17"/>
                <w:szCs w:val="17"/>
                <w:lang w:eastAsia="fr-CA"/>
              </w:rPr>
              <w:t>Allocative efficiency</w:t>
            </w:r>
          </w:p>
        </w:tc>
        <w:tc>
          <w:tcPr>
            <w:tcW w:w="2019" w:type="pct"/>
            <w:tcBorders>
              <w:top w:val="single" w:sz="12" w:space="0" w:color="auto"/>
              <w:left w:val="single" w:sz="12" w:space="0" w:color="auto"/>
              <w:right w:val="single" w:sz="12" w:space="0" w:color="auto"/>
            </w:tcBorders>
          </w:tcPr>
          <w:p w14:paraId="30CF519C" w14:textId="77777777" w:rsidR="004A4235" w:rsidRPr="001404DD" w:rsidRDefault="004A4235" w:rsidP="001404DD">
            <w:pPr>
              <w:pStyle w:val="Default"/>
              <w:widowControl w:val="0"/>
              <w:spacing w:before="20" w:after="20" w:line="252" w:lineRule="auto"/>
              <w:jc w:val="center"/>
              <w:rPr>
                <w:b/>
                <w:sz w:val="17"/>
                <w:szCs w:val="17"/>
              </w:rPr>
            </w:pPr>
            <w:r w:rsidRPr="001404DD">
              <w:rPr>
                <w:b/>
                <w:sz w:val="17"/>
                <w:szCs w:val="17"/>
              </w:rPr>
              <w:t>Increase in efficiency</w:t>
            </w:r>
          </w:p>
          <w:p w14:paraId="55D7B758" w14:textId="77777777" w:rsidR="00390560" w:rsidRPr="001404DD" w:rsidRDefault="004A4235" w:rsidP="001404DD">
            <w:pPr>
              <w:pStyle w:val="TableBodyText"/>
              <w:widowControl w:val="0"/>
              <w:spacing w:before="20" w:after="20" w:line="252" w:lineRule="auto"/>
              <w:rPr>
                <w:sz w:val="17"/>
                <w:szCs w:val="17"/>
              </w:rPr>
            </w:pPr>
            <w:r w:rsidRPr="001404DD">
              <w:rPr>
                <w:sz w:val="17"/>
                <w:szCs w:val="17"/>
              </w:rPr>
              <w:t>In this case the capacity released through the auction is likely to result in additional gas being transported because</w:t>
            </w:r>
            <w:r w:rsidR="00390560" w:rsidRPr="001404DD">
              <w:rPr>
                <w:sz w:val="17"/>
                <w:szCs w:val="17"/>
              </w:rPr>
              <w:t>:</w:t>
            </w:r>
            <w:r w:rsidRPr="001404DD">
              <w:rPr>
                <w:sz w:val="17"/>
                <w:szCs w:val="17"/>
              </w:rPr>
              <w:t xml:space="preserve"> </w:t>
            </w:r>
          </w:p>
          <w:p w14:paraId="57DB8CF1" w14:textId="49A1C36A" w:rsidR="00390560" w:rsidRPr="001404DD" w:rsidRDefault="004A4235" w:rsidP="001404DD">
            <w:pPr>
              <w:pStyle w:val="TableBullet1"/>
              <w:widowControl w:val="0"/>
              <w:spacing w:before="20" w:after="20" w:line="252" w:lineRule="auto"/>
              <w:rPr>
                <w:sz w:val="17"/>
                <w:szCs w:val="17"/>
              </w:rPr>
            </w:pPr>
            <w:r w:rsidRPr="001404DD">
              <w:rPr>
                <w:sz w:val="17"/>
                <w:szCs w:val="17"/>
              </w:rPr>
              <w:t xml:space="preserve">existing buyers without long-term capacity </w:t>
            </w:r>
            <w:r w:rsidR="00390560" w:rsidRPr="001404DD">
              <w:rPr>
                <w:sz w:val="17"/>
                <w:szCs w:val="17"/>
              </w:rPr>
              <w:t xml:space="preserve">may </w:t>
            </w:r>
            <w:r w:rsidRPr="001404DD">
              <w:rPr>
                <w:sz w:val="17"/>
                <w:szCs w:val="17"/>
              </w:rPr>
              <w:t xml:space="preserve">buy more </w:t>
            </w:r>
            <w:r w:rsidR="00390560" w:rsidRPr="001404DD">
              <w:rPr>
                <w:sz w:val="17"/>
                <w:szCs w:val="17"/>
              </w:rPr>
              <w:t xml:space="preserve">capacity than they would buy at the as available/interruptible </w:t>
            </w:r>
            <w:r w:rsidR="007C2F20">
              <w:rPr>
                <w:sz w:val="17"/>
                <w:szCs w:val="17"/>
              </w:rPr>
              <w:t>prices</w:t>
            </w:r>
            <w:r w:rsidR="00390560" w:rsidRPr="001404DD">
              <w:rPr>
                <w:sz w:val="17"/>
                <w:szCs w:val="17"/>
              </w:rPr>
              <w:t xml:space="preserve"> set by service providers;</w:t>
            </w:r>
            <w:r w:rsidRPr="001404DD">
              <w:rPr>
                <w:sz w:val="17"/>
                <w:szCs w:val="17"/>
              </w:rPr>
              <w:t xml:space="preserve"> and/or </w:t>
            </w:r>
          </w:p>
          <w:p w14:paraId="19605A3A" w14:textId="1967DB21" w:rsidR="00E3030C" w:rsidRPr="001404DD" w:rsidRDefault="004A4235" w:rsidP="001404DD">
            <w:pPr>
              <w:pStyle w:val="TableBullet1"/>
              <w:widowControl w:val="0"/>
              <w:spacing w:before="20" w:after="20" w:line="252" w:lineRule="auto"/>
              <w:rPr>
                <w:sz w:val="17"/>
                <w:szCs w:val="17"/>
              </w:rPr>
            </w:pPr>
            <w:proofErr w:type="gramStart"/>
            <w:r w:rsidRPr="001404DD">
              <w:rPr>
                <w:sz w:val="17"/>
                <w:szCs w:val="17"/>
              </w:rPr>
              <w:t>new</w:t>
            </w:r>
            <w:proofErr w:type="gramEnd"/>
            <w:r w:rsidRPr="001404DD">
              <w:rPr>
                <w:sz w:val="17"/>
                <w:szCs w:val="17"/>
              </w:rPr>
              <w:t xml:space="preserve"> shippers </w:t>
            </w:r>
            <w:r w:rsidR="00390560" w:rsidRPr="001404DD">
              <w:rPr>
                <w:sz w:val="17"/>
                <w:szCs w:val="17"/>
              </w:rPr>
              <w:t xml:space="preserve">may </w:t>
            </w:r>
            <w:r w:rsidRPr="001404DD">
              <w:rPr>
                <w:sz w:val="17"/>
                <w:szCs w:val="17"/>
              </w:rPr>
              <w:t xml:space="preserve">enter the market </w:t>
            </w:r>
            <w:r w:rsidR="00390560" w:rsidRPr="001404DD">
              <w:rPr>
                <w:sz w:val="17"/>
                <w:szCs w:val="17"/>
              </w:rPr>
              <w:t xml:space="preserve">because </w:t>
            </w:r>
            <w:r w:rsidRPr="001404DD">
              <w:rPr>
                <w:sz w:val="17"/>
                <w:szCs w:val="17"/>
              </w:rPr>
              <w:t>they can access capacity at a lower price than before</w:t>
            </w:r>
            <w:r w:rsidR="00390560" w:rsidRPr="001404DD">
              <w:rPr>
                <w:sz w:val="17"/>
                <w:szCs w:val="17"/>
              </w:rPr>
              <w:t>.</w:t>
            </w:r>
          </w:p>
        </w:tc>
        <w:tc>
          <w:tcPr>
            <w:tcW w:w="2222" w:type="pct"/>
            <w:tcBorders>
              <w:top w:val="single" w:sz="12" w:space="0" w:color="auto"/>
              <w:left w:val="single" w:sz="12" w:space="0" w:color="auto"/>
              <w:right w:val="single" w:sz="12" w:space="0" w:color="auto"/>
            </w:tcBorders>
            <w:shd w:val="clear" w:color="auto" w:fill="E1E2E7" w:themeFill="background2"/>
          </w:tcPr>
          <w:p w14:paraId="37CCA7E0" w14:textId="77777777" w:rsidR="00390560" w:rsidRPr="001404DD" w:rsidRDefault="00390560" w:rsidP="001404DD">
            <w:pPr>
              <w:pStyle w:val="Default"/>
              <w:widowControl w:val="0"/>
              <w:spacing w:before="20" w:after="20" w:line="252" w:lineRule="auto"/>
              <w:jc w:val="center"/>
              <w:rPr>
                <w:b/>
                <w:sz w:val="17"/>
                <w:szCs w:val="17"/>
              </w:rPr>
            </w:pPr>
            <w:r w:rsidRPr="001404DD">
              <w:rPr>
                <w:b/>
                <w:sz w:val="17"/>
                <w:szCs w:val="17"/>
              </w:rPr>
              <w:t>Increase in efficiency</w:t>
            </w:r>
          </w:p>
          <w:p w14:paraId="4490E71E" w14:textId="5C6CF0ED" w:rsidR="00390560" w:rsidRPr="001404DD" w:rsidRDefault="00390560" w:rsidP="001404DD">
            <w:pPr>
              <w:pStyle w:val="TableBodyText"/>
              <w:widowControl w:val="0"/>
              <w:spacing w:before="20" w:after="20" w:line="252" w:lineRule="auto"/>
              <w:rPr>
                <w:sz w:val="17"/>
                <w:szCs w:val="17"/>
              </w:rPr>
            </w:pPr>
            <w:r w:rsidRPr="001404DD">
              <w:rPr>
                <w:sz w:val="17"/>
                <w:szCs w:val="17"/>
              </w:rPr>
              <w:t xml:space="preserve">In this case, shippers would have the option of purchasing firm or relatively reliable as available/interruptible products from service providers and may not need to rely on the auction. However, these shippers may prefer the auction given it has a reserve price of zero. This may result in additional gas being transported because: </w:t>
            </w:r>
          </w:p>
          <w:p w14:paraId="6B8F2FD2" w14:textId="6C53E32E" w:rsidR="00390560" w:rsidRPr="001404DD" w:rsidRDefault="00390560" w:rsidP="001404DD">
            <w:pPr>
              <w:pStyle w:val="TableBullet1"/>
              <w:widowControl w:val="0"/>
              <w:spacing w:before="20" w:after="20" w:line="252" w:lineRule="auto"/>
              <w:rPr>
                <w:sz w:val="17"/>
                <w:szCs w:val="17"/>
              </w:rPr>
            </w:pPr>
            <w:r w:rsidRPr="001404DD">
              <w:rPr>
                <w:sz w:val="17"/>
                <w:szCs w:val="17"/>
              </w:rPr>
              <w:t xml:space="preserve">existing shippers without long-term contracts may buy more capacity than they would buy firm or as available/interruptible services at the prices set by service providers; and/or </w:t>
            </w:r>
          </w:p>
          <w:p w14:paraId="20722EAD" w14:textId="1D4AD7E9" w:rsidR="00E3030C" w:rsidRPr="001404DD" w:rsidRDefault="00390560" w:rsidP="001404DD">
            <w:pPr>
              <w:pStyle w:val="TableBullet1"/>
              <w:widowControl w:val="0"/>
              <w:spacing w:before="20" w:after="20" w:line="252" w:lineRule="auto"/>
              <w:rPr>
                <w:sz w:val="17"/>
                <w:szCs w:val="17"/>
              </w:rPr>
            </w:pPr>
            <w:proofErr w:type="gramStart"/>
            <w:r w:rsidRPr="001404DD">
              <w:rPr>
                <w:sz w:val="17"/>
                <w:szCs w:val="17"/>
              </w:rPr>
              <w:t>new</w:t>
            </w:r>
            <w:proofErr w:type="gramEnd"/>
            <w:r w:rsidRPr="001404DD">
              <w:rPr>
                <w:sz w:val="17"/>
                <w:szCs w:val="17"/>
              </w:rPr>
              <w:t xml:space="preserve"> shippers may enter the market because they can access capacity at a lower price than before.</w:t>
            </w:r>
          </w:p>
        </w:tc>
      </w:tr>
      <w:tr w:rsidR="00E3030C" w:rsidRPr="001404DD" w14:paraId="41325015" w14:textId="77777777" w:rsidTr="007C2F20">
        <w:trPr>
          <w:cantSplit/>
          <w:trHeight w:val="750"/>
        </w:trPr>
        <w:tc>
          <w:tcPr>
            <w:tcW w:w="405" w:type="pct"/>
            <w:vMerge/>
            <w:tcBorders>
              <w:left w:val="single" w:sz="12" w:space="0" w:color="auto"/>
              <w:bottom w:val="single" w:sz="12" w:space="0" w:color="auto"/>
            </w:tcBorders>
            <w:shd w:val="clear" w:color="auto" w:fill="0099CC"/>
          </w:tcPr>
          <w:p w14:paraId="53F8BC21" w14:textId="77777777" w:rsidR="00E3030C" w:rsidRPr="001404DD" w:rsidRDefault="00E3030C" w:rsidP="001404DD">
            <w:pPr>
              <w:pStyle w:val="TableBodyText"/>
              <w:widowControl w:val="0"/>
              <w:spacing w:before="20" w:after="20" w:line="252" w:lineRule="auto"/>
              <w:rPr>
                <w:sz w:val="17"/>
                <w:szCs w:val="17"/>
                <w:lang w:eastAsia="fr-CA"/>
              </w:rPr>
            </w:pPr>
          </w:p>
        </w:tc>
        <w:tc>
          <w:tcPr>
            <w:tcW w:w="354" w:type="pct"/>
            <w:tcBorders>
              <w:bottom w:val="single" w:sz="12" w:space="0" w:color="auto"/>
              <w:right w:val="single" w:sz="12" w:space="0" w:color="auto"/>
            </w:tcBorders>
            <w:vAlign w:val="center"/>
          </w:tcPr>
          <w:p w14:paraId="08561D60" w14:textId="6A4B0D9D" w:rsidR="00E3030C" w:rsidRPr="001404DD" w:rsidRDefault="00E3030C" w:rsidP="001404DD">
            <w:pPr>
              <w:pStyle w:val="TableBodyText"/>
              <w:widowControl w:val="0"/>
              <w:spacing w:before="20" w:after="20" w:line="252" w:lineRule="auto"/>
              <w:rPr>
                <w:sz w:val="17"/>
                <w:szCs w:val="17"/>
                <w:lang w:eastAsia="fr-CA"/>
              </w:rPr>
            </w:pPr>
            <w:r w:rsidRPr="001404DD">
              <w:rPr>
                <w:sz w:val="17"/>
                <w:szCs w:val="17"/>
                <w:lang w:eastAsia="fr-CA"/>
              </w:rPr>
              <w:t>Dynamic efficiency</w:t>
            </w:r>
          </w:p>
        </w:tc>
        <w:tc>
          <w:tcPr>
            <w:tcW w:w="2019" w:type="pct"/>
            <w:tcBorders>
              <w:left w:val="single" w:sz="12" w:space="0" w:color="auto"/>
              <w:bottom w:val="single" w:sz="12" w:space="0" w:color="auto"/>
              <w:right w:val="single" w:sz="12" w:space="0" w:color="auto"/>
            </w:tcBorders>
          </w:tcPr>
          <w:p w14:paraId="3B723AC8" w14:textId="77777777" w:rsidR="004A4235" w:rsidRPr="001404DD" w:rsidRDefault="004A4235" w:rsidP="001404DD">
            <w:pPr>
              <w:pStyle w:val="Default"/>
              <w:widowControl w:val="0"/>
              <w:spacing w:before="20" w:after="20" w:line="252" w:lineRule="auto"/>
              <w:jc w:val="center"/>
              <w:rPr>
                <w:b/>
                <w:sz w:val="17"/>
                <w:szCs w:val="17"/>
              </w:rPr>
            </w:pPr>
            <w:r w:rsidRPr="001404DD">
              <w:rPr>
                <w:b/>
                <w:sz w:val="17"/>
                <w:szCs w:val="17"/>
              </w:rPr>
              <w:t>Impact on dynamic efficiency uncertain</w:t>
            </w:r>
          </w:p>
          <w:p w14:paraId="35431B16" w14:textId="2925C32C" w:rsidR="00CD1832" w:rsidRPr="001404DD" w:rsidRDefault="00CD1832" w:rsidP="001404DD">
            <w:pPr>
              <w:pStyle w:val="Default"/>
              <w:widowControl w:val="0"/>
              <w:spacing w:before="20" w:after="20" w:line="252" w:lineRule="auto"/>
              <w:rPr>
                <w:sz w:val="17"/>
                <w:szCs w:val="17"/>
              </w:rPr>
            </w:pPr>
            <w:r w:rsidRPr="001404DD">
              <w:rPr>
                <w:sz w:val="17"/>
                <w:szCs w:val="17"/>
              </w:rPr>
              <w:t xml:space="preserve">The effect </w:t>
            </w:r>
            <w:r w:rsidR="005C1816" w:rsidRPr="001404DD">
              <w:rPr>
                <w:sz w:val="17"/>
                <w:szCs w:val="17"/>
              </w:rPr>
              <w:t xml:space="preserve">of the auction on contracting </w:t>
            </w:r>
            <w:r w:rsidRPr="001404DD">
              <w:rPr>
                <w:sz w:val="17"/>
                <w:szCs w:val="17"/>
              </w:rPr>
              <w:t>depends on whether:</w:t>
            </w:r>
          </w:p>
          <w:p w14:paraId="343F2391" w14:textId="49083DD8" w:rsidR="004A4235" w:rsidRPr="001404DD" w:rsidRDefault="004A4235" w:rsidP="001404DD">
            <w:pPr>
              <w:pStyle w:val="TableBullet1"/>
              <w:widowControl w:val="0"/>
              <w:spacing w:before="20" w:after="20" w:line="252" w:lineRule="auto"/>
              <w:rPr>
                <w:sz w:val="17"/>
                <w:szCs w:val="17"/>
              </w:rPr>
            </w:pPr>
            <w:r w:rsidRPr="001404DD">
              <w:rPr>
                <w:sz w:val="17"/>
                <w:szCs w:val="17"/>
              </w:rPr>
              <w:t xml:space="preserve">demand in the auction is </w:t>
            </w:r>
            <w:r w:rsidRPr="001404DD">
              <w:rPr>
                <w:i/>
                <w:sz w:val="17"/>
                <w:szCs w:val="17"/>
              </w:rPr>
              <w:t>below</w:t>
            </w:r>
            <w:r w:rsidRPr="001404DD">
              <w:rPr>
                <w:sz w:val="17"/>
                <w:szCs w:val="17"/>
              </w:rPr>
              <w:t xml:space="preserve"> the </w:t>
            </w:r>
            <w:r w:rsidR="00CD1832" w:rsidRPr="001404DD">
              <w:rPr>
                <w:sz w:val="17"/>
                <w:szCs w:val="17"/>
              </w:rPr>
              <w:t xml:space="preserve">auctioned </w:t>
            </w:r>
            <w:r w:rsidRPr="001404DD">
              <w:rPr>
                <w:sz w:val="17"/>
                <w:szCs w:val="17"/>
              </w:rPr>
              <w:t>capacity</w:t>
            </w:r>
            <w:r w:rsidR="00CD1832" w:rsidRPr="001404DD">
              <w:rPr>
                <w:sz w:val="17"/>
                <w:szCs w:val="17"/>
              </w:rPr>
              <w:t xml:space="preserve"> – in this case</w:t>
            </w:r>
            <w:r w:rsidRPr="001404DD">
              <w:rPr>
                <w:sz w:val="17"/>
                <w:szCs w:val="17"/>
              </w:rPr>
              <w:t xml:space="preserve"> firm capacity holders may de-contract in the longer term because they would expect to access short-term capacity around the reserve price ($0)</w:t>
            </w:r>
            <w:r w:rsidR="007C2F20">
              <w:rPr>
                <w:sz w:val="17"/>
                <w:szCs w:val="17"/>
              </w:rPr>
              <w:t>; or</w:t>
            </w:r>
            <w:r w:rsidRPr="001404DD">
              <w:rPr>
                <w:sz w:val="17"/>
                <w:szCs w:val="17"/>
              </w:rPr>
              <w:t xml:space="preserve"> </w:t>
            </w:r>
          </w:p>
          <w:p w14:paraId="087261E6" w14:textId="3A3FB0BA" w:rsidR="004A4235" w:rsidRPr="001404DD" w:rsidRDefault="004A4235" w:rsidP="001404DD">
            <w:pPr>
              <w:pStyle w:val="TableBullet1"/>
              <w:widowControl w:val="0"/>
              <w:spacing w:before="20" w:after="20" w:line="252" w:lineRule="auto"/>
              <w:rPr>
                <w:sz w:val="17"/>
                <w:szCs w:val="17"/>
              </w:rPr>
            </w:pPr>
            <w:r w:rsidRPr="001404DD">
              <w:rPr>
                <w:sz w:val="17"/>
                <w:szCs w:val="17"/>
              </w:rPr>
              <w:t xml:space="preserve">demand in the auction is </w:t>
            </w:r>
            <w:r w:rsidRPr="001404DD">
              <w:rPr>
                <w:i/>
                <w:sz w:val="17"/>
                <w:szCs w:val="17"/>
              </w:rPr>
              <w:t>above</w:t>
            </w:r>
            <w:r w:rsidRPr="001404DD">
              <w:rPr>
                <w:sz w:val="17"/>
                <w:szCs w:val="17"/>
              </w:rPr>
              <w:t xml:space="preserve"> the </w:t>
            </w:r>
            <w:r w:rsidR="00CD1832" w:rsidRPr="001404DD">
              <w:rPr>
                <w:sz w:val="17"/>
                <w:szCs w:val="17"/>
              </w:rPr>
              <w:t xml:space="preserve">auctioned </w:t>
            </w:r>
            <w:r w:rsidRPr="001404DD">
              <w:rPr>
                <w:sz w:val="17"/>
                <w:szCs w:val="17"/>
              </w:rPr>
              <w:t>capacity</w:t>
            </w:r>
            <w:r w:rsidR="00CD1832" w:rsidRPr="001404DD">
              <w:rPr>
                <w:sz w:val="17"/>
                <w:szCs w:val="17"/>
              </w:rPr>
              <w:t xml:space="preserve"> – in this case</w:t>
            </w:r>
            <w:r w:rsidRPr="001404DD">
              <w:rPr>
                <w:sz w:val="17"/>
                <w:szCs w:val="17"/>
              </w:rPr>
              <w:t xml:space="preserve"> </w:t>
            </w:r>
            <w:r w:rsidR="00CD1832" w:rsidRPr="001404DD">
              <w:rPr>
                <w:sz w:val="17"/>
                <w:szCs w:val="17"/>
              </w:rPr>
              <w:t>firm capacity holders will be less likely to de-contract because they would face the risk of not procuring capacity in the auction (or if they can purchase capacity being interrupted as a result of renominations by firm capacity holders) and paying a higher price for capacity (i.e. the clearing price will be set by the lowest successful bid and will be above $0).</w:t>
            </w:r>
          </w:p>
          <w:p w14:paraId="6AB1A81D" w14:textId="2EF45C13" w:rsidR="00E3030C" w:rsidRPr="001404DD" w:rsidRDefault="00CD1832" w:rsidP="001404DD">
            <w:pPr>
              <w:pStyle w:val="TableBodyText"/>
              <w:widowControl w:val="0"/>
              <w:spacing w:before="20" w:after="20" w:line="252" w:lineRule="auto"/>
              <w:rPr>
                <w:sz w:val="17"/>
                <w:szCs w:val="17"/>
              </w:rPr>
            </w:pPr>
            <w:r w:rsidRPr="001404DD">
              <w:rPr>
                <w:sz w:val="17"/>
                <w:szCs w:val="17"/>
              </w:rPr>
              <w:t>Even if there is some de-contracting</w:t>
            </w:r>
            <w:r w:rsidR="00390560" w:rsidRPr="001404DD">
              <w:rPr>
                <w:sz w:val="17"/>
                <w:szCs w:val="17"/>
              </w:rPr>
              <w:t xml:space="preserve"> </w:t>
            </w:r>
            <w:r w:rsidR="005C1816" w:rsidRPr="001404DD">
              <w:rPr>
                <w:sz w:val="17"/>
                <w:szCs w:val="17"/>
              </w:rPr>
              <w:t xml:space="preserve">the impact on dynamic efficiency will </w:t>
            </w:r>
            <w:r w:rsidR="004A4235" w:rsidRPr="001404DD">
              <w:rPr>
                <w:sz w:val="17"/>
                <w:szCs w:val="17"/>
              </w:rPr>
              <w:t xml:space="preserve">depend on whether </w:t>
            </w:r>
            <w:r w:rsidR="00390560" w:rsidRPr="001404DD">
              <w:rPr>
                <w:sz w:val="17"/>
                <w:szCs w:val="17"/>
              </w:rPr>
              <w:t xml:space="preserve">the </w:t>
            </w:r>
            <w:r w:rsidR="004A4235" w:rsidRPr="001404DD">
              <w:rPr>
                <w:sz w:val="17"/>
                <w:szCs w:val="17"/>
              </w:rPr>
              <w:t xml:space="preserve">lower revenues </w:t>
            </w:r>
            <w:r w:rsidR="005C1816" w:rsidRPr="001404DD">
              <w:rPr>
                <w:sz w:val="17"/>
                <w:szCs w:val="17"/>
              </w:rPr>
              <w:t xml:space="preserve">received by service providers </w:t>
            </w:r>
            <w:r w:rsidR="004A4235" w:rsidRPr="001404DD">
              <w:rPr>
                <w:sz w:val="17"/>
                <w:szCs w:val="17"/>
              </w:rPr>
              <w:t xml:space="preserve">result in less pipeline development and, if so, whether less pipeline development is efficient or not. </w:t>
            </w:r>
          </w:p>
        </w:tc>
        <w:tc>
          <w:tcPr>
            <w:tcW w:w="2222" w:type="pct"/>
            <w:tcBorders>
              <w:left w:val="single" w:sz="12" w:space="0" w:color="auto"/>
              <w:bottom w:val="single" w:sz="12" w:space="0" w:color="auto"/>
              <w:right w:val="single" w:sz="12" w:space="0" w:color="auto"/>
            </w:tcBorders>
            <w:shd w:val="clear" w:color="auto" w:fill="E1E2E7" w:themeFill="background2"/>
          </w:tcPr>
          <w:p w14:paraId="1BB7E223" w14:textId="77777777" w:rsidR="0022099B" w:rsidRDefault="0022099B" w:rsidP="0022099B">
            <w:pPr>
              <w:pStyle w:val="Default"/>
              <w:widowControl w:val="0"/>
              <w:spacing w:before="20" w:after="20" w:line="252" w:lineRule="auto"/>
              <w:jc w:val="center"/>
              <w:rPr>
                <w:b/>
                <w:sz w:val="17"/>
                <w:szCs w:val="17"/>
              </w:rPr>
            </w:pPr>
            <w:r>
              <w:rPr>
                <w:b/>
                <w:sz w:val="17"/>
                <w:szCs w:val="17"/>
              </w:rPr>
              <w:t>Impact on dynamic efficiency uncertain, but more de-contracting likely than for contractually congested pipelines</w:t>
            </w:r>
          </w:p>
          <w:p w14:paraId="63A0085A" w14:textId="2C929934" w:rsidR="00390560" w:rsidRDefault="00390560" w:rsidP="001404DD">
            <w:pPr>
              <w:pStyle w:val="TableBodyText"/>
              <w:widowControl w:val="0"/>
              <w:spacing w:before="20" w:after="20" w:line="252" w:lineRule="auto"/>
              <w:rPr>
                <w:sz w:val="17"/>
                <w:szCs w:val="17"/>
              </w:rPr>
            </w:pPr>
            <w:r w:rsidRPr="001404DD">
              <w:rPr>
                <w:sz w:val="17"/>
                <w:szCs w:val="17"/>
              </w:rPr>
              <w:t xml:space="preserve">In this case, firm capacity holders are </w:t>
            </w:r>
            <w:r w:rsidR="005C1816" w:rsidRPr="001404DD">
              <w:rPr>
                <w:sz w:val="17"/>
                <w:szCs w:val="17"/>
              </w:rPr>
              <w:t xml:space="preserve">more </w:t>
            </w:r>
            <w:r w:rsidRPr="001404DD">
              <w:rPr>
                <w:sz w:val="17"/>
                <w:szCs w:val="17"/>
              </w:rPr>
              <w:t xml:space="preserve">likely to </w:t>
            </w:r>
            <w:r w:rsidR="005C1816" w:rsidRPr="001404DD">
              <w:rPr>
                <w:sz w:val="17"/>
                <w:szCs w:val="17"/>
              </w:rPr>
              <w:t>de-contract than they are under the contractual-physical congestion scenario</w:t>
            </w:r>
            <w:r w:rsidRPr="001404DD">
              <w:rPr>
                <w:sz w:val="17"/>
                <w:szCs w:val="17"/>
              </w:rPr>
              <w:t xml:space="preserve">, </w:t>
            </w:r>
            <w:r w:rsidR="005C1816" w:rsidRPr="001404DD">
              <w:rPr>
                <w:sz w:val="17"/>
                <w:szCs w:val="17"/>
              </w:rPr>
              <w:t xml:space="preserve">because they </w:t>
            </w:r>
            <w:r w:rsidRPr="001404DD">
              <w:rPr>
                <w:sz w:val="17"/>
                <w:szCs w:val="17"/>
              </w:rPr>
              <w:t>know that cheaper capacity is likely to be available</w:t>
            </w:r>
            <w:r w:rsidR="005C1816" w:rsidRPr="001404DD">
              <w:rPr>
                <w:sz w:val="17"/>
                <w:szCs w:val="17"/>
              </w:rPr>
              <w:t xml:space="preserve"> through the auction and that on </w:t>
            </w:r>
            <w:r w:rsidRPr="001404DD">
              <w:rPr>
                <w:sz w:val="17"/>
                <w:szCs w:val="17"/>
              </w:rPr>
              <w:t xml:space="preserve">days on which auction demand is very high, they could still buy </w:t>
            </w:r>
            <w:r w:rsidR="007C2F20">
              <w:rPr>
                <w:sz w:val="17"/>
                <w:szCs w:val="17"/>
              </w:rPr>
              <w:t>spare primary</w:t>
            </w:r>
            <w:r w:rsidRPr="001404DD">
              <w:rPr>
                <w:sz w:val="17"/>
                <w:szCs w:val="17"/>
              </w:rPr>
              <w:t xml:space="preserve"> capacity from </w:t>
            </w:r>
            <w:r w:rsidR="005C1816" w:rsidRPr="001404DD">
              <w:rPr>
                <w:sz w:val="17"/>
                <w:szCs w:val="17"/>
              </w:rPr>
              <w:t xml:space="preserve">service providers. The </w:t>
            </w:r>
            <w:r w:rsidRPr="001404DD">
              <w:rPr>
                <w:sz w:val="17"/>
                <w:szCs w:val="17"/>
              </w:rPr>
              <w:t xml:space="preserve">risk of ending up without capacity is therefore lower </w:t>
            </w:r>
            <w:r w:rsidR="005C1816" w:rsidRPr="001404DD">
              <w:rPr>
                <w:sz w:val="17"/>
                <w:szCs w:val="17"/>
              </w:rPr>
              <w:t>in this case than the contractual-physical congestion scenario</w:t>
            </w:r>
            <w:r w:rsidRPr="001404DD">
              <w:rPr>
                <w:sz w:val="17"/>
                <w:szCs w:val="17"/>
              </w:rPr>
              <w:t>.</w:t>
            </w:r>
          </w:p>
          <w:p w14:paraId="0F0C1F49" w14:textId="77777777" w:rsidR="007C2F20" w:rsidRPr="001404DD" w:rsidRDefault="007C2F20" w:rsidP="001404DD">
            <w:pPr>
              <w:pStyle w:val="TableBodyText"/>
              <w:widowControl w:val="0"/>
              <w:spacing w:before="20" w:after="20" w:line="252" w:lineRule="auto"/>
              <w:rPr>
                <w:sz w:val="17"/>
                <w:szCs w:val="17"/>
              </w:rPr>
            </w:pPr>
          </w:p>
          <w:p w14:paraId="4A4481BF" w14:textId="4ED5A994" w:rsidR="00E3030C" w:rsidRPr="001404DD" w:rsidRDefault="005C1816" w:rsidP="001404DD">
            <w:pPr>
              <w:pStyle w:val="TableBodyText"/>
              <w:widowControl w:val="0"/>
              <w:spacing w:before="20" w:after="20" w:line="252" w:lineRule="auto"/>
              <w:rPr>
                <w:sz w:val="17"/>
                <w:szCs w:val="17"/>
              </w:rPr>
            </w:pPr>
            <w:r w:rsidRPr="001404DD">
              <w:rPr>
                <w:sz w:val="17"/>
                <w:szCs w:val="17"/>
              </w:rPr>
              <w:t>The impact of de-contracting on dynamic efficiency will depend on whether the lower revenues received by service providers result in less pipeline development and, if so, whether less pipeline development is efficient or not. By definition, contractually uncongested pipelines have a lower share of long-term contracts to start with. Further reductions due to de-contracting are more likely to be dynamically inefficient than under the contractual-physical congestion scenario.</w:t>
            </w:r>
            <w:r w:rsidR="006B7AC6">
              <w:rPr>
                <w:sz w:val="17"/>
                <w:szCs w:val="17"/>
              </w:rPr>
              <w:t xml:space="preserve"> </w:t>
            </w:r>
          </w:p>
        </w:tc>
      </w:tr>
    </w:tbl>
    <w:p w14:paraId="2004F7F2" w14:textId="77777777" w:rsidR="00E3030C" w:rsidRDefault="00E3030C" w:rsidP="00634483">
      <w:pPr>
        <w:pStyle w:val="BodyText"/>
        <w:sectPr w:rsidR="00E3030C" w:rsidSect="00E3030C">
          <w:pgSz w:w="16839" w:h="11907" w:orient="landscape" w:code="9"/>
          <w:pgMar w:top="1361" w:right="1418" w:bottom="992" w:left="1701" w:header="567" w:footer="397" w:gutter="0"/>
          <w:cols w:space="708"/>
          <w:docGrid w:linePitch="360"/>
        </w:sectPr>
      </w:pPr>
    </w:p>
    <w:p w14:paraId="5A7B24A8" w14:textId="36AA30B0" w:rsidR="000E6A17" w:rsidRDefault="000E6A17" w:rsidP="000E6A17">
      <w:pPr>
        <w:pStyle w:val="BodyText"/>
        <w:spacing w:before="60" w:after="60"/>
      </w:pPr>
      <w:r>
        <w:t xml:space="preserve">As </w:t>
      </w:r>
      <w:r w:rsidR="00B63D8F" w:rsidRPr="000E6A17">
        <w:fldChar w:fldCharType="begin"/>
      </w:r>
      <w:r w:rsidR="00B63D8F" w:rsidRPr="000E6A17">
        <w:instrText xml:space="preserve"> REF _Ref494877862 \h </w:instrText>
      </w:r>
      <w:r w:rsidR="00B63D8F">
        <w:instrText xml:space="preserve"> \* MERGEFORMAT </w:instrText>
      </w:r>
      <w:r w:rsidR="00B63D8F" w:rsidRPr="000E6A17">
        <w:fldChar w:fldCharType="separate"/>
      </w:r>
      <w:r w:rsidR="00272B32">
        <w:t xml:space="preserve">Table </w:t>
      </w:r>
      <w:r w:rsidR="00272B32">
        <w:rPr>
          <w:noProof/>
        </w:rPr>
        <w:t>5.1</w:t>
      </w:r>
      <w:r w:rsidR="00B63D8F" w:rsidRPr="000E6A17">
        <w:fldChar w:fldCharType="end"/>
      </w:r>
      <w:r w:rsidR="00B63D8F">
        <w:t xml:space="preserve"> </w:t>
      </w:r>
      <w:r>
        <w:t xml:space="preserve">shows, the application of the auction to: </w:t>
      </w:r>
    </w:p>
    <w:p w14:paraId="413A2B81" w14:textId="2B7F1171" w:rsidR="000E6A17" w:rsidRDefault="000E6A17" w:rsidP="00827750">
      <w:pPr>
        <w:pStyle w:val="ListBullet"/>
        <w:numPr>
          <w:ilvl w:val="0"/>
          <w:numId w:val="38"/>
        </w:numPr>
        <w:spacing w:before="60" w:after="60"/>
        <w:ind w:left="357" w:hanging="357"/>
      </w:pPr>
      <w:r>
        <w:t>physically uncongested pipelines is expected to result in an increase in allocative efficiency</w:t>
      </w:r>
      <w:r w:rsidR="007C2F20">
        <w:t xml:space="preserve">, but </w:t>
      </w:r>
      <w:r>
        <w:t>it is unclear whether those gains are larger for contractually congested pipelines (bottom left corner of the table) or contractually uncongested pipelines (bottom right corner of the table).</w:t>
      </w:r>
      <w:r>
        <w:rPr>
          <w:rStyle w:val="FootnoteReference"/>
        </w:rPr>
        <w:footnoteReference w:id="73"/>
      </w:r>
      <w:r>
        <w:t xml:space="preserve">  </w:t>
      </w:r>
    </w:p>
    <w:p w14:paraId="10EC7872" w14:textId="77777777" w:rsidR="000E6A17" w:rsidRDefault="000E6A17" w:rsidP="00827750">
      <w:pPr>
        <w:pStyle w:val="ListBullet"/>
        <w:numPr>
          <w:ilvl w:val="0"/>
          <w:numId w:val="38"/>
        </w:numPr>
        <w:spacing w:before="60" w:after="60"/>
        <w:ind w:left="357" w:hanging="357"/>
      </w:pPr>
      <w:r>
        <w:t>contractually and physically uncongested pipelines (bottom right corner of table) may carry a greater risk of de-contracting; and</w:t>
      </w:r>
    </w:p>
    <w:p w14:paraId="55813E9D" w14:textId="77777777" w:rsidR="000E6A17" w:rsidRDefault="000E6A17" w:rsidP="00827750">
      <w:pPr>
        <w:pStyle w:val="ListBullet"/>
        <w:numPr>
          <w:ilvl w:val="0"/>
          <w:numId w:val="38"/>
        </w:numPr>
        <w:spacing w:before="60" w:after="60"/>
        <w:ind w:left="357" w:hanging="357"/>
      </w:pPr>
      <w:proofErr w:type="gramStart"/>
      <w:r>
        <w:t>contractually</w:t>
      </w:r>
      <w:proofErr w:type="gramEnd"/>
      <w:r>
        <w:t xml:space="preserve"> and physically congested pipelines (top left corner of table) is expected to have no effect on allocative or dynamic efficiency. </w:t>
      </w:r>
    </w:p>
    <w:p w14:paraId="14011000" w14:textId="42ABD7C3" w:rsidR="00E8303C" w:rsidRPr="000E6A17" w:rsidRDefault="00E8303C" w:rsidP="000E6A17">
      <w:pPr>
        <w:pStyle w:val="BodyText"/>
      </w:pPr>
      <w:r>
        <w:t xml:space="preserve">In relation to the dynamic efficiency effects, NERA noted that the introduction of the auction </w:t>
      </w:r>
      <w:r w:rsidRPr="000E6A17">
        <w:t xml:space="preserve">could result in de-contracting on both contractually congested and uncongested pipelines, but the extent to which this occurs will depend on: </w:t>
      </w:r>
    </w:p>
    <w:p w14:paraId="613CB200" w14:textId="50A51DE2" w:rsidR="00E8303C" w:rsidRDefault="00E8303C" w:rsidP="00E8303C">
      <w:pPr>
        <w:pStyle w:val="ListBullet"/>
      </w:pPr>
      <w:r>
        <w:t>shippers’ collective preference for firm capacity and the lower priority products sold in the auction;</w:t>
      </w:r>
    </w:p>
    <w:p w14:paraId="5E412795" w14:textId="77777777" w:rsidR="00E8303C" w:rsidRDefault="00E8303C" w:rsidP="00E8303C">
      <w:pPr>
        <w:pStyle w:val="ListBullet"/>
      </w:pPr>
      <w:r>
        <w:t xml:space="preserve">the probability of obtaining capacity in those auctions; and </w:t>
      </w:r>
    </w:p>
    <w:p w14:paraId="25BD2CD1" w14:textId="77777777" w:rsidR="00E8303C" w:rsidRDefault="00E8303C" w:rsidP="00E8303C">
      <w:pPr>
        <w:pStyle w:val="ListBullet"/>
      </w:pPr>
      <w:proofErr w:type="gramStart"/>
      <w:r>
        <w:t>the</w:t>
      </w:r>
      <w:proofErr w:type="gramEnd"/>
      <w:r>
        <w:t xml:space="preserve"> clearing prices of those auctions. </w:t>
      </w:r>
    </w:p>
    <w:p w14:paraId="13DAAA12" w14:textId="628BCE3C" w:rsidR="00E8303C" w:rsidRDefault="00E8303C" w:rsidP="00E8303C">
      <w:pPr>
        <w:pStyle w:val="BodyText"/>
      </w:pPr>
      <w:r>
        <w:rPr>
          <w:sz w:val="23"/>
          <w:szCs w:val="23"/>
        </w:rPr>
        <w:t xml:space="preserve">NERA also noted that de-contracting from current levels may be efficient if it prevents or reduces overinvestment in capacity, or inefficient if it stimulates under-investment in pipelines. NERA went on to add that if de-contracting is of particular concern for contractually uncongested pipelines, there may be benefits from exempting these pipelines from the auction requirement, but otherwise, </w:t>
      </w:r>
      <w:r w:rsidR="007878CF">
        <w:rPr>
          <w:sz w:val="23"/>
          <w:szCs w:val="23"/>
        </w:rPr>
        <w:t xml:space="preserve">given the inconclusive nature of the findings, </w:t>
      </w:r>
      <w:r>
        <w:rPr>
          <w:sz w:val="23"/>
          <w:szCs w:val="23"/>
        </w:rPr>
        <w:t>dynamic efficiency does not provide a basis for excluding these pipelines.</w:t>
      </w:r>
    </w:p>
    <w:p w14:paraId="4F63FC76" w14:textId="25AB4E87" w:rsidR="00747052" w:rsidRPr="00B31E8E" w:rsidRDefault="00747052" w:rsidP="00634483">
      <w:pPr>
        <w:pStyle w:val="BodyText"/>
      </w:pPr>
      <w:r w:rsidRPr="00B31E8E">
        <w:t xml:space="preserve">In addition to considering the </w:t>
      </w:r>
      <w:r w:rsidR="00B63D8F">
        <w:t xml:space="preserve">expected </w:t>
      </w:r>
      <w:r w:rsidRPr="00B31E8E">
        <w:t xml:space="preserve">efficiency effects, NERA also considered the effect that the exemption of some pipelines from the auction may have on: </w:t>
      </w:r>
    </w:p>
    <w:p w14:paraId="0760DA20" w14:textId="1DD658D1" w:rsidR="00747052" w:rsidRPr="00B31E8E" w:rsidRDefault="007878CF" w:rsidP="00B31E8E">
      <w:pPr>
        <w:pStyle w:val="ListBullet"/>
      </w:pPr>
      <w:r>
        <w:rPr>
          <w:b/>
        </w:rPr>
        <w:t>The e</w:t>
      </w:r>
      <w:r w:rsidR="00E8303C">
        <w:rPr>
          <w:b/>
        </w:rPr>
        <w:t xml:space="preserve">fficiency of the </w:t>
      </w:r>
      <w:r w:rsidR="00747052" w:rsidRPr="00B31E8E">
        <w:rPr>
          <w:b/>
        </w:rPr>
        <w:t>auction</w:t>
      </w:r>
      <w:r w:rsidR="00E8303C">
        <w:rPr>
          <w:b/>
        </w:rPr>
        <w:t xml:space="preserve">: </w:t>
      </w:r>
      <w:r w:rsidR="00747052" w:rsidRPr="00B31E8E">
        <w:t>NERA noted that exempting pipelines from the auction may increase</w:t>
      </w:r>
      <w:r w:rsidR="00E8303C">
        <w:t>,</w:t>
      </w:r>
      <w:r w:rsidR="00747052" w:rsidRPr="00B31E8E">
        <w:t xml:space="preserve"> rather than reduce</w:t>
      </w:r>
      <w:r w:rsidR="00E8303C">
        <w:t>,</w:t>
      </w:r>
      <w:r w:rsidR="00747052" w:rsidRPr="00B31E8E">
        <w:t xml:space="preserve"> overall costs because if shippers </w:t>
      </w:r>
      <w:r w:rsidR="00B31E8E" w:rsidRPr="00B31E8E">
        <w:t xml:space="preserve">want to </w:t>
      </w:r>
      <w:r w:rsidR="00747052" w:rsidRPr="00B31E8E">
        <w:t>transport gas across multiple pipelines</w:t>
      </w:r>
      <w:r w:rsidR="00E8303C">
        <w:t>,</w:t>
      </w:r>
      <w:r w:rsidR="00747052" w:rsidRPr="00B31E8E">
        <w:t xml:space="preserve"> the exclusion of some pipelines </w:t>
      </w:r>
      <w:r w:rsidR="00B31E8E" w:rsidRPr="00B31E8E">
        <w:t xml:space="preserve">in this route </w:t>
      </w:r>
      <w:r w:rsidR="00747052" w:rsidRPr="00B31E8E">
        <w:t>may undermine the realisation of potential efficiency gains</w:t>
      </w:r>
      <w:r w:rsidR="00C36B6B">
        <w:t>. The impact on the efficiency of the auction will be commensurately larger, the greater the extent to which shippers rely on bundled pipeline segments in the auction.</w:t>
      </w:r>
    </w:p>
    <w:p w14:paraId="4E333178" w14:textId="6126AA3A" w:rsidR="00B31E8E" w:rsidRDefault="007878CF" w:rsidP="00B31E8E">
      <w:pPr>
        <w:pStyle w:val="ListBullet"/>
      </w:pPr>
      <w:r>
        <w:rPr>
          <w:b/>
        </w:rPr>
        <w:t>M</w:t>
      </w:r>
      <w:r w:rsidR="00E8303C">
        <w:rPr>
          <w:b/>
        </w:rPr>
        <w:t>onitoring and other costs</w:t>
      </w:r>
      <w:r w:rsidR="00B31E8E">
        <w:rPr>
          <w:b/>
        </w:rPr>
        <w:t>:</w:t>
      </w:r>
      <w:r w:rsidR="00B31E8E" w:rsidRPr="00B31E8E">
        <w:t xml:space="preserve"> NERA noted that the cost of monitoring the congestion status </w:t>
      </w:r>
      <w:r w:rsidR="00E8303C">
        <w:t xml:space="preserve">of pipelines </w:t>
      </w:r>
      <w:r w:rsidR="00B31E8E" w:rsidRPr="00B31E8E">
        <w:t xml:space="preserve">and </w:t>
      </w:r>
      <w:r w:rsidR="00E8303C">
        <w:t xml:space="preserve">costs associated with </w:t>
      </w:r>
      <w:r w:rsidR="00B31E8E" w:rsidRPr="00B31E8E">
        <w:t xml:space="preserve">pipelines </w:t>
      </w:r>
      <w:r w:rsidR="009A057E">
        <w:t xml:space="preserve">moving into and out of the </w:t>
      </w:r>
      <w:r w:rsidR="00B31E8E" w:rsidRPr="00B31E8E">
        <w:t xml:space="preserve">auction </w:t>
      </w:r>
      <w:r w:rsidR="00E8303C">
        <w:t xml:space="preserve">over time </w:t>
      </w:r>
      <w:r w:rsidR="009A057E">
        <w:t xml:space="preserve">as contractual congestion levels change </w:t>
      </w:r>
      <w:r w:rsidR="00B31E8E" w:rsidRPr="00B31E8E">
        <w:t xml:space="preserve">may be high relative to the cost savings from exempting certain pipelines from the auction. </w:t>
      </w:r>
    </w:p>
    <w:p w14:paraId="4F369E4C" w14:textId="15D34AF7" w:rsidR="00E452A3" w:rsidRPr="00E452A3" w:rsidRDefault="00E452A3" w:rsidP="00E452A3">
      <w:pPr>
        <w:pStyle w:val="Heading2"/>
      </w:pPr>
      <w:bookmarkStart w:id="129" w:name="_Toc495351649"/>
      <w:r w:rsidRPr="00E452A3">
        <w:t xml:space="preserve">Pipelines that would be subject to the auction if </w:t>
      </w:r>
      <w:r>
        <w:t xml:space="preserve">it is </w:t>
      </w:r>
      <w:r w:rsidRPr="00E452A3">
        <w:t>limited to contractually congested pipelines</w:t>
      </w:r>
      <w:bookmarkEnd w:id="129"/>
      <w:r w:rsidRPr="00E452A3">
        <w:t xml:space="preserve"> </w:t>
      </w:r>
    </w:p>
    <w:p w14:paraId="4DEB10F1" w14:textId="4DCF030A" w:rsidR="00E452A3" w:rsidRDefault="00E452A3" w:rsidP="00EF389B">
      <w:pPr>
        <w:pStyle w:val="BodyText"/>
      </w:pPr>
      <w:r w:rsidRPr="00E452A3">
        <w:rPr>
          <w:rFonts w:asciiTheme="majorHAnsi" w:hAnsiTheme="majorHAnsi" w:cstheme="majorHAnsi"/>
        </w:rPr>
        <w:fldChar w:fldCharType="begin"/>
      </w:r>
      <w:r w:rsidRPr="00E452A3">
        <w:rPr>
          <w:rFonts w:asciiTheme="majorHAnsi" w:hAnsiTheme="majorHAnsi" w:cstheme="majorHAnsi"/>
        </w:rPr>
        <w:instrText xml:space="preserve"> REF _Ref494884715 \h  \* MERGEFORMAT </w:instrText>
      </w:r>
      <w:r w:rsidRPr="00E452A3">
        <w:rPr>
          <w:rFonts w:asciiTheme="majorHAnsi" w:hAnsiTheme="majorHAnsi" w:cstheme="majorHAnsi"/>
        </w:rPr>
      </w:r>
      <w:r w:rsidRPr="00E452A3">
        <w:rPr>
          <w:rFonts w:asciiTheme="majorHAnsi" w:hAnsiTheme="majorHAnsi" w:cstheme="majorHAnsi"/>
        </w:rPr>
        <w:fldChar w:fldCharType="separate"/>
      </w:r>
      <w:r w:rsidR="00272B32" w:rsidRPr="00272B32">
        <w:rPr>
          <w:rFonts w:asciiTheme="majorHAnsi" w:hAnsiTheme="majorHAnsi" w:cstheme="majorHAnsi"/>
        </w:rPr>
        <w:t xml:space="preserve">Table </w:t>
      </w:r>
      <w:r w:rsidR="00272B32" w:rsidRPr="00272B32">
        <w:rPr>
          <w:rFonts w:asciiTheme="majorHAnsi" w:hAnsiTheme="majorHAnsi" w:cstheme="majorHAnsi"/>
          <w:noProof/>
        </w:rPr>
        <w:t>5.2</w:t>
      </w:r>
      <w:r w:rsidRPr="00E452A3">
        <w:rPr>
          <w:rFonts w:asciiTheme="majorHAnsi" w:hAnsiTheme="majorHAnsi" w:cstheme="majorHAnsi"/>
        </w:rPr>
        <w:fldChar w:fldCharType="end"/>
      </w:r>
      <w:r w:rsidRPr="00E452A3">
        <w:rPr>
          <w:rFonts w:asciiTheme="majorHAnsi" w:hAnsiTheme="majorHAnsi" w:cstheme="majorHAnsi"/>
        </w:rPr>
        <w:t xml:space="preserve"> sets out the capacity and current levels of contractual congestion on all the major pipelines in the east coast that are currently subject to BB reporting obligations. </w:t>
      </w:r>
      <w:r w:rsidR="00B63D8F">
        <w:rPr>
          <w:rFonts w:asciiTheme="majorHAnsi" w:hAnsiTheme="majorHAnsi" w:cstheme="majorHAnsi"/>
        </w:rPr>
        <w:t xml:space="preserve">A map </w:t>
      </w:r>
      <w:r w:rsidR="007878CF">
        <w:rPr>
          <w:rFonts w:asciiTheme="majorHAnsi" w:hAnsiTheme="majorHAnsi" w:cstheme="majorHAnsi"/>
        </w:rPr>
        <w:t>showing</w:t>
      </w:r>
      <w:r w:rsidR="00B63D8F">
        <w:rPr>
          <w:rFonts w:asciiTheme="majorHAnsi" w:hAnsiTheme="majorHAnsi" w:cstheme="majorHAnsi"/>
        </w:rPr>
        <w:t xml:space="preserve"> the location of these pipelines </w:t>
      </w:r>
      <w:r w:rsidR="00792B70">
        <w:rPr>
          <w:rFonts w:asciiTheme="majorHAnsi" w:hAnsiTheme="majorHAnsi" w:cstheme="majorHAnsi"/>
        </w:rPr>
        <w:t>can be found in Appendix E.</w:t>
      </w:r>
    </w:p>
    <w:p w14:paraId="4DF5D76D" w14:textId="7119C6D1" w:rsidR="00E452A3" w:rsidRPr="00EF389B" w:rsidRDefault="00E452A3" w:rsidP="00E452A3">
      <w:pPr>
        <w:pStyle w:val="Caption"/>
        <w:spacing w:after="0"/>
      </w:pPr>
      <w:bookmarkStart w:id="130" w:name="_Ref494884715"/>
      <w:r w:rsidRPr="00EF389B">
        <w:t xml:space="preserve">Table </w:t>
      </w:r>
      <w:r w:rsidR="00115A93">
        <w:fldChar w:fldCharType="begin"/>
      </w:r>
      <w:r w:rsidR="00115A93">
        <w:instrText xml:space="preserve"> STYLEREF 1 \s </w:instrText>
      </w:r>
      <w:r w:rsidR="00115A93">
        <w:fldChar w:fldCharType="separate"/>
      </w:r>
      <w:r w:rsidR="00272B32">
        <w:rPr>
          <w:noProof/>
        </w:rPr>
        <w:t>5</w:t>
      </w:r>
      <w:r w:rsidR="00115A93">
        <w:rPr>
          <w:noProof/>
        </w:rPr>
        <w:fldChar w:fldCharType="end"/>
      </w:r>
      <w:r w:rsidRPr="00EF389B">
        <w:t>.</w:t>
      </w:r>
      <w:r w:rsidR="00115A93">
        <w:fldChar w:fldCharType="begin"/>
      </w:r>
      <w:r w:rsidR="00115A93">
        <w:instrText xml:space="preserve"> SEQ Table \* ARABIC \s 1 </w:instrText>
      </w:r>
      <w:r w:rsidR="00115A93">
        <w:fldChar w:fldCharType="separate"/>
      </w:r>
      <w:r w:rsidR="00272B32">
        <w:rPr>
          <w:noProof/>
        </w:rPr>
        <w:t>2</w:t>
      </w:r>
      <w:r w:rsidR="00115A93">
        <w:rPr>
          <w:noProof/>
        </w:rPr>
        <w:fldChar w:fldCharType="end"/>
      </w:r>
      <w:bookmarkEnd w:id="130"/>
      <w:r w:rsidR="003949FF">
        <w:t>: Contracted c</w:t>
      </w:r>
      <w:r w:rsidRPr="00EF389B">
        <w:t xml:space="preserve">ongestion (measured </w:t>
      </w:r>
      <w:proofErr w:type="gramStart"/>
      <w:r w:rsidRPr="00EF389B">
        <w:t>between Sep 2017 – Aug 2018</w:t>
      </w:r>
      <w:proofErr w:type="gramEnd"/>
      <w:r w:rsidRPr="00EF389B">
        <w:t>)</w:t>
      </w:r>
    </w:p>
    <w:tbl>
      <w:tblPr>
        <w:tblStyle w:val="TableGrid"/>
        <w:tblW w:w="4763" w:type="pct"/>
        <w:tblLayout w:type="fixed"/>
        <w:tblLook w:val="0420" w:firstRow="1" w:lastRow="0" w:firstColumn="0" w:lastColumn="0" w:noHBand="0" w:noVBand="1"/>
        <w:tblCaption w:val="Table 5.2: Contracted congestion (measured between Sep 2017 – Aug 2018)Table 5.2: Contracted congestion (measured between Sep 2017 – Aug 2018)"/>
        <w:tblDescription w:val="Contracted congestion (measured between Sep 2017 – Aug 2018)"/>
      </w:tblPr>
      <w:tblGrid>
        <w:gridCol w:w="1843"/>
        <w:gridCol w:w="1637"/>
        <w:gridCol w:w="1194"/>
        <w:gridCol w:w="1194"/>
        <w:gridCol w:w="794"/>
        <w:gridCol w:w="850"/>
        <w:gridCol w:w="859"/>
      </w:tblGrid>
      <w:tr w:rsidR="00792B70" w:rsidRPr="00792B70" w14:paraId="62C9282D" w14:textId="77777777" w:rsidTr="00792B70">
        <w:trPr>
          <w:cnfStyle w:val="100000000000" w:firstRow="1" w:lastRow="0" w:firstColumn="0" w:lastColumn="0" w:oddVBand="0" w:evenVBand="0" w:oddHBand="0" w:evenHBand="0" w:firstRowFirstColumn="0" w:firstRowLastColumn="0" w:lastRowFirstColumn="0" w:lastRowLastColumn="0"/>
          <w:cantSplit/>
          <w:tblHeader/>
        </w:trPr>
        <w:tc>
          <w:tcPr>
            <w:tcW w:w="1101" w:type="pct"/>
            <w:vMerge w:val="restart"/>
            <w:shd w:val="clear" w:color="auto" w:fill="0099CC"/>
            <w:vAlign w:val="bottom"/>
          </w:tcPr>
          <w:p w14:paraId="211D304F" w14:textId="08B3F93E" w:rsidR="00792B70" w:rsidRPr="00792B70" w:rsidRDefault="00792B70" w:rsidP="00E452A3">
            <w:pPr>
              <w:pStyle w:val="TableHeading"/>
              <w:keepNext/>
              <w:spacing w:before="40" w:after="40"/>
              <w:rPr>
                <w:sz w:val="17"/>
                <w:szCs w:val="17"/>
                <w:lang w:eastAsia="fr-CA"/>
              </w:rPr>
            </w:pPr>
            <w:r w:rsidRPr="00792B70">
              <w:rPr>
                <w:sz w:val="17"/>
                <w:szCs w:val="17"/>
                <w:lang w:eastAsia="fr-CA"/>
              </w:rPr>
              <w:t>Pipeline</w:t>
            </w:r>
          </w:p>
        </w:tc>
        <w:tc>
          <w:tcPr>
            <w:tcW w:w="978" w:type="pct"/>
            <w:vMerge w:val="restart"/>
            <w:shd w:val="clear" w:color="auto" w:fill="0099CC"/>
            <w:vAlign w:val="bottom"/>
          </w:tcPr>
          <w:p w14:paraId="77D30AF5" w14:textId="1F378D92" w:rsidR="00792B70" w:rsidRPr="00792B70" w:rsidRDefault="00792B70" w:rsidP="00E452A3">
            <w:pPr>
              <w:pStyle w:val="TableHeading"/>
              <w:keepNext/>
              <w:spacing w:before="40" w:after="40"/>
              <w:rPr>
                <w:sz w:val="17"/>
                <w:szCs w:val="17"/>
                <w:lang w:eastAsia="fr-CA"/>
              </w:rPr>
            </w:pPr>
            <w:r w:rsidRPr="00792B70">
              <w:rPr>
                <w:sz w:val="17"/>
                <w:szCs w:val="17"/>
                <w:lang w:eastAsia="fr-CA"/>
              </w:rPr>
              <w:t>Flow Direction</w:t>
            </w:r>
          </w:p>
        </w:tc>
        <w:tc>
          <w:tcPr>
            <w:tcW w:w="713" w:type="pct"/>
            <w:vMerge w:val="restart"/>
            <w:shd w:val="clear" w:color="auto" w:fill="0099CC"/>
            <w:vAlign w:val="bottom"/>
          </w:tcPr>
          <w:p w14:paraId="7658450C" w14:textId="4A7BAB8D" w:rsidR="00792B70" w:rsidRPr="00792B70" w:rsidRDefault="00792B70" w:rsidP="00E452A3">
            <w:pPr>
              <w:pStyle w:val="TableHeading"/>
              <w:keepNext/>
              <w:spacing w:before="40" w:after="40"/>
              <w:jc w:val="center"/>
              <w:rPr>
                <w:sz w:val="17"/>
                <w:szCs w:val="17"/>
                <w:lang w:eastAsia="fr-CA"/>
              </w:rPr>
            </w:pPr>
            <w:r w:rsidRPr="00792B70">
              <w:rPr>
                <w:sz w:val="17"/>
                <w:szCs w:val="17"/>
                <w:lang w:eastAsia="fr-CA"/>
              </w:rPr>
              <w:t>Capacity (TJ/d)</w:t>
            </w:r>
          </w:p>
        </w:tc>
        <w:tc>
          <w:tcPr>
            <w:tcW w:w="713" w:type="pct"/>
            <w:vMerge w:val="restart"/>
            <w:shd w:val="clear" w:color="auto" w:fill="0099CC"/>
            <w:vAlign w:val="bottom"/>
          </w:tcPr>
          <w:p w14:paraId="335DDADE" w14:textId="62EA6131" w:rsidR="00792B70" w:rsidRPr="00792B70" w:rsidRDefault="00792B70" w:rsidP="00E452A3">
            <w:pPr>
              <w:pStyle w:val="TableHeading"/>
              <w:keepNext/>
              <w:spacing w:before="40" w:after="40"/>
              <w:jc w:val="center"/>
              <w:rPr>
                <w:sz w:val="17"/>
                <w:szCs w:val="17"/>
                <w:lang w:eastAsia="fr-CA"/>
              </w:rPr>
            </w:pPr>
            <w:r w:rsidRPr="00792B70">
              <w:rPr>
                <w:sz w:val="17"/>
                <w:szCs w:val="17"/>
                <w:lang w:eastAsia="fr-CA"/>
              </w:rPr>
              <w:t xml:space="preserve">% Contracted </w:t>
            </w:r>
            <w:r w:rsidRPr="00792B70">
              <w:rPr>
                <w:sz w:val="17"/>
                <w:szCs w:val="17"/>
                <w:lang w:eastAsia="fr-CA"/>
              </w:rPr>
              <w:br/>
              <w:t>(</w:t>
            </w:r>
            <w:proofErr w:type="spellStart"/>
            <w:r w:rsidRPr="00792B70">
              <w:rPr>
                <w:sz w:val="17"/>
                <w:szCs w:val="17"/>
                <w:lang w:eastAsia="fr-CA"/>
              </w:rPr>
              <w:t>Avg</w:t>
            </w:r>
            <w:proofErr w:type="spellEnd"/>
            <w:r w:rsidRPr="00792B70">
              <w:rPr>
                <w:sz w:val="17"/>
                <w:szCs w:val="17"/>
                <w:lang w:eastAsia="fr-CA"/>
              </w:rPr>
              <w:t xml:space="preserve"> Sep 17 – Aug 18)</w:t>
            </w:r>
          </w:p>
        </w:tc>
        <w:tc>
          <w:tcPr>
            <w:tcW w:w="1495" w:type="pct"/>
            <w:gridSpan w:val="3"/>
            <w:shd w:val="clear" w:color="auto" w:fill="0099CC"/>
            <w:vAlign w:val="bottom"/>
          </w:tcPr>
          <w:p w14:paraId="01563202" w14:textId="1A808702" w:rsidR="00792B70" w:rsidRPr="00792B70" w:rsidRDefault="00792B70" w:rsidP="00E452A3">
            <w:pPr>
              <w:pStyle w:val="TableHeading"/>
              <w:keepNext/>
              <w:spacing w:before="40" w:after="40"/>
              <w:jc w:val="center"/>
              <w:rPr>
                <w:sz w:val="17"/>
                <w:szCs w:val="17"/>
                <w:lang w:eastAsia="fr-CA"/>
              </w:rPr>
            </w:pPr>
            <w:r>
              <w:rPr>
                <w:sz w:val="17"/>
                <w:szCs w:val="17"/>
                <w:lang w:eastAsia="fr-CA"/>
              </w:rPr>
              <w:t>Level of contracting</w:t>
            </w:r>
          </w:p>
        </w:tc>
      </w:tr>
      <w:tr w:rsidR="00792B70" w:rsidRPr="00792B70" w14:paraId="69ABE5F4" w14:textId="77777777" w:rsidTr="00792B70">
        <w:trPr>
          <w:cnfStyle w:val="100000000000" w:firstRow="1" w:lastRow="0" w:firstColumn="0" w:lastColumn="0" w:oddVBand="0" w:evenVBand="0" w:oddHBand="0" w:evenHBand="0" w:firstRowFirstColumn="0" w:firstRowLastColumn="0" w:lastRowFirstColumn="0" w:lastRowLastColumn="0"/>
          <w:cantSplit/>
          <w:tblHeader/>
        </w:trPr>
        <w:tc>
          <w:tcPr>
            <w:tcW w:w="1101" w:type="pct"/>
            <w:vMerge/>
            <w:shd w:val="clear" w:color="auto" w:fill="0099CC"/>
            <w:vAlign w:val="bottom"/>
          </w:tcPr>
          <w:p w14:paraId="6B563D52" w14:textId="67642A34" w:rsidR="00792B70" w:rsidRPr="00792B70" w:rsidRDefault="00792B70" w:rsidP="00E452A3">
            <w:pPr>
              <w:pStyle w:val="TableHeading"/>
              <w:keepNext/>
              <w:spacing w:before="40" w:after="40"/>
              <w:rPr>
                <w:sz w:val="17"/>
                <w:szCs w:val="17"/>
                <w:lang w:eastAsia="fr-CA"/>
              </w:rPr>
            </w:pPr>
          </w:p>
        </w:tc>
        <w:tc>
          <w:tcPr>
            <w:tcW w:w="978" w:type="pct"/>
            <w:vMerge/>
            <w:shd w:val="clear" w:color="auto" w:fill="0099CC"/>
            <w:vAlign w:val="bottom"/>
          </w:tcPr>
          <w:p w14:paraId="667B72FD" w14:textId="4C98DBDD" w:rsidR="00792B70" w:rsidRPr="00792B70" w:rsidRDefault="00792B70" w:rsidP="00E452A3">
            <w:pPr>
              <w:pStyle w:val="TableHeading"/>
              <w:keepNext/>
              <w:spacing w:before="40" w:after="40"/>
              <w:rPr>
                <w:sz w:val="17"/>
                <w:szCs w:val="17"/>
                <w:lang w:eastAsia="fr-CA"/>
              </w:rPr>
            </w:pPr>
          </w:p>
        </w:tc>
        <w:tc>
          <w:tcPr>
            <w:tcW w:w="713" w:type="pct"/>
            <w:vMerge/>
            <w:shd w:val="clear" w:color="auto" w:fill="0099CC"/>
            <w:vAlign w:val="bottom"/>
          </w:tcPr>
          <w:p w14:paraId="28F74C06" w14:textId="5609A13E" w:rsidR="00792B70" w:rsidRPr="00792B70" w:rsidRDefault="00792B70" w:rsidP="00E452A3">
            <w:pPr>
              <w:pStyle w:val="TableHeading"/>
              <w:keepNext/>
              <w:spacing w:before="40" w:after="40"/>
              <w:jc w:val="center"/>
              <w:rPr>
                <w:sz w:val="17"/>
                <w:szCs w:val="17"/>
                <w:lang w:eastAsia="fr-CA"/>
              </w:rPr>
            </w:pPr>
          </w:p>
        </w:tc>
        <w:tc>
          <w:tcPr>
            <w:tcW w:w="713" w:type="pct"/>
            <w:vMerge/>
            <w:shd w:val="clear" w:color="auto" w:fill="0099CC"/>
            <w:vAlign w:val="bottom"/>
          </w:tcPr>
          <w:p w14:paraId="322C3C2D" w14:textId="1EEC1B92" w:rsidR="00792B70" w:rsidRPr="00792B70" w:rsidRDefault="00792B70" w:rsidP="00E452A3">
            <w:pPr>
              <w:pStyle w:val="TableHeading"/>
              <w:keepNext/>
              <w:spacing w:before="40" w:after="40"/>
              <w:jc w:val="center"/>
              <w:rPr>
                <w:sz w:val="17"/>
                <w:szCs w:val="17"/>
                <w:lang w:eastAsia="fr-CA"/>
              </w:rPr>
            </w:pPr>
          </w:p>
        </w:tc>
        <w:tc>
          <w:tcPr>
            <w:tcW w:w="474" w:type="pct"/>
            <w:shd w:val="clear" w:color="auto" w:fill="0099CC"/>
            <w:vAlign w:val="bottom"/>
          </w:tcPr>
          <w:p w14:paraId="660D5473" w14:textId="6458ED49" w:rsidR="00792B70" w:rsidRPr="00792B70" w:rsidRDefault="00792B70" w:rsidP="00E452A3">
            <w:pPr>
              <w:pStyle w:val="TableHeading"/>
              <w:keepNext/>
              <w:spacing w:before="40" w:after="40"/>
              <w:jc w:val="center"/>
              <w:rPr>
                <w:sz w:val="17"/>
                <w:szCs w:val="17"/>
                <w:lang w:eastAsia="fr-CA"/>
              </w:rPr>
            </w:pPr>
            <w:r w:rsidRPr="00792B70">
              <w:rPr>
                <w:sz w:val="17"/>
                <w:szCs w:val="17"/>
                <w:lang w:eastAsia="fr-CA"/>
              </w:rPr>
              <w:t xml:space="preserve">100% </w:t>
            </w:r>
          </w:p>
        </w:tc>
        <w:tc>
          <w:tcPr>
            <w:tcW w:w="508" w:type="pct"/>
            <w:shd w:val="clear" w:color="auto" w:fill="0099CC"/>
            <w:vAlign w:val="bottom"/>
          </w:tcPr>
          <w:p w14:paraId="286DB245" w14:textId="21768D07" w:rsidR="00792B70" w:rsidRPr="00792B70" w:rsidRDefault="00792B70" w:rsidP="00E452A3">
            <w:pPr>
              <w:pStyle w:val="TableHeading"/>
              <w:keepNext/>
              <w:spacing w:before="40" w:after="40"/>
              <w:jc w:val="center"/>
              <w:rPr>
                <w:sz w:val="17"/>
                <w:szCs w:val="17"/>
                <w:lang w:eastAsia="fr-CA"/>
              </w:rPr>
            </w:pPr>
            <w:r w:rsidRPr="00792B70">
              <w:rPr>
                <w:sz w:val="17"/>
                <w:szCs w:val="17"/>
                <w:lang w:eastAsia="fr-CA"/>
              </w:rPr>
              <w:t xml:space="preserve">More than 95% </w:t>
            </w:r>
          </w:p>
        </w:tc>
        <w:tc>
          <w:tcPr>
            <w:tcW w:w="513" w:type="pct"/>
            <w:shd w:val="clear" w:color="auto" w:fill="0099CC"/>
            <w:vAlign w:val="bottom"/>
          </w:tcPr>
          <w:p w14:paraId="135CC986" w14:textId="5F3CAE40" w:rsidR="00792B70" w:rsidRPr="00792B70" w:rsidRDefault="00792B70" w:rsidP="00E452A3">
            <w:pPr>
              <w:pStyle w:val="TableHeading"/>
              <w:keepNext/>
              <w:spacing w:before="40" w:after="40"/>
              <w:jc w:val="center"/>
              <w:rPr>
                <w:sz w:val="17"/>
                <w:szCs w:val="17"/>
                <w:lang w:eastAsia="fr-CA"/>
              </w:rPr>
            </w:pPr>
            <w:r w:rsidRPr="00792B70">
              <w:rPr>
                <w:sz w:val="17"/>
                <w:szCs w:val="17"/>
                <w:lang w:eastAsia="fr-CA"/>
              </w:rPr>
              <w:t xml:space="preserve">More than 90% </w:t>
            </w:r>
          </w:p>
        </w:tc>
      </w:tr>
      <w:tr w:rsidR="00792B70" w:rsidRPr="00792B70" w14:paraId="4E2F87CD" w14:textId="77777777" w:rsidTr="00792B70">
        <w:trPr>
          <w:cantSplit/>
        </w:trPr>
        <w:tc>
          <w:tcPr>
            <w:tcW w:w="5000" w:type="pct"/>
            <w:gridSpan w:val="7"/>
            <w:shd w:val="clear" w:color="auto" w:fill="65697F" w:themeFill="background2" w:themeFillShade="80"/>
          </w:tcPr>
          <w:p w14:paraId="15508CA0" w14:textId="7529CC9C" w:rsidR="00B63D8F" w:rsidRPr="00792B70" w:rsidRDefault="00B63D8F" w:rsidP="008F2E35">
            <w:pPr>
              <w:pStyle w:val="TableBodyText"/>
              <w:keepNext/>
              <w:spacing w:before="20" w:after="20"/>
              <w:jc w:val="center"/>
              <w:rPr>
                <w:b/>
                <w:color w:val="FFFFFF" w:themeColor="background1"/>
                <w:sz w:val="17"/>
                <w:szCs w:val="17"/>
              </w:rPr>
            </w:pPr>
            <w:r w:rsidRPr="00792B70">
              <w:rPr>
                <w:b/>
                <w:color w:val="FFFFFF" w:themeColor="background1"/>
                <w:sz w:val="17"/>
                <w:szCs w:val="17"/>
              </w:rPr>
              <w:t>Queensland LNG Pipelines</w:t>
            </w:r>
          </w:p>
        </w:tc>
      </w:tr>
      <w:tr w:rsidR="00792B70" w:rsidRPr="00792B70" w14:paraId="7617F017" w14:textId="77777777" w:rsidTr="00792B70">
        <w:trPr>
          <w:cnfStyle w:val="000000010000" w:firstRow="0" w:lastRow="0" w:firstColumn="0" w:lastColumn="0" w:oddVBand="0" w:evenVBand="0" w:oddHBand="0" w:evenHBand="1" w:firstRowFirstColumn="0" w:firstRowLastColumn="0" w:lastRowFirstColumn="0" w:lastRowLastColumn="0"/>
          <w:cantSplit/>
        </w:trPr>
        <w:tc>
          <w:tcPr>
            <w:tcW w:w="1101" w:type="pct"/>
          </w:tcPr>
          <w:p w14:paraId="02A1BE66" w14:textId="78D269C6" w:rsidR="00E452A3" w:rsidRPr="00792B70" w:rsidRDefault="00E452A3" w:rsidP="00E452A3">
            <w:pPr>
              <w:pStyle w:val="TableBodyText"/>
              <w:keepNext/>
              <w:spacing w:before="40" w:after="40"/>
              <w:rPr>
                <w:sz w:val="17"/>
                <w:szCs w:val="17"/>
                <w:highlight w:val="yellow"/>
                <w:lang w:eastAsia="fr-CA"/>
              </w:rPr>
            </w:pPr>
            <w:r w:rsidRPr="00792B70">
              <w:rPr>
                <w:sz w:val="17"/>
                <w:szCs w:val="17"/>
              </w:rPr>
              <w:t xml:space="preserve">APLNG </w:t>
            </w:r>
            <w:r w:rsidR="00792B70">
              <w:rPr>
                <w:sz w:val="17"/>
                <w:szCs w:val="17"/>
              </w:rPr>
              <w:t>Pipeline</w:t>
            </w:r>
          </w:p>
        </w:tc>
        <w:tc>
          <w:tcPr>
            <w:tcW w:w="978" w:type="pct"/>
          </w:tcPr>
          <w:p w14:paraId="12121318" w14:textId="77777777" w:rsidR="00E452A3" w:rsidRPr="00792B70" w:rsidRDefault="00E452A3" w:rsidP="00E452A3">
            <w:pPr>
              <w:pStyle w:val="TableBodyText"/>
              <w:keepNext/>
              <w:spacing w:before="40" w:after="40"/>
              <w:rPr>
                <w:sz w:val="17"/>
                <w:szCs w:val="17"/>
                <w:highlight w:val="yellow"/>
                <w:lang w:eastAsia="fr-CA"/>
              </w:rPr>
            </w:pPr>
            <w:r w:rsidRPr="00792B70">
              <w:rPr>
                <w:sz w:val="17"/>
                <w:szCs w:val="17"/>
              </w:rPr>
              <w:t>To Curtis Island</w:t>
            </w:r>
          </w:p>
        </w:tc>
        <w:tc>
          <w:tcPr>
            <w:tcW w:w="713" w:type="pct"/>
          </w:tcPr>
          <w:p w14:paraId="5A733080" w14:textId="77777777" w:rsidR="00E452A3" w:rsidRPr="00792B70" w:rsidRDefault="00E452A3" w:rsidP="00E452A3">
            <w:pPr>
              <w:pStyle w:val="TableBodyText"/>
              <w:keepNext/>
              <w:spacing w:before="40" w:after="40"/>
              <w:jc w:val="center"/>
              <w:rPr>
                <w:sz w:val="17"/>
                <w:szCs w:val="17"/>
                <w:highlight w:val="yellow"/>
                <w:lang w:eastAsia="fr-CA"/>
              </w:rPr>
            </w:pPr>
            <w:r w:rsidRPr="00792B70">
              <w:rPr>
                <w:sz w:val="17"/>
                <w:szCs w:val="17"/>
              </w:rPr>
              <w:t>1560</w:t>
            </w:r>
          </w:p>
        </w:tc>
        <w:tc>
          <w:tcPr>
            <w:tcW w:w="713" w:type="pct"/>
          </w:tcPr>
          <w:p w14:paraId="1018727F" w14:textId="77777777" w:rsidR="00E452A3" w:rsidRPr="00792B70" w:rsidRDefault="00E452A3" w:rsidP="00E452A3">
            <w:pPr>
              <w:pStyle w:val="TableBodyText"/>
              <w:keepNext/>
              <w:spacing w:before="40" w:after="40"/>
              <w:jc w:val="center"/>
              <w:rPr>
                <w:sz w:val="17"/>
                <w:szCs w:val="17"/>
                <w:highlight w:val="yellow"/>
                <w:lang w:eastAsia="fr-CA"/>
              </w:rPr>
            </w:pPr>
            <w:r w:rsidRPr="00792B70">
              <w:rPr>
                <w:sz w:val="17"/>
                <w:szCs w:val="17"/>
              </w:rPr>
              <w:t>100%</w:t>
            </w:r>
          </w:p>
        </w:tc>
        <w:tc>
          <w:tcPr>
            <w:tcW w:w="474" w:type="pct"/>
          </w:tcPr>
          <w:p w14:paraId="14ED3D5E" w14:textId="77777777" w:rsidR="00E452A3" w:rsidRPr="00792B70" w:rsidRDefault="00E452A3" w:rsidP="00E452A3">
            <w:pPr>
              <w:pStyle w:val="TableBodyText"/>
              <w:keepNext/>
              <w:spacing w:before="40" w:after="40"/>
              <w:jc w:val="center"/>
              <w:rPr>
                <w:b/>
                <w:sz w:val="17"/>
                <w:szCs w:val="17"/>
                <w:highlight w:val="yellow"/>
                <w:lang w:eastAsia="fr-CA"/>
              </w:rPr>
            </w:pPr>
            <w:r w:rsidRPr="00792B70">
              <w:rPr>
                <w:b/>
                <w:sz w:val="17"/>
                <w:szCs w:val="17"/>
              </w:rPr>
              <w:t>x</w:t>
            </w:r>
          </w:p>
        </w:tc>
        <w:tc>
          <w:tcPr>
            <w:tcW w:w="508" w:type="pct"/>
          </w:tcPr>
          <w:p w14:paraId="6C5800B5" w14:textId="77777777" w:rsidR="00E452A3" w:rsidRPr="00792B70" w:rsidRDefault="00E452A3" w:rsidP="00E452A3">
            <w:pPr>
              <w:pStyle w:val="TableBodyText"/>
              <w:keepNext/>
              <w:spacing w:before="40" w:after="40"/>
              <w:jc w:val="center"/>
              <w:rPr>
                <w:b/>
                <w:sz w:val="17"/>
                <w:szCs w:val="17"/>
                <w:highlight w:val="yellow"/>
                <w:lang w:eastAsia="fr-CA"/>
              </w:rPr>
            </w:pPr>
            <w:r w:rsidRPr="00792B70">
              <w:rPr>
                <w:b/>
                <w:sz w:val="17"/>
                <w:szCs w:val="17"/>
              </w:rPr>
              <w:t>x</w:t>
            </w:r>
          </w:p>
        </w:tc>
        <w:tc>
          <w:tcPr>
            <w:tcW w:w="513" w:type="pct"/>
          </w:tcPr>
          <w:p w14:paraId="07201D7D" w14:textId="77777777" w:rsidR="00E452A3" w:rsidRPr="00792B70" w:rsidRDefault="00E452A3" w:rsidP="00E452A3">
            <w:pPr>
              <w:pStyle w:val="TableBodyText"/>
              <w:keepNext/>
              <w:spacing w:before="40" w:after="40"/>
              <w:jc w:val="center"/>
              <w:rPr>
                <w:b/>
                <w:sz w:val="17"/>
                <w:szCs w:val="17"/>
                <w:highlight w:val="yellow"/>
                <w:lang w:eastAsia="fr-CA"/>
              </w:rPr>
            </w:pPr>
            <w:r w:rsidRPr="00792B70">
              <w:rPr>
                <w:b/>
                <w:sz w:val="17"/>
                <w:szCs w:val="17"/>
              </w:rPr>
              <w:t>x</w:t>
            </w:r>
          </w:p>
        </w:tc>
      </w:tr>
      <w:tr w:rsidR="00792B70" w:rsidRPr="00792B70" w14:paraId="2AE8A7BA" w14:textId="77777777" w:rsidTr="00792B70">
        <w:trPr>
          <w:cantSplit/>
        </w:trPr>
        <w:tc>
          <w:tcPr>
            <w:tcW w:w="1101" w:type="pct"/>
          </w:tcPr>
          <w:p w14:paraId="0F629E97" w14:textId="673B4FFF" w:rsidR="00E452A3" w:rsidRPr="00792B70" w:rsidRDefault="00E452A3" w:rsidP="00E452A3">
            <w:pPr>
              <w:pStyle w:val="TableBodyText"/>
              <w:keepNext/>
              <w:spacing w:before="40" w:after="40"/>
              <w:rPr>
                <w:sz w:val="17"/>
                <w:szCs w:val="17"/>
              </w:rPr>
            </w:pPr>
            <w:r w:rsidRPr="00792B70">
              <w:rPr>
                <w:sz w:val="17"/>
                <w:szCs w:val="17"/>
              </w:rPr>
              <w:t>W</w:t>
            </w:r>
            <w:r w:rsidR="00B63D8F" w:rsidRPr="00792B70">
              <w:rPr>
                <w:sz w:val="17"/>
                <w:szCs w:val="17"/>
              </w:rPr>
              <w:t xml:space="preserve">allumbilla to </w:t>
            </w:r>
            <w:r w:rsidRPr="00792B70">
              <w:rPr>
                <w:sz w:val="17"/>
                <w:szCs w:val="17"/>
              </w:rPr>
              <w:t>G</w:t>
            </w:r>
            <w:r w:rsidR="00B63D8F" w:rsidRPr="00792B70">
              <w:rPr>
                <w:sz w:val="17"/>
                <w:szCs w:val="17"/>
              </w:rPr>
              <w:t xml:space="preserve">ladstone </w:t>
            </w:r>
            <w:r w:rsidRPr="00792B70">
              <w:rPr>
                <w:sz w:val="17"/>
                <w:szCs w:val="17"/>
              </w:rPr>
              <w:t>P</w:t>
            </w:r>
            <w:r w:rsidR="00B63D8F" w:rsidRPr="00792B70">
              <w:rPr>
                <w:sz w:val="17"/>
                <w:szCs w:val="17"/>
              </w:rPr>
              <w:t>ipeline</w:t>
            </w:r>
            <w:r w:rsidRPr="00792B70">
              <w:rPr>
                <w:sz w:val="17"/>
                <w:szCs w:val="17"/>
              </w:rPr>
              <w:t xml:space="preserve"> </w:t>
            </w:r>
          </w:p>
        </w:tc>
        <w:tc>
          <w:tcPr>
            <w:tcW w:w="978" w:type="pct"/>
          </w:tcPr>
          <w:p w14:paraId="556AC0A0" w14:textId="77777777" w:rsidR="00E452A3" w:rsidRPr="00792B70" w:rsidRDefault="00E452A3" w:rsidP="00E452A3">
            <w:pPr>
              <w:pStyle w:val="TableBodyText"/>
              <w:keepNext/>
              <w:spacing w:before="40" w:after="40"/>
              <w:rPr>
                <w:sz w:val="17"/>
                <w:szCs w:val="17"/>
              </w:rPr>
            </w:pPr>
            <w:r w:rsidRPr="00792B70">
              <w:rPr>
                <w:sz w:val="17"/>
                <w:szCs w:val="17"/>
              </w:rPr>
              <w:t>To Curtis Island</w:t>
            </w:r>
          </w:p>
        </w:tc>
        <w:tc>
          <w:tcPr>
            <w:tcW w:w="713" w:type="pct"/>
          </w:tcPr>
          <w:p w14:paraId="7B6C95AF" w14:textId="77777777" w:rsidR="00E452A3" w:rsidRPr="00792B70" w:rsidRDefault="00E452A3" w:rsidP="00E452A3">
            <w:pPr>
              <w:pStyle w:val="TableBodyText"/>
              <w:keepNext/>
              <w:spacing w:before="40" w:after="40"/>
              <w:jc w:val="center"/>
              <w:rPr>
                <w:sz w:val="17"/>
                <w:szCs w:val="17"/>
              </w:rPr>
            </w:pPr>
            <w:r w:rsidRPr="00792B70">
              <w:rPr>
                <w:sz w:val="17"/>
                <w:szCs w:val="17"/>
              </w:rPr>
              <w:t>1588</w:t>
            </w:r>
          </w:p>
        </w:tc>
        <w:tc>
          <w:tcPr>
            <w:tcW w:w="713" w:type="pct"/>
          </w:tcPr>
          <w:p w14:paraId="0FB7596E" w14:textId="77777777" w:rsidR="00E452A3" w:rsidRPr="00792B70" w:rsidRDefault="00E452A3" w:rsidP="00E452A3">
            <w:pPr>
              <w:pStyle w:val="TableBodyText"/>
              <w:keepNext/>
              <w:spacing w:before="40" w:after="40"/>
              <w:jc w:val="center"/>
              <w:rPr>
                <w:sz w:val="17"/>
                <w:szCs w:val="17"/>
              </w:rPr>
            </w:pPr>
            <w:r w:rsidRPr="00792B70">
              <w:rPr>
                <w:sz w:val="17"/>
                <w:szCs w:val="17"/>
              </w:rPr>
              <w:t>100%</w:t>
            </w:r>
          </w:p>
        </w:tc>
        <w:tc>
          <w:tcPr>
            <w:tcW w:w="474" w:type="pct"/>
          </w:tcPr>
          <w:p w14:paraId="07EE985F" w14:textId="77777777" w:rsidR="00E452A3" w:rsidRPr="00792B70" w:rsidRDefault="00E452A3" w:rsidP="00E452A3">
            <w:pPr>
              <w:pStyle w:val="TableBodyText"/>
              <w:keepNext/>
              <w:spacing w:before="40" w:after="40"/>
              <w:jc w:val="center"/>
              <w:rPr>
                <w:b/>
                <w:sz w:val="17"/>
                <w:szCs w:val="17"/>
                <w:highlight w:val="yellow"/>
                <w:lang w:eastAsia="fr-CA"/>
              </w:rPr>
            </w:pPr>
            <w:r w:rsidRPr="00792B70">
              <w:rPr>
                <w:b/>
                <w:sz w:val="17"/>
                <w:szCs w:val="17"/>
              </w:rPr>
              <w:t>x</w:t>
            </w:r>
          </w:p>
        </w:tc>
        <w:tc>
          <w:tcPr>
            <w:tcW w:w="508" w:type="pct"/>
          </w:tcPr>
          <w:p w14:paraId="67582BF5" w14:textId="77777777" w:rsidR="00E452A3" w:rsidRPr="00792B70" w:rsidRDefault="00E452A3" w:rsidP="00E452A3">
            <w:pPr>
              <w:pStyle w:val="TableBodyText"/>
              <w:keepNext/>
              <w:spacing w:before="40" w:after="40"/>
              <w:jc w:val="center"/>
              <w:rPr>
                <w:b/>
                <w:sz w:val="17"/>
                <w:szCs w:val="17"/>
                <w:highlight w:val="yellow"/>
                <w:lang w:eastAsia="fr-CA"/>
              </w:rPr>
            </w:pPr>
            <w:r w:rsidRPr="00792B70">
              <w:rPr>
                <w:b/>
                <w:sz w:val="17"/>
                <w:szCs w:val="17"/>
              </w:rPr>
              <w:t>x</w:t>
            </w:r>
          </w:p>
        </w:tc>
        <w:tc>
          <w:tcPr>
            <w:tcW w:w="513" w:type="pct"/>
          </w:tcPr>
          <w:p w14:paraId="3C9B3FBA" w14:textId="77777777" w:rsidR="00E452A3" w:rsidRPr="00792B70" w:rsidRDefault="00E452A3" w:rsidP="00E452A3">
            <w:pPr>
              <w:pStyle w:val="TableBodyText"/>
              <w:keepNext/>
              <w:spacing w:before="40" w:after="40"/>
              <w:jc w:val="center"/>
              <w:rPr>
                <w:b/>
                <w:sz w:val="17"/>
                <w:szCs w:val="17"/>
                <w:highlight w:val="yellow"/>
                <w:lang w:eastAsia="fr-CA"/>
              </w:rPr>
            </w:pPr>
            <w:r w:rsidRPr="00792B70">
              <w:rPr>
                <w:b/>
                <w:sz w:val="17"/>
                <w:szCs w:val="17"/>
              </w:rPr>
              <w:t>x</w:t>
            </w:r>
          </w:p>
        </w:tc>
      </w:tr>
      <w:tr w:rsidR="00792B70" w:rsidRPr="00792B70" w14:paraId="249A45EF" w14:textId="77777777" w:rsidTr="00792B70">
        <w:trPr>
          <w:cnfStyle w:val="000000010000" w:firstRow="0" w:lastRow="0" w:firstColumn="0" w:lastColumn="0" w:oddVBand="0" w:evenVBand="0" w:oddHBand="0" w:evenHBand="1" w:firstRowFirstColumn="0" w:firstRowLastColumn="0" w:lastRowFirstColumn="0" w:lastRowLastColumn="0"/>
          <w:cantSplit/>
        </w:trPr>
        <w:tc>
          <w:tcPr>
            <w:tcW w:w="1101" w:type="pct"/>
            <w:tcBorders>
              <w:bottom w:val="single" w:sz="4" w:space="0" w:color="auto"/>
            </w:tcBorders>
          </w:tcPr>
          <w:p w14:paraId="3A77464A" w14:textId="0A71E2A4" w:rsidR="00E452A3" w:rsidRPr="00792B70" w:rsidRDefault="00E452A3" w:rsidP="00E452A3">
            <w:pPr>
              <w:pStyle w:val="TableBodyText"/>
              <w:keepNext/>
              <w:spacing w:before="40" w:after="40"/>
              <w:rPr>
                <w:sz w:val="17"/>
                <w:szCs w:val="17"/>
                <w:highlight w:val="yellow"/>
                <w:lang w:eastAsia="fr-CA"/>
              </w:rPr>
            </w:pPr>
            <w:r w:rsidRPr="00792B70">
              <w:rPr>
                <w:sz w:val="17"/>
                <w:szCs w:val="17"/>
              </w:rPr>
              <w:t xml:space="preserve">GLNG </w:t>
            </w:r>
            <w:r w:rsidR="00B63D8F" w:rsidRPr="00792B70">
              <w:rPr>
                <w:sz w:val="17"/>
                <w:szCs w:val="17"/>
              </w:rPr>
              <w:t>Pipeline</w:t>
            </w:r>
          </w:p>
        </w:tc>
        <w:tc>
          <w:tcPr>
            <w:tcW w:w="978" w:type="pct"/>
            <w:tcBorders>
              <w:bottom w:val="single" w:sz="4" w:space="0" w:color="auto"/>
            </w:tcBorders>
          </w:tcPr>
          <w:p w14:paraId="0CD055CF" w14:textId="77777777" w:rsidR="00E452A3" w:rsidRPr="00792B70" w:rsidRDefault="00E452A3" w:rsidP="00E452A3">
            <w:pPr>
              <w:pStyle w:val="TableBodyText"/>
              <w:keepNext/>
              <w:spacing w:before="40" w:after="40"/>
              <w:rPr>
                <w:sz w:val="17"/>
                <w:szCs w:val="17"/>
                <w:highlight w:val="yellow"/>
                <w:lang w:eastAsia="fr-CA"/>
              </w:rPr>
            </w:pPr>
            <w:r w:rsidRPr="00792B70">
              <w:rPr>
                <w:sz w:val="17"/>
                <w:szCs w:val="17"/>
              </w:rPr>
              <w:t>To Curtis Island</w:t>
            </w:r>
          </w:p>
        </w:tc>
        <w:tc>
          <w:tcPr>
            <w:tcW w:w="713" w:type="pct"/>
            <w:tcBorders>
              <w:bottom w:val="single" w:sz="4" w:space="0" w:color="auto"/>
            </w:tcBorders>
          </w:tcPr>
          <w:p w14:paraId="2F78A045" w14:textId="77777777" w:rsidR="00E452A3" w:rsidRPr="00792B70" w:rsidRDefault="00E452A3" w:rsidP="00E452A3">
            <w:pPr>
              <w:pStyle w:val="TableBodyText"/>
              <w:keepNext/>
              <w:spacing w:before="40" w:after="40"/>
              <w:jc w:val="center"/>
              <w:rPr>
                <w:sz w:val="17"/>
                <w:szCs w:val="17"/>
                <w:highlight w:val="yellow"/>
                <w:lang w:eastAsia="fr-CA"/>
              </w:rPr>
            </w:pPr>
            <w:r w:rsidRPr="00792B70">
              <w:rPr>
                <w:sz w:val="17"/>
                <w:szCs w:val="17"/>
              </w:rPr>
              <w:t>1430</w:t>
            </w:r>
          </w:p>
        </w:tc>
        <w:tc>
          <w:tcPr>
            <w:tcW w:w="713" w:type="pct"/>
            <w:tcBorders>
              <w:bottom w:val="single" w:sz="4" w:space="0" w:color="auto"/>
            </w:tcBorders>
          </w:tcPr>
          <w:p w14:paraId="41A94824" w14:textId="77777777" w:rsidR="00E452A3" w:rsidRPr="00792B70" w:rsidRDefault="00E452A3" w:rsidP="00E452A3">
            <w:pPr>
              <w:pStyle w:val="TableBodyText"/>
              <w:keepNext/>
              <w:spacing w:before="40" w:after="40"/>
              <w:jc w:val="center"/>
              <w:rPr>
                <w:sz w:val="17"/>
                <w:szCs w:val="17"/>
                <w:highlight w:val="yellow"/>
                <w:lang w:eastAsia="fr-CA"/>
              </w:rPr>
            </w:pPr>
            <w:r w:rsidRPr="00792B70">
              <w:rPr>
                <w:sz w:val="17"/>
                <w:szCs w:val="17"/>
              </w:rPr>
              <w:t>100%</w:t>
            </w:r>
          </w:p>
        </w:tc>
        <w:tc>
          <w:tcPr>
            <w:tcW w:w="474" w:type="pct"/>
            <w:tcBorders>
              <w:bottom w:val="single" w:sz="4" w:space="0" w:color="auto"/>
            </w:tcBorders>
          </w:tcPr>
          <w:p w14:paraId="16415516" w14:textId="77777777" w:rsidR="00E452A3" w:rsidRPr="00792B70" w:rsidRDefault="00E452A3" w:rsidP="00E452A3">
            <w:pPr>
              <w:pStyle w:val="TableBodyText"/>
              <w:keepNext/>
              <w:spacing w:before="40" w:after="40"/>
              <w:jc w:val="center"/>
              <w:rPr>
                <w:b/>
                <w:sz w:val="17"/>
                <w:szCs w:val="17"/>
                <w:highlight w:val="yellow"/>
                <w:lang w:eastAsia="fr-CA"/>
              </w:rPr>
            </w:pPr>
            <w:r w:rsidRPr="00792B70">
              <w:rPr>
                <w:b/>
                <w:sz w:val="17"/>
                <w:szCs w:val="17"/>
              </w:rPr>
              <w:t>x</w:t>
            </w:r>
          </w:p>
        </w:tc>
        <w:tc>
          <w:tcPr>
            <w:tcW w:w="508" w:type="pct"/>
            <w:tcBorders>
              <w:bottom w:val="single" w:sz="4" w:space="0" w:color="auto"/>
            </w:tcBorders>
          </w:tcPr>
          <w:p w14:paraId="6369F5D2" w14:textId="77777777" w:rsidR="00E452A3" w:rsidRPr="00792B70" w:rsidRDefault="00E452A3" w:rsidP="00E452A3">
            <w:pPr>
              <w:pStyle w:val="TableBodyText"/>
              <w:keepNext/>
              <w:spacing w:before="40" w:after="40"/>
              <w:jc w:val="center"/>
              <w:rPr>
                <w:b/>
                <w:sz w:val="17"/>
                <w:szCs w:val="17"/>
                <w:highlight w:val="yellow"/>
                <w:lang w:eastAsia="fr-CA"/>
              </w:rPr>
            </w:pPr>
            <w:r w:rsidRPr="00792B70">
              <w:rPr>
                <w:b/>
                <w:sz w:val="17"/>
                <w:szCs w:val="17"/>
              </w:rPr>
              <w:t>x</w:t>
            </w:r>
          </w:p>
        </w:tc>
        <w:tc>
          <w:tcPr>
            <w:tcW w:w="513" w:type="pct"/>
            <w:tcBorders>
              <w:bottom w:val="single" w:sz="4" w:space="0" w:color="auto"/>
            </w:tcBorders>
          </w:tcPr>
          <w:p w14:paraId="73086868" w14:textId="77777777" w:rsidR="00E452A3" w:rsidRPr="00792B70" w:rsidRDefault="00E452A3" w:rsidP="00E452A3">
            <w:pPr>
              <w:pStyle w:val="TableBodyText"/>
              <w:keepNext/>
              <w:spacing w:before="40" w:after="40"/>
              <w:jc w:val="center"/>
              <w:rPr>
                <w:b/>
                <w:sz w:val="17"/>
                <w:szCs w:val="17"/>
                <w:highlight w:val="yellow"/>
                <w:lang w:eastAsia="fr-CA"/>
              </w:rPr>
            </w:pPr>
            <w:r w:rsidRPr="00792B70">
              <w:rPr>
                <w:b/>
                <w:sz w:val="17"/>
                <w:szCs w:val="17"/>
              </w:rPr>
              <w:t>x</w:t>
            </w:r>
          </w:p>
        </w:tc>
      </w:tr>
      <w:tr w:rsidR="00792B70" w:rsidRPr="00792B70" w14:paraId="6CABB4A6" w14:textId="77777777" w:rsidTr="00792B70">
        <w:trPr>
          <w:cantSplit/>
        </w:trPr>
        <w:tc>
          <w:tcPr>
            <w:tcW w:w="1101" w:type="pct"/>
            <w:vMerge w:val="restart"/>
            <w:shd w:val="clear" w:color="auto" w:fill="FFFFFF" w:themeFill="background1"/>
          </w:tcPr>
          <w:p w14:paraId="4D79A7E2" w14:textId="56B64175" w:rsidR="00B63D8F" w:rsidRPr="00792B70" w:rsidRDefault="00B63D8F" w:rsidP="00E452A3">
            <w:pPr>
              <w:pStyle w:val="TableBodyText"/>
              <w:keepNext/>
              <w:spacing w:before="40" w:after="40"/>
              <w:rPr>
                <w:sz w:val="17"/>
                <w:szCs w:val="17"/>
                <w:highlight w:val="yellow"/>
                <w:lang w:eastAsia="fr-CA"/>
              </w:rPr>
            </w:pPr>
            <w:r w:rsidRPr="00792B70">
              <w:rPr>
                <w:sz w:val="17"/>
                <w:szCs w:val="17"/>
              </w:rPr>
              <w:t xml:space="preserve">Comet Ridge to Wallumbilla Pipeline  </w:t>
            </w:r>
          </w:p>
        </w:tc>
        <w:tc>
          <w:tcPr>
            <w:tcW w:w="978" w:type="pct"/>
            <w:shd w:val="clear" w:color="auto" w:fill="FFFFFF" w:themeFill="background1"/>
          </w:tcPr>
          <w:p w14:paraId="4F2A5C92" w14:textId="77777777" w:rsidR="00B63D8F" w:rsidRPr="00792B70" w:rsidRDefault="00B63D8F" w:rsidP="00E452A3">
            <w:pPr>
              <w:pStyle w:val="TableBodyText"/>
              <w:keepNext/>
              <w:spacing w:before="40" w:after="40"/>
              <w:rPr>
                <w:sz w:val="17"/>
                <w:szCs w:val="17"/>
                <w:highlight w:val="yellow"/>
                <w:lang w:eastAsia="fr-CA"/>
              </w:rPr>
            </w:pPr>
            <w:r w:rsidRPr="00792B70">
              <w:rPr>
                <w:sz w:val="17"/>
                <w:szCs w:val="17"/>
              </w:rPr>
              <w:t>To Roma</w:t>
            </w:r>
          </w:p>
        </w:tc>
        <w:tc>
          <w:tcPr>
            <w:tcW w:w="713" w:type="pct"/>
            <w:shd w:val="clear" w:color="auto" w:fill="FFFFFF" w:themeFill="background1"/>
          </w:tcPr>
          <w:p w14:paraId="272E3438" w14:textId="77777777" w:rsidR="00B63D8F" w:rsidRPr="00792B70" w:rsidRDefault="00B63D8F" w:rsidP="00E452A3">
            <w:pPr>
              <w:pStyle w:val="TableBodyText"/>
              <w:keepNext/>
              <w:spacing w:before="40" w:after="40"/>
              <w:jc w:val="center"/>
              <w:rPr>
                <w:sz w:val="17"/>
                <w:szCs w:val="17"/>
                <w:highlight w:val="yellow"/>
                <w:lang w:eastAsia="fr-CA"/>
              </w:rPr>
            </w:pPr>
            <w:r w:rsidRPr="00792B70">
              <w:rPr>
                <w:sz w:val="17"/>
                <w:szCs w:val="17"/>
              </w:rPr>
              <w:t>950</w:t>
            </w:r>
          </w:p>
        </w:tc>
        <w:tc>
          <w:tcPr>
            <w:tcW w:w="713" w:type="pct"/>
            <w:shd w:val="clear" w:color="auto" w:fill="FFFFFF" w:themeFill="background1"/>
          </w:tcPr>
          <w:p w14:paraId="32960064" w14:textId="77777777" w:rsidR="00B63D8F" w:rsidRPr="00792B70" w:rsidRDefault="00B63D8F" w:rsidP="00E452A3">
            <w:pPr>
              <w:pStyle w:val="TableBodyText"/>
              <w:keepNext/>
              <w:spacing w:before="40" w:after="40"/>
              <w:jc w:val="center"/>
              <w:rPr>
                <w:sz w:val="17"/>
                <w:szCs w:val="17"/>
                <w:highlight w:val="yellow"/>
                <w:lang w:eastAsia="fr-CA"/>
              </w:rPr>
            </w:pPr>
            <w:r w:rsidRPr="00792B70">
              <w:rPr>
                <w:sz w:val="17"/>
                <w:szCs w:val="17"/>
              </w:rPr>
              <w:t>100%</w:t>
            </w:r>
          </w:p>
        </w:tc>
        <w:tc>
          <w:tcPr>
            <w:tcW w:w="474" w:type="pct"/>
            <w:shd w:val="clear" w:color="auto" w:fill="FFFFFF" w:themeFill="background1"/>
          </w:tcPr>
          <w:p w14:paraId="3F99D113" w14:textId="77777777" w:rsidR="00B63D8F" w:rsidRPr="00792B70" w:rsidRDefault="00B63D8F" w:rsidP="00E452A3">
            <w:pPr>
              <w:pStyle w:val="TableBodyText"/>
              <w:keepNext/>
              <w:spacing w:before="40" w:after="40"/>
              <w:jc w:val="center"/>
              <w:rPr>
                <w:b/>
                <w:sz w:val="17"/>
                <w:szCs w:val="17"/>
                <w:highlight w:val="yellow"/>
                <w:lang w:eastAsia="fr-CA"/>
              </w:rPr>
            </w:pPr>
            <w:r w:rsidRPr="00792B70">
              <w:rPr>
                <w:b/>
                <w:sz w:val="17"/>
                <w:szCs w:val="17"/>
              </w:rPr>
              <w:t>x</w:t>
            </w:r>
          </w:p>
        </w:tc>
        <w:tc>
          <w:tcPr>
            <w:tcW w:w="508" w:type="pct"/>
            <w:shd w:val="clear" w:color="auto" w:fill="FFFFFF" w:themeFill="background1"/>
          </w:tcPr>
          <w:p w14:paraId="0AF68A17" w14:textId="77777777" w:rsidR="00B63D8F" w:rsidRPr="00792B70" w:rsidRDefault="00B63D8F" w:rsidP="00E452A3">
            <w:pPr>
              <w:pStyle w:val="TableBodyText"/>
              <w:keepNext/>
              <w:spacing w:before="40" w:after="40"/>
              <w:jc w:val="center"/>
              <w:rPr>
                <w:b/>
                <w:sz w:val="17"/>
                <w:szCs w:val="17"/>
                <w:highlight w:val="yellow"/>
                <w:lang w:eastAsia="fr-CA"/>
              </w:rPr>
            </w:pPr>
            <w:r w:rsidRPr="00792B70">
              <w:rPr>
                <w:b/>
                <w:sz w:val="17"/>
                <w:szCs w:val="17"/>
              </w:rPr>
              <w:t>x</w:t>
            </w:r>
          </w:p>
        </w:tc>
        <w:tc>
          <w:tcPr>
            <w:tcW w:w="513" w:type="pct"/>
            <w:shd w:val="clear" w:color="auto" w:fill="FFFFFF" w:themeFill="background1"/>
          </w:tcPr>
          <w:p w14:paraId="2F1C5312" w14:textId="77777777" w:rsidR="00B63D8F" w:rsidRPr="00792B70" w:rsidRDefault="00B63D8F" w:rsidP="00E452A3">
            <w:pPr>
              <w:pStyle w:val="TableBodyText"/>
              <w:keepNext/>
              <w:spacing w:before="40" w:after="40"/>
              <w:jc w:val="center"/>
              <w:rPr>
                <w:b/>
                <w:sz w:val="17"/>
                <w:szCs w:val="17"/>
                <w:highlight w:val="yellow"/>
                <w:lang w:eastAsia="fr-CA"/>
              </w:rPr>
            </w:pPr>
            <w:r w:rsidRPr="00792B70">
              <w:rPr>
                <w:b/>
                <w:sz w:val="17"/>
                <w:szCs w:val="17"/>
              </w:rPr>
              <w:t>x</w:t>
            </w:r>
          </w:p>
        </w:tc>
      </w:tr>
      <w:tr w:rsidR="00792B70" w:rsidRPr="00792B70" w14:paraId="6958A9D6" w14:textId="77777777" w:rsidTr="00792B70">
        <w:trPr>
          <w:cnfStyle w:val="000000010000" w:firstRow="0" w:lastRow="0" w:firstColumn="0" w:lastColumn="0" w:oddVBand="0" w:evenVBand="0" w:oddHBand="0" w:evenHBand="1" w:firstRowFirstColumn="0" w:firstRowLastColumn="0" w:lastRowFirstColumn="0" w:lastRowLastColumn="0"/>
          <w:cantSplit/>
        </w:trPr>
        <w:tc>
          <w:tcPr>
            <w:tcW w:w="1101" w:type="pct"/>
            <w:vMerge/>
            <w:shd w:val="clear" w:color="auto" w:fill="FFFFFF" w:themeFill="background1"/>
          </w:tcPr>
          <w:p w14:paraId="123E3FB7" w14:textId="4FA364DD" w:rsidR="00B63D8F" w:rsidRPr="00792B70" w:rsidRDefault="00B63D8F" w:rsidP="00E452A3">
            <w:pPr>
              <w:pStyle w:val="TableBodyText"/>
              <w:keepNext/>
              <w:spacing w:before="40" w:after="40"/>
              <w:rPr>
                <w:sz w:val="17"/>
                <w:szCs w:val="17"/>
                <w:highlight w:val="yellow"/>
                <w:lang w:eastAsia="fr-CA"/>
              </w:rPr>
            </w:pPr>
          </w:p>
        </w:tc>
        <w:tc>
          <w:tcPr>
            <w:tcW w:w="978" w:type="pct"/>
            <w:shd w:val="clear" w:color="auto" w:fill="FFFFFF" w:themeFill="background1"/>
          </w:tcPr>
          <w:p w14:paraId="791F093F" w14:textId="77777777" w:rsidR="00B63D8F" w:rsidRPr="00792B70" w:rsidRDefault="00B63D8F" w:rsidP="00E452A3">
            <w:pPr>
              <w:pStyle w:val="TableBodyText"/>
              <w:keepNext/>
              <w:spacing w:before="40" w:after="40"/>
              <w:rPr>
                <w:sz w:val="17"/>
                <w:szCs w:val="17"/>
                <w:highlight w:val="yellow"/>
                <w:lang w:eastAsia="fr-CA"/>
              </w:rPr>
            </w:pPr>
            <w:r w:rsidRPr="00792B70">
              <w:rPr>
                <w:sz w:val="17"/>
                <w:szCs w:val="17"/>
              </w:rPr>
              <w:t>To Wallumbilla</w:t>
            </w:r>
          </w:p>
        </w:tc>
        <w:tc>
          <w:tcPr>
            <w:tcW w:w="713" w:type="pct"/>
            <w:shd w:val="clear" w:color="auto" w:fill="FFFFFF" w:themeFill="background1"/>
          </w:tcPr>
          <w:p w14:paraId="36B2B7D0" w14:textId="77777777" w:rsidR="00B63D8F" w:rsidRPr="00792B70" w:rsidRDefault="00B63D8F" w:rsidP="00E452A3">
            <w:pPr>
              <w:pStyle w:val="TableBodyText"/>
              <w:keepNext/>
              <w:spacing w:before="40" w:after="40"/>
              <w:jc w:val="center"/>
              <w:rPr>
                <w:sz w:val="17"/>
                <w:szCs w:val="17"/>
                <w:highlight w:val="yellow"/>
                <w:lang w:eastAsia="fr-CA"/>
              </w:rPr>
            </w:pPr>
            <w:r w:rsidRPr="00792B70">
              <w:rPr>
                <w:sz w:val="17"/>
                <w:szCs w:val="17"/>
              </w:rPr>
              <w:t>175</w:t>
            </w:r>
          </w:p>
        </w:tc>
        <w:tc>
          <w:tcPr>
            <w:tcW w:w="713" w:type="pct"/>
            <w:shd w:val="clear" w:color="auto" w:fill="FFFFFF" w:themeFill="background1"/>
          </w:tcPr>
          <w:p w14:paraId="01427F35" w14:textId="77777777" w:rsidR="00B63D8F" w:rsidRPr="00792B70" w:rsidRDefault="00B63D8F" w:rsidP="00E452A3">
            <w:pPr>
              <w:pStyle w:val="TableBodyText"/>
              <w:keepNext/>
              <w:spacing w:before="40" w:after="40"/>
              <w:jc w:val="center"/>
              <w:rPr>
                <w:sz w:val="17"/>
                <w:szCs w:val="17"/>
                <w:highlight w:val="yellow"/>
                <w:lang w:eastAsia="fr-CA"/>
              </w:rPr>
            </w:pPr>
            <w:r w:rsidRPr="00792B70">
              <w:rPr>
                <w:sz w:val="17"/>
                <w:szCs w:val="17"/>
              </w:rPr>
              <w:t>100%</w:t>
            </w:r>
          </w:p>
        </w:tc>
        <w:tc>
          <w:tcPr>
            <w:tcW w:w="474" w:type="pct"/>
            <w:shd w:val="clear" w:color="auto" w:fill="FFFFFF" w:themeFill="background1"/>
          </w:tcPr>
          <w:p w14:paraId="6F16C328" w14:textId="77777777" w:rsidR="00B63D8F" w:rsidRPr="00792B70" w:rsidRDefault="00B63D8F" w:rsidP="00E452A3">
            <w:pPr>
              <w:pStyle w:val="TableBodyText"/>
              <w:keepNext/>
              <w:spacing w:before="40" w:after="40"/>
              <w:jc w:val="center"/>
              <w:rPr>
                <w:b/>
                <w:sz w:val="17"/>
                <w:szCs w:val="17"/>
                <w:highlight w:val="yellow"/>
                <w:lang w:eastAsia="fr-CA"/>
              </w:rPr>
            </w:pPr>
            <w:r w:rsidRPr="00792B70">
              <w:rPr>
                <w:b/>
                <w:sz w:val="17"/>
                <w:szCs w:val="17"/>
              </w:rPr>
              <w:t>x</w:t>
            </w:r>
          </w:p>
        </w:tc>
        <w:tc>
          <w:tcPr>
            <w:tcW w:w="508" w:type="pct"/>
            <w:shd w:val="clear" w:color="auto" w:fill="FFFFFF" w:themeFill="background1"/>
          </w:tcPr>
          <w:p w14:paraId="5749CA7F" w14:textId="77777777" w:rsidR="00B63D8F" w:rsidRPr="00792B70" w:rsidRDefault="00B63D8F" w:rsidP="00E452A3">
            <w:pPr>
              <w:pStyle w:val="TableBodyText"/>
              <w:keepNext/>
              <w:spacing w:before="40" w:after="40"/>
              <w:jc w:val="center"/>
              <w:rPr>
                <w:b/>
                <w:sz w:val="17"/>
                <w:szCs w:val="17"/>
                <w:highlight w:val="yellow"/>
                <w:lang w:eastAsia="fr-CA"/>
              </w:rPr>
            </w:pPr>
            <w:r w:rsidRPr="00792B70">
              <w:rPr>
                <w:b/>
                <w:sz w:val="17"/>
                <w:szCs w:val="17"/>
              </w:rPr>
              <w:t>x</w:t>
            </w:r>
          </w:p>
        </w:tc>
        <w:tc>
          <w:tcPr>
            <w:tcW w:w="513" w:type="pct"/>
            <w:shd w:val="clear" w:color="auto" w:fill="FFFFFF" w:themeFill="background1"/>
          </w:tcPr>
          <w:p w14:paraId="44EA3DFB" w14:textId="77777777" w:rsidR="00B63D8F" w:rsidRPr="00792B70" w:rsidRDefault="00B63D8F" w:rsidP="00E452A3">
            <w:pPr>
              <w:pStyle w:val="TableBodyText"/>
              <w:keepNext/>
              <w:spacing w:before="40" w:after="40"/>
              <w:jc w:val="center"/>
              <w:rPr>
                <w:b/>
                <w:sz w:val="17"/>
                <w:szCs w:val="17"/>
                <w:highlight w:val="yellow"/>
                <w:lang w:eastAsia="fr-CA"/>
              </w:rPr>
            </w:pPr>
            <w:r w:rsidRPr="00792B70">
              <w:rPr>
                <w:b/>
                <w:sz w:val="17"/>
                <w:szCs w:val="17"/>
              </w:rPr>
              <w:t>x</w:t>
            </w:r>
          </w:p>
        </w:tc>
      </w:tr>
      <w:tr w:rsidR="00792B70" w:rsidRPr="00792B70" w14:paraId="58EA6AFC" w14:textId="77777777" w:rsidTr="00792B70">
        <w:trPr>
          <w:cantSplit/>
        </w:trPr>
        <w:tc>
          <w:tcPr>
            <w:tcW w:w="5000" w:type="pct"/>
            <w:gridSpan w:val="7"/>
            <w:shd w:val="clear" w:color="auto" w:fill="65697F" w:themeFill="background2" w:themeFillShade="80"/>
          </w:tcPr>
          <w:p w14:paraId="3B80D7FA" w14:textId="19BDB22C" w:rsidR="00B63D8F" w:rsidRPr="00792B70" w:rsidRDefault="00B63D8F" w:rsidP="008F2E35">
            <w:pPr>
              <w:pStyle w:val="TableBodyText"/>
              <w:keepNext/>
              <w:spacing w:before="20" w:after="20"/>
              <w:jc w:val="center"/>
              <w:rPr>
                <w:b/>
                <w:color w:val="FFFFFF" w:themeColor="background1"/>
                <w:sz w:val="17"/>
                <w:szCs w:val="17"/>
              </w:rPr>
            </w:pPr>
            <w:r w:rsidRPr="00792B70">
              <w:rPr>
                <w:b/>
                <w:color w:val="FFFFFF" w:themeColor="background1"/>
                <w:sz w:val="17"/>
                <w:szCs w:val="17"/>
              </w:rPr>
              <w:t>Queensland Other Pipelines</w:t>
            </w:r>
          </w:p>
        </w:tc>
      </w:tr>
      <w:tr w:rsidR="00792B70" w:rsidRPr="00792B70" w14:paraId="2F2AF6BD" w14:textId="77777777" w:rsidTr="00792B70">
        <w:trPr>
          <w:cnfStyle w:val="000000010000" w:firstRow="0" w:lastRow="0" w:firstColumn="0" w:lastColumn="0" w:oddVBand="0" w:evenVBand="0" w:oddHBand="0" w:evenHBand="1" w:firstRowFirstColumn="0" w:firstRowLastColumn="0" w:lastRowFirstColumn="0" w:lastRowLastColumn="0"/>
          <w:cantSplit/>
        </w:trPr>
        <w:tc>
          <w:tcPr>
            <w:tcW w:w="1101" w:type="pct"/>
            <w:vMerge w:val="restart"/>
          </w:tcPr>
          <w:p w14:paraId="7403C4E7" w14:textId="74834CDE" w:rsidR="00B63D8F" w:rsidRPr="00792B70" w:rsidRDefault="00B63D8F" w:rsidP="008F2E35">
            <w:pPr>
              <w:pStyle w:val="TableBodyText"/>
              <w:keepNext/>
              <w:spacing w:before="40" w:after="40"/>
              <w:rPr>
                <w:sz w:val="17"/>
                <w:szCs w:val="17"/>
                <w:highlight w:val="yellow"/>
                <w:lang w:eastAsia="fr-CA"/>
              </w:rPr>
            </w:pPr>
            <w:r w:rsidRPr="00792B70">
              <w:rPr>
                <w:sz w:val="17"/>
                <w:szCs w:val="17"/>
              </w:rPr>
              <w:t>South West Queensland Pipeline</w:t>
            </w:r>
          </w:p>
        </w:tc>
        <w:tc>
          <w:tcPr>
            <w:tcW w:w="978" w:type="pct"/>
          </w:tcPr>
          <w:p w14:paraId="4FA5D844" w14:textId="77777777" w:rsidR="00B63D8F" w:rsidRPr="00792B70" w:rsidRDefault="00B63D8F" w:rsidP="008F2E35">
            <w:pPr>
              <w:pStyle w:val="TableBodyText"/>
              <w:keepNext/>
              <w:spacing w:before="40" w:after="40"/>
              <w:rPr>
                <w:sz w:val="17"/>
                <w:szCs w:val="17"/>
                <w:highlight w:val="yellow"/>
                <w:lang w:eastAsia="fr-CA"/>
              </w:rPr>
            </w:pPr>
            <w:r w:rsidRPr="00792B70">
              <w:rPr>
                <w:sz w:val="17"/>
                <w:szCs w:val="17"/>
              </w:rPr>
              <w:t>To Moomba</w:t>
            </w:r>
          </w:p>
        </w:tc>
        <w:tc>
          <w:tcPr>
            <w:tcW w:w="713" w:type="pct"/>
          </w:tcPr>
          <w:p w14:paraId="28667668" w14:textId="77777777" w:rsidR="00B63D8F" w:rsidRPr="00792B70" w:rsidRDefault="00B63D8F" w:rsidP="008F2E35">
            <w:pPr>
              <w:pStyle w:val="TableBodyText"/>
              <w:keepNext/>
              <w:spacing w:before="40" w:after="40"/>
              <w:jc w:val="center"/>
              <w:rPr>
                <w:sz w:val="17"/>
                <w:szCs w:val="17"/>
                <w:highlight w:val="yellow"/>
                <w:lang w:eastAsia="fr-CA"/>
              </w:rPr>
            </w:pPr>
            <w:r w:rsidRPr="00792B70">
              <w:rPr>
                <w:sz w:val="17"/>
                <w:szCs w:val="17"/>
              </w:rPr>
              <w:t>404</w:t>
            </w:r>
          </w:p>
        </w:tc>
        <w:tc>
          <w:tcPr>
            <w:tcW w:w="713" w:type="pct"/>
          </w:tcPr>
          <w:p w14:paraId="7DD9351E" w14:textId="77777777" w:rsidR="00B63D8F" w:rsidRPr="00792B70" w:rsidRDefault="00B63D8F" w:rsidP="008F2E35">
            <w:pPr>
              <w:pStyle w:val="TableBodyText"/>
              <w:keepNext/>
              <w:spacing w:before="40" w:after="40"/>
              <w:jc w:val="center"/>
              <w:rPr>
                <w:sz w:val="17"/>
                <w:szCs w:val="17"/>
                <w:highlight w:val="yellow"/>
                <w:lang w:eastAsia="fr-CA"/>
              </w:rPr>
            </w:pPr>
            <w:r w:rsidRPr="00792B70">
              <w:rPr>
                <w:sz w:val="17"/>
                <w:szCs w:val="17"/>
              </w:rPr>
              <w:t>99%</w:t>
            </w:r>
          </w:p>
        </w:tc>
        <w:tc>
          <w:tcPr>
            <w:tcW w:w="474" w:type="pct"/>
          </w:tcPr>
          <w:p w14:paraId="10D7A8BA" w14:textId="77777777" w:rsidR="00B63D8F" w:rsidRPr="00792B70" w:rsidRDefault="00B63D8F" w:rsidP="008F2E35">
            <w:pPr>
              <w:pStyle w:val="TableBodyText"/>
              <w:keepNext/>
              <w:spacing w:before="40" w:after="40"/>
              <w:jc w:val="center"/>
              <w:rPr>
                <w:b/>
                <w:sz w:val="17"/>
                <w:szCs w:val="17"/>
                <w:highlight w:val="yellow"/>
                <w:lang w:eastAsia="fr-CA"/>
              </w:rPr>
            </w:pPr>
          </w:p>
        </w:tc>
        <w:tc>
          <w:tcPr>
            <w:tcW w:w="508" w:type="pct"/>
          </w:tcPr>
          <w:p w14:paraId="3C709F8B" w14:textId="77777777" w:rsidR="00B63D8F" w:rsidRPr="00792B70" w:rsidRDefault="00B63D8F" w:rsidP="008F2E35">
            <w:pPr>
              <w:pStyle w:val="TableBodyText"/>
              <w:keepNext/>
              <w:spacing w:before="40" w:after="40"/>
              <w:jc w:val="center"/>
              <w:rPr>
                <w:b/>
                <w:sz w:val="17"/>
                <w:szCs w:val="17"/>
                <w:highlight w:val="yellow"/>
                <w:lang w:eastAsia="fr-CA"/>
              </w:rPr>
            </w:pPr>
            <w:r w:rsidRPr="00792B70">
              <w:rPr>
                <w:b/>
                <w:sz w:val="17"/>
                <w:szCs w:val="17"/>
              </w:rPr>
              <w:t>x</w:t>
            </w:r>
          </w:p>
        </w:tc>
        <w:tc>
          <w:tcPr>
            <w:tcW w:w="513" w:type="pct"/>
          </w:tcPr>
          <w:p w14:paraId="47A56546" w14:textId="77777777" w:rsidR="00B63D8F" w:rsidRPr="00792B70" w:rsidRDefault="00B63D8F" w:rsidP="008F2E35">
            <w:pPr>
              <w:pStyle w:val="TableBodyText"/>
              <w:keepNext/>
              <w:spacing w:before="40" w:after="40"/>
              <w:jc w:val="center"/>
              <w:rPr>
                <w:b/>
                <w:sz w:val="17"/>
                <w:szCs w:val="17"/>
                <w:highlight w:val="yellow"/>
                <w:lang w:eastAsia="fr-CA"/>
              </w:rPr>
            </w:pPr>
            <w:r w:rsidRPr="00792B70">
              <w:rPr>
                <w:b/>
                <w:sz w:val="17"/>
                <w:szCs w:val="17"/>
              </w:rPr>
              <w:t>x</w:t>
            </w:r>
          </w:p>
        </w:tc>
      </w:tr>
      <w:tr w:rsidR="00792B70" w:rsidRPr="00792B70" w14:paraId="5D282320" w14:textId="77777777" w:rsidTr="00792B70">
        <w:trPr>
          <w:cantSplit/>
        </w:trPr>
        <w:tc>
          <w:tcPr>
            <w:tcW w:w="1101" w:type="pct"/>
            <w:vMerge/>
            <w:tcBorders>
              <w:bottom w:val="single" w:sz="4" w:space="0" w:color="auto"/>
            </w:tcBorders>
          </w:tcPr>
          <w:p w14:paraId="1E486F01" w14:textId="237C0763" w:rsidR="00B63D8F" w:rsidRPr="00792B70" w:rsidRDefault="00B63D8F" w:rsidP="008F2E35">
            <w:pPr>
              <w:pStyle w:val="TableBodyText"/>
              <w:keepNext/>
              <w:spacing w:before="40" w:after="40"/>
              <w:rPr>
                <w:sz w:val="17"/>
                <w:szCs w:val="17"/>
                <w:highlight w:val="yellow"/>
                <w:lang w:eastAsia="fr-CA"/>
              </w:rPr>
            </w:pPr>
          </w:p>
        </w:tc>
        <w:tc>
          <w:tcPr>
            <w:tcW w:w="978" w:type="pct"/>
            <w:tcBorders>
              <w:bottom w:val="single" w:sz="4" w:space="0" w:color="auto"/>
            </w:tcBorders>
            <w:shd w:val="clear" w:color="auto" w:fill="E1E2E7" w:themeFill="background2"/>
          </w:tcPr>
          <w:p w14:paraId="5BD731A2" w14:textId="77777777" w:rsidR="00B63D8F" w:rsidRPr="00792B70" w:rsidRDefault="00B63D8F" w:rsidP="008F2E35">
            <w:pPr>
              <w:pStyle w:val="TableBodyText"/>
              <w:keepNext/>
              <w:spacing w:before="40" w:after="40"/>
              <w:rPr>
                <w:sz w:val="17"/>
                <w:szCs w:val="17"/>
                <w:highlight w:val="yellow"/>
                <w:lang w:eastAsia="fr-CA"/>
              </w:rPr>
            </w:pPr>
            <w:r w:rsidRPr="00792B70">
              <w:rPr>
                <w:sz w:val="17"/>
                <w:szCs w:val="17"/>
              </w:rPr>
              <w:t>To Wallumbilla</w:t>
            </w:r>
          </w:p>
        </w:tc>
        <w:tc>
          <w:tcPr>
            <w:tcW w:w="713" w:type="pct"/>
            <w:tcBorders>
              <w:bottom w:val="single" w:sz="4" w:space="0" w:color="auto"/>
            </w:tcBorders>
            <w:shd w:val="clear" w:color="auto" w:fill="E1E2E7" w:themeFill="background2"/>
          </w:tcPr>
          <w:p w14:paraId="6997FD80" w14:textId="77777777" w:rsidR="00B63D8F" w:rsidRPr="00792B70" w:rsidRDefault="00B63D8F" w:rsidP="008F2E35">
            <w:pPr>
              <w:pStyle w:val="TableBodyText"/>
              <w:keepNext/>
              <w:spacing w:before="40" w:after="40"/>
              <w:jc w:val="center"/>
              <w:rPr>
                <w:sz w:val="17"/>
                <w:szCs w:val="17"/>
                <w:highlight w:val="yellow"/>
                <w:lang w:eastAsia="fr-CA"/>
              </w:rPr>
            </w:pPr>
            <w:r w:rsidRPr="00792B70">
              <w:rPr>
                <w:sz w:val="17"/>
                <w:szCs w:val="17"/>
              </w:rPr>
              <w:t>340</w:t>
            </w:r>
          </w:p>
        </w:tc>
        <w:tc>
          <w:tcPr>
            <w:tcW w:w="713" w:type="pct"/>
            <w:tcBorders>
              <w:bottom w:val="single" w:sz="4" w:space="0" w:color="auto"/>
            </w:tcBorders>
            <w:shd w:val="clear" w:color="auto" w:fill="E1E2E7" w:themeFill="background2"/>
          </w:tcPr>
          <w:p w14:paraId="06E4F5B0" w14:textId="77777777" w:rsidR="00B63D8F" w:rsidRPr="00792B70" w:rsidRDefault="00B63D8F" w:rsidP="008F2E35">
            <w:pPr>
              <w:pStyle w:val="TableBodyText"/>
              <w:keepNext/>
              <w:spacing w:before="40" w:after="40"/>
              <w:jc w:val="center"/>
              <w:rPr>
                <w:sz w:val="17"/>
                <w:szCs w:val="17"/>
                <w:highlight w:val="yellow"/>
                <w:lang w:eastAsia="fr-CA"/>
              </w:rPr>
            </w:pPr>
            <w:r w:rsidRPr="00792B70">
              <w:rPr>
                <w:sz w:val="17"/>
                <w:szCs w:val="17"/>
              </w:rPr>
              <w:t>60%</w:t>
            </w:r>
          </w:p>
        </w:tc>
        <w:tc>
          <w:tcPr>
            <w:tcW w:w="474" w:type="pct"/>
            <w:tcBorders>
              <w:bottom w:val="single" w:sz="4" w:space="0" w:color="auto"/>
            </w:tcBorders>
            <w:shd w:val="clear" w:color="auto" w:fill="E1E2E7" w:themeFill="background2"/>
          </w:tcPr>
          <w:p w14:paraId="18B220C7" w14:textId="77777777" w:rsidR="00B63D8F" w:rsidRPr="00792B70" w:rsidRDefault="00B63D8F" w:rsidP="008F2E35">
            <w:pPr>
              <w:pStyle w:val="TableBodyText"/>
              <w:keepNext/>
              <w:spacing w:before="40" w:after="40"/>
              <w:jc w:val="center"/>
              <w:rPr>
                <w:b/>
                <w:sz w:val="17"/>
                <w:szCs w:val="17"/>
                <w:highlight w:val="yellow"/>
                <w:lang w:eastAsia="fr-CA"/>
              </w:rPr>
            </w:pPr>
          </w:p>
        </w:tc>
        <w:tc>
          <w:tcPr>
            <w:tcW w:w="508" w:type="pct"/>
            <w:tcBorders>
              <w:bottom w:val="single" w:sz="4" w:space="0" w:color="auto"/>
            </w:tcBorders>
            <w:shd w:val="clear" w:color="auto" w:fill="E1E2E7" w:themeFill="background2"/>
          </w:tcPr>
          <w:p w14:paraId="04A042D8" w14:textId="77777777" w:rsidR="00B63D8F" w:rsidRPr="00792B70" w:rsidRDefault="00B63D8F" w:rsidP="008F2E35">
            <w:pPr>
              <w:pStyle w:val="TableBodyText"/>
              <w:keepNext/>
              <w:spacing w:before="40" w:after="40"/>
              <w:jc w:val="center"/>
              <w:rPr>
                <w:b/>
                <w:sz w:val="17"/>
                <w:szCs w:val="17"/>
                <w:highlight w:val="yellow"/>
                <w:lang w:eastAsia="fr-CA"/>
              </w:rPr>
            </w:pPr>
          </w:p>
        </w:tc>
        <w:tc>
          <w:tcPr>
            <w:tcW w:w="513" w:type="pct"/>
            <w:tcBorders>
              <w:bottom w:val="single" w:sz="4" w:space="0" w:color="auto"/>
            </w:tcBorders>
            <w:shd w:val="clear" w:color="auto" w:fill="E1E2E7" w:themeFill="background2"/>
          </w:tcPr>
          <w:p w14:paraId="13311610" w14:textId="77777777" w:rsidR="00B63D8F" w:rsidRPr="00792B70" w:rsidRDefault="00B63D8F" w:rsidP="008F2E35">
            <w:pPr>
              <w:pStyle w:val="TableBodyText"/>
              <w:keepNext/>
              <w:spacing w:before="40" w:after="40"/>
              <w:jc w:val="center"/>
              <w:rPr>
                <w:b/>
                <w:sz w:val="17"/>
                <w:szCs w:val="17"/>
                <w:highlight w:val="yellow"/>
                <w:lang w:eastAsia="fr-CA"/>
              </w:rPr>
            </w:pPr>
          </w:p>
        </w:tc>
      </w:tr>
      <w:tr w:rsidR="00792B70" w:rsidRPr="00792B70" w14:paraId="7B2ECB43" w14:textId="77777777" w:rsidTr="00792B70">
        <w:trPr>
          <w:cnfStyle w:val="000000010000" w:firstRow="0" w:lastRow="0" w:firstColumn="0" w:lastColumn="0" w:oddVBand="0" w:evenVBand="0" w:oddHBand="0" w:evenHBand="1" w:firstRowFirstColumn="0" w:firstRowLastColumn="0" w:lastRowFirstColumn="0" w:lastRowLastColumn="0"/>
          <w:cantSplit/>
        </w:trPr>
        <w:tc>
          <w:tcPr>
            <w:tcW w:w="1101" w:type="pct"/>
            <w:vMerge w:val="restart"/>
            <w:shd w:val="clear" w:color="auto" w:fill="FFFFFF" w:themeFill="background1"/>
          </w:tcPr>
          <w:p w14:paraId="323549AC" w14:textId="397ADBF6" w:rsidR="00B63D8F" w:rsidRPr="00792B70" w:rsidRDefault="00B63D8F" w:rsidP="008F2E35">
            <w:pPr>
              <w:pStyle w:val="TableBodyText"/>
              <w:keepNext/>
              <w:spacing w:before="40" w:after="40"/>
              <w:rPr>
                <w:sz w:val="17"/>
                <w:szCs w:val="17"/>
                <w:highlight w:val="yellow"/>
                <w:lang w:eastAsia="fr-CA"/>
              </w:rPr>
            </w:pPr>
            <w:r w:rsidRPr="00792B70">
              <w:rPr>
                <w:sz w:val="17"/>
                <w:szCs w:val="17"/>
              </w:rPr>
              <w:t xml:space="preserve">Roma to Brisbane Pipeline </w:t>
            </w:r>
          </w:p>
        </w:tc>
        <w:tc>
          <w:tcPr>
            <w:tcW w:w="978" w:type="pct"/>
            <w:shd w:val="clear" w:color="auto" w:fill="FFFFFF" w:themeFill="background1"/>
          </w:tcPr>
          <w:p w14:paraId="415814B1" w14:textId="77777777" w:rsidR="00B63D8F" w:rsidRPr="00792B70" w:rsidRDefault="00B63D8F" w:rsidP="008F2E35">
            <w:pPr>
              <w:pStyle w:val="TableBodyText"/>
              <w:keepNext/>
              <w:spacing w:before="40" w:after="40"/>
              <w:rPr>
                <w:sz w:val="17"/>
                <w:szCs w:val="17"/>
                <w:highlight w:val="yellow"/>
                <w:lang w:eastAsia="fr-CA"/>
              </w:rPr>
            </w:pPr>
            <w:r w:rsidRPr="00792B70">
              <w:rPr>
                <w:sz w:val="17"/>
                <w:szCs w:val="17"/>
              </w:rPr>
              <w:t>To Brisbane</w:t>
            </w:r>
          </w:p>
        </w:tc>
        <w:tc>
          <w:tcPr>
            <w:tcW w:w="713" w:type="pct"/>
            <w:shd w:val="clear" w:color="auto" w:fill="FFFFFF" w:themeFill="background1"/>
          </w:tcPr>
          <w:p w14:paraId="6B1E8F88" w14:textId="77777777" w:rsidR="00B63D8F" w:rsidRPr="00792B70" w:rsidRDefault="00B63D8F" w:rsidP="008F2E35">
            <w:pPr>
              <w:pStyle w:val="TableBodyText"/>
              <w:keepNext/>
              <w:spacing w:before="40" w:after="40"/>
              <w:jc w:val="center"/>
              <w:rPr>
                <w:sz w:val="17"/>
                <w:szCs w:val="17"/>
                <w:highlight w:val="yellow"/>
                <w:lang w:eastAsia="fr-CA"/>
              </w:rPr>
            </w:pPr>
            <w:r w:rsidRPr="00792B70">
              <w:rPr>
                <w:sz w:val="17"/>
                <w:szCs w:val="17"/>
              </w:rPr>
              <w:t>233</w:t>
            </w:r>
          </w:p>
        </w:tc>
        <w:tc>
          <w:tcPr>
            <w:tcW w:w="713" w:type="pct"/>
            <w:shd w:val="clear" w:color="auto" w:fill="FFFFFF" w:themeFill="background1"/>
          </w:tcPr>
          <w:p w14:paraId="0E754E51" w14:textId="77777777" w:rsidR="00B63D8F" w:rsidRPr="00792B70" w:rsidRDefault="00B63D8F" w:rsidP="008F2E35">
            <w:pPr>
              <w:pStyle w:val="TableBodyText"/>
              <w:keepNext/>
              <w:spacing w:before="40" w:after="40"/>
              <w:jc w:val="center"/>
              <w:rPr>
                <w:sz w:val="17"/>
                <w:szCs w:val="17"/>
                <w:highlight w:val="yellow"/>
                <w:lang w:eastAsia="fr-CA"/>
              </w:rPr>
            </w:pPr>
            <w:r w:rsidRPr="00792B70">
              <w:rPr>
                <w:sz w:val="17"/>
                <w:szCs w:val="17"/>
              </w:rPr>
              <w:t>96%</w:t>
            </w:r>
          </w:p>
        </w:tc>
        <w:tc>
          <w:tcPr>
            <w:tcW w:w="474" w:type="pct"/>
            <w:shd w:val="clear" w:color="auto" w:fill="FFFFFF" w:themeFill="background1"/>
          </w:tcPr>
          <w:p w14:paraId="454A4148" w14:textId="77777777" w:rsidR="00B63D8F" w:rsidRPr="00792B70" w:rsidRDefault="00B63D8F" w:rsidP="008F2E35">
            <w:pPr>
              <w:pStyle w:val="TableBodyText"/>
              <w:keepNext/>
              <w:spacing w:before="40" w:after="40"/>
              <w:jc w:val="center"/>
              <w:rPr>
                <w:b/>
                <w:sz w:val="17"/>
                <w:szCs w:val="17"/>
                <w:highlight w:val="yellow"/>
                <w:lang w:eastAsia="fr-CA"/>
              </w:rPr>
            </w:pPr>
          </w:p>
        </w:tc>
        <w:tc>
          <w:tcPr>
            <w:tcW w:w="508" w:type="pct"/>
            <w:shd w:val="clear" w:color="auto" w:fill="FFFFFF" w:themeFill="background1"/>
          </w:tcPr>
          <w:p w14:paraId="4CB7486A" w14:textId="77777777" w:rsidR="00B63D8F" w:rsidRPr="00792B70" w:rsidRDefault="00B63D8F" w:rsidP="008F2E35">
            <w:pPr>
              <w:pStyle w:val="TableBodyText"/>
              <w:keepNext/>
              <w:spacing w:before="40" w:after="40"/>
              <w:jc w:val="center"/>
              <w:rPr>
                <w:b/>
                <w:sz w:val="17"/>
                <w:szCs w:val="17"/>
                <w:highlight w:val="yellow"/>
                <w:lang w:eastAsia="fr-CA"/>
              </w:rPr>
            </w:pPr>
            <w:r w:rsidRPr="00792B70">
              <w:rPr>
                <w:b/>
                <w:sz w:val="17"/>
                <w:szCs w:val="17"/>
              </w:rPr>
              <w:t>x</w:t>
            </w:r>
          </w:p>
        </w:tc>
        <w:tc>
          <w:tcPr>
            <w:tcW w:w="513" w:type="pct"/>
            <w:shd w:val="clear" w:color="auto" w:fill="FFFFFF" w:themeFill="background1"/>
          </w:tcPr>
          <w:p w14:paraId="2E61DB82" w14:textId="77777777" w:rsidR="00B63D8F" w:rsidRPr="00792B70" w:rsidRDefault="00B63D8F" w:rsidP="008F2E35">
            <w:pPr>
              <w:pStyle w:val="TableBodyText"/>
              <w:keepNext/>
              <w:spacing w:before="40" w:after="40"/>
              <w:jc w:val="center"/>
              <w:rPr>
                <w:b/>
                <w:sz w:val="17"/>
                <w:szCs w:val="17"/>
                <w:highlight w:val="yellow"/>
                <w:lang w:eastAsia="fr-CA"/>
              </w:rPr>
            </w:pPr>
            <w:r w:rsidRPr="00792B70">
              <w:rPr>
                <w:b/>
                <w:sz w:val="17"/>
                <w:szCs w:val="17"/>
              </w:rPr>
              <w:t>x</w:t>
            </w:r>
          </w:p>
        </w:tc>
      </w:tr>
      <w:tr w:rsidR="00792B70" w:rsidRPr="00792B70" w14:paraId="4AD72C30" w14:textId="77777777" w:rsidTr="00792B70">
        <w:trPr>
          <w:cantSplit/>
        </w:trPr>
        <w:tc>
          <w:tcPr>
            <w:tcW w:w="1101" w:type="pct"/>
            <w:vMerge/>
            <w:shd w:val="clear" w:color="auto" w:fill="FFFFFF" w:themeFill="background1"/>
          </w:tcPr>
          <w:p w14:paraId="4D38BCA7" w14:textId="6840211F" w:rsidR="00B63D8F" w:rsidRPr="00792B70" w:rsidRDefault="00B63D8F" w:rsidP="008F2E35">
            <w:pPr>
              <w:pStyle w:val="TableBodyText"/>
              <w:keepNext/>
              <w:spacing w:before="40" w:after="40"/>
              <w:rPr>
                <w:sz w:val="17"/>
                <w:szCs w:val="17"/>
                <w:highlight w:val="yellow"/>
                <w:lang w:eastAsia="fr-CA"/>
              </w:rPr>
            </w:pPr>
          </w:p>
        </w:tc>
        <w:tc>
          <w:tcPr>
            <w:tcW w:w="978" w:type="pct"/>
            <w:shd w:val="clear" w:color="auto" w:fill="FFFFFF" w:themeFill="background1"/>
          </w:tcPr>
          <w:p w14:paraId="14AA417D" w14:textId="77777777" w:rsidR="00B63D8F" w:rsidRPr="00792B70" w:rsidRDefault="00B63D8F" w:rsidP="008F2E35">
            <w:pPr>
              <w:pStyle w:val="TableBodyText"/>
              <w:keepNext/>
              <w:spacing w:before="40" w:after="40"/>
              <w:rPr>
                <w:sz w:val="17"/>
                <w:szCs w:val="17"/>
                <w:highlight w:val="yellow"/>
                <w:lang w:eastAsia="fr-CA"/>
              </w:rPr>
            </w:pPr>
            <w:r w:rsidRPr="00792B70">
              <w:rPr>
                <w:sz w:val="17"/>
                <w:szCs w:val="17"/>
              </w:rPr>
              <w:t>To Wallumbilla</w:t>
            </w:r>
          </w:p>
        </w:tc>
        <w:tc>
          <w:tcPr>
            <w:tcW w:w="713" w:type="pct"/>
            <w:shd w:val="clear" w:color="auto" w:fill="FFFFFF" w:themeFill="background1"/>
          </w:tcPr>
          <w:p w14:paraId="629F24AF" w14:textId="77777777" w:rsidR="00B63D8F" w:rsidRPr="00792B70" w:rsidRDefault="00B63D8F" w:rsidP="008F2E35">
            <w:pPr>
              <w:pStyle w:val="TableBodyText"/>
              <w:keepNext/>
              <w:spacing w:before="40" w:after="40"/>
              <w:jc w:val="center"/>
              <w:rPr>
                <w:sz w:val="17"/>
                <w:szCs w:val="17"/>
                <w:highlight w:val="yellow"/>
                <w:lang w:eastAsia="fr-CA"/>
              </w:rPr>
            </w:pPr>
            <w:r w:rsidRPr="00792B70">
              <w:rPr>
                <w:sz w:val="17"/>
                <w:szCs w:val="17"/>
              </w:rPr>
              <w:t>125</w:t>
            </w:r>
          </w:p>
        </w:tc>
        <w:tc>
          <w:tcPr>
            <w:tcW w:w="713" w:type="pct"/>
            <w:shd w:val="clear" w:color="auto" w:fill="FFFFFF" w:themeFill="background1"/>
          </w:tcPr>
          <w:p w14:paraId="0E4F4A55" w14:textId="77777777" w:rsidR="00B63D8F" w:rsidRPr="00792B70" w:rsidRDefault="00B63D8F" w:rsidP="008F2E35">
            <w:pPr>
              <w:pStyle w:val="TableBodyText"/>
              <w:keepNext/>
              <w:spacing w:before="40" w:after="40"/>
              <w:jc w:val="center"/>
              <w:rPr>
                <w:sz w:val="17"/>
                <w:szCs w:val="17"/>
                <w:highlight w:val="yellow"/>
                <w:lang w:eastAsia="fr-CA"/>
              </w:rPr>
            </w:pPr>
            <w:r w:rsidRPr="00792B70">
              <w:rPr>
                <w:sz w:val="17"/>
                <w:szCs w:val="17"/>
              </w:rPr>
              <w:t>59%</w:t>
            </w:r>
          </w:p>
        </w:tc>
        <w:tc>
          <w:tcPr>
            <w:tcW w:w="474" w:type="pct"/>
            <w:shd w:val="clear" w:color="auto" w:fill="FFFFFF" w:themeFill="background1"/>
          </w:tcPr>
          <w:p w14:paraId="12E362EB" w14:textId="77777777" w:rsidR="00B63D8F" w:rsidRPr="00792B70" w:rsidRDefault="00B63D8F" w:rsidP="008F2E35">
            <w:pPr>
              <w:pStyle w:val="TableBodyText"/>
              <w:keepNext/>
              <w:spacing w:before="40" w:after="40"/>
              <w:jc w:val="center"/>
              <w:rPr>
                <w:b/>
                <w:sz w:val="17"/>
                <w:szCs w:val="17"/>
                <w:highlight w:val="yellow"/>
                <w:lang w:eastAsia="fr-CA"/>
              </w:rPr>
            </w:pPr>
          </w:p>
        </w:tc>
        <w:tc>
          <w:tcPr>
            <w:tcW w:w="508" w:type="pct"/>
            <w:shd w:val="clear" w:color="auto" w:fill="FFFFFF" w:themeFill="background1"/>
          </w:tcPr>
          <w:p w14:paraId="38568226" w14:textId="77777777" w:rsidR="00B63D8F" w:rsidRPr="00792B70" w:rsidRDefault="00B63D8F" w:rsidP="008F2E35">
            <w:pPr>
              <w:pStyle w:val="TableBodyText"/>
              <w:keepNext/>
              <w:spacing w:before="40" w:after="40"/>
              <w:jc w:val="center"/>
              <w:rPr>
                <w:b/>
                <w:sz w:val="17"/>
                <w:szCs w:val="17"/>
                <w:highlight w:val="yellow"/>
                <w:lang w:eastAsia="fr-CA"/>
              </w:rPr>
            </w:pPr>
          </w:p>
        </w:tc>
        <w:tc>
          <w:tcPr>
            <w:tcW w:w="513" w:type="pct"/>
            <w:shd w:val="clear" w:color="auto" w:fill="FFFFFF" w:themeFill="background1"/>
          </w:tcPr>
          <w:p w14:paraId="69CBCF28" w14:textId="77777777" w:rsidR="00B63D8F" w:rsidRPr="00792B70" w:rsidRDefault="00B63D8F" w:rsidP="008F2E35">
            <w:pPr>
              <w:pStyle w:val="TableBodyText"/>
              <w:keepNext/>
              <w:spacing w:before="40" w:after="40"/>
              <w:jc w:val="center"/>
              <w:rPr>
                <w:b/>
                <w:sz w:val="17"/>
                <w:szCs w:val="17"/>
                <w:highlight w:val="yellow"/>
                <w:lang w:eastAsia="fr-CA"/>
              </w:rPr>
            </w:pPr>
          </w:p>
        </w:tc>
      </w:tr>
      <w:tr w:rsidR="00792B70" w:rsidRPr="00792B70" w14:paraId="429DDDF2" w14:textId="77777777" w:rsidTr="00792B70">
        <w:trPr>
          <w:cnfStyle w:val="000000010000" w:firstRow="0" w:lastRow="0" w:firstColumn="0" w:lastColumn="0" w:oddVBand="0" w:evenVBand="0" w:oddHBand="0" w:evenHBand="1" w:firstRowFirstColumn="0" w:firstRowLastColumn="0" w:lastRowFirstColumn="0" w:lastRowLastColumn="0"/>
          <w:cantSplit/>
        </w:trPr>
        <w:tc>
          <w:tcPr>
            <w:tcW w:w="1101" w:type="pct"/>
            <w:vMerge w:val="restart"/>
          </w:tcPr>
          <w:p w14:paraId="4BA175EF" w14:textId="77777777" w:rsidR="00B63D8F" w:rsidRPr="00792B70" w:rsidRDefault="00B63D8F" w:rsidP="008F2E35">
            <w:pPr>
              <w:pStyle w:val="TableBodyText"/>
              <w:keepNext/>
              <w:spacing w:before="40" w:after="40"/>
              <w:rPr>
                <w:sz w:val="17"/>
                <w:szCs w:val="17"/>
                <w:highlight w:val="yellow"/>
                <w:lang w:eastAsia="fr-CA"/>
              </w:rPr>
            </w:pPr>
            <w:r w:rsidRPr="00792B70">
              <w:rPr>
                <w:sz w:val="17"/>
                <w:szCs w:val="17"/>
              </w:rPr>
              <w:t>Darling Downs Pipeline</w:t>
            </w:r>
          </w:p>
        </w:tc>
        <w:tc>
          <w:tcPr>
            <w:tcW w:w="978" w:type="pct"/>
            <w:tcBorders>
              <w:bottom w:val="single" w:sz="4" w:space="0" w:color="auto"/>
            </w:tcBorders>
          </w:tcPr>
          <w:p w14:paraId="0C3624EC" w14:textId="77777777" w:rsidR="00B63D8F" w:rsidRPr="00792B70" w:rsidRDefault="00B63D8F" w:rsidP="008F2E35">
            <w:pPr>
              <w:pStyle w:val="TableBodyText"/>
              <w:keepNext/>
              <w:spacing w:before="40" w:after="40"/>
              <w:rPr>
                <w:sz w:val="17"/>
                <w:szCs w:val="17"/>
                <w:highlight w:val="yellow"/>
                <w:lang w:eastAsia="fr-CA"/>
              </w:rPr>
            </w:pPr>
            <w:r w:rsidRPr="00792B70">
              <w:rPr>
                <w:sz w:val="17"/>
                <w:szCs w:val="17"/>
              </w:rPr>
              <w:t>To Wallumbilla</w:t>
            </w:r>
          </w:p>
        </w:tc>
        <w:tc>
          <w:tcPr>
            <w:tcW w:w="713" w:type="pct"/>
            <w:tcBorders>
              <w:bottom w:val="single" w:sz="4" w:space="0" w:color="auto"/>
            </w:tcBorders>
          </w:tcPr>
          <w:p w14:paraId="14333612" w14:textId="77777777" w:rsidR="00B63D8F" w:rsidRPr="00792B70" w:rsidRDefault="00B63D8F" w:rsidP="008F2E35">
            <w:pPr>
              <w:pStyle w:val="TableBodyText"/>
              <w:keepNext/>
              <w:spacing w:before="40" w:after="40"/>
              <w:jc w:val="center"/>
              <w:rPr>
                <w:sz w:val="17"/>
                <w:szCs w:val="17"/>
                <w:highlight w:val="yellow"/>
                <w:lang w:eastAsia="fr-CA"/>
              </w:rPr>
            </w:pPr>
            <w:r w:rsidRPr="00792B70">
              <w:rPr>
                <w:sz w:val="17"/>
                <w:szCs w:val="17"/>
              </w:rPr>
              <w:t>270</w:t>
            </w:r>
          </w:p>
        </w:tc>
        <w:tc>
          <w:tcPr>
            <w:tcW w:w="713" w:type="pct"/>
            <w:tcBorders>
              <w:bottom w:val="single" w:sz="4" w:space="0" w:color="auto"/>
            </w:tcBorders>
          </w:tcPr>
          <w:p w14:paraId="0BAE1D32" w14:textId="77777777" w:rsidR="00B63D8F" w:rsidRPr="00792B70" w:rsidRDefault="00B63D8F" w:rsidP="008F2E35">
            <w:pPr>
              <w:pStyle w:val="TableBodyText"/>
              <w:keepNext/>
              <w:spacing w:before="40" w:after="40"/>
              <w:jc w:val="center"/>
              <w:rPr>
                <w:sz w:val="17"/>
                <w:szCs w:val="17"/>
                <w:highlight w:val="yellow"/>
                <w:lang w:eastAsia="fr-CA"/>
              </w:rPr>
            </w:pPr>
            <w:r w:rsidRPr="00792B70">
              <w:rPr>
                <w:sz w:val="17"/>
                <w:szCs w:val="17"/>
              </w:rPr>
              <w:t>100%</w:t>
            </w:r>
          </w:p>
        </w:tc>
        <w:tc>
          <w:tcPr>
            <w:tcW w:w="474" w:type="pct"/>
            <w:tcBorders>
              <w:bottom w:val="single" w:sz="4" w:space="0" w:color="auto"/>
            </w:tcBorders>
          </w:tcPr>
          <w:p w14:paraId="31A2B3AC" w14:textId="77777777" w:rsidR="00B63D8F" w:rsidRPr="00792B70" w:rsidRDefault="00B63D8F" w:rsidP="008F2E35">
            <w:pPr>
              <w:pStyle w:val="TableBodyText"/>
              <w:keepNext/>
              <w:spacing w:before="40" w:after="40"/>
              <w:jc w:val="center"/>
              <w:rPr>
                <w:b/>
                <w:sz w:val="17"/>
                <w:szCs w:val="17"/>
                <w:highlight w:val="yellow"/>
                <w:lang w:eastAsia="fr-CA"/>
              </w:rPr>
            </w:pPr>
            <w:r w:rsidRPr="00792B70">
              <w:rPr>
                <w:b/>
                <w:sz w:val="17"/>
                <w:szCs w:val="17"/>
              </w:rPr>
              <w:t>x</w:t>
            </w:r>
          </w:p>
        </w:tc>
        <w:tc>
          <w:tcPr>
            <w:tcW w:w="508" w:type="pct"/>
            <w:tcBorders>
              <w:bottom w:val="single" w:sz="4" w:space="0" w:color="auto"/>
            </w:tcBorders>
          </w:tcPr>
          <w:p w14:paraId="49D3A347" w14:textId="77777777" w:rsidR="00B63D8F" w:rsidRPr="00792B70" w:rsidRDefault="00B63D8F" w:rsidP="008F2E35">
            <w:pPr>
              <w:pStyle w:val="TableBodyText"/>
              <w:keepNext/>
              <w:spacing w:before="40" w:after="40"/>
              <w:jc w:val="center"/>
              <w:rPr>
                <w:b/>
                <w:sz w:val="17"/>
                <w:szCs w:val="17"/>
                <w:highlight w:val="yellow"/>
                <w:lang w:eastAsia="fr-CA"/>
              </w:rPr>
            </w:pPr>
            <w:r w:rsidRPr="00792B70">
              <w:rPr>
                <w:b/>
                <w:sz w:val="17"/>
                <w:szCs w:val="17"/>
              </w:rPr>
              <w:t>x</w:t>
            </w:r>
          </w:p>
        </w:tc>
        <w:tc>
          <w:tcPr>
            <w:tcW w:w="513" w:type="pct"/>
            <w:tcBorders>
              <w:bottom w:val="single" w:sz="4" w:space="0" w:color="auto"/>
            </w:tcBorders>
          </w:tcPr>
          <w:p w14:paraId="572BB3CF" w14:textId="77777777" w:rsidR="00B63D8F" w:rsidRPr="00792B70" w:rsidRDefault="00B63D8F" w:rsidP="008F2E35">
            <w:pPr>
              <w:pStyle w:val="TableBodyText"/>
              <w:keepNext/>
              <w:spacing w:before="40" w:after="40"/>
              <w:jc w:val="center"/>
              <w:rPr>
                <w:b/>
                <w:sz w:val="17"/>
                <w:szCs w:val="17"/>
                <w:highlight w:val="yellow"/>
                <w:lang w:eastAsia="fr-CA"/>
              </w:rPr>
            </w:pPr>
            <w:r w:rsidRPr="00792B70">
              <w:rPr>
                <w:b/>
                <w:sz w:val="17"/>
                <w:szCs w:val="17"/>
              </w:rPr>
              <w:t>x</w:t>
            </w:r>
          </w:p>
        </w:tc>
      </w:tr>
      <w:tr w:rsidR="00792B70" w:rsidRPr="00792B70" w14:paraId="5246C254" w14:textId="77777777" w:rsidTr="00792B70">
        <w:trPr>
          <w:cantSplit/>
        </w:trPr>
        <w:tc>
          <w:tcPr>
            <w:tcW w:w="1101" w:type="pct"/>
            <w:vMerge/>
            <w:tcBorders>
              <w:bottom w:val="single" w:sz="4" w:space="0" w:color="auto"/>
            </w:tcBorders>
          </w:tcPr>
          <w:p w14:paraId="3D586D46" w14:textId="77777777" w:rsidR="00B63D8F" w:rsidRPr="00792B70" w:rsidRDefault="00B63D8F" w:rsidP="008F2E35">
            <w:pPr>
              <w:pStyle w:val="TableBodyText"/>
              <w:keepNext/>
              <w:spacing w:before="40" w:after="40"/>
              <w:rPr>
                <w:sz w:val="17"/>
                <w:szCs w:val="17"/>
                <w:highlight w:val="yellow"/>
                <w:lang w:eastAsia="fr-CA"/>
              </w:rPr>
            </w:pPr>
          </w:p>
        </w:tc>
        <w:tc>
          <w:tcPr>
            <w:tcW w:w="978" w:type="pct"/>
            <w:tcBorders>
              <w:bottom w:val="single" w:sz="4" w:space="0" w:color="auto"/>
            </w:tcBorders>
            <w:shd w:val="clear" w:color="auto" w:fill="E1E2E7" w:themeFill="background2"/>
          </w:tcPr>
          <w:p w14:paraId="0464E08A" w14:textId="77777777" w:rsidR="00B63D8F" w:rsidRPr="00792B70" w:rsidRDefault="00B63D8F" w:rsidP="008F2E35">
            <w:pPr>
              <w:pStyle w:val="TableBodyText"/>
              <w:keepNext/>
              <w:spacing w:before="40" w:after="40"/>
              <w:rPr>
                <w:sz w:val="17"/>
                <w:szCs w:val="17"/>
                <w:highlight w:val="yellow"/>
                <w:lang w:eastAsia="fr-CA"/>
              </w:rPr>
            </w:pPr>
            <w:r w:rsidRPr="00792B70">
              <w:rPr>
                <w:sz w:val="17"/>
                <w:szCs w:val="17"/>
              </w:rPr>
              <w:t>To Darling Downs</w:t>
            </w:r>
          </w:p>
        </w:tc>
        <w:tc>
          <w:tcPr>
            <w:tcW w:w="713" w:type="pct"/>
            <w:tcBorders>
              <w:bottom w:val="single" w:sz="4" w:space="0" w:color="auto"/>
            </w:tcBorders>
            <w:shd w:val="clear" w:color="auto" w:fill="E1E2E7" w:themeFill="background2"/>
          </w:tcPr>
          <w:p w14:paraId="2D06B3E6" w14:textId="77777777" w:rsidR="00B63D8F" w:rsidRPr="00792B70" w:rsidRDefault="00B63D8F" w:rsidP="008F2E35">
            <w:pPr>
              <w:pStyle w:val="TableBodyText"/>
              <w:keepNext/>
              <w:spacing w:before="40" w:after="40"/>
              <w:jc w:val="center"/>
              <w:rPr>
                <w:sz w:val="17"/>
                <w:szCs w:val="17"/>
                <w:highlight w:val="yellow"/>
                <w:lang w:eastAsia="fr-CA"/>
              </w:rPr>
            </w:pPr>
            <w:r w:rsidRPr="00792B70">
              <w:rPr>
                <w:sz w:val="17"/>
                <w:szCs w:val="17"/>
              </w:rPr>
              <w:t>530</w:t>
            </w:r>
          </w:p>
        </w:tc>
        <w:tc>
          <w:tcPr>
            <w:tcW w:w="713" w:type="pct"/>
            <w:tcBorders>
              <w:bottom w:val="single" w:sz="4" w:space="0" w:color="auto"/>
            </w:tcBorders>
            <w:shd w:val="clear" w:color="auto" w:fill="E1E2E7" w:themeFill="background2"/>
          </w:tcPr>
          <w:p w14:paraId="75304702" w14:textId="77777777" w:rsidR="00B63D8F" w:rsidRPr="00792B70" w:rsidRDefault="00B63D8F" w:rsidP="008F2E35">
            <w:pPr>
              <w:pStyle w:val="TableBodyText"/>
              <w:keepNext/>
              <w:spacing w:before="40" w:after="40"/>
              <w:jc w:val="center"/>
              <w:rPr>
                <w:sz w:val="17"/>
                <w:szCs w:val="17"/>
                <w:highlight w:val="yellow"/>
                <w:lang w:eastAsia="fr-CA"/>
              </w:rPr>
            </w:pPr>
            <w:r w:rsidRPr="00792B70">
              <w:rPr>
                <w:sz w:val="17"/>
                <w:szCs w:val="17"/>
              </w:rPr>
              <w:t>100%</w:t>
            </w:r>
          </w:p>
        </w:tc>
        <w:tc>
          <w:tcPr>
            <w:tcW w:w="474" w:type="pct"/>
            <w:tcBorders>
              <w:bottom w:val="single" w:sz="4" w:space="0" w:color="auto"/>
            </w:tcBorders>
            <w:shd w:val="clear" w:color="auto" w:fill="E1E2E7" w:themeFill="background2"/>
          </w:tcPr>
          <w:p w14:paraId="58210A5E" w14:textId="77777777" w:rsidR="00B63D8F" w:rsidRPr="00792B70" w:rsidRDefault="00B63D8F" w:rsidP="008F2E35">
            <w:pPr>
              <w:pStyle w:val="TableBodyText"/>
              <w:keepNext/>
              <w:spacing w:before="40" w:after="40"/>
              <w:jc w:val="center"/>
              <w:rPr>
                <w:b/>
                <w:sz w:val="17"/>
                <w:szCs w:val="17"/>
                <w:highlight w:val="yellow"/>
                <w:lang w:eastAsia="fr-CA"/>
              </w:rPr>
            </w:pPr>
            <w:r w:rsidRPr="00792B70">
              <w:rPr>
                <w:b/>
                <w:sz w:val="17"/>
                <w:szCs w:val="17"/>
              </w:rPr>
              <w:t>x</w:t>
            </w:r>
          </w:p>
        </w:tc>
        <w:tc>
          <w:tcPr>
            <w:tcW w:w="508" w:type="pct"/>
            <w:tcBorders>
              <w:bottom w:val="single" w:sz="4" w:space="0" w:color="auto"/>
            </w:tcBorders>
            <w:shd w:val="clear" w:color="auto" w:fill="E1E2E7" w:themeFill="background2"/>
          </w:tcPr>
          <w:p w14:paraId="06978EB2" w14:textId="77777777" w:rsidR="00B63D8F" w:rsidRPr="00792B70" w:rsidRDefault="00B63D8F" w:rsidP="008F2E35">
            <w:pPr>
              <w:pStyle w:val="TableBodyText"/>
              <w:keepNext/>
              <w:spacing w:before="40" w:after="40"/>
              <w:jc w:val="center"/>
              <w:rPr>
                <w:b/>
                <w:sz w:val="17"/>
                <w:szCs w:val="17"/>
                <w:highlight w:val="yellow"/>
                <w:lang w:eastAsia="fr-CA"/>
              </w:rPr>
            </w:pPr>
            <w:r w:rsidRPr="00792B70">
              <w:rPr>
                <w:b/>
                <w:sz w:val="17"/>
                <w:szCs w:val="17"/>
              </w:rPr>
              <w:t>x</w:t>
            </w:r>
          </w:p>
        </w:tc>
        <w:tc>
          <w:tcPr>
            <w:tcW w:w="513" w:type="pct"/>
            <w:tcBorders>
              <w:bottom w:val="single" w:sz="4" w:space="0" w:color="auto"/>
            </w:tcBorders>
            <w:shd w:val="clear" w:color="auto" w:fill="E1E2E7" w:themeFill="background2"/>
          </w:tcPr>
          <w:p w14:paraId="7F49EE45" w14:textId="77777777" w:rsidR="00B63D8F" w:rsidRPr="00792B70" w:rsidRDefault="00B63D8F" w:rsidP="008F2E35">
            <w:pPr>
              <w:pStyle w:val="TableBodyText"/>
              <w:keepNext/>
              <w:spacing w:before="40" w:after="40"/>
              <w:jc w:val="center"/>
              <w:rPr>
                <w:b/>
                <w:sz w:val="17"/>
                <w:szCs w:val="17"/>
                <w:highlight w:val="yellow"/>
                <w:lang w:eastAsia="fr-CA"/>
              </w:rPr>
            </w:pPr>
            <w:r w:rsidRPr="00792B70">
              <w:rPr>
                <w:b/>
                <w:sz w:val="17"/>
                <w:szCs w:val="17"/>
              </w:rPr>
              <w:t>x</w:t>
            </w:r>
          </w:p>
        </w:tc>
      </w:tr>
      <w:tr w:rsidR="00792B70" w:rsidRPr="00792B70" w14:paraId="1151022F" w14:textId="77777777" w:rsidTr="00792B70">
        <w:trPr>
          <w:cnfStyle w:val="000000010000" w:firstRow="0" w:lastRow="0" w:firstColumn="0" w:lastColumn="0" w:oddVBand="0" w:evenVBand="0" w:oddHBand="0" w:evenHBand="1" w:firstRowFirstColumn="0" w:firstRowLastColumn="0" w:lastRowFirstColumn="0" w:lastRowLastColumn="0"/>
          <w:cantSplit/>
        </w:trPr>
        <w:tc>
          <w:tcPr>
            <w:tcW w:w="1101" w:type="pct"/>
            <w:vMerge w:val="restart"/>
            <w:shd w:val="clear" w:color="auto" w:fill="FFFFFF" w:themeFill="background1"/>
          </w:tcPr>
          <w:p w14:paraId="738AED3F" w14:textId="6D3E5B06" w:rsidR="00B63D8F" w:rsidRPr="00792B70" w:rsidRDefault="00B63D8F" w:rsidP="008F2E35">
            <w:pPr>
              <w:pStyle w:val="TableBodyText"/>
              <w:keepNext/>
              <w:spacing w:before="40" w:after="40"/>
              <w:rPr>
                <w:sz w:val="17"/>
                <w:szCs w:val="17"/>
              </w:rPr>
            </w:pPr>
            <w:r w:rsidRPr="00792B70">
              <w:rPr>
                <w:sz w:val="17"/>
                <w:szCs w:val="17"/>
              </w:rPr>
              <w:t xml:space="preserve">Spring Gully Pipeline </w:t>
            </w:r>
          </w:p>
        </w:tc>
        <w:tc>
          <w:tcPr>
            <w:tcW w:w="978" w:type="pct"/>
            <w:shd w:val="clear" w:color="auto" w:fill="FFFFFF" w:themeFill="background1"/>
          </w:tcPr>
          <w:p w14:paraId="33BC8DE9" w14:textId="77777777" w:rsidR="00B63D8F" w:rsidRPr="00792B70" w:rsidRDefault="00B63D8F" w:rsidP="008F2E35">
            <w:pPr>
              <w:pStyle w:val="TableBodyText"/>
              <w:keepNext/>
              <w:spacing w:before="40" w:after="40"/>
              <w:rPr>
                <w:sz w:val="17"/>
                <w:szCs w:val="17"/>
              </w:rPr>
            </w:pPr>
            <w:r w:rsidRPr="00792B70">
              <w:rPr>
                <w:sz w:val="17"/>
                <w:szCs w:val="17"/>
              </w:rPr>
              <w:t>To Wallumbilla</w:t>
            </w:r>
          </w:p>
        </w:tc>
        <w:tc>
          <w:tcPr>
            <w:tcW w:w="713" w:type="pct"/>
            <w:shd w:val="clear" w:color="auto" w:fill="FFFFFF" w:themeFill="background1"/>
          </w:tcPr>
          <w:p w14:paraId="639CFF94" w14:textId="77777777" w:rsidR="00B63D8F" w:rsidRPr="00792B70" w:rsidRDefault="00B63D8F" w:rsidP="008F2E35">
            <w:pPr>
              <w:pStyle w:val="TableBodyText"/>
              <w:keepNext/>
              <w:spacing w:before="40" w:after="40"/>
              <w:jc w:val="center"/>
              <w:rPr>
                <w:sz w:val="17"/>
                <w:szCs w:val="17"/>
              </w:rPr>
            </w:pPr>
            <w:r w:rsidRPr="00792B70">
              <w:rPr>
                <w:sz w:val="17"/>
                <w:szCs w:val="17"/>
              </w:rPr>
              <w:t>142</w:t>
            </w:r>
          </w:p>
        </w:tc>
        <w:tc>
          <w:tcPr>
            <w:tcW w:w="713" w:type="pct"/>
            <w:shd w:val="clear" w:color="auto" w:fill="FFFFFF" w:themeFill="background1"/>
          </w:tcPr>
          <w:p w14:paraId="1905CC1A" w14:textId="77777777" w:rsidR="00B63D8F" w:rsidRPr="00792B70" w:rsidRDefault="00B63D8F" w:rsidP="008F2E35">
            <w:pPr>
              <w:pStyle w:val="TableBodyText"/>
              <w:keepNext/>
              <w:spacing w:before="40" w:after="40"/>
              <w:jc w:val="center"/>
              <w:rPr>
                <w:sz w:val="17"/>
                <w:szCs w:val="17"/>
              </w:rPr>
            </w:pPr>
            <w:r w:rsidRPr="00792B70">
              <w:rPr>
                <w:sz w:val="17"/>
                <w:szCs w:val="17"/>
              </w:rPr>
              <w:t>100%</w:t>
            </w:r>
          </w:p>
        </w:tc>
        <w:tc>
          <w:tcPr>
            <w:tcW w:w="474" w:type="pct"/>
            <w:shd w:val="clear" w:color="auto" w:fill="FFFFFF" w:themeFill="background1"/>
          </w:tcPr>
          <w:p w14:paraId="0E73B42D" w14:textId="77777777" w:rsidR="00B63D8F" w:rsidRPr="00792B70" w:rsidRDefault="00B63D8F" w:rsidP="008F2E35">
            <w:pPr>
              <w:pStyle w:val="TableBodyText"/>
              <w:keepNext/>
              <w:spacing w:before="40" w:after="40"/>
              <w:jc w:val="center"/>
              <w:rPr>
                <w:b/>
                <w:sz w:val="17"/>
                <w:szCs w:val="17"/>
                <w:highlight w:val="yellow"/>
                <w:lang w:eastAsia="fr-CA"/>
              </w:rPr>
            </w:pPr>
            <w:r w:rsidRPr="00792B70">
              <w:rPr>
                <w:b/>
                <w:sz w:val="17"/>
                <w:szCs w:val="17"/>
              </w:rPr>
              <w:t>x</w:t>
            </w:r>
          </w:p>
        </w:tc>
        <w:tc>
          <w:tcPr>
            <w:tcW w:w="508" w:type="pct"/>
            <w:shd w:val="clear" w:color="auto" w:fill="FFFFFF" w:themeFill="background1"/>
          </w:tcPr>
          <w:p w14:paraId="07D3D4B4" w14:textId="77777777" w:rsidR="00B63D8F" w:rsidRPr="00792B70" w:rsidRDefault="00B63D8F" w:rsidP="008F2E35">
            <w:pPr>
              <w:pStyle w:val="TableBodyText"/>
              <w:keepNext/>
              <w:spacing w:before="40" w:after="40"/>
              <w:jc w:val="center"/>
              <w:rPr>
                <w:b/>
                <w:sz w:val="17"/>
                <w:szCs w:val="17"/>
                <w:highlight w:val="yellow"/>
                <w:lang w:eastAsia="fr-CA"/>
              </w:rPr>
            </w:pPr>
            <w:r w:rsidRPr="00792B70">
              <w:rPr>
                <w:b/>
                <w:sz w:val="17"/>
                <w:szCs w:val="17"/>
              </w:rPr>
              <w:t>x</w:t>
            </w:r>
          </w:p>
        </w:tc>
        <w:tc>
          <w:tcPr>
            <w:tcW w:w="513" w:type="pct"/>
            <w:shd w:val="clear" w:color="auto" w:fill="FFFFFF" w:themeFill="background1"/>
          </w:tcPr>
          <w:p w14:paraId="6493B343" w14:textId="77777777" w:rsidR="00B63D8F" w:rsidRPr="00792B70" w:rsidRDefault="00B63D8F" w:rsidP="008F2E35">
            <w:pPr>
              <w:pStyle w:val="TableBodyText"/>
              <w:keepNext/>
              <w:spacing w:before="40" w:after="40"/>
              <w:jc w:val="center"/>
              <w:rPr>
                <w:b/>
                <w:sz w:val="17"/>
                <w:szCs w:val="17"/>
                <w:highlight w:val="yellow"/>
                <w:lang w:eastAsia="fr-CA"/>
              </w:rPr>
            </w:pPr>
            <w:r w:rsidRPr="00792B70">
              <w:rPr>
                <w:b/>
                <w:sz w:val="17"/>
                <w:szCs w:val="17"/>
              </w:rPr>
              <w:t>x</w:t>
            </w:r>
          </w:p>
        </w:tc>
      </w:tr>
      <w:tr w:rsidR="00792B70" w:rsidRPr="00792B70" w14:paraId="24C3104A" w14:textId="77777777" w:rsidTr="00792B70">
        <w:trPr>
          <w:cantSplit/>
        </w:trPr>
        <w:tc>
          <w:tcPr>
            <w:tcW w:w="1101" w:type="pct"/>
            <w:vMerge/>
            <w:shd w:val="clear" w:color="auto" w:fill="FFFFFF" w:themeFill="background1"/>
          </w:tcPr>
          <w:p w14:paraId="6BCD8DAD" w14:textId="79B48E10" w:rsidR="00B63D8F" w:rsidRPr="00792B70" w:rsidRDefault="00B63D8F" w:rsidP="008F2E35">
            <w:pPr>
              <w:pStyle w:val="TableBodyText"/>
              <w:keepNext/>
              <w:spacing w:before="40" w:after="40"/>
              <w:rPr>
                <w:sz w:val="17"/>
                <w:szCs w:val="17"/>
              </w:rPr>
            </w:pPr>
          </w:p>
        </w:tc>
        <w:tc>
          <w:tcPr>
            <w:tcW w:w="978" w:type="pct"/>
            <w:shd w:val="clear" w:color="auto" w:fill="FFFFFF" w:themeFill="background1"/>
          </w:tcPr>
          <w:p w14:paraId="47C1266D" w14:textId="77777777" w:rsidR="00B63D8F" w:rsidRPr="00792B70" w:rsidRDefault="00B63D8F" w:rsidP="008F2E35">
            <w:pPr>
              <w:pStyle w:val="TableBodyText"/>
              <w:keepNext/>
              <w:spacing w:before="40" w:after="40"/>
              <w:rPr>
                <w:sz w:val="17"/>
                <w:szCs w:val="17"/>
              </w:rPr>
            </w:pPr>
            <w:r w:rsidRPr="00792B70">
              <w:rPr>
                <w:sz w:val="17"/>
                <w:szCs w:val="17"/>
              </w:rPr>
              <w:t>To Spring Gully</w:t>
            </w:r>
          </w:p>
        </w:tc>
        <w:tc>
          <w:tcPr>
            <w:tcW w:w="713" w:type="pct"/>
            <w:shd w:val="clear" w:color="auto" w:fill="FFFFFF" w:themeFill="background1"/>
          </w:tcPr>
          <w:p w14:paraId="57EBF1BF" w14:textId="77777777" w:rsidR="00B63D8F" w:rsidRPr="00792B70" w:rsidRDefault="00B63D8F" w:rsidP="008F2E35">
            <w:pPr>
              <w:pStyle w:val="TableBodyText"/>
              <w:keepNext/>
              <w:spacing w:before="40" w:after="40"/>
              <w:jc w:val="center"/>
              <w:rPr>
                <w:sz w:val="17"/>
                <w:szCs w:val="17"/>
              </w:rPr>
            </w:pPr>
            <w:r w:rsidRPr="00792B70">
              <w:rPr>
                <w:sz w:val="17"/>
                <w:szCs w:val="17"/>
              </w:rPr>
              <w:t>40</w:t>
            </w:r>
          </w:p>
        </w:tc>
        <w:tc>
          <w:tcPr>
            <w:tcW w:w="713" w:type="pct"/>
            <w:shd w:val="clear" w:color="auto" w:fill="FFFFFF" w:themeFill="background1"/>
          </w:tcPr>
          <w:p w14:paraId="11A6178A" w14:textId="77777777" w:rsidR="00B63D8F" w:rsidRPr="00792B70" w:rsidRDefault="00B63D8F" w:rsidP="008F2E35">
            <w:pPr>
              <w:pStyle w:val="TableBodyText"/>
              <w:keepNext/>
              <w:spacing w:before="40" w:after="40"/>
              <w:jc w:val="center"/>
              <w:rPr>
                <w:sz w:val="17"/>
                <w:szCs w:val="17"/>
              </w:rPr>
            </w:pPr>
            <w:r w:rsidRPr="00792B70">
              <w:rPr>
                <w:sz w:val="17"/>
                <w:szCs w:val="17"/>
              </w:rPr>
              <w:t>100%</w:t>
            </w:r>
          </w:p>
        </w:tc>
        <w:tc>
          <w:tcPr>
            <w:tcW w:w="474" w:type="pct"/>
            <w:shd w:val="clear" w:color="auto" w:fill="FFFFFF" w:themeFill="background1"/>
          </w:tcPr>
          <w:p w14:paraId="2BE1B2DF" w14:textId="77777777" w:rsidR="00B63D8F" w:rsidRPr="00792B70" w:rsidRDefault="00B63D8F" w:rsidP="008F2E35">
            <w:pPr>
              <w:pStyle w:val="TableBodyText"/>
              <w:keepNext/>
              <w:spacing w:before="40" w:after="40"/>
              <w:jc w:val="center"/>
              <w:rPr>
                <w:b/>
                <w:sz w:val="17"/>
                <w:szCs w:val="17"/>
                <w:highlight w:val="yellow"/>
                <w:lang w:eastAsia="fr-CA"/>
              </w:rPr>
            </w:pPr>
            <w:r w:rsidRPr="00792B70">
              <w:rPr>
                <w:b/>
                <w:sz w:val="17"/>
                <w:szCs w:val="17"/>
              </w:rPr>
              <w:t>x</w:t>
            </w:r>
          </w:p>
        </w:tc>
        <w:tc>
          <w:tcPr>
            <w:tcW w:w="508" w:type="pct"/>
            <w:shd w:val="clear" w:color="auto" w:fill="FFFFFF" w:themeFill="background1"/>
          </w:tcPr>
          <w:p w14:paraId="0C97CF29" w14:textId="77777777" w:rsidR="00B63D8F" w:rsidRPr="00792B70" w:rsidRDefault="00B63D8F" w:rsidP="008F2E35">
            <w:pPr>
              <w:pStyle w:val="TableBodyText"/>
              <w:keepNext/>
              <w:spacing w:before="40" w:after="40"/>
              <w:jc w:val="center"/>
              <w:rPr>
                <w:b/>
                <w:sz w:val="17"/>
                <w:szCs w:val="17"/>
                <w:highlight w:val="yellow"/>
                <w:lang w:eastAsia="fr-CA"/>
              </w:rPr>
            </w:pPr>
            <w:r w:rsidRPr="00792B70">
              <w:rPr>
                <w:b/>
                <w:sz w:val="17"/>
                <w:szCs w:val="17"/>
              </w:rPr>
              <w:t>x</w:t>
            </w:r>
          </w:p>
        </w:tc>
        <w:tc>
          <w:tcPr>
            <w:tcW w:w="513" w:type="pct"/>
            <w:shd w:val="clear" w:color="auto" w:fill="FFFFFF" w:themeFill="background1"/>
          </w:tcPr>
          <w:p w14:paraId="36F30993" w14:textId="77777777" w:rsidR="00B63D8F" w:rsidRPr="00792B70" w:rsidRDefault="00B63D8F" w:rsidP="008F2E35">
            <w:pPr>
              <w:pStyle w:val="TableBodyText"/>
              <w:keepNext/>
              <w:spacing w:before="40" w:after="40"/>
              <w:jc w:val="center"/>
              <w:rPr>
                <w:b/>
                <w:sz w:val="17"/>
                <w:szCs w:val="17"/>
                <w:highlight w:val="yellow"/>
                <w:lang w:eastAsia="fr-CA"/>
              </w:rPr>
            </w:pPr>
            <w:r w:rsidRPr="00792B70">
              <w:rPr>
                <w:b/>
                <w:sz w:val="17"/>
                <w:szCs w:val="17"/>
              </w:rPr>
              <w:t>x</w:t>
            </w:r>
          </w:p>
        </w:tc>
      </w:tr>
      <w:tr w:rsidR="00792B70" w:rsidRPr="00792B70" w14:paraId="53593749" w14:textId="77777777" w:rsidTr="00792B70">
        <w:trPr>
          <w:cnfStyle w:val="000000010000" w:firstRow="0" w:lastRow="0" w:firstColumn="0" w:lastColumn="0" w:oddVBand="0" w:evenVBand="0" w:oddHBand="0" w:evenHBand="1" w:firstRowFirstColumn="0" w:firstRowLastColumn="0" w:lastRowFirstColumn="0" w:lastRowLastColumn="0"/>
          <w:cantSplit/>
        </w:trPr>
        <w:tc>
          <w:tcPr>
            <w:tcW w:w="1101" w:type="pct"/>
            <w:vMerge w:val="restart"/>
          </w:tcPr>
          <w:p w14:paraId="097866EA" w14:textId="1D0686E8" w:rsidR="00B63D8F" w:rsidRPr="00792B70" w:rsidRDefault="00B63D8F" w:rsidP="00E452A3">
            <w:pPr>
              <w:pStyle w:val="TableBodyText"/>
              <w:keepNext/>
              <w:spacing w:before="40" w:after="40"/>
              <w:rPr>
                <w:sz w:val="17"/>
                <w:szCs w:val="17"/>
                <w:highlight w:val="yellow"/>
                <w:lang w:eastAsia="fr-CA"/>
              </w:rPr>
            </w:pPr>
            <w:proofErr w:type="spellStart"/>
            <w:r w:rsidRPr="00792B70">
              <w:rPr>
                <w:sz w:val="17"/>
                <w:szCs w:val="17"/>
              </w:rPr>
              <w:t>Berwyndale</w:t>
            </w:r>
            <w:proofErr w:type="spellEnd"/>
            <w:r w:rsidRPr="00792B70">
              <w:rPr>
                <w:sz w:val="17"/>
                <w:szCs w:val="17"/>
              </w:rPr>
              <w:t xml:space="preserve"> to Wallumbilla Pipeline </w:t>
            </w:r>
          </w:p>
        </w:tc>
        <w:tc>
          <w:tcPr>
            <w:tcW w:w="978" w:type="pct"/>
            <w:tcBorders>
              <w:bottom w:val="single" w:sz="4" w:space="0" w:color="auto"/>
            </w:tcBorders>
          </w:tcPr>
          <w:p w14:paraId="6B10CF42" w14:textId="77777777" w:rsidR="00B63D8F" w:rsidRPr="00792B70" w:rsidRDefault="00B63D8F" w:rsidP="00E452A3">
            <w:pPr>
              <w:pStyle w:val="TableBodyText"/>
              <w:keepNext/>
              <w:spacing w:before="40" w:after="40"/>
              <w:rPr>
                <w:sz w:val="17"/>
                <w:szCs w:val="17"/>
                <w:highlight w:val="yellow"/>
                <w:lang w:eastAsia="fr-CA"/>
              </w:rPr>
            </w:pPr>
            <w:r w:rsidRPr="00792B70">
              <w:rPr>
                <w:sz w:val="17"/>
                <w:szCs w:val="17"/>
              </w:rPr>
              <w:t>To Wallumbilla</w:t>
            </w:r>
          </w:p>
        </w:tc>
        <w:tc>
          <w:tcPr>
            <w:tcW w:w="713" w:type="pct"/>
            <w:tcBorders>
              <w:bottom w:val="single" w:sz="4" w:space="0" w:color="auto"/>
            </w:tcBorders>
          </w:tcPr>
          <w:p w14:paraId="7EEC1647" w14:textId="77777777" w:rsidR="00B63D8F" w:rsidRPr="00792B70" w:rsidRDefault="00B63D8F" w:rsidP="00E452A3">
            <w:pPr>
              <w:pStyle w:val="TableBodyText"/>
              <w:keepNext/>
              <w:spacing w:before="40" w:after="40"/>
              <w:jc w:val="center"/>
              <w:rPr>
                <w:sz w:val="17"/>
                <w:szCs w:val="17"/>
                <w:highlight w:val="yellow"/>
                <w:lang w:eastAsia="fr-CA"/>
              </w:rPr>
            </w:pPr>
            <w:r w:rsidRPr="00792B70">
              <w:rPr>
                <w:sz w:val="17"/>
                <w:szCs w:val="17"/>
              </w:rPr>
              <w:t>164</w:t>
            </w:r>
          </w:p>
        </w:tc>
        <w:tc>
          <w:tcPr>
            <w:tcW w:w="713" w:type="pct"/>
            <w:tcBorders>
              <w:bottom w:val="single" w:sz="4" w:space="0" w:color="auto"/>
            </w:tcBorders>
          </w:tcPr>
          <w:p w14:paraId="421F9303" w14:textId="77777777" w:rsidR="00B63D8F" w:rsidRPr="00792B70" w:rsidRDefault="00B63D8F" w:rsidP="00E452A3">
            <w:pPr>
              <w:pStyle w:val="TableBodyText"/>
              <w:keepNext/>
              <w:spacing w:before="40" w:after="40"/>
              <w:jc w:val="center"/>
              <w:rPr>
                <w:sz w:val="17"/>
                <w:szCs w:val="17"/>
                <w:highlight w:val="yellow"/>
                <w:lang w:eastAsia="fr-CA"/>
              </w:rPr>
            </w:pPr>
            <w:r w:rsidRPr="00792B70">
              <w:rPr>
                <w:sz w:val="17"/>
                <w:szCs w:val="17"/>
              </w:rPr>
              <w:t>92%</w:t>
            </w:r>
          </w:p>
        </w:tc>
        <w:tc>
          <w:tcPr>
            <w:tcW w:w="474" w:type="pct"/>
            <w:tcBorders>
              <w:bottom w:val="single" w:sz="4" w:space="0" w:color="auto"/>
            </w:tcBorders>
          </w:tcPr>
          <w:p w14:paraId="50579F3F" w14:textId="77777777" w:rsidR="00B63D8F" w:rsidRPr="00792B70" w:rsidRDefault="00B63D8F" w:rsidP="00E452A3">
            <w:pPr>
              <w:pStyle w:val="TableBodyText"/>
              <w:keepNext/>
              <w:spacing w:before="40" w:after="40"/>
              <w:jc w:val="center"/>
              <w:rPr>
                <w:b/>
                <w:sz w:val="17"/>
                <w:szCs w:val="17"/>
                <w:highlight w:val="yellow"/>
                <w:lang w:eastAsia="fr-CA"/>
              </w:rPr>
            </w:pPr>
          </w:p>
        </w:tc>
        <w:tc>
          <w:tcPr>
            <w:tcW w:w="508" w:type="pct"/>
            <w:tcBorders>
              <w:bottom w:val="single" w:sz="4" w:space="0" w:color="auto"/>
            </w:tcBorders>
          </w:tcPr>
          <w:p w14:paraId="4C8526D4" w14:textId="77777777" w:rsidR="00B63D8F" w:rsidRPr="00792B70" w:rsidRDefault="00B63D8F" w:rsidP="00E452A3">
            <w:pPr>
              <w:pStyle w:val="TableBodyText"/>
              <w:keepNext/>
              <w:spacing w:before="40" w:after="40"/>
              <w:jc w:val="center"/>
              <w:rPr>
                <w:b/>
                <w:sz w:val="17"/>
                <w:szCs w:val="17"/>
                <w:highlight w:val="yellow"/>
                <w:lang w:eastAsia="fr-CA"/>
              </w:rPr>
            </w:pPr>
          </w:p>
        </w:tc>
        <w:tc>
          <w:tcPr>
            <w:tcW w:w="513" w:type="pct"/>
            <w:tcBorders>
              <w:bottom w:val="single" w:sz="4" w:space="0" w:color="auto"/>
            </w:tcBorders>
          </w:tcPr>
          <w:p w14:paraId="2B2F5EEB" w14:textId="77777777" w:rsidR="00B63D8F" w:rsidRPr="00792B70" w:rsidRDefault="00B63D8F" w:rsidP="00E452A3">
            <w:pPr>
              <w:pStyle w:val="TableBodyText"/>
              <w:keepNext/>
              <w:spacing w:before="40" w:after="40"/>
              <w:jc w:val="center"/>
              <w:rPr>
                <w:b/>
                <w:sz w:val="17"/>
                <w:szCs w:val="17"/>
                <w:highlight w:val="yellow"/>
                <w:lang w:eastAsia="fr-CA"/>
              </w:rPr>
            </w:pPr>
            <w:r w:rsidRPr="00792B70">
              <w:rPr>
                <w:b/>
                <w:sz w:val="17"/>
                <w:szCs w:val="17"/>
              </w:rPr>
              <w:t>x</w:t>
            </w:r>
          </w:p>
        </w:tc>
      </w:tr>
      <w:tr w:rsidR="00792B70" w:rsidRPr="00792B70" w14:paraId="73DEF341" w14:textId="77777777" w:rsidTr="00792B70">
        <w:trPr>
          <w:cantSplit/>
        </w:trPr>
        <w:tc>
          <w:tcPr>
            <w:tcW w:w="1101" w:type="pct"/>
            <w:vMerge/>
            <w:tcBorders>
              <w:bottom w:val="single" w:sz="4" w:space="0" w:color="auto"/>
            </w:tcBorders>
          </w:tcPr>
          <w:p w14:paraId="20AAC429" w14:textId="2E2996E0" w:rsidR="00B63D8F" w:rsidRPr="00792B70" w:rsidRDefault="00B63D8F" w:rsidP="00E452A3">
            <w:pPr>
              <w:pStyle w:val="TableBodyText"/>
              <w:keepNext/>
              <w:spacing w:before="40" w:after="40"/>
              <w:rPr>
                <w:sz w:val="17"/>
                <w:szCs w:val="17"/>
                <w:highlight w:val="yellow"/>
                <w:lang w:eastAsia="fr-CA"/>
              </w:rPr>
            </w:pPr>
          </w:p>
        </w:tc>
        <w:tc>
          <w:tcPr>
            <w:tcW w:w="978" w:type="pct"/>
            <w:tcBorders>
              <w:bottom w:val="single" w:sz="4" w:space="0" w:color="auto"/>
            </w:tcBorders>
            <w:shd w:val="clear" w:color="auto" w:fill="E1E2E7" w:themeFill="background2"/>
          </w:tcPr>
          <w:p w14:paraId="52342E2A" w14:textId="77777777" w:rsidR="00B63D8F" w:rsidRPr="00792B70" w:rsidRDefault="00B63D8F" w:rsidP="00E452A3">
            <w:pPr>
              <w:pStyle w:val="TableBodyText"/>
              <w:keepNext/>
              <w:spacing w:before="40" w:after="40"/>
              <w:rPr>
                <w:sz w:val="17"/>
                <w:szCs w:val="17"/>
                <w:highlight w:val="yellow"/>
                <w:lang w:eastAsia="fr-CA"/>
              </w:rPr>
            </w:pPr>
            <w:r w:rsidRPr="00792B70">
              <w:rPr>
                <w:sz w:val="17"/>
                <w:szCs w:val="17"/>
              </w:rPr>
              <w:t>To Roma</w:t>
            </w:r>
          </w:p>
        </w:tc>
        <w:tc>
          <w:tcPr>
            <w:tcW w:w="713" w:type="pct"/>
            <w:tcBorders>
              <w:bottom w:val="single" w:sz="4" w:space="0" w:color="auto"/>
            </w:tcBorders>
            <w:shd w:val="clear" w:color="auto" w:fill="E1E2E7" w:themeFill="background2"/>
          </w:tcPr>
          <w:p w14:paraId="36DBCFDC" w14:textId="77777777" w:rsidR="00B63D8F" w:rsidRPr="00792B70" w:rsidRDefault="00B63D8F" w:rsidP="00E452A3">
            <w:pPr>
              <w:pStyle w:val="TableBodyText"/>
              <w:keepNext/>
              <w:spacing w:before="40" w:after="40"/>
              <w:jc w:val="center"/>
              <w:rPr>
                <w:sz w:val="17"/>
                <w:szCs w:val="17"/>
                <w:highlight w:val="yellow"/>
                <w:lang w:eastAsia="fr-CA"/>
              </w:rPr>
            </w:pPr>
            <w:r w:rsidRPr="00792B70">
              <w:rPr>
                <w:sz w:val="17"/>
                <w:szCs w:val="17"/>
              </w:rPr>
              <w:t>276</w:t>
            </w:r>
          </w:p>
        </w:tc>
        <w:tc>
          <w:tcPr>
            <w:tcW w:w="713" w:type="pct"/>
            <w:tcBorders>
              <w:bottom w:val="single" w:sz="4" w:space="0" w:color="auto"/>
            </w:tcBorders>
            <w:shd w:val="clear" w:color="auto" w:fill="E1E2E7" w:themeFill="background2"/>
          </w:tcPr>
          <w:p w14:paraId="29C1F328" w14:textId="77777777" w:rsidR="00B63D8F" w:rsidRPr="00792B70" w:rsidRDefault="00B63D8F" w:rsidP="00E452A3">
            <w:pPr>
              <w:pStyle w:val="TableBodyText"/>
              <w:keepNext/>
              <w:spacing w:before="40" w:after="40"/>
              <w:jc w:val="center"/>
              <w:rPr>
                <w:sz w:val="17"/>
                <w:szCs w:val="17"/>
                <w:highlight w:val="yellow"/>
                <w:lang w:eastAsia="fr-CA"/>
              </w:rPr>
            </w:pPr>
            <w:r w:rsidRPr="00792B70">
              <w:rPr>
                <w:sz w:val="17"/>
                <w:szCs w:val="17"/>
              </w:rPr>
              <w:t>0%</w:t>
            </w:r>
          </w:p>
        </w:tc>
        <w:tc>
          <w:tcPr>
            <w:tcW w:w="474" w:type="pct"/>
            <w:tcBorders>
              <w:bottom w:val="single" w:sz="4" w:space="0" w:color="auto"/>
            </w:tcBorders>
            <w:shd w:val="clear" w:color="auto" w:fill="E1E2E7" w:themeFill="background2"/>
          </w:tcPr>
          <w:p w14:paraId="1099FCE8" w14:textId="77777777" w:rsidR="00B63D8F" w:rsidRPr="00792B70" w:rsidRDefault="00B63D8F" w:rsidP="00E452A3">
            <w:pPr>
              <w:pStyle w:val="TableBodyText"/>
              <w:keepNext/>
              <w:spacing w:before="40" w:after="40"/>
              <w:jc w:val="center"/>
              <w:rPr>
                <w:b/>
                <w:sz w:val="17"/>
                <w:szCs w:val="17"/>
                <w:highlight w:val="yellow"/>
                <w:lang w:eastAsia="fr-CA"/>
              </w:rPr>
            </w:pPr>
          </w:p>
        </w:tc>
        <w:tc>
          <w:tcPr>
            <w:tcW w:w="508" w:type="pct"/>
            <w:tcBorders>
              <w:bottom w:val="single" w:sz="4" w:space="0" w:color="auto"/>
            </w:tcBorders>
            <w:shd w:val="clear" w:color="auto" w:fill="E1E2E7" w:themeFill="background2"/>
          </w:tcPr>
          <w:p w14:paraId="7E880CAC" w14:textId="77777777" w:rsidR="00B63D8F" w:rsidRPr="00792B70" w:rsidRDefault="00B63D8F" w:rsidP="00E452A3">
            <w:pPr>
              <w:pStyle w:val="TableBodyText"/>
              <w:keepNext/>
              <w:spacing w:before="40" w:after="40"/>
              <w:jc w:val="center"/>
              <w:rPr>
                <w:b/>
                <w:sz w:val="17"/>
                <w:szCs w:val="17"/>
                <w:highlight w:val="yellow"/>
                <w:lang w:eastAsia="fr-CA"/>
              </w:rPr>
            </w:pPr>
          </w:p>
        </w:tc>
        <w:tc>
          <w:tcPr>
            <w:tcW w:w="513" w:type="pct"/>
            <w:tcBorders>
              <w:bottom w:val="single" w:sz="4" w:space="0" w:color="auto"/>
            </w:tcBorders>
            <w:shd w:val="clear" w:color="auto" w:fill="E1E2E7" w:themeFill="background2"/>
          </w:tcPr>
          <w:p w14:paraId="445B0BC2" w14:textId="77777777" w:rsidR="00B63D8F" w:rsidRPr="00792B70" w:rsidRDefault="00B63D8F" w:rsidP="00E452A3">
            <w:pPr>
              <w:pStyle w:val="TableBodyText"/>
              <w:keepNext/>
              <w:spacing w:before="40" w:after="40"/>
              <w:jc w:val="center"/>
              <w:rPr>
                <w:b/>
                <w:sz w:val="17"/>
                <w:szCs w:val="17"/>
                <w:highlight w:val="yellow"/>
                <w:lang w:eastAsia="fr-CA"/>
              </w:rPr>
            </w:pPr>
          </w:p>
        </w:tc>
      </w:tr>
      <w:tr w:rsidR="00792B70" w:rsidRPr="00792B70" w14:paraId="760B84E9" w14:textId="77777777" w:rsidTr="00792B70">
        <w:trPr>
          <w:cnfStyle w:val="000000010000" w:firstRow="0" w:lastRow="0" w:firstColumn="0" w:lastColumn="0" w:oddVBand="0" w:evenVBand="0" w:oddHBand="0" w:evenHBand="1" w:firstRowFirstColumn="0" w:firstRowLastColumn="0" w:lastRowFirstColumn="0" w:lastRowLastColumn="0"/>
          <w:cantSplit/>
        </w:trPr>
        <w:tc>
          <w:tcPr>
            <w:tcW w:w="1101" w:type="pct"/>
            <w:vMerge w:val="restart"/>
            <w:shd w:val="clear" w:color="auto" w:fill="FFFFFF" w:themeFill="background1"/>
          </w:tcPr>
          <w:p w14:paraId="29039212" w14:textId="43F54004" w:rsidR="00B63D8F" w:rsidRPr="00792B70" w:rsidRDefault="00B63D8F" w:rsidP="008F2E35">
            <w:pPr>
              <w:pStyle w:val="TableBodyText"/>
              <w:keepNext/>
              <w:spacing w:before="40" w:after="40"/>
              <w:rPr>
                <w:sz w:val="17"/>
                <w:szCs w:val="17"/>
                <w:highlight w:val="yellow"/>
                <w:lang w:eastAsia="fr-CA"/>
              </w:rPr>
            </w:pPr>
            <w:r w:rsidRPr="00792B70">
              <w:rPr>
                <w:sz w:val="17"/>
                <w:szCs w:val="17"/>
              </w:rPr>
              <w:t xml:space="preserve">Queensland Gas Pipeline </w:t>
            </w:r>
          </w:p>
        </w:tc>
        <w:tc>
          <w:tcPr>
            <w:tcW w:w="978" w:type="pct"/>
            <w:shd w:val="clear" w:color="auto" w:fill="FFFFFF" w:themeFill="background1"/>
          </w:tcPr>
          <w:p w14:paraId="090775F0" w14:textId="77777777" w:rsidR="00B63D8F" w:rsidRPr="00792B70" w:rsidRDefault="00B63D8F" w:rsidP="008F2E35">
            <w:pPr>
              <w:pStyle w:val="TableBodyText"/>
              <w:keepNext/>
              <w:spacing w:before="40" w:after="40"/>
              <w:rPr>
                <w:sz w:val="17"/>
                <w:szCs w:val="17"/>
                <w:highlight w:val="yellow"/>
                <w:lang w:eastAsia="fr-CA"/>
              </w:rPr>
            </w:pPr>
            <w:r w:rsidRPr="00792B70">
              <w:rPr>
                <w:sz w:val="17"/>
                <w:szCs w:val="17"/>
              </w:rPr>
              <w:t>To Gladstone</w:t>
            </w:r>
          </w:p>
        </w:tc>
        <w:tc>
          <w:tcPr>
            <w:tcW w:w="713" w:type="pct"/>
            <w:shd w:val="clear" w:color="auto" w:fill="FFFFFF" w:themeFill="background1"/>
          </w:tcPr>
          <w:p w14:paraId="7E4430E8" w14:textId="77777777" w:rsidR="00B63D8F" w:rsidRPr="00792B70" w:rsidRDefault="00B63D8F" w:rsidP="008F2E35">
            <w:pPr>
              <w:pStyle w:val="TableBodyText"/>
              <w:keepNext/>
              <w:spacing w:before="40" w:after="40"/>
              <w:jc w:val="center"/>
              <w:rPr>
                <w:sz w:val="17"/>
                <w:szCs w:val="17"/>
                <w:highlight w:val="yellow"/>
                <w:lang w:eastAsia="fr-CA"/>
              </w:rPr>
            </w:pPr>
            <w:r w:rsidRPr="00792B70">
              <w:rPr>
                <w:sz w:val="17"/>
                <w:szCs w:val="17"/>
              </w:rPr>
              <w:t>138</w:t>
            </w:r>
          </w:p>
        </w:tc>
        <w:tc>
          <w:tcPr>
            <w:tcW w:w="713" w:type="pct"/>
            <w:shd w:val="clear" w:color="auto" w:fill="FFFFFF" w:themeFill="background1"/>
          </w:tcPr>
          <w:p w14:paraId="19152161" w14:textId="77777777" w:rsidR="00B63D8F" w:rsidRPr="00792B70" w:rsidRDefault="00B63D8F" w:rsidP="008F2E35">
            <w:pPr>
              <w:pStyle w:val="TableBodyText"/>
              <w:keepNext/>
              <w:spacing w:before="40" w:after="40"/>
              <w:jc w:val="center"/>
              <w:rPr>
                <w:sz w:val="17"/>
                <w:szCs w:val="17"/>
                <w:highlight w:val="yellow"/>
                <w:lang w:eastAsia="fr-CA"/>
              </w:rPr>
            </w:pPr>
            <w:r w:rsidRPr="00792B70">
              <w:rPr>
                <w:sz w:val="17"/>
                <w:szCs w:val="17"/>
              </w:rPr>
              <w:t>91%</w:t>
            </w:r>
          </w:p>
        </w:tc>
        <w:tc>
          <w:tcPr>
            <w:tcW w:w="474" w:type="pct"/>
            <w:shd w:val="clear" w:color="auto" w:fill="FFFFFF" w:themeFill="background1"/>
          </w:tcPr>
          <w:p w14:paraId="5AAE4BB2" w14:textId="77777777" w:rsidR="00B63D8F" w:rsidRPr="00792B70" w:rsidRDefault="00B63D8F" w:rsidP="008F2E35">
            <w:pPr>
              <w:pStyle w:val="TableBodyText"/>
              <w:keepNext/>
              <w:spacing w:before="40" w:after="40"/>
              <w:jc w:val="center"/>
              <w:rPr>
                <w:b/>
                <w:sz w:val="17"/>
                <w:szCs w:val="17"/>
                <w:highlight w:val="yellow"/>
                <w:lang w:eastAsia="fr-CA"/>
              </w:rPr>
            </w:pPr>
          </w:p>
        </w:tc>
        <w:tc>
          <w:tcPr>
            <w:tcW w:w="508" w:type="pct"/>
            <w:shd w:val="clear" w:color="auto" w:fill="FFFFFF" w:themeFill="background1"/>
          </w:tcPr>
          <w:p w14:paraId="6B9AD41D" w14:textId="77777777" w:rsidR="00B63D8F" w:rsidRPr="00792B70" w:rsidRDefault="00B63D8F" w:rsidP="008F2E35">
            <w:pPr>
              <w:pStyle w:val="TableBodyText"/>
              <w:keepNext/>
              <w:spacing w:before="40" w:after="40"/>
              <w:jc w:val="center"/>
              <w:rPr>
                <w:b/>
                <w:sz w:val="17"/>
                <w:szCs w:val="17"/>
                <w:highlight w:val="yellow"/>
                <w:lang w:eastAsia="fr-CA"/>
              </w:rPr>
            </w:pPr>
          </w:p>
        </w:tc>
        <w:tc>
          <w:tcPr>
            <w:tcW w:w="513" w:type="pct"/>
            <w:shd w:val="clear" w:color="auto" w:fill="FFFFFF" w:themeFill="background1"/>
          </w:tcPr>
          <w:p w14:paraId="2DC83E51" w14:textId="77777777" w:rsidR="00B63D8F" w:rsidRPr="00792B70" w:rsidRDefault="00B63D8F" w:rsidP="008F2E35">
            <w:pPr>
              <w:pStyle w:val="TableBodyText"/>
              <w:keepNext/>
              <w:spacing w:before="40" w:after="40"/>
              <w:jc w:val="center"/>
              <w:rPr>
                <w:b/>
                <w:sz w:val="17"/>
                <w:szCs w:val="17"/>
                <w:highlight w:val="yellow"/>
                <w:lang w:eastAsia="fr-CA"/>
              </w:rPr>
            </w:pPr>
            <w:r w:rsidRPr="00792B70">
              <w:rPr>
                <w:b/>
                <w:sz w:val="17"/>
                <w:szCs w:val="17"/>
              </w:rPr>
              <w:t>x</w:t>
            </w:r>
          </w:p>
        </w:tc>
      </w:tr>
      <w:tr w:rsidR="00792B70" w:rsidRPr="00792B70" w14:paraId="58A971BE" w14:textId="77777777" w:rsidTr="00792B70">
        <w:trPr>
          <w:cantSplit/>
        </w:trPr>
        <w:tc>
          <w:tcPr>
            <w:tcW w:w="1101" w:type="pct"/>
            <w:vMerge/>
            <w:shd w:val="clear" w:color="auto" w:fill="FFFFFF" w:themeFill="background1"/>
          </w:tcPr>
          <w:p w14:paraId="32F6D688" w14:textId="2B583357" w:rsidR="00B63D8F" w:rsidRPr="00792B70" w:rsidRDefault="00B63D8F" w:rsidP="008F2E35">
            <w:pPr>
              <w:pStyle w:val="TableBodyText"/>
              <w:keepNext/>
              <w:spacing w:before="40" w:after="40"/>
              <w:rPr>
                <w:sz w:val="17"/>
                <w:szCs w:val="17"/>
                <w:highlight w:val="yellow"/>
                <w:lang w:eastAsia="fr-CA"/>
              </w:rPr>
            </w:pPr>
          </w:p>
        </w:tc>
        <w:tc>
          <w:tcPr>
            <w:tcW w:w="978" w:type="pct"/>
            <w:shd w:val="clear" w:color="auto" w:fill="FFFFFF" w:themeFill="background1"/>
          </w:tcPr>
          <w:p w14:paraId="4290EADC" w14:textId="77777777" w:rsidR="00B63D8F" w:rsidRPr="00792B70" w:rsidRDefault="00B63D8F" w:rsidP="008F2E35">
            <w:pPr>
              <w:pStyle w:val="TableBodyText"/>
              <w:keepNext/>
              <w:spacing w:before="40" w:after="40"/>
              <w:rPr>
                <w:sz w:val="17"/>
                <w:szCs w:val="17"/>
                <w:highlight w:val="yellow"/>
                <w:lang w:eastAsia="fr-CA"/>
              </w:rPr>
            </w:pPr>
            <w:r w:rsidRPr="00792B70">
              <w:rPr>
                <w:sz w:val="17"/>
                <w:szCs w:val="17"/>
              </w:rPr>
              <w:t>To Wallumbilla</w:t>
            </w:r>
          </w:p>
        </w:tc>
        <w:tc>
          <w:tcPr>
            <w:tcW w:w="713" w:type="pct"/>
            <w:shd w:val="clear" w:color="auto" w:fill="FFFFFF" w:themeFill="background1"/>
          </w:tcPr>
          <w:p w14:paraId="4C8ED064" w14:textId="77777777" w:rsidR="00B63D8F" w:rsidRPr="00792B70" w:rsidRDefault="00B63D8F" w:rsidP="008F2E35">
            <w:pPr>
              <w:pStyle w:val="TableBodyText"/>
              <w:keepNext/>
              <w:spacing w:before="40" w:after="40"/>
              <w:jc w:val="center"/>
              <w:rPr>
                <w:sz w:val="17"/>
                <w:szCs w:val="17"/>
                <w:highlight w:val="yellow"/>
                <w:lang w:eastAsia="fr-CA"/>
              </w:rPr>
            </w:pPr>
            <w:r w:rsidRPr="00792B70">
              <w:rPr>
                <w:sz w:val="17"/>
                <w:szCs w:val="17"/>
              </w:rPr>
              <w:t>40</w:t>
            </w:r>
          </w:p>
        </w:tc>
        <w:tc>
          <w:tcPr>
            <w:tcW w:w="713" w:type="pct"/>
            <w:shd w:val="clear" w:color="auto" w:fill="FFFFFF" w:themeFill="background1"/>
          </w:tcPr>
          <w:p w14:paraId="1DDD5755" w14:textId="77777777" w:rsidR="00B63D8F" w:rsidRPr="00792B70" w:rsidRDefault="00B63D8F" w:rsidP="008F2E35">
            <w:pPr>
              <w:pStyle w:val="TableBodyText"/>
              <w:keepNext/>
              <w:spacing w:before="40" w:after="40"/>
              <w:jc w:val="center"/>
              <w:rPr>
                <w:sz w:val="17"/>
                <w:szCs w:val="17"/>
                <w:highlight w:val="yellow"/>
                <w:lang w:eastAsia="fr-CA"/>
              </w:rPr>
            </w:pPr>
            <w:r w:rsidRPr="00792B70">
              <w:rPr>
                <w:sz w:val="17"/>
                <w:szCs w:val="17"/>
              </w:rPr>
              <w:t>0%</w:t>
            </w:r>
          </w:p>
        </w:tc>
        <w:tc>
          <w:tcPr>
            <w:tcW w:w="474" w:type="pct"/>
            <w:shd w:val="clear" w:color="auto" w:fill="FFFFFF" w:themeFill="background1"/>
          </w:tcPr>
          <w:p w14:paraId="4F6C2AE6" w14:textId="77777777" w:rsidR="00B63D8F" w:rsidRPr="00792B70" w:rsidRDefault="00B63D8F" w:rsidP="008F2E35">
            <w:pPr>
              <w:pStyle w:val="TableBodyText"/>
              <w:keepNext/>
              <w:spacing w:before="40" w:after="40"/>
              <w:jc w:val="center"/>
              <w:rPr>
                <w:b/>
                <w:sz w:val="17"/>
                <w:szCs w:val="17"/>
                <w:highlight w:val="yellow"/>
                <w:lang w:eastAsia="fr-CA"/>
              </w:rPr>
            </w:pPr>
          </w:p>
        </w:tc>
        <w:tc>
          <w:tcPr>
            <w:tcW w:w="508" w:type="pct"/>
            <w:shd w:val="clear" w:color="auto" w:fill="FFFFFF" w:themeFill="background1"/>
          </w:tcPr>
          <w:p w14:paraId="03B69D4A" w14:textId="77777777" w:rsidR="00B63D8F" w:rsidRPr="00792B70" w:rsidRDefault="00B63D8F" w:rsidP="008F2E35">
            <w:pPr>
              <w:pStyle w:val="TableBodyText"/>
              <w:keepNext/>
              <w:spacing w:before="40" w:after="40"/>
              <w:jc w:val="center"/>
              <w:rPr>
                <w:b/>
                <w:sz w:val="17"/>
                <w:szCs w:val="17"/>
                <w:highlight w:val="yellow"/>
                <w:lang w:eastAsia="fr-CA"/>
              </w:rPr>
            </w:pPr>
          </w:p>
        </w:tc>
        <w:tc>
          <w:tcPr>
            <w:tcW w:w="513" w:type="pct"/>
            <w:shd w:val="clear" w:color="auto" w:fill="FFFFFF" w:themeFill="background1"/>
          </w:tcPr>
          <w:p w14:paraId="0FBCCA4C" w14:textId="77777777" w:rsidR="00B63D8F" w:rsidRPr="00792B70" w:rsidRDefault="00B63D8F" w:rsidP="008F2E35">
            <w:pPr>
              <w:pStyle w:val="TableBodyText"/>
              <w:keepNext/>
              <w:spacing w:before="40" w:after="40"/>
              <w:jc w:val="center"/>
              <w:rPr>
                <w:b/>
                <w:sz w:val="17"/>
                <w:szCs w:val="17"/>
                <w:highlight w:val="yellow"/>
                <w:lang w:eastAsia="fr-CA"/>
              </w:rPr>
            </w:pPr>
          </w:p>
        </w:tc>
      </w:tr>
      <w:tr w:rsidR="00792B70" w:rsidRPr="00792B70" w14:paraId="186940F0" w14:textId="77777777" w:rsidTr="00792B70">
        <w:trPr>
          <w:cnfStyle w:val="000000010000" w:firstRow="0" w:lastRow="0" w:firstColumn="0" w:lastColumn="0" w:oddVBand="0" w:evenVBand="0" w:oddHBand="0" w:evenHBand="1" w:firstRowFirstColumn="0" w:firstRowLastColumn="0" w:lastRowFirstColumn="0" w:lastRowLastColumn="0"/>
          <w:cantSplit/>
        </w:trPr>
        <w:tc>
          <w:tcPr>
            <w:tcW w:w="1101" w:type="pct"/>
          </w:tcPr>
          <w:p w14:paraId="4B270664" w14:textId="5B529F5F" w:rsidR="00E452A3" w:rsidRPr="00792B70" w:rsidRDefault="00B63D8F" w:rsidP="00E452A3">
            <w:pPr>
              <w:pStyle w:val="TableBodyText"/>
              <w:keepNext/>
              <w:spacing w:before="40" w:after="40"/>
              <w:rPr>
                <w:sz w:val="17"/>
                <w:szCs w:val="17"/>
                <w:highlight w:val="yellow"/>
                <w:lang w:eastAsia="fr-CA"/>
              </w:rPr>
            </w:pPr>
            <w:r w:rsidRPr="00792B70">
              <w:rPr>
                <w:sz w:val="17"/>
                <w:szCs w:val="17"/>
              </w:rPr>
              <w:t xml:space="preserve">Carpentaria Gas Pipeline </w:t>
            </w:r>
          </w:p>
        </w:tc>
        <w:tc>
          <w:tcPr>
            <w:tcW w:w="978" w:type="pct"/>
          </w:tcPr>
          <w:p w14:paraId="332CF4E2" w14:textId="77777777" w:rsidR="00E452A3" w:rsidRPr="00792B70" w:rsidRDefault="00E452A3" w:rsidP="00E452A3">
            <w:pPr>
              <w:pStyle w:val="TableBodyText"/>
              <w:keepNext/>
              <w:spacing w:before="40" w:after="40"/>
              <w:rPr>
                <w:sz w:val="17"/>
                <w:szCs w:val="17"/>
                <w:highlight w:val="yellow"/>
                <w:lang w:eastAsia="fr-CA"/>
              </w:rPr>
            </w:pPr>
            <w:r w:rsidRPr="00792B70">
              <w:rPr>
                <w:sz w:val="17"/>
                <w:szCs w:val="17"/>
              </w:rPr>
              <w:t>To Mt Isa</w:t>
            </w:r>
          </w:p>
        </w:tc>
        <w:tc>
          <w:tcPr>
            <w:tcW w:w="713" w:type="pct"/>
          </w:tcPr>
          <w:p w14:paraId="5EBB51AD" w14:textId="77777777" w:rsidR="00E452A3" w:rsidRPr="00792B70" w:rsidRDefault="00E452A3" w:rsidP="00E452A3">
            <w:pPr>
              <w:pStyle w:val="TableBodyText"/>
              <w:keepNext/>
              <w:spacing w:before="40" w:after="40"/>
              <w:jc w:val="center"/>
              <w:rPr>
                <w:sz w:val="17"/>
                <w:szCs w:val="17"/>
                <w:highlight w:val="yellow"/>
                <w:lang w:eastAsia="fr-CA"/>
              </w:rPr>
            </w:pPr>
            <w:r w:rsidRPr="00792B70">
              <w:rPr>
                <w:sz w:val="17"/>
                <w:szCs w:val="17"/>
              </w:rPr>
              <w:t>119</w:t>
            </w:r>
          </w:p>
        </w:tc>
        <w:tc>
          <w:tcPr>
            <w:tcW w:w="713" w:type="pct"/>
          </w:tcPr>
          <w:p w14:paraId="53392FF0" w14:textId="77777777" w:rsidR="00E452A3" w:rsidRPr="00792B70" w:rsidRDefault="00E452A3" w:rsidP="00E452A3">
            <w:pPr>
              <w:pStyle w:val="TableBodyText"/>
              <w:keepNext/>
              <w:spacing w:before="40" w:after="40"/>
              <w:jc w:val="center"/>
              <w:rPr>
                <w:sz w:val="17"/>
                <w:szCs w:val="17"/>
                <w:highlight w:val="yellow"/>
                <w:lang w:eastAsia="fr-CA"/>
              </w:rPr>
            </w:pPr>
            <w:r w:rsidRPr="00792B70">
              <w:rPr>
                <w:sz w:val="17"/>
                <w:szCs w:val="17"/>
              </w:rPr>
              <w:t>79%</w:t>
            </w:r>
          </w:p>
        </w:tc>
        <w:tc>
          <w:tcPr>
            <w:tcW w:w="474" w:type="pct"/>
          </w:tcPr>
          <w:p w14:paraId="53F0FF13" w14:textId="77777777" w:rsidR="00E452A3" w:rsidRPr="00792B70" w:rsidRDefault="00E452A3" w:rsidP="00E452A3">
            <w:pPr>
              <w:pStyle w:val="TableBodyText"/>
              <w:keepNext/>
              <w:spacing w:before="40" w:after="40"/>
              <w:jc w:val="center"/>
              <w:rPr>
                <w:b/>
                <w:sz w:val="17"/>
                <w:szCs w:val="17"/>
                <w:highlight w:val="yellow"/>
                <w:lang w:eastAsia="fr-CA"/>
              </w:rPr>
            </w:pPr>
          </w:p>
        </w:tc>
        <w:tc>
          <w:tcPr>
            <w:tcW w:w="508" w:type="pct"/>
          </w:tcPr>
          <w:p w14:paraId="5F766387" w14:textId="77777777" w:rsidR="00E452A3" w:rsidRPr="00792B70" w:rsidRDefault="00E452A3" w:rsidP="00E452A3">
            <w:pPr>
              <w:pStyle w:val="TableBodyText"/>
              <w:keepNext/>
              <w:spacing w:before="40" w:after="40"/>
              <w:jc w:val="center"/>
              <w:rPr>
                <w:b/>
                <w:sz w:val="17"/>
                <w:szCs w:val="17"/>
                <w:highlight w:val="yellow"/>
                <w:lang w:eastAsia="fr-CA"/>
              </w:rPr>
            </w:pPr>
          </w:p>
        </w:tc>
        <w:tc>
          <w:tcPr>
            <w:tcW w:w="513" w:type="pct"/>
          </w:tcPr>
          <w:p w14:paraId="5BD513E6" w14:textId="77777777" w:rsidR="00E452A3" w:rsidRPr="00792B70" w:rsidRDefault="00E452A3" w:rsidP="00E452A3">
            <w:pPr>
              <w:pStyle w:val="TableBodyText"/>
              <w:keepNext/>
              <w:spacing w:before="40" w:after="40"/>
              <w:jc w:val="center"/>
              <w:rPr>
                <w:b/>
                <w:sz w:val="17"/>
                <w:szCs w:val="17"/>
                <w:highlight w:val="yellow"/>
                <w:lang w:eastAsia="fr-CA"/>
              </w:rPr>
            </w:pPr>
          </w:p>
        </w:tc>
      </w:tr>
      <w:tr w:rsidR="00792B70" w:rsidRPr="00792B70" w14:paraId="5C223C69" w14:textId="77777777" w:rsidTr="00792B70">
        <w:trPr>
          <w:cantSplit/>
        </w:trPr>
        <w:tc>
          <w:tcPr>
            <w:tcW w:w="5000" w:type="pct"/>
            <w:gridSpan w:val="7"/>
            <w:tcBorders>
              <w:bottom w:val="single" w:sz="4" w:space="0" w:color="auto"/>
            </w:tcBorders>
            <w:shd w:val="clear" w:color="auto" w:fill="65697F" w:themeFill="background2" w:themeFillShade="80"/>
          </w:tcPr>
          <w:p w14:paraId="62FE9836" w14:textId="3DD94326" w:rsidR="00B63D8F" w:rsidRPr="00792B70" w:rsidRDefault="00B63D8F" w:rsidP="008F2E35">
            <w:pPr>
              <w:pStyle w:val="TableBodyText"/>
              <w:keepNext/>
              <w:spacing w:before="20" w:after="20"/>
              <w:jc w:val="center"/>
              <w:rPr>
                <w:b/>
                <w:color w:val="FFFFFF" w:themeColor="background1"/>
                <w:sz w:val="17"/>
                <w:szCs w:val="17"/>
              </w:rPr>
            </w:pPr>
            <w:r w:rsidRPr="00792B70">
              <w:rPr>
                <w:b/>
                <w:color w:val="FFFFFF" w:themeColor="background1"/>
                <w:sz w:val="17"/>
                <w:szCs w:val="17"/>
              </w:rPr>
              <w:t>NSW/ACT</w:t>
            </w:r>
          </w:p>
        </w:tc>
      </w:tr>
      <w:tr w:rsidR="00792B70" w:rsidRPr="00792B70" w14:paraId="7A222219" w14:textId="77777777" w:rsidTr="00792B70">
        <w:trPr>
          <w:cnfStyle w:val="000000010000" w:firstRow="0" w:lastRow="0" w:firstColumn="0" w:lastColumn="0" w:oddVBand="0" w:evenVBand="0" w:oddHBand="0" w:evenHBand="1" w:firstRowFirstColumn="0" w:firstRowLastColumn="0" w:lastRowFirstColumn="0" w:lastRowLastColumn="0"/>
          <w:cantSplit/>
        </w:trPr>
        <w:tc>
          <w:tcPr>
            <w:tcW w:w="1101" w:type="pct"/>
            <w:tcBorders>
              <w:bottom w:val="single" w:sz="4" w:space="0" w:color="auto"/>
            </w:tcBorders>
            <w:shd w:val="clear" w:color="auto" w:fill="FFFFFF" w:themeFill="background1"/>
          </w:tcPr>
          <w:p w14:paraId="4FE52550" w14:textId="416054D7" w:rsidR="00E452A3" w:rsidRPr="00792B70" w:rsidRDefault="00B63D8F" w:rsidP="00E452A3">
            <w:pPr>
              <w:pStyle w:val="TableBodyText"/>
              <w:keepNext/>
              <w:spacing w:before="40" w:after="40"/>
              <w:rPr>
                <w:sz w:val="17"/>
                <w:szCs w:val="17"/>
                <w:highlight w:val="yellow"/>
                <w:lang w:eastAsia="fr-CA"/>
              </w:rPr>
            </w:pPr>
            <w:r w:rsidRPr="00792B70">
              <w:rPr>
                <w:sz w:val="17"/>
                <w:szCs w:val="17"/>
              </w:rPr>
              <w:t xml:space="preserve">Eastern Gas Pipeline </w:t>
            </w:r>
          </w:p>
        </w:tc>
        <w:tc>
          <w:tcPr>
            <w:tcW w:w="978" w:type="pct"/>
            <w:tcBorders>
              <w:bottom w:val="single" w:sz="4" w:space="0" w:color="auto"/>
            </w:tcBorders>
            <w:shd w:val="clear" w:color="auto" w:fill="FFFFFF" w:themeFill="background1"/>
          </w:tcPr>
          <w:p w14:paraId="24D55983" w14:textId="77777777" w:rsidR="00E452A3" w:rsidRPr="00792B70" w:rsidRDefault="00E452A3" w:rsidP="00E452A3">
            <w:pPr>
              <w:pStyle w:val="TableBodyText"/>
              <w:keepNext/>
              <w:spacing w:before="40" w:after="40"/>
              <w:rPr>
                <w:sz w:val="17"/>
                <w:szCs w:val="17"/>
                <w:highlight w:val="yellow"/>
                <w:lang w:eastAsia="fr-CA"/>
              </w:rPr>
            </w:pPr>
            <w:r w:rsidRPr="00792B70">
              <w:rPr>
                <w:sz w:val="17"/>
                <w:szCs w:val="17"/>
              </w:rPr>
              <w:t>To Sydney</w:t>
            </w:r>
          </w:p>
        </w:tc>
        <w:tc>
          <w:tcPr>
            <w:tcW w:w="713" w:type="pct"/>
            <w:tcBorders>
              <w:bottom w:val="single" w:sz="4" w:space="0" w:color="auto"/>
            </w:tcBorders>
            <w:shd w:val="clear" w:color="auto" w:fill="FFFFFF" w:themeFill="background1"/>
          </w:tcPr>
          <w:p w14:paraId="27D7BC33" w14:textId="77777777" w:rsidR="00E452A3" w:rsidRPr="00792B70" w:rsidRDefault="00E452A3" w:rsidP="00E452A3">
            <w:pPr>
              <w:pStyle w:val="TableBodyText"/>
              <w:keepNext/>
              <w:spacing w:before="40" w:after="40"/>
              <w:jc w:val="center"/>
              <w:rPr>
                <w:sz w:val="17"/>
                <w:szCs w:val="17"/>
                <w:highlight w:val="yellow"/>
                <w:lang w:eastAsia="fr-CA"/>
              </w:rPr>
            </w:pPr>
            <w:r w:rsidRPr="00792B70">
              <w:rPr>
                <w:sz w:val="17"/>
                <w:szCs w:val="17"/>
              </w:rPr>
              <w:t>358</w:t>
            </w:r>
          </w:p>
        </w:tc>
        <w:tc>
          <w:tcPr>
            <w:tcW w:w="713" w:type="pct"/>
            <w:tcBorders>
              <w:bottom w:val="single" w:sz="4" w:space="0" w:color="auto"/>
            </w:tcBorders>
            <w:shd w:val="clear" w:color="auto" w:fill="FFFFFF" w:themeFill="background1"/>
          </w:tcPr>
          <w:p w14:paraId="1A5BC08E" w14:textId="77777777" w:rsidR="00E452A3" w:rsidRPr="00792B70" w:rsidRDefault="00E452A3" w:rsidP="00E452A3">
            <w:pPr>
              <w:pStyle w:val="TableBodyText"/>
              <w:keepNext/>
              <w:spacing w:before="40" w:after="40"/>
              <w:jc w:val="center"/>
              <w:rPr>
                <w:sz w:val="17"/>
                <w:szCs w:val="17"/>
                <w:highlight w:val="yellow"/>
                <w:lang w:eastAsia="fr-CA"/>
              </w:rPr>
            </w:pPr>
            <w:r w:rsidRPr="00792B70">
              <w:rPr>
                <w:sz w:val="17"/>
                <w:szCs w:val="17"/>
              </w:rPr>
              <w:t>95%</w:t>
            </w:r>
          </w:p>
        </w:tc>
        <w:tc>
          <w:tcPr>
            <w:tcW w:w="474" w:type="pct"/>
            <w:tcBorders>
              <w:bottom w:val="single" w:sz="4" w:space="0" w:color="auto"/>
            </w:tcBorders>
            <w:shd w:val="clear" w:color="auto" w:fill="FFFFFF" w:themeFill="background1"/>
          </w:tcPr>
          <w:p w14:paraId="4CF6BAC3" w14:textId="77777777" w:rsidR="00E452A3" w:rsidRPr="00792B70" w:rsidRDefault="00E452A3" w:rsidP="00E452A3">
            <w:pPr>
              <w:pStyle w:val="TableBodyText"/>
              <w:keepNext/>
              <w:spacing w:before="40" w:after="40"/>
              <w:jc w:val="center"/>
              <w:rPr>
                <w:b/>
                <w:sz w:val="17"/>
                <w:szCs w:val="17"/>
                <w:highlight w:val="yellow"/>
                <w:lang w:eastAsia="fr-CA"/>
              </w:rPr>
            </w:pPr>
          </w:p>
        </w:tc>
        <w:tc>
          <w:tcPr>
            <w:tcW w:w="508" w:type="pct"/>
            <w:tcBorders>
              <w:bottom w:val="single" w:sz="4" w:space="0" w:color="auto"/>
            </w:tcBorders>
            <w:shd w:val="clear" w:color="auto" w:fill="FFFFFF" w:themeFill="background1"/>
          </w:tcPr>
          <w:p w14:paraId="3067A701" w14:textId="77777777" w:rsidR="00E452A3" w:rsidRPr="00792B70" w:rsidRDefault="00E452A3" w:rsidP="00E452A3">
            <w:pPr>
              <w:pStyle w:val="TableBodyText"/>
              <w:keepNext/>
              <w:spacing w:before="40" w:after="40"/>
              <w:jc w:val="center"/>
              <w:rPr>
                <w:b/>
                <w:sz w:val="17"/>
                <w:szCs w:val="17"/>
                <w:highlight w:val="yellow"/>
                <w:lang w:eastAsia="fr-CA"/>
              </w:rPr>
            </w:pPr>
          </w:p>
        </w:tc>
        <w:tc>
          <w:tcPr>
            <w:tcW w:w="513" w:type="pct"/>
            <w:tcBorders>
              <w:bottom w:val="single" w:sz="4" w:space="0" w:color="auto"/>
            </w:tcBorders>
            <w:shd w:val="clear" w:color="auto" w:fill="FFFFFF" w:themeFill="background1"/>
          </w:tcPr>
          <w:p w14:paraId="137E94E0" w14:textId="77777777" w:rsidR="00E452A3" w:rsidRPr="00792B70" w:rsidRDefault="00E452A3" w:rsidP="00E452A3">
            <w:pPr>
              <w:pStyle w:val="TableBodyText"/>
              <w:keepNext/>
              <w:spacing w:before="40" w:after="40"/>
              <w:jc w:val="center"/>
              <w:rPr>
                <w:b/>
                <w:sz w:val="17"/>
                <w:szCs w:val="17"/>
                <w:highlight w:val="yellow"/>
                <w:lang w:eastAsia="fr-CA"/>
              </w:rPr>
            </w:pPr>
            <w:r w:rsidRPr="00792B70">
              <w:rPr>
                <w:b/>
                <w:sz w:val="17"/>
                <w:szCs w:val="17"/>
              </w:rPr>
              <w:t>x</w:t>
            </w:r>
          </w:p>
        </w:tc>
      </w:tr>
      <w:tr w:rsidR="00792B70" w:rsidRPr="00792B70" w14:paraId="2A521F1A" w14:textId="77777777" w:rsidTr="00792B70">
        <w:trPr>
          <w:cantSplit/>
        </w:trPr>
        <w:tc>
          <w:tcPr>
            <w:tcW w:w="1101" w:type="pct"/>
            <w:vMerge w:val="restart"/>
            <w:tcBorders>
              <w:left w:val="single" w:sz="4" w:space="0" w:color="auto"/>
            </w:tcBorders>
            <w:shd w:val="clear" w:color="auto" w:fill="E1E2E7" w:themeFill="background2"/>
          </w:tcPr>
          <w:p w14:paraId="4A5DA567" w14:textId="25AD45C9" w:rsidR="00B63D8F" w:rsidRPr="00792B70" w:rsidRDefault="00B63D8F" w:rsidP="00B63D8F">
            <w:pPr>
              <w:pStyle w:val="TableBodyText"/>
              <w:keepNext/>
              <w:spacing w:before="40" w:after="40"/>
              <w:rPr>
                <w:sz w:val="17"/>
                <w:szCs w:val="17"/>
              </w:rPr>
            </w:pPr>
            <w:r w:rsidRPr="00792B70">
              <w:rPr>
                <w:sz w:val="17"/>
                <w:szCs w:val="17"/>
              </w:rPr>
              <w:t xml:space="preserve">Moomba to Sydney Pipeline </w:t>
            </w:r>
          </w:p>
        </w:tc>
        <w:tc>
          <w:tcPr>
            <w:tcW w:w="978" w:type="pct"/>
            <w:shd w:val="clear" w:color="auto" w:fill="E1E2E7" w:themeFill="background2"/>
          </w:tcPr>
          <w:p w14:paraId="059F3D55" w14:textId="035AFA6D" w:rsidR="00B63D8F" w:rsidRPr="00792B70" w:rsidRDefault="00B63D8F" w:rsidP="00B63D8F">
            <w:pPr>
              <w:pStyle w:val="TableBodyText"/>
              <w:keepNext/>
              <w:spacing w:before="40" w:after="40"/>
              <w:rPr>
                <w:sz w:val="17"/>
                <w:szCs w:val="17"/>
              </w:rPr>
            </w:pPr>
            <w:r w:rsidRPr="00792B70">
              <w:rPr>
                <w:sz w:val="17"/>
                <w:szCs w:val="17"/>
              </w:rPr>
              <w:t>To Sydney</w:t>
            </w:r>
          </w:p>
        </w:tc>
        <w:tc>
          <w:tcPr>
            <w:tcW w:w="713" w:type="pct"/>
            <w:shd w:val="clear" w:color="auto" w:fill="E1E2E7" w:themeFill="background2"/>
          </w:tcPr>
          <w:p w14:paraId="4900A259" w14:textId="5445E93C" w:rsidR="00B63D8F" w:rsidRPr="00792B70" w:rsidRDefault="00B63D8F" w:rsidP="00B63D8F">
            <w:pPr>
              <w:pStyle w:val="TableBodyText"/>
              <w:keepNext/>
              <w:spacing w:before="40" w:after="40"/>
              <w:jc w:val="center"/>
              <w:rPr>
                <w:sz w:val="17"/>
                <w:szCs w:val="17"/>
              </w:rPr>
            </w:pPr>
            <w:r w:rsidRPr="00792B70">
              <w:rPr>
                <w:sz w:val="17"/>
                <w:szCs w:val="17"/>
              </w:rPr>
              <w:t>439</w:t>
            </w:r>
          </w:p>
        </w:tc>
        <w:tc>
          <w:tcPr>
            <w:tcW w:w="713" w:type="pct"/>
            <w:shd w:val="clear" w:color="auto" w:fill="E1E2E7" w:themeFill="background2"/>
          </w:tcPr>
          <w:p w14:paraId="3860FA36" w14:textId="19118122" w:rsidR="00B63D8F" w:rsidRPr="00792B70" w:rsidRDefault="00B63D8F" w:rsidP="00B63D8F">
            <w:pPr>
              <w:pStyle w:val="TableBodyText"/>
              <w:keepNext/>
              <w:spacing w:before="40" w:after="40"/>
              <w:jc w:val="center"/>
              <w:rPr>
                <w:sz w:val="17"/>
                <w:szCs w:val="17"/>
              </w:rPr>
            </w:pPr>
            <w:r w:rsidRPr="00792B70">
              <w:rPr>
                <w:sz w:val="17"/>
                <w:szCs w:val="17"/>
              </w:rPr>
              <w:t>75%</w:t>
            </w:r>
          </w:p>
        </w:tc>
        <w:tc>
          <w:tcPr>
            <w:tcW w:w="474" w:type="pct"/>
            <w:shd w:val="clear" w:color="auto" w:fill="E1E2E7" w:themeFill="background2"/>
          </w:tcPr>
          <w:p w14:paraId="7B6BC733" w14:textId="77777777" w:rsidR="00B63D8F" w:rsidRPr="00792B70" w:rsidRDefault="00B63D8F" w:rsidP="00B63D8F">
            <w:pPr>
              <w:pStyle w:val="TableBodyText"/>
              <w:keepNext/>
              <w:spacing w:before="40" w:after="40"/>
              <w:jc w:val="center"/>
              <w:rPr>
                <w:b/>
                <w:sz w:val="17"/>
                <w:szCs w:val="17"/>
                <w:highlight w:val="yellow"/>
                <w:lang w:eastAsia="fr-CA"/>
              </w:rPr>
            </w:pPr>
          </w:p>
        </w:tc>
        <w:tc>
          <w:tcPr>
            <w:tcW w:w="508" w:type="pct"/>
            <w:shd w:val="clear" w:color="auto" w:fill="E1E2E7" w:themeFill="background2"/>
          </w:tcPr>
          <w:p w14:paraId="70C5EAB5" w14:textId="77777777" w:rsidR="00B63D8F" w:rsidRPr="00792B70" w:rsidRDefault="00B63D8F" w:rsidP="00B63D8F">
            <w:pPr>
              <w:pStyle w:val="TableBodyText"/>
              <w:keepNext/>
              <w:spacing w:before="40" w:after="40"/>
              <w:jc w:val="center"/>
              <w:rPr>
                <w:b/>
                <w:sz w:val="17"/>
                <w:szCs w:val="17"/>
                <w:highlight w:val="yellow"/>
                <w:lang w:eastAsia="fr-CA"/>
              </w:rPr>
            </w:pPr>
          </w:p>
        </w:tc>
        <w:tc>
          <w:tcPr>
            <w:tcW w:w="513" w:type="pct"/>
            <w:shd w:val="clear" w:color="auto" w:fill="E1E2E7" w:themeFill="background2"/>
          </w:tcPr>
          <w:p w14:paraId="73CA1344" w14:textId="77777777" w:rsidR="00B63D8F" w:rsidRPr="00792B70" w:rsidRDefault="00B63D8F" w:rsidP="00B63D8F">
            <w:pPr>
              <w:pStyle w:val="TableBodyText"/>
              <w:keepNext/>
              <w:spacing w:before="40" w:after="40"/>
              <w:jc w:val="center"/>
              <w:rPr>
                <w:b/>
                <w:sz w:val="17"/>
                <w:szCs w:val="17"/>
              </w:rPr>
            </w:pPr>
          </w:p>
        </w:tc>
      </w:tr>
      <w:tr w:rsidR="00792B70" w:rsidRPr="00792B70" w14:paraId="77EF08EC" w14:textId="77777777" w:rsidTr="00792B70">
        <w:trPr>
          <w:cnfStyle w:val="000000010000" w:firstRow="0" w:lastRow="0" w:firstColumn="0" w:lastColumn="0" w:oddVBand="0" w:evenVBand="0" w:oddHBand="0" w:evenHBand="1" w:firstRowFirstColumn="0" w:firstRowLastColumn="0" w:lastRowFirstColumn="0" w:lastRowLastColumn="0"/>
          <w:cantSplit/>
        </w:trPr>
        <w:tc>
          <w:tcPr>
            <w:tcW w:w="1101" w:type="pct"/>
            <w:vMerge/>
            <w:tcBorders>
              <w:left w:val="single" w:sz="4" w:space="0" w:color="auto"/>
            </w:tcBorders>
          </w:tcPr>
          <w:p w14:paraId="74FE78C6" w14:textId="77777777" w:rsidR="00B63D8F" w:rsidRPr="00792B70" w:rsidRDefault="00B63D8F" w:rsidP="00B63D8F">
            <w:pPr>
              <w:pStyle w:val="TableBodyText"/>
              <w:keepNext/>
              <w:spacing w:before="40" w:after="40"/>
              <w:rPr>
                <w:sz w:val="17"/>
                <w:szCs w:val="17"/>
              </w:rPr>
            </w:pPr>
          </w:p>
        </w:tc>
        <w:tc>
          <w:tcPr>
            <w:tcW w:w="978" w:type="pct"/>
          </w:tcPr>
          <w:p w14:paraId="616C40E9" w14:textId="4F93C320" w:rsidR="00B63D8F" w:rsidRPr="00792B70" w:rsidRDefault="00B63D8F" w:rsidP="00B63D8F">
            <w:pPr>
              <w:pStyle w:val="TableBodyText"/>
              <w:keepNext/>
              <w:spacing w:before="40" w:after="40"/>
              <w:rPr>
                <w:sz w:val="17"/>
                <w:szCs w:val="17"/>
              </w:rPr>
            </w:pPr>
            <w:r w:rsidRPr="00792B70">
              <w:rPr>
                <w:sz w:val="17"/>
                <w:szCs w:val="17"/>
              </w:rPr>
              <w:t>To Moomba</w:t>
            </w:r>
          </w:p>
        </w:tc>
        <w:tc>
          <w:tcPr>
            <w:tcW w:w="713" w:type="pct"/>
          </w:tcPr>
          <w:p w14:paraId="11030396" w14:textId="72B1914B" w:rsidR="00B63D8F" w:rsidRPr="00792B70" w:rsidRDefault="00B63D8F" w:rsidP="00B63D8F">
            <w:pPr>
              <w:pStyle w:val="TableBodyText"/>
              <w:keepNext/>
              <w:spacing w:before="40" w:after="40"/>
              <w:jc w:val="center"/>
              <w:rPr>
                <w:sz w:val="17"/>
                <w:szCs w:val="17"/>
              </w:rPr>
            </w:pPr>
            <w:r w:rsidRPr="00792B70">
              <w:rPr>
                <w:sz w:val="17"/>
                <w:szCs w:val="17"/>
              </w:rPr>
              <w:t>120</w:t>
            </w:r>
          </w:p>
        </w:tc>
        <w:tc>
          <w:tcPr>
            <w:tcW w:w="713" w:type="pct"/>
          </w:tcPr>
          <w:p w14:paraId="3BAD5C45" w14:textId="211FCEF4" w:rsidR="00B63D8F" w:rsidRPr="00792B70" w:rsidRDefault="00B63D8F" w:rsidP="00B63D8F">
            <w:pPr>
              <w:pStyle w:val="TableBodyText"/>
              <w:keepNext/>
              <w:spacing w:before="40" w:after="40"/>
              <w:jc w:val="center"/>
              <w:rPr>
                <w:sz w:val="17"/>
                <w:szCs w:val="17"/>
              </w:rPr>
            </w:pPr>
            <w:r w:rsidRPr="00792B70">
              <w:rPr>
                <w:sz w:val="17"/>
                <w:szCs w:val="17"/>
              </w:rPr>
              <w:t>91%</w:t>
            </w:r>
          </w:p>
        </w:tc>
        <w:tc>
          <w:tcPr>
            <w:tcW w:w="474" w:type="pct"/>
          </w:tcPr>
          <w:p w14:paraId="04B9A78D" w14:textId="77777777" w:rsidR="00B63D8F" w:rsidRPr="00792B70" w:rsidRDefault="00B63D8F" w:rsidP="00B63D8F">
            <w:pPr>
              <w:pStyle w:val="TableBodyText"/>
              <w:keepNext/>
              <w:spacing w:before="40" w:after="40"/>
              <w:jc w:val="center"/>
              <w:rPr>
                <w:b/>
                <w:sz w:val="17"/>
                <w:szCs w:val="17"/>
                <w:highlight w:val="yellow"/>
                <w:lang w:eastAsia="fr-CA"/>
              </w:rPr>
            </w:pPr>
          </w:p>
        </w:tc>
        <w:tc>
          <w:tcPr>
            <w:tcW w:w="508" w:type="pct"/>
          </w:tcPr>
          <w:p w14:paraId="615D6F96" w14:textId="77777777" w:rsidR="00B63D8F" w:rsidRPr="00792B70" w:rsidRDefault="00B63D8F" w:rsidP="00B63D8F">
            <w:pPr>
              <w:pStyle w:val="TableBodyText"/>
              <w:keepNext/>
              <w:spacing w:before="40" w:after="40"/>
              <w:jc w:val="center"/>
              <w:rPr>
                <w:b/>
                <w:sz w:val="17"/>
                <w:szCs w:val="17"/>
                <w:highlight w:val="yellow"/>
                <w:lang w:eastAsia="fr-CA"/>
              </w:rPr>
            </w:pPr>
          </w:p>
        </w:tc>
        <w:tc>
          <w:tcPr>
            <w:tcW w:w="513" w:type="pct"/>
          </w:tcPr>
          <w:p w14:paraId="588EC381" w14:textId="5C531EE9" w:rsidR="00B63D8F" w:rsidRPr="00792B70" w:rsidRDefault="00B63D8F" w:rsidP="00B63D8F">
            <w:pPr>
              <w:pStyle w:val="TableBodyText"/>
              <w:keepNext/>
              <w:spacing w:before="40" w:after="40"/>
              <w:jc w:val="center"/>
              <w:rPr>
                <w:b/>
                <w:sz w:val="17"/>
                <w:szCs w:val="17"/>
              </w:rPr>
            </w:pPr>
            <w:r w:rsidRPr="00792B70">
              <w:rPr>
                <w:b/>
                <w:sz w:val="17"/>
                <w:szCs w:val="17"/>
              </w:rPr>
              <w:t>x</w:t>
            </w:r>
          </w:p>
        </w:tc>
      </w:tr>
      <w:tr w:rsidR="00792B70" w:rsidRPr="00792B70" w14:paraId="4D5AEAD6" w14:textId="77777777" w:rsidTr="00792B70">
        <w:trPr>
          <w:cantSplit/>
        </w:trPr>
        <w:tc>
          <w:tcPr>
            <w:tcW w:w="5000" w:type="pct"/>
            <w:gridSpan w:val="7"/>
            <w:tcBorders>
              <w:bottom w:val="single" w:sz="4" w:space="0" w:color="auto"/>
            </w:tcBorders>
            <w:shd w:val="clear" w:color="auto" w:fill="65697F" w:themeFill="background2" w:themeFillShade="80"/>
          </w:tcPr>
          <w:p w14:paraId="3CA6280A" w14:textId="1F83DE09" w:rsidR="00B63D8F" w:rsidRPr="00792B70" w:rsidRDefault="00B63D8F" w:rsidP="008F2E35">
            <w:pPr>
              <w:pStyle w:val="TableBodyText"/>
              <w:keepNext/>
              <w:spacing w:before="20" w:after="20"/>
              <w:jc w:val="center"/>
              <w:rPr>
                <w:b/>
                <w:color w:val="FFFFFF" w:themeColor="background1"/>
                <w:sz w:val="17"/>
                <w:szCs w:val="17"/>
              </w:rPr>
            </w:pPr>
            <w:r w:rsidRPr="00792B70">
              <w:rPr>
                <w:b/>
                <w:color w:val="FFFFFF" w:themeColor="background1"/>
                <w:sz w:val="17"/>
                <w:szCs w:val="17"/>
              </w:rPr>
              <w:t>South Australia</w:t>
            </w:r>
          </w:p>
        </w:tc>
      </w:tr>
      <w:tr w:rsidR="00792B70" w:rsidRPr="00792B70" w14:paraId="7C13878C" w14:textId="77777777" w:rsidTr="00792B70">
        <w:trPr>
          <w:cnfStyle w:val="000000010000" w:firstRow="0" w:lastRow="0" w:firstColumn="0" w:lastColumn="0" w:oddVBand="0" w:evenVBand="0" w:oddHBand="0" w:evenHBand="1" w:firstRowFirstColumn="0" w:firstRowLastColumn="0" w:lastRowFirstColumn="0" w:lastRowLastColumn="0"/>
          <w:cantSplit/>
        </w:trPr>
        <w:tc>
          <w:tcPr>
            <w:tcW w:w="1101" w:type="pct"/>
            <w:vMerge w:val="restart"/>
            <w:tcBorders>
              <w:left w:val="single" w:sz="4" w:space="0" w:color="auto"/>
            </w:tcBorders>
          </w:tcPr>
          <w:p w14:paraId="0A83194A" w14:textId="66E95EFD" w:rsidR="00B63D8F" w:rsidRPr="00792B70" w:rsidRDefault="00B63D8F" w:rsidP="00E452A3">
            <w:pPr>
              <w:pStyle w:val="TableBodyText"/>
              <w:keepNext/>
              <w:spacing w:before="40" w:after="40"/>
              <w:rPr>
                <w:sz w:val="17"/>
                <w:szCs w:val="17"/>
                <w:highlight w:val="yellow"/>
                <w:lang w:eastAsia="fr-CA"/>
              </w:rPr>
            </w:pPr>
            <w:r w:rsidRPr="00792B70">
              <w:rPr>
                <w:sz w:val="17"/>
                <w:szCs w:val="17"/>
              </w:rPr>
              <w:t xml:space="preserve">Moomba to Adelaide Pipeline </w:t>
            </w:r>
          </w:p>
        </w:tc>
        <w:tc>
          <w:tcPr>
            <w:tcW w:w="978" w:type="pct"/>
          </w:tcPr>
          <w:p w14:paraId="626DD744" w14:textId="77777777" w:rsidR="00B63D8F" w:rsidRPr="00792B70" w:rsidRDefault="00B63D8F" w:rsidP="00E452A3">
            <w:pPr>
              <w:pStyle w:val="TableBodyText"/>
              <w:keepNext/>
              <w:spacing w:before="40" w:after="40"/>
              <w:rPr>
                <w:sz w:val="17"/>
                <w:szCs w:val="17"/>
                <w:highlight w:val="yellow"/>
                <w:lang w:eastAsia="fr-CA"/>
              </w:rPr>
            </w:pPr>
            <w:r w:rsidRPr="00792B70">
              <w:rPr>
                <w:sz w:val="17"/>
                <w:szCs w:val="17"/>
              </w:rPr>
              <w:t>To Adelaide</w:t>
            </w:r>
          </w:p>
        </w:tc>
        <w:tc>
          <w:tcPr>
            <w:tcW w:w="713" w:type="pct"/>
          </w:tcPr>
          <w:p w14:paraId="2AE82C10" w14:textId="77777777" w:rsidR="00B63D8F" w:rsidRPr="00792B70" w:rsidRDefault="00B63D8F" w:rsidP="00E452A3">
            <w:pPr>
              <w:pStyle w:val="TableBodyText"/>
              <w:keepNext/>
              <w:spacing w:before="40" w:after="40"/>
              <w:jc w:val="center"/>
              <w:rPr>
                <w:sz w:val="17"/>
                <w:szCs w:val="17"/>
                <w:highlight w:val="yellow"/>
                <w:lang w:eastAsia="fr-CA"/>
              </w:rPr>
            </w:pPr>
            <w:r w:rsidRPr="00792B70">
              <w:rPr>
                <w:sz w:val="17"/>
                <w:szCs w:val="17"/>
              </w:rPr>
              <w:t>237</w:t>
            </w:r>
          </w:p>
        </w:tc>
        <w:tc>
          <w:tcPr>
            <w:tcW w:w="713" w:type="pct"/>
          </w:tcPr>
          <w:p w14:paraId="27EF2BEB" w14:textId="77777777" w:rsidR="00B63D8F" w:rsidRPr="00792B70" w:rsidRDefault="00B63D8F" w:rsidP="00E452A3">
            <w:pPr>
              <w:pStyle w:val="TableBodyText"/>
              <w:keepNext/>
              <w:spacing w:before="40" w:after="40"/>
              <w:jc w:val="center"/>
              <w:rPr>
                <w:sz w:val="17"/>
                <w:szCs w:val="17"/>
                <w:highlight w:val="yellow"/>
                <w:lang w:eastAsia="fr-CA"/>
              </w:rPr>
            </w:pPr>
            <w:r w:rsidRPr="00792B70">
              <w:rPr>
                <w:sz w:val="17"/>
                <w:szCs w:val="17"/>
              </w:rPr>
              <w:t>100%</w:t>
            </w:r>
          </w:p>
        </w:tc>
        <w:tc>
          <w:tcPr>
            <w:tcW w:w="474" w:type="pct"/>
          </w:tcPr>
          <w:p w14:paraId="1D74A280" w14:textId="77777777" w:rsidR="00B63D8F" w:rsidRPr="00792B70" w:rsidRDefault="00B63D8F" w:rsidP="00E452A3">
            <w:pPr>
              <w:pStyle w:val="TableBodyText"/>
              <w:keepNext/>
              <w:spacing w:before="40" w:after="40"/>
              <w:jc w:val="center"/>
              <w:rPr>
                <w:b/>
                <w:sz w:val="17"/>
                <w:szCs w:val="17"/>
                <w:highlight w:val="yellow"/>
                <w:lang w:eastAsia="fr-CA"/>
              </w:rPr>
            </w:pPr>
            <w:r w:rsidRPr="00792B70">
              <w:rPr>
                <w:b/>
                <w:sz w:val="17"/>
                <w:szCs w:val="17"/>
              </w:rPr>
              <w:t>x</w:t>
            </w:r>
          </w:p>
        </w:tc>
        <w:tc>
          <w:tcPr>
            <w:tcW w:w="508" w:type="pct"/>
          </w:tcPr>
          <w:p w14:paraId="1E8AD0F5" w14:textId="77777777" w:rsidR="00B63D8F" w:rsidRPr="00792B70" w:rsidRDefault="00B63D8F" w:rsidP="00E452A3">
            <w:pPr>
              <w:pStyle w:val="TableBodyText"/>
              <w:keepNext/>
              <w:spacing w:before="40" w:after="40"/>
              <w:jc w:val="center"/>
              <w:rPr>
                <w:b/>
                <w:sz w:val="17"/>
                <w:szCs w:val="17"/>
                <w:highlight w:val="yellow"/>
                <w:lang w:eastAsia="fr-CA"/>
              </w:rPr>
            </w:pPr>
            <w:r w:rsidRPr="00792B70">
              <w:rPr>
                <w:b/>
                <w:sz w:val="17"/>
                <w:szCs w:val="17"/>
              </w:rPr>
              <w:t>x</w:t>
            </w:r>
          </w:p>
        </w:tc>
        <w:tc>
          <w:tcPr>
            <w:tcW w:w="513" w:type="pct"/>
          </w:tcPr>
          <w:p w14:paraId="4E7F1348" w14:textId="77777777" w:rsidR="00B63D8F" w:rsidRPr="00792B70" w:rsidRDefault="00B63D8F" w:rsidP="00E452A3">
            <w:pPr>
              <w:pStyle w:val="TableBodyText"/>
              <w:keepNext/>
              <w:spacing w:before="40" w:after="40"/>
              <w:jc w:val="center"/>
              <w:rPr>
                <w:b/>
                <w:sz w:val="17"/>
                <w:szCs w:val="17"/>
                <w:highlight w:val="yellow"/>
                <w:lang w:eastAsia="fr-CA"/>
              </w:rPr>
            </w:pPr>
            <w:r w:rsidRPr="00792B70">
              <w:rPr>
                <w:b/>
                <w:sz w:val="17"/>
                <w:szCs w:val="17"/>
              </w:rPr>
              <w:t>x</w:t>
            </w:r>
          </w:p>
        </w:tc>
      </w:tr>
      <w:tr w:rsidR="00792B70" w:rsidRPr="00792B70" w14:paraId="49DE5C5F" w14:textId="77777777" w:rsidTr="00792B70">
        <w:trPr>
          <w:cantSplit/>
        </w:trPr>
        <w:tc>
          <w:tcPr>
            <w:tcW w:w="1101" w:type="pct"/>
            <w:vMerge/>
            <w:tcBorders>
              <w:left w:val="single" w:sz="4" w:space="0" w:color="auto"/>
              <w:bottom w:val="single" w:sz="4" w:space="0" w:color="auto"/>
            </w:tcBorders>
            <w:shd w:val="clear" w:color="auto" w:fill="E1E2E7" w:themeFill="background2"/>
          </w:tcPr>
          <w:p w14:paraId="1443F043" w14:textId="168A4F3B" w:rsidR="00B63D8F" w:rsidRPr="00792B70" w:rsidRDefault="00B63D8F" w:rsidP="00E452A3">
            <w:pPr>
              <w:pStyle w:val="TableBodyText"/>
              <w:keepNext/>
              <w:spacing w:before="40" w:after="40"/>
              <w:rPr>
                <w:sz w:val="17"/>
                <w:szCs w:val="17"/>
                <w:highlight w:val="yellow"/>
                <w:lang w:eastAsia="fr-CA"/>
              </w:rPr>
            </w:pPr>
          </w:p>
        </w:tc>
        <w:tc>
          <w:tcPr>
            <w:tcW w:w="978" w:type="pct"/>
            <w:tcBorders>
              <w:bottom w:val="single" w:sz="4" w:space="0" w:color="auto"/>
            </w:tcBorders>
            <w:shd w:val="clear" w:color="auto" w:fill="E1E2E7" w:themeFill="background2"/>
          </w:tcPr>
          <w:p w14:paraId="0D64EB1F" w14:textId="77777777" w:rsidR="00B63D8F" w:rsidRPr="00792B70" w:rsidRDefault="00B63D8F" w:rsidP="00E452A3">
            <w:pPr>
              <w:pStyle w:val="TableBodyText"/>
              <w:keepNext/>
              <w:spacing w:before="40" w:after="40"/>
              <w:rPr>
                <w:sz w:val="17"/>
                <w:szCs w:val="17"/>
                <w:highlight w:val="yellow"/>
                <w:lang w:eastAsia="fr-CA"/>
              </w:rPr>
            </w:pPr>
            <w:r w:rsidRPr="00792B70">
              <w:rPr>
                <w:sz w:val="17"/>
                <w:szCs w:val="17"/>
              </w:rPr>
              <w:t>To Moomba</w:t>
            </w:r>
          </w:p>
        </w:tc>
        <w:tc>
          <w:tcPr>
            <w:tcW w:w="713" w:type="pct"/>
            <w:tcBorders>
              <w:bottom w:val="single" w:sz="4" w:space="0" w:color="auto"/>
            </w:tcBorders>
            <w:shd w:val="clear" w:color="auto" w:fill="E1E2E7" w:themeFill="background2"/>
          </w:tcPr>
          <w:p w14:paraId="739CC140" w14:textId="77777777" w:rsidR="00B63D8F" w:rsidRPr="00792B70" w:rsidRDefault="00B63D8F" w:rsidP="00E452A3">
            <w:pPr>
              <w:pStyle w:val="TableBodyText"/>
              <w:keepNext/>
              <w:spacing w:before="40" w:after="40"/>
              <w:jc w:val="center"/>
              <w:rPr>
                <w:sz w:val="17"/>
                <w:szCs w:val="17"/>
                <w:highlight w:val="yellow"/>
                <w:lang w:eastAsia="fr-CA"/>
              </w:rPr>
            </w:pPr>
            <w:r w:rsidRPr="00792B70">
              <w:rPr>
                <w:sz w:val="17"/>
                <w:szCs w:val="17"/>
              </w:rPr>
              <w:t>85</w:t>
            </w:r>
          </w:p>
        </w:tc>
        <w:tc>
          <w:tcPr>
            <w:tcW w:w="713" w:type="pct"/>
            <w:tcBorders>
              <w:bottom w:val="single" w:sz="4" w:space="0" w:color="auto"/>
            </w:tcBorders>
            <w:shd w:val="clear" w:color="auto" w:fill="E1E2E7" w:themeFill="background2"/>
          </w:tcPr>
          <w:p w14:paraId="5FAEAEE8" w14:textId="77777777" w:rsidR="00B63D8F" w:rsidRPr="00792B70" w:rsidRDefault="00B63D8F" w:rsidP="00E452A3">
            <w:pPr>
              <w:pStyle w:val="TableBodyText"/>
              <w:keepNext/>
              <w:spacing w:before="40" w:after="40"/>
              <w:jc w:val="center"/>
              <w:rPr>
                <w:sz w:val="17"/>
                <w:szCs w:val="17"/>
                <w:highlight w:val="yellow"/>
                <w:lang w:eastAsia="fr-CA"/>
              </w:rPr>
            </w:pPr>
            <w:r w:rsidRPr="00792B70">
              <w:rPr>
                <w:sz w:val="17"/>
                <w:szCs w:val="17"/>
              </w:rPr>
              <w:t>100%</w:t>
            </w:r>
          </w:p>
        </w:tc>
        <w:tc>
          <w:tcPr>
            <w:tcW w:w="474" w:type="pct"/>
            <w:tcBorders>
              <w:bottom w:val="single" w:sz="4" w:space="0" w:color="auto"/>
            </w:tcBorders>
            <w:shd w:val="clear" w:color="auto" w:fill="E1E2E7" w:themeFill="background2"/>
          </w:tcPr>
          <w:p w14:paraId="4B78E175" w14:textId="77777777" w:rsidR="00B63D8F" w:rsidRPr="00792B70" w:rsidRDefault="00B63D8F" w:rsidP="00E452A3">
            <w:pPr>
              <w:pStyle w:val="TableBodyText"/>
              <w:keepNext/>
              <w:spacing w:before="40" w:after="40"/>
              <w:jc w:val="center"/>
              <w:rPr>
                <w:b/>
                <w:sz w:val="17"/>
                <w:szCs w:val="17"/>
                <w:highlight w:val="yellow"/>
                <w:lang w:eastAsia="fr-CA"/>
              </w:rPr>
            </w:pPr>
            <w:r w:rsidRPr="00792B70">
              <w:rPr>
                <w:b/>
                <w:sz w:val="17"/>
                <w:szCs w:val="17"/>
              </w:rPr>
              <w:t>x</w:t>
            </w:r>
          </w:p>
        </w:tc>
        <w:tc>
          <w:tcPr>
            <w:tcW w:w="508" w:type="pct"/>
            <w:tcBorders>
              <w:bottom w:val="single" w:sz="4" w:space="0" w:color="auto"/>
            </w:tcBorders>
            <w:shd w:val="clear" w:color="auto" w:fill="E1E2E7" w:themeFill="background2"/>
          </w:tcPr>
          <w:p w14:paraId="776E23E9" w14:textId="77777777" w:rsidR="00B63D8F" w:rsidRPr="00792B70" w:rsidRDefault="00B63D8F" w:rsidP="00E452A3">
            <w:pPr>
              <w:pStyle w:val="TableBodyText"/>
              <w:keepNext/>
              <w:spacing w:before="40" w:after="40"/>
              <w:jc w:val="center"/>
              <w:rPr>
                <w:b/>
                <w:sz w:val="17"/>
                <w:szCs w:val="17"/>
                <w:highlight w:val="yellow"/>
                <w:lang w:eastAsia="fr-CA"/>
              </w:rPr>
            </w:pPr>
            <w:r w:rsidRPr="00792B70">
              <w:rPr>
                <w:b/>
                <w:sz w:val="17"/>
                <w:szCs w:val="17"/>
              </w:rPr>
              <w:t>x</w:t>
            </w:r>
          </w:p>
        </w:tc>
        <w:tc>
          <w:tcPr>
            <w:tcW w:w="513" w:type="pct"/>
            <w:tcBorders>
              <w:bottom w:val="single" w:sz="4" w:space="0" w:color="auto"/>
            </w:tcBorders>
            <w:shd w:val="clear" w:color="auto" w:fill="E1E2E7" w:themeFill="background2"/>
          </w:tcPr>
          <w:p w14:paraId="57649CC0" w14:textId="77777777" w:rsidR="00B63D8F" w:rsidRPr="00792B70" w:rsidRDefault="00B63D8F" w:rsidP="00E452A3">
            <w:pPr>
              <w:pStyle w:val="TableBodyText"/>
              <w:keepNext/>
              <w:spacing w:before="40" w:after="40"/>
              <w:jc w:val="center"/>
              <w:rPr>
                <w:b/>
                <w:sz w:val="17"/>
                <w:szCs w:val="17"/>
                <w:highlight w:val="yellow"/>
                <w:lang w:eastAsia="fr-CA"/>
              </w:rPr>
            </w:pPr>
            <w:r w:rsidRPr="00792B70">
              <w:rPr>
                <w:b/>
                <w:sz w:val="17"/>
                <w:szCs w:val="17"/>
              </w:rPr>
              <w:t>x</w:t>
            </w:r>
          </w:p>
        </w:tc>
      </w:tr>
      <w:tr w:rsidR="00792B70" w:rsidRPr="00792B70" w14:paraId="3A911E43" w14:textId="77777777" w:rsidTr="00792B70">
        <w:trPr>
          <w:cnfStyle w:val="000000010000" w:firstRow="0" w:lastRow="0" w:firstColumn="0" w:lastColumn="0" w:oddVBand="0" w:evenVBand="0" w:oddHBand="0" w:evenHBand="1" w:firstRowFirstColumn="0" w:firstRowLastColumn="0" w:lastRowFirstColumn="0" w:lastRowLastColumn="0"/>
          <w:cantSplit/>
        </w:trPr>
        <w:tc>
          <w:tcPr>
            <w:tcW w:w="1101" w:type="pct"/>
            <w:tcBorders>
              <w:bottom w:val="single" w:sz="4" w:space="0" w:color="auto"/>
            </w:tcBorders>
            <w:shd w:val="clear" w:color="auto" w:fill="FFFFFF" w:themeFill="background1"/>
          </w:tcPr>
          <w:p w14:paraId="70D1084A" w14:textId="77777777" w:rsidR="00E452A3" w:rsidRPr="00792B70" w:rsidRDefault="00E452A3" w:rsidP="00E452A3">
            <w:pPr>
              <w:pStyle w:val="TableBodyText"/>
              <w:keepNext/>
              <w:spacing w:before="40" w:after="40"/>
              <w:rPr>
                <w:sz w:val="17"/>
                <w:szCs w:val="17"/>
                <w:highlight w:val="yellow"/>
                <w:lang w:eastAsia="fr-CA"/>
              </w:rPr>
            </w:pPr>
            <w:r w:rsidRPr="00792B70">
              <w:rPr>
                <w:sz w:val="17"/>
                <w:szCs w:val="17"/>
              </w:rPr>
              <w:t xml:space="preserve">SEA Gas </w:t>
            </w:r>
          </w:p>
        </w:tc>
        <w:tc>
          <w:tcPr>
            <w:tcW w:w="978" w:type="pct"/>
            <w:tcBorders>
              <w:bottom w:val="single" w:sz="4" w:space="0" w:color="auto"/>
            </w:tcBorders>
            <w:shd w:val="clear" w:color="auto" w:fill="FFFFFF" w:themeFill="background1"/>
          </w:tcPr>
          <w:p w14:paraId="1E3803E2" w14:textId="77777777" w:rsidR="00E452A3" w:rsidRPr="00792B70" w:rsidRDefault="00E452A3" w:rsidP="00E452A3">
            <w:pPr>
              <w:pStyle w:val="TableBodyText"/>
              <w:keepNext/>
              <w:spacing w:before="40" w:after="40"/>
              <w:rPr>
                <w:sz w:val="17"/>
                <w:szCs w:val="17"/>
                <w:highlight w:val="yellow"/>
                <w:lang w:eastAsia="fr-CA"/>
              </w:rPr>
            </w:pPr>
            <w:r w:rsidRPr="00792B70">
              <w:rPr>
                <w:sz w:val="17"/>
                <w:szCs w:val="17"/>
              </w:rPr>
              <w:t>To Adelaide</w:t>
            </w:r>
          </w:p>
        </w:tc>
        <w:tc>
          <w:tcPr>
            <w:tcW w:w="713" w:type="pct"/>
            <w:tcBorders>
              <w:bottom w:val="single" w:sz="4" w:space="0" w:color="auto"/>
            </w:tcBorders>
            <w:shd w:val="clear" w:color="auto" w:fill="FFFFFF" w:themeFill="background1"/>
          </w:tcPr>
          <w:p w14:paraId="65F9B876" w14:textId="77777777" w:rsidR="00E452A3" w:rsidRPr="00792B70" w:rsidRDefault="00E452A3" w:rsidP="00E452A3">
            <w:pPr>
              <w:pStyle w:val="TableBodyText"/>
              <w:keepNext/>
              <w:spacing w:before="40" w:after="40"/>
              <w:jc w:val="center"/>
              <w:rPr>
                <w:sz w:val="17"/>
                <w:szCs w:val="17"/>
                <w:highlight w:val="yellow"/>
                <w:lang w:eastAsia="fr-CA"/>
              </w:rPr>
            </w:pPr>
            <w:r w:rsidRPr="00792B70">
              <w:rPr>
                <w:sz w:val="17"/>
                <w:szCs w:val="17"/>
              </w:rPr>
              <w:t>314</w:t>
            </w:r>
          </w:p>
        </w:tc>
        <w:tc>
          <w:tcPr>
            <w:tcW w:w="713" w:type="pct"/>
            <w:tcBorders>
              <w:bottom w:val="single" w:sz="4" w:space="0" w:color="auto"/>
            </w:tcBorders>
            <w:shd w:val="clear" w:color="auto" w:fill="FFFFFF" w:themeFill="background1"/>
          </w:tcPr>
          <w:p w14:paraId="38266C05" w14:textId="77777777" w:rsidR="00E452A3" w:rsidRPr="00792B70" w:rsidRDefault="00E452A3" w:rsidP="00E452A3">
            <w:pPr>
              <w:pStyle w:val="TableBodyText"/>
              <w:keepNext/>
              <w:spacing w:before="40" w:after="40"/>
              <w:jc w:val="center"/>
              <w:rPr>
                <w:sz w:val="17"/>
                <w:szCs w:val="17"/>
                <w:highlight w:val="yellow"/>
                <w:lang w:eastAsia="fr-CA"/>
              </w:rPr>
            </w:pPr>
            <w:r w:rsidRPr="00792B70">
              <w:rPr>
                <w:sz w:val="17"/>
                <w:szCs w:val="17"/>
              </w:rPr>
              <w:t>100%</w:t>
            </w:r>
          </w:p>
        </w:tc>
        <w:tc>
          <w:tcPr>
            <w:tcW w:w="474" w:type="pct"/>
            <w:tcBorders>
              <w:bottom w:val="single" w:sz="4" w:space="0" w:color="auto"/>
            </w:tcBorders>
            <w:shd w:val="clear" w:color="auto" w:fill="FFFFFF" w:themeFill="background1"/>
          </w:tcPr>
          <w:p w14:paraId="350ADDE6" w14:textId="77777777" w:rsidR="00E452A3" w:rsidRPr="00792B70" w:rsidRDefault="00E452A3" w:rsidP="00E452A3">
            <w:pPr>
              <w:pStyle w:val="TableBodyText"/>
              <w:keepNext/>
              <w:spacing w:before="40" w:after="40"/>
              <w:jc w:val="center"/>
              <w:rPr>
                <w:b/>
                <w:sz w:val="17"/>
                <w:szCs w:val="17"/>
                <w:highlight w:val="yellow"/>
                <w:lang w:eastAsia="fr-CA"/>
              </w:rPr>
            </w:pPr>
            <w:r w:rsidRPr="00792B70">
              <w:rPr>
                <w:b/>
                <w:sz w:val="17"/>
                <w:szCs w:val="17"/>
              </w:rPr>
              <w:t>x</w:t>
            </w:r>
          </w:p>
        </w:tc>
        <w:tc>
          <w:tcPr>
            <w:tcW w:w="508" w:type="pct"/>
            <w:tcBorders>
              <w:bottom w:val="single" w:sz="4" w:space="0" w:color="auto"/>
            </w:tcBorders>
            <w:shd w:val="clear" w:color="auto" w:fill="FFFFFF" w:themeFill="background1"/>
          </w:tcPr>
          <w:p w14:paraId="7CEF9179" w14:textId="77777777" w:rsidR="00E452A3" w:rsidRPr="00792B70" w:rsidRDefault="00E452A3" w:rsidP="00E452A3">
            <w:pPr>
              <w:pStyle w:val="TableBodyText"/>
              <w:keepNext/>
              <w:spacing w:before="40" w:after="40"/>
              <w:jc w:val="center"/>
              <w:rPr>
                <w:b/>
                <w:sz w:val="17"/>
                <w:szCs w:val="17"/>
                <w:highlight w:val="yellow"/>
                <w:lang w:eastAsia="fr-CA"/>
              </w:rPr>
            </w:pPr>
            <w:r w:rsidRPr="00792B70">
              <w:rPr>
                <w:b/>
                <w:sz w:val="17"/>
                <w:szCs w:val="17"/>
              </w:rPr>
              <w:t>x</w:t>
            </w:r>
          </w:p>
        </w:tc>
        <w:tc>
          <w:tcPr>
            <w:tcW w:w="513" w:type="pct"/>
            <w:tcBorders>
              <w:bottom w:val="single" w:sz="4" w:space="0" w:color="auto"/>
            </w:tcBorders>
            <w:shd w:val="clear" w:color="auto" w:fill="FFFFFF" w:themeFill="background1"/>
          </w:tcPr>
          <w:p w14:paraId="0DACD5C2" w14:textId="77777777" w:rsidR="00E452A3" w:rsidRPr="00792B70" w:rsidRDefault="00E452A3" w:rsidP="00E452A3">
            <w:pPr>
              <w:pStyle w:val="TableBodyText"/>
              <w:keepNext/>
              <w:spacing w:before="40" w:after="40"/>
              <w:jc w:val="center"/>
              <w:rPr>
                <w:b/>
                <w:sz w:val="17"/>
                <w:szCs w:val="17"/>
                <w:highlight w:val="yellow"/>
                <w:lang w:eastAsia="fr-CA"/>
              </w:rPr>
            </w:pPr>
            <w:r w:rsidRPr="00792B70">
              <w:rPr>
                <w:b/>
                <w:sz w:val="17"/>
                <w:szCs w:val="17"/>
              </w:rPr>
              <w:t>x</w:t>
            </w:r>
          </w:p>
        </w:tc>
      </w:tr>
      <w:tr w:rsidR="00792B70" w:rsidRPr="00792B70" w14:paraId="2E9F0C2F" w14:textId="77777777" w:rsidTr="00792B70">
        <w:trPr>
          <w:cantSplit/>
        </w:trPr>
        <w:tc>
          <w:tcPr>
            <w:tcW w:w="5000" w:type="pct"/>
            <w:gridSpan w:val="7"/>
            <w:shd w:val="clear" w:color="auto" w:fill="65697F" w:themeFill="background2" w:themeFillShade="80"/>
          </w:tcPr>
          <w:p w14:paraId="1065DB69" w14:textId="12639826" w:rsidR="00B63D8F" w:rsidRPr="00792B70" w:rsidRDefault="00B63D8F" w:rsidP="008F2E35">
            <w:pPr>
              <w:pStyle w:val="TableBodyText"/>
              <w:keepNext/>
              <w:spacing w:before="20" w:after="20"/>
              <w:jc w:val="center"/>
              <w:rPr>
                <w:b/>
                <w:color w:val="FFFFFF" w:themeColor="background1"/>
                <w:sz w:val="17"/>
                <w:szCs w:val="17"/>
              </w:rPr>
            </w:pPr>
            <w:r w:rsidRPr="00792B70">
              <w:rPr>
                <w:b/>
                <w:color w:val="FFFFFF" w:themeColor="background1"/>
                <w:sz w:val="17"/>
                <w:szCs w:val="17"/>
              </w:rPr>
              <w:t>Tasmania</w:t>
            </w:r>
          </w:p>
        </w:tc>
      </w:tr>
      <w:tr w:rsidR="00792B70" w:rsidRPr="00792B70" w14:paraId="442C82FA" w14:textId="77777777" w:rsidTr="00792B70">
        <w:trPr>
          <w:cnfStyle w:val="000000010000" w:firstRow="0" w:lastRow="0" w:firstColumn="0" w:lastColumn="0" w:oddVBand="0" w:evenVBand="0" w:oddHBand="0" w:evenHBand="1" w:firstRowFirstColumn="0" w:firstRowLastColumn="0" w:lastRowFirstColumn="0" w:lastRowLastColumn="0"/>
          <w:cantSplit/>
        </w:trPr>
        <w:tc>
          <w:tcPr>
            <w:tcW w:w="1101" w:type="pct"/>
            <w:vMerge w:val="restart"/>
          </w:tcPr>
          <w:p w14:paraId="39CCC35B" w14:textId="20B52063" w:rsidR="00B63D8F" w:rsidRPr="00792B70" w:rsidRDefault="00B63D8F" w:rsidP="00E452A3">
            <w:pPr>
              <w:pStyle w:val="TableBodyText"/>
              <w:keepNext/>
              <w:spacing w:before="40" w:after="40"/>
              <w:rPr>
                <w:sz w:val="17"/>
                <w:szCs w:val="17"/>
              </w:rPr>
            </w:pPr>
            <w:r w:rsidRPr="00792B70">
              <w:rPr>
                <w:sz w:val="17"/>
                <w:szCs w:val="17"/>
              </w:rPr>
              <w:t xml:space="preserve">Tasmanian Gas Pipeline </w:t>
            </w:r>
          </w:p>
        </w:tc>
        <w:tc>
          <w:tcPr>
            <w:tcW w:w="978" w:type="pct"/>
          </w:tcPr>
          <w:p w14:paraId="7F6F54B8" w14:textId="77777777" w:rsidR="00B63D8F" w:rsidRPr="00792B70" w:rsidRDefault="00B63D8F" w:rsidP="00E452A3">
            <w:pPr>
              <w:pStyle w:val="TableBodyText"/>
              <w:keepNext/>
              <w:spacing w:before="40" w:after="40"/>
              <w:rPr>
                <w:sz w:val="17"/>
                <w:szCs w:val="17"/>
              </w:rPr>
            </w:pPr>
            <w:r w:rsidRPr="00792B70">
              <w:rPr>
                <w:sz w:val="17"/>
                <w:szCs w:val="17"/>
              </w:rPr>
              <w:t>To Hobart</w:t>
            </w:r>
          </w:p>
        </w:tc>
        <w:tc>
          <w:tcPr>
            <w:tcW w:w="713" w:type="pct"/>
          </w:tcPr>
          <w:p w14:paraId="6D120ECD" w14:textId="77777777" w:rsidR="00B63D8F" w:rsidRPr="00792B70" w:rsidRDefault="00B63D8F" w:rsidP="00E452A3">
            <w:pPr>
              <w:pStyle w:val="TableBodyText"/>
              <w:keepNext/>
              <w:spacing w:before="40" w:after="40"/>
              <w:jc w:val="center"/>
              <w:rPr>
                <w:sz w:val="17"/>
                <w:szCs w:val="17"/>
              </w:rPr>
            </w:pPr>
            <w:r w:rsidRPr="00792B70">
              <w:rPr>
                <w:sz w:val="17"/>
                <w:szCs w:val="17"/>
              </w:rPr>
              <w:t>129</w:t>
            </w:r>
          </w:p>
        </w:tc>
        <w:tc>
          <w:tcPr>
            <w:tcW w:w="713" w:type="pct"/>
          </w:tcPr>
          <w:p w14:paraId="68CEC754" w14:textId="77777777" w:rsidR="00B63D8F" w:rsidRPr="00792B70" w:rsidRDefault="00B63D8F" w:rsidP="00E452A3">
            <w:pPr>
              <w:pStyle w:val="TableBodyText"/>
              <w:keepNext/>
              <w:spacing w:before="40" w:after="40"/>
              <w:jc w:val="center"/>
              <w:rPr>
                <w:sz w:val="17"/>
                <w:szCs w:val="17"/>
              </w:rPr>
            </w:pPr>
            <w:r w:rsidRPr="00792B70">
              <w:rPr>
                <w:sz w:val="17"/>
                <w:szCs w:val="17"/>
              </w:rPr>
              <w:t>67%</w:t>
            </w:r>
          </w:p>
        </w:tc>
        <w:tc>
          <w:tcPr>
            <w:tcW w:w="474" w:type="pct"/>
          </w:tcPr>
          <w:p w14:paraId="5FC1E144" w14:textId="77777777" w:rsidR="00B63D8F" w:rsidRPr="00792B70" w:rsidRDefault="00B63D8F" w:rsidP="00E452A3">
            <w:pPr>
              <w:pStyle w:val="TableBodyText"/>
              <w:keepNext/>
              <w:spacing w:before="40" w:after="40"/>
              <w:jc w:val="center"/>
              <w:rPr>
                <w:b/>
                <w:sz w:val="17"/>
                <w:szCs w:val="17"/>
                <w:highlight w:val="yellow"/>
                <w:lang w:eastAsia="fr-CA"/>
              </w:rPr>
            </w:pPr>
          </w:p>
        </w:tc>
        <w:tc>
          <w:tcPr>
            <w:tcW w:w="508" w:type="pct"/>
          </w:tcPr>
          <w:p w14:paraId="2BEBE24B" w14:textId="77777777" w:rsidR="00B63D8F" w:rsidRPr="00792B70" w:rsidRDefault="00B63D8F" w:rsidP="00E452A3">
            <w:pPr>
              <w:pStyle w:val="TableBodyText"/>
              <w:keepNext/>
              <w:spacing w:before="40" w:after="40"/>
              <w:jc w:val="center"/>
              <w:rPr>
                <w:b/>
                <w:sz w:val="17"/>
                <w:szCs w:val="17"/>
                <w:highlight w:val="yellow"/>
                <w:lang w:eastAsia="fr-CA"/>
              </w:rPr>
            </w:pPr>
          </w:p>
        </w:tc>
        <w:tc>
          <w:tcPr>
            <w:tcW w:w="513" w:type="pct"/>
          </w:tcPr>
          <w:p w14:paraId="13552300" w14:textId="77777777" w:rsidR="00B63D8F" w:rsidRPr="00792B70" w:rsidRDefault="00B63D8F" w:rsidP="00E452A3">
            <w:pPr>
              <w:pStyle w:val="TableBodyText"/>
              <w:keepNext/>
              <w:spacing w:before="40" w:after="40"/>
              <w:jc w:val="center"/>
              <w:rPr>
                <w:b/>
                <w:sz w:val="17"/>
                <w:szCs w:val="17"/>
                <w:highlight w:val="yellow"/>
                <w:lang w:eastAsia="fr-CA"/>
              </w:rPr>
            </w:pPr>
          </w:p>
        </w:tc>
      </w:tr>
      <w:tr w:rsidR="00792B70" w:rsidRPr="00792B70" w14:paraId="30E4330B" w14:textId="77777777" w:rsidTr="00792B70">
        <w:trPr>
          <w:cantSplit/>
        </w:trPr>
        <w:tc>
          <w:tcPr>
            <w:tcW w:w="1101" w:type="pct"/>
            <w:vMerge/>
          </w:tcPr>
          <w:p w14:paraId="7AA991B3" w14:textId="683AC6FB" w:rsidR="00B63D8F" w:rsidRPr="00792B70" w:rsidRDefault="00B63D8F" w:rsidP="00E452A3">
            <w:pPr>
              <w:pStyle w:val="TableBodyText"/>
              <w:keepNext/>
              <w:spacing w:before="40" w:after="40"/>
              <w:rPr>
                <w:sz w:val="17"/>
                <w:szCs w:val="17"/>
              </w:rPr>
            </w:pPr>
          </w:p>
        </w:tc>
        <w:tc>
          <w:tcPr>
            <w:tcW w:w="978" w:type="pct"/>
            <w:shd w:val="clear" w:color="auto" w:fill="E1E2E7" w:themeFill="background2"/>
          </w:tcPr>
          <w:p w14:paraId="56477AE9" w14:textId="77777777" w:rsidR="00B63D8F" w:rsidRPr="00792B70" w:rsidRDefault="00B63D8F" w:rsidP="00E452A3">
            <w:pPr>
              <w:pStyle w:val="TableBodyText"/>
              <w:keepNext/>
              <w:spacing w:before="40" w:after="40"/>
              <w:rPr>
                <w:sz w:val="17"/>
                <w:szCs w:val="17"/>
              </w:rPr>
            </w:pPr>
            <w:r w:rsidRPr="00792B70">
              <w:rPr>
                <w:sz w:val="17"/>
                <w:szCs w:val="17"/>
              </w:rPr>
              <w:t>To Longford</w:t>
            </w:r>
          </w:p>
        </w:tc>
        <w:tc>
          <w:tcPr>
            <w:tcW w:w="713" w:type="pct"/>
            <w:shd w:val="clear" w:color="auto" w:fill="E1E2E7" w:themeFill="background2"/>
          </w:tcPr>
          <w:p w14:paraId="0F43124A" w14:textId="77777777" w:rsidR="00B63D8F" w:rsidRPr="00792B70" w:rsidRDefault="00B63D8F" w:rsidP="00E452A3">
            <w:pPr>
              <w:pStyle w:val="TableBodyText"/>
              <w:keepNext/>
              <w:spacing w:before="40" w:after="40"/>
              <w:jc w:val="center"/>
              <w:rPr>
                <w:sz w:val="17"/>
                <w:szCs w:val="17"/>
              </w:rPr>
            </w:pPr>
            <w:r w:rsidRPr="00792B70">
              <w:rPr>
                <w:sz w:val="17"/>
                <w:szCs w:val="17"/>
              </w:rPr>
              <w:t>120</w:t>
            </w:r>
          </w:p>
        </w:tc>
        <w:tc>
          <w:tcPr>
            <w:tcW w:w="713" w:type="pct"/>
            <w:shd w:val="clear" w:color="auto" w:fill="E1E2E7" w:themeFill="background2"/>
          </w:tcPr>
          <w:p w14:paraId="1B216BF7" w14:textId="77777777" w:rsidR="00B63D8F" w:rsidRPr="00792B70" w:rsidRDefault="00B63D8F" w:rsidP="00E452A3">
            <w:pPr>
              <w:pStyle w:val="TableBodyText"/>
              <w:keepNext/>
              <w:spacing w:before="40" w:after="40"/>
              <w:jc w:val="center"/>
              <w:rPr>
                <w:sz w:val="17"/>
                <w:szCs w:val="17"/>
              </w:rPr>
            </w:pPr>
            <w:r w:rsidRPr="00792B70">
              <w:rPr>
                <w:sz w:val="17"/>
                <w:szCs w:val="17"/>
              </w:rPr>
              <w:t>92%</w:t>
            </w:r>
          </w:p>
        </w:tc>
        <w:tc>
          <w:tcPr>
            <w:tcW w:w="474" w:type="pct"/>
            <w:shd w:val="clear" w:color="auto" w:fill="E1E2E7" w:themeFill="background2"/>
          </w:tcPr>
          <w:p w14:paraId="6C37965B" w14:textId="77777777" w:rsidR="00B63D8F" w:rsidRPr="00792B70" w:rsidRDefault="00B63D8F" w:rsidP="00E452A3">
            <w:pPr>
              <w:pStyle w:val="TableBodyText"/>
              <w:keepNext/>
              <w:spacing w:before="40" w:after="40"/>
              <w:jc w:val="center"/>
              <w:rPr>
                <w:b/>
                <w:sz w:val="17"/>
                <w:szCs w:val="17"/>
                <w:highlight w:val="yellow"/>
                <w:lang w:eastAsia="fr-CA"/>
              </w:rPr>
            </w:pPr>
          </w:p>
        </w:tc>
        <w:tc>
          <w:tcPr>
            <w:tcW w:w="508" w:type="pct"/>
            <w:shd w:val="clear" w:color="auto" w:fill="E1E2E7" w:themeFill="background2"/>
          </w:tcPr>
          <w:p w14:paraId="2B9000AB" w14:textId="77777777" w:rsidR="00B63D8F" w:rsidRPr="00792B70" w:rsidRDefault="00B63D8F" w:rsidP="00E452A3">
            <w:pPr>
              <w:pStyle w:val="TableBodyText"/>
              <w:keepNext/>
              <w:spacing w:before="40" w:after="40"/>
              <w:jc w:val="center"/>
              <w:rPr>
                <w:b/>
                <w:sz w:val="17"/>
                <w:szCs w:val="17"/>
                <w:highlight w:val="yellow"/>
                <w:lang w:eastAsia="fr-CA"/>
              </w:rPr>
            </w:pPr>
          </w:p>
        </w:tc>
        <w:tc>
          <w:tcPr>
            <w:tcW w:w="513" w:type="pct"/>
            <w:shd w:val="clear" w:color="auto" w:fill="E1E2E7" w:themeFill="background2"/>
          </w:tcPr>
          <w:p w14:paraId="4E767145" w14:textId="77777777" w:rsidR="00B63D8F" w:rsidRPr="00792B70" w:rsidRDefault="00B63D8F" w:rsidP="00E452A3">
            <w:pPr>
              <w:pStyle w:val="TableBodyText"/>
              <w:keepNext/>
              <w:spacing w:before="40" w:after="40"/>
              <w:jc w:val="center"/>
              <w:rPr>
                <w:b/>
                <w:sz w:val="17"/>
                <w:szCs w:val="17"/>
                <w:highlight w:val="yellow"/>
                <w:lang w:eastAsia="fr-CA"/>
              </w:rPr>
            </w:pPr>
            <w:r w:rsidRPr="00792B70">
              <w:rPr>
                <w:b/>
                <w:sz w:val="17"/>
                <w:szCs w:val="17"/>
              </w:rPr>
              <w:t>x</w:t>
            </w:r>
          </w:p>
        </w:tc>
      </w:tr>
    </w:tbl>
    <w:p w14:paraId="3D86F1B5" w14:textId="7F9CE2AE" w:rsidR="00E452A3" w:rsidRPr="009A057E" w:rsidRDefault="00E452A3" w:rsidP="00E452A3">
      <w:pPr>
        <w:pStyle w:val="BodyText"/>
        <w:spacing w:before="0" w:after="0"/>
        <w:rPr>
          <w:sz w:val="16"/>
          <w:szCs w:val="16"/>
          <w:lang w:eastAsia="fr-CA"/>
        </w:rPr>
      </w:pPr>
      <w:r w:rsidRPr="009A057E">
        <w:rPr>
          <w:sz w:val="16"/>
          <w:szCs w:val="16"/>
          <w:lang w:eastAsia="fr-CA"/>
        </w:rPr>
        <w:t xml:space="preserve">Source: </w:t>
      </w:r>
      <w:r w:rsidRPr="009A057E">
        <w:rPr>
          <w:iCs/>
          <w:sz w:val="16"/>
          <w:szCs w:val="16"/>
        </w:rPr>
        <w:t>Natural Gas Services Bulletin Board, http://gasbb.com.au/, accessed 29 September 2017</w:t>
      </w:r>
      <w:r w:rsidR="00B94822">
        <w:rPr>
          <w:iCs/>
          <w:sz w:val="16"/>
          <w:szCs w:val="16"/>
        </w:rPr>
        <w:t>.</w:t>
      </w:r>
    </w:p>
    <w:p w14:paraId="19AA06AE" w14:textId="6B48255E" w:rsidR="00EF389B" w:rsidRPr="00314AC9" w:rsidRDefault="00EF389B" w:rsidP="00EF389B">
      <w:pPr>
        <w:pStyle w:val="BodyText"/>
        <w:rPr>
          <w:rFonts w:ascii="Times New Roman" w:hAnsi="Times New Roman"/>
          <w:color w:val="000000"/>
        </w:rPr>
      </w:pPr>
      <w:r w:rsidRPr="00E452A3">
        <w:rPr>
          <w:rFonts w:asciiTheme="majorHAnsi" w:hAnsiTheme="majorHAnsi" w:cstheme="majorHAnsi"/>
        </w:rPr>
        <w:t xml:space="preserve">As this table shows, </w:t>
      </w:r>
      <w:r w:rsidRPr="00E452A3">
        <w:rPr>
          <w:rFonts w:asciiTheme="majorHAnsi" w:hAnsiTheme="majorHAnsi" w:cstheme="majorHAnsi"/>
          <w:color w:val="000000"/>
        </w:rPr>
        <w:t>if contractual congestion is defined as having contracted 90% or more of</w:t>
      </w:r>
      <w:r w:rsidRPr="00314AC9">
        <w:rPr>
          <w:rFonts w:asciiTheme="majorHAnsi" w:hAnsiTheme="majorHAnsi" w:cstheme="majorHAnsi"/>
          <w:color w:val="000000"/>
        </w:rPr>
        <w:t xml:space="preserve"> the nameplate capacity contracted</w:t>
      </w:r>
      <w:r>
        <w:rPr>
          <w:rFonts w:asciiTheme="majorHAnsi" w:hAnsiTheme="majorHAnsi" w:cstheme="majorHAnsi"/>
          <w:color w:val="000000"/>
        </w:rPr>
        <w:t xml:space="preserve"> on average over a 12 month period</w:t>
      </w:r>
      <w:r w:rsidRPr="00314AC9">
        <w:rPr>
          <w:rFonts w:asciiTheme="majorHAnsi" w:hAnsiTheme="majorHAnsi" w:cstheme="majorHAnsi"/>
          <w:color w:val="000000"/>
        </w:rPr>
        <w:t xml:space="preserve">, then </w:t>
      </w:r>
      <w:r>
        <w:rPr>
          <w:rFonts w:asciiTheme="majorHAnsi" w:hAnsiTheme="majorHAnsi" w:cstheme="majorHAnsi"/>
          <w:color w:val="000000"/>
        </w:rPr>
        <w:t xml:space="preserve">while </w:t>
      </w:r>
      <w:r w:rsidRPr="00314AC9">
        <w:rPr>
          <w:rFonts w:asciiTheme="majorHAnsi" w:hAnsiTheme="majorHAnsi" w:cstheme="majorHAnsi"/>
          <w:color w:val="000000"/>
        </w:rPr>
        <w:t>it would capture a reasonable number of pipelines</w:t>
      </w:r>
      <w:r>
        <w:rPr>
          <w:rFonts w:asciiTheme="majorHAnsi" w:hAnsiTheme="majorHAnsi" w:cstheme="majorHAnsi"/>
          <w:color w:val="000000"/>
        </w:rPr>
        <w:t>, it would exclude a number of key pipelines, including</w:t>
      </w:r>
      <w:r w:rsidRPr="00314AC9">
        <w:rPr>
          <w:rFonts w:asciiTheme="majorHAnsi" w:hAnsiTheme="majorHAnsi" w:cstheme="majorHAnsi"/>
          <w:color w:val="000000"/>
        </w:rPr>
        <w:t>:</w:t>
      </w:r>
    </w:p>
    <w:p w14:paraId="2ACF1116" w14:textId="77777777" w:rsidR="00EF389B" w:rsidRDefault="00EF389B" w:rsidP="00EF389B">
      <w:pPr>
        <w:pStyle w:val="ListBullet"/>
      </w:pPr>
      <w:r>
        <w:t>the Carpentaria Gas Pipeline (</w:t>
      </w:r>
      <w:proofErr w:type="spellStart"/>
      <w:r>
        <w:t>Ballera</w:t>
      </w:r>
      <w:proofErr w:type="spellEnd"/>
      <w:r>
        <w:t xml:space="preserve"> to Mt Isa);</w:t>
      </w:r>
    </w:p>
    <w:p w14:paraId="64CF4498" w14:textId="77777777" w:rsidR="00EF389B" w:rsidRDefault="00EF389B" w:rsidP="00EF389B">
      <w:pPr>
        <w:pStyle w:val="ListBullet"/>
      </w:pPr>
      <w:r>
        <w:t>the Roma to Brisbane Pipeline (</w:t>
      </w:r>
      <w:proofErr w:type="spellStart"/>
      <w:r>
        <w:t>Kogan</w:t>
      </w:r>
      <w:proofErr w:type="spellEnd"/>
      <w:r>
        <w:t xml:space="preserve"> North to Wallumbilla);</w:t>
      </w:r>
    </w:p>
    <w:p w14:paraId="7E875F9F" w14:textId="77777777" w:rsidR="00EF389B" w:rsidRDefault="00EF389B" w:rsidP="00EF389B">
      <w:pPr>
        <w:pStyle w:val="ListBullet"/>
      </w:pPr>
      <w:r>
        <w:t xml:space="preserve">the South West Queensland Pipeline (Moomba to Wallumbilla); </w:t>
      </w:r>
    </w:p>
    <w:p w14:paraId="2A6C3FE3" w14:textId="77777777" w:rsidR="00EF389B" w:rsidRDefault="00EF389B" w:rsidP="00EF389B">
      <w:pPr>
        <w:pStyle w:val="ListBullet"/>
      </w:pPr>
      <w:r>
        <w:t xml:space="preserve">the </w:t>
      </w:r>
      <w:proofErr w:type="spellStart"/>
      <w:r w:rsidRPr="00314AC9">
        <w:t>Berwyndale</w:t>
      </w:r>
      <w:proofErr w:type="spellEnd"/>
      <w:r w:rsidRPr="00314AC9">
        <w:t xml:space="preserve"> to Wallum</w:t>
      </w:r>
      <w:r>
        <w:t>b</w:t>
      </w:r>
      <w:r w:rsidRPr="00314AC9">
        <w:t>illa Pipeline (</w:t>
      </w:r>
      <w:r>
        <w:t xml:space="preserve">Wallumbilla </w:t>
      </w:r>
      <w:r w:rsidRPr="00314AC9">
        <w:t xml:space="preserve">to </w:t>
      </w:r>
      <w:r>
        <w:t>Roma</w:t>
      </w:r>
      <w:r w:rsidRPr="00314AC9">
        <w:t>)</w:t>
      </w:r>
      <w:r>
        <w:t>;</w:t>
      </w:r>
    </w:p>
    <w:p w14:paraId="15DBBB50" w14:textId="77777777" w:rsidR="00EF389B" w:rsidRDefault="00EF389B" w:rsidP="00EF389B">
      <w:pPr>
        <w:pStyle w:val="ListBullet"/>
      </w:pPr>
      <w:r>
        <w:t>the Moomba to Sydney Pipeline (Moomba to Sydney); and</w:t>
      </w:r>
    </w:p>
    <w:p w14:paraId="29ADA95B" w14:textId="77777777" w:rsidR="00EF389B" w:rsidRDefault="00EF389B" w:rsidP="00EF389B">
      <w:pPr>
        <w:pStyle w:val="ListBullet"/>
      </w:pPr>
      <w:proofErr w:type="gramStart"/>
      <w:r>
        <w:t>the</w:t>
      </w:r>
      <w:proofErr w:type="gramEnd"/>
      <w:r>
        <w:t xml:space="preserve"> Tasmanian Gas Pipeline (Longford to Hobart).</w:t>
      </w:r>
    </w:p>
    <w:p w14:paraId="0646D1DE" w14:textId="1F6B1439" w:rsidR="00EF389B" w:rsidRDefault="00EF389B" w:rsidP="00EF389B">
      <w:pPr>
        <w:pStyle w:val="BodyText"/>
      </w:pPr>
      <w:r>
        <w:t xml:space="preserve">If a more </w:t>
      </w:r>
      <w:r w:rsidRPr="009A057E">
        <w:t>restrictive definition of contractual congestion (i.e. 100</w:t>
      </w:r>
      <w:r>
        <w:t>%</w:t>
      </w:r>
      <w:r w:rsidRPr="009A057E">
        <w:t xml:space="preserve"> </w:t>
      </w:r>
      <w:r>
        <w:t>contracted</w:t>
      </w:r>
      <w:r w:rsidRPr="009A057E">
        <w:t>)</w:t>
      </w:r>
      <w:r>
        <w:t xml:space="preserve"> was adopted</w:t>
      </w:r>
      <w:r w:rsidRPr="009A057E">
        <w:t xml:space="preserve">, </w:t>
      </w:r>
      <w:r>
        <w:t xml:space="preserve">then the list of pipelines that would be subject to the auction would only include the following pipelines: </w:t>
      </w:r>
    </w:p>
    <w:p w14:paraId="65EDE1E6" w14:textId="77777777" w:rsidR="00EF389B" w:rsidRDefault="00EF389B" w:rsidP="00EF389B">
      <w:pPr>
        <w:pStyle w:val="ListBullet"/>
      </w:pPr>
      <w:r>
        <w:t>the dedicated LNG pipelines (i.e. the APLNG, Wallumbilla to Gladstone, GLNG and Comet Ridge to Wallumbilla pipelines), many of which are likely to seek an exemption because they don’t provide third party access or service a single facility;</w:t>
      </w:r>
    </w:p>
    <w:p w14:paraId="720033DB" w14:textId="77777777" w:rsidR="00EF389B" w:rsidRDefault="00EF389B" w:rsidP="00EF389B">
      <w:pPr>
        <w:pStyle w:val="ListBullet"/>
      </w:pPr>
      <w:r>
        <w:t>the Darling Downs Pipeline (in both directions);</w:t>
      </w:r>
    </w:p>
    <w:p w14:paraId="132947DD" w14:textId="520F71D3" w:rsidR="00EF389B" w:rsidRDefault="00EF389B" w:rsidP="00EF389B">
      <w:pPr>
        <w:pStyle w:val="ListBullet"/>
      </w:pPr>
      <w:r>
        <w:t>the Spring Gully Pipeline (in both directions);</w:t>
      </w:r>
    </w:p>
    <w:p w14:paraId="0CD249B4" w14:textId="7A001E81" w:rsidR="00EF389B" w:rsidRDefault="00EF389B" w:rsidP="00EF389B">
      <w:pPr>
        <w:pStyle w:val="ListBullet"/>
      </w:pPr>
      <w:r>
        <w:t>the Moomba to Adelaide Pipeline (in both directions); and</w:t>
      </w:r>
    </w:p>
    <w:p w14:paraId="7A623CA7" w14:textId="4DE5ACF5" w:rsidR="00EF389B" w:rsidRDefault="00EF389B" w:rsidP="00EF389B">
      <w:pPr>
        <w:pStyle w:val="ListBullet"/>
      </w:pPr>
      <w:proofErr w:type="gramStart"/>
      <w:r>
        <w:t>the</w:t>
      </w:r>
      <w:proofErr w:type="gramEnd"/>
      <w:r>
        <w:t xml:space="preserve"> </w:t>
      </w:r>
      <w:proofErr w:type="spellStart"/>
      <w:r>
        <w:t>SEAGas</w:t>
      </w:r>
      <w:proofErr w:type="spellEnd"/>
      <w:r>
        <w:t xml:space="preserve"> Pipeline. </w:t>
      </w:r>
    </w:p>
    <w:p w14:paraId="66DDAF2F" w14:textId="536C5C05" w:rsidR="005A58DC" w:rsidRDefault="00EF389B" w:rsidP="006512D9">
      <w:pPr>
        <w:pStyle w:val="BodyText"/>
        <w:rPr>
          <w:rFonts w:asciiTheme="majorHAnsi" w:hAnsiTheme="majorHAnsi" w:cstheme="majorHAnsi"/>
          <w:color w:val="000000"/>
        </w:rPr>
      </w:pPr>
      <w:r>
        <w:t xml:space="preserve">As this list highlights, there would be limited value in adopting the combinatorial auction if the auction was limited to contractually congested pipelines and a relatively restrictive definition of contractual congestion was adopted. Even if the lower 90% threshold was </w:t>
      </w:r>
      <w:r w:rsidRPr="006512D9">
        <w:t xml:space="preserve">adopted, there would be some key gaps in the partial </w:t>
      </w:r>
      <w:r w:rsidRPr="006512D9">
        <w:rPr>
          <w:rFonts w:asciiTheme="majorHAnsi" w:hAnsiTheme="majorHAnsi" w:cstheme="majorHAnsi"/>
          <w:color w:val="000000"/>
        </w:rPr>
        <w:t xml:space="preserve">combinatorial auction, which could, as NERA </w:t>
      </w:r>
      <w:r w:rsidR="006512D9">
        <w:rPr>
          <w:rFonts w:asciiTheme="majorHAnsi" w:hAnsiTheme="majorHAnsi" w:cstheme="majorHAnsi"/>
          <w:color w:val="000000"/>
        </w:rPr>
        <w:t>pointed out</w:t>
      </w:r>
      <w:r w:rsidRPr="006512D9">
        <w:rPr>
          <w:rFonts w:asciiTheme="majorHAnsi" w:hAnsiTheme="majorHAnsi" w:cstheme="majorHAnsi"/>
          <w:color w:val="000000"/>
        </w:rPr>
        <w:t>, undermine the efficiency of the auction</w:t>
      </w:r>
      <w:r w:rsidR="00AC5935">
        <w:rPr>
          <w:rFonts w:asciiTheme="majorHAnsi" w:hAnsiTheme="majorHAnsi" w:cstheme="majorHAnsi"/>
          <w:color w:val="000000"/>
        </w:rPr>
        <w:t xml:space="preserve"> because it would be more fragmented</w:t>
      </w:r>
      <w:r w:rsidRPr="006512D9">
        <w:rPr>
          <w:rFonts w:asciiTheme="majorHAnsi" w:hAnsiTheme="majorHAnsi" w:cstheme="majorHAnsi"/>
          <w:color w:val="000000"/>
        </w:rPr>
        <w:t>.</w:t>
      </w:r>
      <w:r w:rsidR="006512D9">
        <w:rPr>
          <w:rFonts w:asciiTheme="majorHAnsi" w:hAnsiTheme="majorHAnsi" w:cstheme="majorHAnsi"/>
          <w:color w:val="000000"/>
        </w:rPr>
        <w:t xml:space="preserve"> </w:t>
      </w:r>
    </w:p>
    <w:p w14:paraId="09488976" w14:textId="1CC83A0D" w:rsidR="00EF389B" w:rsidRDefault="005A58DC" w:rsidP="006512D9">
      <w:pPr>
        <w:pStyle w:val="BodyText"/>
        <w:rPr>
          <w:rFonts w:asciiTheme="majorHAnsi" w:hAnsiTheme="majorHAnsi" w:cstheme="majorHAnsi"/>
          <w:color w:val="000000"/>
        </w:rPr>
      </w:pPr>
      <w:r>
        <w:rPr>
          <w:rFonts w:asciiTheme="majorHAnsi" w:hAnsiTheme="majorHAnsi" w:cstheme="majorHAnsi"/>
          <w:color w:val="000000"/>
        </w:rPr>
        <w:t>The other point to note about this analysis is that it is based on current levels of contractual congestion. As contracts roll off and new contracts are entered into, the pipelines that would be included or excluded from the auction could change dramatically.</w:t>
      </w:r>
      <w:r w:rsidR="006B7AC6">
        <w:rPr>
          <w:rFonts w:asciiTheme="majorHAnsi" w:hAnsiTheme="majorHAnsi" w:cstheme="majorHAnsi"/>
          <w:color w:val="000000"/>
        </w:rPr>
        <w:t xml:space="preserve"> </w:t>
      </w:r>
      <w:r>
        <w:t xml:space="preserve">A good example of this arose earlier in the year, when this analysis was originally carried out. At the time this analysis was conducted, it showed that the South West Queensland Pipeline was contractually congested </w:t>
      </w:r>
      <w:r w:rsidR="00792B70">
        <w:t xml:space="preserve">from </w:t>
      </w:r>
      <w:r>
        <w:t xml:space="preserve">Moomba </w:t>
      </w:r>
      <w:r w:rsidR="00792B70">
        <w:t xml:space="preserve">to </w:t>
      </w:r>
      <w:r>
        <w:t xml:space="preserve">Wallumbilla but not in the other direction. However, when this analysis was repeated a week later, it showed that the pipeline was contractually congested </w:t>
      </w:r>
      <w:r w:rsidR="00792B70">
        <w:t xml:space="preserve">from </w:t>
      </w:r>
      <w:r>
        <w:t xml:space="preserve">Wallumbilla </w:t>
      </w:r>
      <w:r w:rsidR="00792B70">
        <w:t xml:space="preserve">to </w:t>
      </w:r>
      <w:r>
        <w:t xml:space="preserve">Moomba </w:t>
      </w:r>
      <w:r w:rsidR="00792B70">
        <w:t>but not in the other direction.</w:t>
      </w:r>
      <w:r>
        <w:rPr>
          <w:rFonts w:asciiTheme="majorHAnsi" w:hAnsiTheme="majorHAnsi" w:cstheme="majorHAnsi"/>
          <w:color w:val="000000"/>
        </w:rPr>
        <w:t xml:space="preserve"> This highlights one of the shortcomings of using contractual congestion as a trigger for determining whether </w:t>
      </w:r>
      <w:r w:rsidR="00792B70">
        <w:rPr>
          <w:rFonts w:asciiTheme="majorHAnsi" w:hAnsiTheme="majorHAnsi" w:cstheme="majorHAnsi"/>
          <w:color w:val="000000"/>
        </w:rPr>
        <w:t xml:space="preserve">or not </w:t>
      </w:r>
      <w:r w:rsidR="00360B16">
        <w:rPr>
          <w:rFonts w:asciiTheme="majorHAnsi" w:hAnsiTheme="majorHAnsi" w:cstheme="majorHAnsi"/>
          <w:color w:val="000000"/>
        </w:rPr>
        <w:t xml:space="preserve">an </w:t>
      </w:r>
      <w:r>
        <w:rPr>
          <w:rFonts w:asciiTheme="majorHAnsi" w:hAnsiTheme="majorHAnsi" w:cstheme="majorHAnsi"/>
          <w:color w:val="000000"/>
        </w:rPr>
        <w:t xml:space="preserve">asset is </w:t>
      </w:r>
      <w:r w:rsidR="00792B70">
        <w:rPr>
          <w:rFonts w:asciiTheme="majorHAnsi" w:hAnsiTheme="majorHAnsi" w:cstheme="majorHAnsi"/>
          <w:color w:val="000000"/>
        </w:rPr>
        <w:t xml:space="preserve">subject </w:t>
      </w:r>
      <w:r>
        <w:rPr>
          <w:rFonts w:asciiTheme="majorHAnsi" w:hAnsiTheme="majorHAnsi" w:cstheme="majorHAnsi"/>
          <w:color w:val="000000"/>
        </w:rPr>
        <w:t xml:space="preserve">the auction, because not only would this type of change be disruptive for shippers it could also impose significant costs on service providers if it results in </w:t>
      </w:r>
      <w:r w:rsidR="00360B16">
        <w:rPr>
          <w:rFonts w:asciiTheme="majorHAnsi" w:hAnsiTheme="majorHAnsi" w:cstheme="majorHAnsi"/>
          <w:color w:val="000000"/>
        </w:rPr>
        <w:t>assets moving into and out of the auction.</w:t>
      </w:r>
    </w:p>
    <w:p w14:paraId="325A5622" w14:textId="687B6627" w:rsidR="00634483" w:rsidRPr="006512D9" w:rsidRDefault="00634483" w:rsidP="00634483">
      <w:pPr>
        <w:pStyle w:val="Heading2"/>
      </w:pPr>
      <w:bookmarkStart w:id="131" w:name="_Toc495351650"/>
      <w:r w:rsidRPr="006512D9">
        <w:t>GMRG’s preliminary view and questions</w:t>
      </w:r>
      <w:bookmarkEnd w:id="131"/>
    </w:p>
    <w:p w14:paraId="1F30D03C" w14:textId="265F042C" w:rsidR="003D738B" w:rsidRDefault="00E452A3" w:rsidP="00634483">
      <w:pPr>
        <w:pStyle w:val="BodyText"/>
      </w:pPr>
      <w:r w:rsidRPr="006512D9">
        <w:t xml:space="preserve">The </w:t>
      </w:r>
      <w:r w:rsidR="009653F7">
        <w:t xml:space="preserve">analysis carried out by NERA and the </w:t>
      </w:r>
      <w:r w:rsidRPr="006512D9">
        <w:t xml:space="preserve">diversity of views </w:t>
      </w:r>
      <w:r w:rsidR="00386BAA" w:rsidRPr="006512D9">
        <w:t xml:space="preserve">expressed by project </w:t>
      </w:r>
      <w:r w:rsidR="006512D9" w:rsidRPr="006512D9">
        <w:t xml:space="preserve">team members </w:t>
      </w:r>
      <w:r w:rsidR="006D1926">
        <w:t xml:space="preserve">on whether </w:t>
      </w:r>
      <w:r w:rsidR="006512D9" w:rsidRPr="006512D9">
        <w:t xml:space="preserve">the </w:t>
      </w:r>
      <w:r w:rsidR="006D1926">
        <w:t xml:space="preserve">auction should be limited to contractually congested assets, or should apply to all major transmission pipelines and hub services, </w:t>
      </w:r>
      <w:r w:rsidR="006512D9" w:rsidRPr="006512D9">
        <w:t xml:space="preserve">highlights the complex and contentious nature of this issue. The analysis </w:t>
      </w:r>
      <w:r w:rsidR="0087262B">
        <w:t xml:space="preserve">of pipelines that would be subject to the auction if </w:t>
      </w:r>
      <w:r w:rsidR="006512D9">
        <w:t xml:space="preserve">contractual congestion </w:t>
      </w:r>
      <w:r w:rsidR="00AD42A5">
        <w:t xml:space="preserve">is </w:t>
      </w:r>
      <w:r w:rsidR="00407FF7">
        <w:t xml:space="preserve">used </w:t>
      </w:r>
      <w:r w:rsidR="00AD42A5">
        <w:t>as the trigger,</w:t>
      </w:r>
      <w:r w:rsidR="00407FF7">
        <w:t xml:space="preserve"> </w:t>
      </w:r>
      <w:r w:rsidR="0087262B" w:rsidRPr="006512D9">
        <w:t xml:space="preserve">also </w:t>
      </w:r>
      <w:r w:rsidR="0087262B">
        <w:t xml:space="preserve">highlights some of the practical limitations </w:t>
      </w:r>
      <w:r w:rsidR="00B21567">
        <w:t>and fragmentation that could arise under this approach</w:t>
      </w:r>
      <w:r w:rsidR="00A61FEF">
        <w:t>.</w:t>
      </w:r>
      <w:r w:rsidR="0087262B">
        <w:t xml:space="preserve"> More fundamentally, this analysis </w:t>
      </w:r>
      <w:r w:rsidR="00407FF7">
        <w:t xml:space="preserve">highlights the potential for a contractual congestion trigger to fail </w:t>
      </w:r>
      <w:r w:rsidR="008D1FCB">
        <w:t>to achieve the broader objectives of the capacity trading reforms</w:t>
      </w:r>
      <w:r w:rsidR="00AD42A5">
        <w:t xml:space="preserve"> </w:t>
      </w:r>
      <w:r w:rsidR="003D738B">
        <w:t xml:space="preserve">and to capture the efficiencies that would be associated with a single </w:t>
      </w:r>
      <w:r w:rsidR="003D738B">
        <w:rPr>
          <w:rFonts w:asciiTheme="majorHAnsi" w:eastAsiaTheme="minorEastAsia" w:hAnsiTheme="majorHAnsi" w:cstheme="majorHAnsi"/>
        </w:rPr>
        <w:t>combinatorial auction across the east coast.</w:t>
      </w:r>
    </w:p>
    <w:p w14:paraId="24A13765" w14:textId="0571C83B" w:rsidR="006F6D37" w:rsidRDefault="008D1FCB" w:rsidP="00634483">
      <w:pPr>
        <w:pStyle w:val="BodyText"/>
        <w:rPr>
          <w:rFonts w:eastAsiaTheme="minorEastAsia"/>
        </w:rPr>
      </w:pPr>
      <w:r>
        <w:t>As noted in section 2.3, the objectives of these reforms are to improve the efficiency with which transportation capacity is allocated and utilised and to foster the development of a more liquid market for secondary capacity. It is difficult to see how this objective would be achieved if the auction was limited to contractually congested pipelines</w:t>
      </w:r>
      <w:r w:rsidR="003D738B">
        <w:t>, given the fragmented nature of the auction coverage that would emerge under this approach.</w:t>
      </w:r>
      <w:r w:rsidR="004664E1">
        <w:rPr>
          <w:rFonts w:eastAsiaTheme="minorEastAsia"/>
        </w:rPr>
        <w:t xml:space="preserve"> </w:t>
      </w:r>
    </w:p>
    <w:p w14:paraId="54BA0BC7" w14:textId="77777777" w:rsidR="00B21567" w:rsidRDefault="003D738B" w:rsidP="00634483">
      <w:pPr>
        <w:pStyle w:val="BodyText"/>
        <w:rPr>
          <w:rFonts w:eastAsiaTheme="minorEastAsia"/>
        </w:rPr>
      </w:pPr>
      <w:r>
        <w:rPr>
          <w:rFonts w:eastAsiaTheme="minorEastAsia"/>
        </w:rPr>
        <w:t xml:space="preserve">This can be contrasted to an </w:t>
      </w:r>
      <w:r w:rsidR="004664E1">
        <w:rPr>
          <w:rFonts w:eastAsiaTheme="minorEastAsia"/>
        </w:rPr>
        <w:t xml:space="preserve">auction </w:t>
      </w:r>
      <w:r>
        <w:rPr>
          <w:rFonts w:eastAsiaTheme="minorEastAsia"/>
        </w:rPr>
        <w:t xml:space="preserve">that </w:t>
      </w:r>
      <w:r w:rsidR="003949FF">
        <w:rPr>
          <w:rFonts w:eastAsiaTheme="minorEastAsia"/>
        </w:rPr>
        <w:t xml:space="preserve">applies </w:t>
      </w:r>
      <w:r w:rsidR="004664E1">
        <w:rPr>
          <w:rFonts w:eastAsiaTheme="minorEastAsia"/>
        </w:rPr>
        <w:t>to</w:t>
      </w:r>
      <w:r w:rsidR="00B21567">
        <w:rPr>
          <w:rFonts w:eastAsiaTheme="minorEastAsia"/>
        </w:rPr>
        <w:t>:</w:t>
      </w:r>
      <w:r w:rsidR="004664E1">
        <w:rPr>
          <w:rFonts w:eastAsiaTheme="minorEastAsia"/>
        </w:rPr>
        <w:t xml:space="preserve"> </w:t>
      </w:r>
    </w:p>
    <w:p w14:paraId="3A7A7B37" w14:textId="77777777" w:rsidR="00B21567" w:rsidRDefault="004664E1" w:rsidP="00B21567">
      <w:pPr>
        <w:pStyle w:val="ListBullet"/>
        <w:rPr>
          <w:rFonts w:eastAsiaTheme="minorEastAsia"/>
        </w:rPr>
      </w:pPr>
      <w:r>
        <w:rPr>
          <w:rFonts w:eastAsiaTheme="minorEastAsia"/>
        </w:rPr>
        <w:t xml:space="preserve">all the transmission pipelines (excluding the Declared Transmission System) linking </w:t>
      </w:r>
      <w:r w:rsidR="003D738B">
        <w:rPr>
          <w:rFonts w:eastAsiaTheme="minorEastAsia"/>
        </w:rPr>
        <w:t xml:space="preserve">major </w:t>
      </w:r>
      <w:r>
        <w:rPr>
          <w:rFonts w:eastAsiaTheme="minorEastAsia"/>
        </w:rPr>
        <w:t>demand centres and supply sources in the east coast</w:t>
      </w:r>
      <w:r w:rsidR="00B21567">
        <w:rPr>
          <w:rFonts w:eastAsiaTheme="minorEastAsia"/>
        </w:rPr>
        <w:t>;</w:t>
      </w:r>
      <w:r w:rsidR="003D738B">
        <w:rPr>
          <w:rFonts w:eastAsiaTheme="minorEastAsia"/>
        </w:rPr>
        <w:t xml:space="preserve"> and </w:t>
      </w:r>
    </w:p>
    <w:p w14:paraId="28E84829" w14:textId="77777777" w:rsidR="00B21567" w:rsidRDefault="003D738B" w:rsidP="00B21567">
      <w:pPr>
        <w:pStyle w:val="ListBullet"/>
        <w:rPr>
          <w:rFonts w:eastAsiaTheme="minorEastAsia"/>
        </w:rPr>
      </w:pPr>
      <w:proofErr w:type="gramStart"/>
      <w:r>
        <w:rPr>
          <w:rFonts w:eastAsiaTheme="minorEastAsia"/>
        </w:rPr>
        <w:t>contractually</w:t>
      </w:r>
      <w:proofErr w:type="gramEnd"/>
      <w:r>
        <w:rPr>
          <w:rFonts w:eastAsiaTheme="minorEastAsia"/>
        </w:rPr>
        <w:t xml:space="preserve"> congested pipelines in regional areas.</w:t>
      </w:r>
      <w:r w:rsidR="003949FF">
        <w:rPr>
          <w:rStyle w:val="FootnoteReference"/>
          <w:rFonts w:eastAsiaTheme="minorEastAsia"/>
        </w:rPr>
        <w:footnoteReference w:id="74"/>
      </w:r>
      <w:r>
        <w:rPr>
          <w:rFonts w:eastAsiaTheme="minorEastAsia"/>
        </w:rPr>
        <w:t xml:space="preserve"> </w:t>
      </w:r>
    </w:p>
    <w:p w14:paraId="524217D5" w14:textId="752CBEF3" w:rsidR="004664E1" w:rsidRDefault="003D738B" w:rsidP="00634483">
      <w:pPr>
        <w:pStyle w:val="BodyText"/>
        <w:rPr>
          <w:rFonts w:eastAsiaTheme="minorEastAsia"/>
        </w:rPr>
      </w:pPr>
      <w:r>
        <w:rPr>
          <w:rFonts w:eastAsiaTheme="minorEastAsia"/>
        </w:rPr>
        <w:t xml:space="preserve">In this case, the auction could be expected to deliver significant allocative </w:t>
      </w:r>
      <w:r w:rsidR="007878CF">
        <w:rPr>
          <w:rFonts w:eastAsiaTheme="minorEastAsia"/>
        </w:rPr>
        <w:t>e</w:t>
      </w:r>
      <w:r>
        <w:rPr>
          <w:rFonts w:eastAsiaTheme="minorEastAsia"/>
        </w:rPr>
        <w:t>fficiencies across the market by enabling short-term capacity to be alloca</w:t>
      </w:r>
      <w:r w:rsidR="006F6D37">
        <w:rPr>
          <w:rFonts w:eastAsiaTheme="minorEastAsia"/>
        </w:rPr>
        <w:t xml:space="preserve">ted to those that value it most. </w:t>
      </w:r>
      <w:r w:rsidR="00B21567">
        <w:rPr>
          <w:rFonts w:eastAsiaTheme="minorEastAsia"/>
        </w:rPr>
        <w:t xml:space="preserve">In the GMRG’s view this will </w:t>
      </w:r>
      <w:r>
        <w:rPr>
          <w:rFonts w:eastAsiaTheme="minorEastAsia"/>
        </w:rPr>
        <w:t>promote the NGO</w:t>
      </w:r>
      <w:r w:rsidR="006F6D37">
        <w:rPr>
          <w:rFonts w:eastAsiaTheme="minorEastAsia"/>
        </w:rPr>
        <w:t xml:space="preserve"> and contribute to the achievement of the Energy Council’s Vision of a liquid wholesale gas market and a number of the outcomes it expected to pursue in the next phase of gas market reform (i.e. outcomes 2(b), 3(b) and 3(d) – see</w:t>
      </w:r>
      <w:r w:rsidR="006F6D37" w:rsidRPr="003957AA">
        <w:rPr>
          <w:rFonts w:eastAsiaTheme="minorEastAsia"/>
        </w:rPr>
        <w:t xml:space="preserve"> </w:t>
      </w:r>
      <w:r w:rsidR="006F6D37" w:rsidRPr="003957AA">
        <w:rPr>
          <w:rFonts w:eastAsiaTheme="minorEastAsia"/>
        </w:rPr>
        <w:fldChar w:fldCharType="begin"/>
      </w:r>
      <w:r w:rsidR="006F6D37" w:rsidRPr="003957AA">
        <w:rPr>
          <w:rFonts w:eastAsiaTheme="minorEastAsia"/>
        </w:rPr>
        <w:instrText xml:space="preserve"> REF _Ref482330736 \h  \* MERGEFORMAT </w:instrText>
      </w:r>
      <w:r w:rsidR="006F6D37" w:rsidRPr="003957AA">
        <w:rPr>
          <w:rFonts w:eastAsiaTheme="minorEastAsia"/>
        </w:rPr>
      </w:r>
      <w:r w:rsidR="006F6D37" w:rsidRPr="003957AA">
        <w:rPr>
          <w:rFonts w:eastAsiaTheme="minorEastAsia"/>
        </w:rPr>
        <w:fldChar w:fldCharType="separate"/>
      </w:r>
      <w:r w:rsidR="00272B32" w:rsidRPr="00272B32">
        <w:t xml:space="preserve">Box </w:t>
      </w:r>
      <w:r w:rsidR="00272B32" w:rsidRPr="00272B32">
        <w:rPr>
          <w:noProof/>
        </w:rPr>
        <w:t>1.1</w:t>
      </w:r>
      <w:r w:rsidR="006F6D37" w:rsidRPr="003957AA">
        <w:rPr>
          <w:rFonts w:eastAsiaTheme="minorEastAsia"/>
        </w:rPr>
        <w:fldChar w:fldCharType="end"/>
      </w:r>
      <w:r w:rsidR="006F6D37">
        <w:rPr>
          <w:rFonts w:eastAsiaTheme="minorEastAsia"/>
        </w:rPr>
        <w:t xml:space="preserve">). The GMRG is therefore proposing to employ </w:t>
      </w:r>
      <w:r w:rsidR="003949FF">
        <w:rPr>
          <w:rFonts w:eastAsiaTheme="minorEastAsia"/>
        </w:rPr>
        <w:t>this broader approach to determining the assets to be included in the auction</w:t>
      </w:r>
      <w:r w:rsidR="00736BED">
        <w:rPr>
          <w:rFonts w:eastAsiaTheme="minorEastAsia"/>
        </w:rPr>
        <w:t xml:space="preserve"> (noting that </w:t>
      </w:r>
      <w:r w:rsidR="00736BED">
        <w:t>the day-ahead auction will still only require the release of contracted but un-nominated capacity).</w:t>
      </w:r>
    </w:p>
    <w:p w14:paraId="2527291A" w14:textId="75A1832E" w:rsidR="00BB20AC" w:rsidRDefault="003949FF" w:rsidP="00BB20AC">
      <w:pPr>
        <w:pStyle w:val="BodyText"/>
        <w:rPr>
          <w:rFonts w:eastAsiaTheme="minorEastAsia"/>
        </w:rPr>
      </w:pPr>
      <w:r>
        <w:rPr>
          <w:rFonts w:eastAsiaTheme="minorEastAsia"/>
        </w:rPr>
        <w:t>T</w:t>
      </w:r>
      <w:r w:rsidR="008D1FCB">
        <w:rPr>
          <w:rFonts w:eastAsiaTheme="minorEastAsia"/>
        </w:rPr>
        <w:t xml:space="preserve">he GMRG understands a broader application of the auction to </w:t>
      </w:r>
      <w:r>
        <w:rPr>
          <w:rFonts w:eastAsiaTheme="minorEastAsia"/>
        </w:rPr>
        <w:t xml:space="preserve">assets </w:t>
      </w:r>
      <w:r w:rsidR="008D1FCB">
        <w:rPr>
          <w:rFonts w:eastAsiaTheme="minorEastAsia"/>
        </w:rPr>
        <w:t xml:space="preserve">that are not contractually congested </w:t>
      </w:r>
      <w:r w:rsidR="00B21567">
        <w:rPr>
          <w:rFonts w:eastAsiaTheme="minorEastAsia"/>
        </w:rPr>
        <w:t xml:space="preserve">may result in some de-contracting </w:t>
      </w:r>
      <w:r w:rsidR="006F6D37">
        <w:rPr>
          <w:rFonts w:eastAsiaTheme="minorEastAsia"/>
        </w:rPr>
        <w:t>on individual assets</w:t>
      </w:r>
      <w:r w:rsidR="00B21567">
        <w:rPr>
          <w:rFonts w:eastAsiaTheme="minorEastAsia"/>
        </w:rPr>
        <w:t xml:space="preserve"> as shippers fine-tune their capacity requirements</w:t>
      </w:r>
      <w:r>
        <w:rPr>
          <w:rFonts w:eastAsiaTheme="minorEastAsia"/>
        </w:rPr>
        <w:t xml:space="preserve">. </w:t>
      </w:r>
      <w:r w:rsidR="00B21567">
        <w:rPr>
          <w:rFonts w:eastAsiaTheme="minorEastAsia"/>
        </w:rPr>
        <w:t xml:space="preserve">It is important to recognise that there are limits as to how much de-contracting can occur (i.e. if all shippers de-contract there will be no capacity available in the auction). It is also important to recognise that de-contracting is not synonymous with inefficiency. Rather, de-contracting may be efficient if it prevents or reduces overinvestment in capacity. </w:t>
      </w:r>
    </w:p>
    <w:p w14:paraId="2418D08B" w14:textId="4765AC85" w:rsidR="00247591" w:rsidRDefault="00B21567" w:rsidP="00BB20AC">
      <w:pPr>
        <w:pStyle w:val="BodyText"/>
      </w:pPr>
      <w:r>
        <w:rPr>
          <w:rFonts w:eastAsiaTheme="minorEastAsia"/>
        </w:rPr>
        <w:t xml:space="preserve">That is not to say </w:t>
      </w:r>
      <w:r w:rsidR="007B153E">
        <w:rPr>
          <w:rFonts w:eastAsiaTheme="minorEastAsia"/>
        </w:rPr>
        <w:t xml:space="preserve">there is no risk that extending the </w:t>
      </w:r>
      <w:r w:rsidR="00BB20AC">
        <w:rPr>
          <w:rFonts w:eastAsiaTheme="minorEastAsia"/>
        </w:rPr>
        <w:t>auction to assets that are not contractually congested</w:t>
      </w:r>
      <w:r w:rsidR="00736BED">
        <w:rPr>
          <w:rFonts w:eastAsiaTheme="minorEastAsia"/>
        </w:rPr>
        <w:t xml:space="preserve"> will result in dynamic inefficiencies</w:t>
      </w:r>
      <w:r w:rsidR="00BB20AC">
        <w:rPr>
          <w:rFonts w:eastAsiaTheme="minorEastAsia"/>
        </w:rPr>
        <w:t xml:space="preserve">. However, </w:t>
      </w:r>
      <w:r w:rsidR="00736BED">
        <w:rPr>
          <w:rFonts w:eastAsiaTheme="minorEastAsia"/>
        </w:rPr>
        <w:t>this</w:t>
      </w:r>
      <w:r w:rsidR="007B153E">
        <w:rPr>
          <w:rFonts w:eastAsiaTheme="minorEastAsia"/>
        </w:rPr>
        <w:t xml:space="preserve"> risk </w:t>
      </w:r>
      <w:r w:rsidR="00BB20AC">
        <w:rPr>
          <w:rFonts w:eastAsiaTheme="minorEastAsia"/>
        </w:rPr>
        <w:t>must be weighed up against the efficiencies that would arise from the broader application of the auction</w:t>
      </w:r>
      <w:r w:rsidR="00BB20AC">
        <w:t>, which in the GMRG’s view are likely to be significant.</w:t>
      </w:r>
      <w:r w:rsidR="007B153E">
        <w:t xml:space="preserve"> On balance and having regard to NERA’s finding that the impact of the auction on dynamic efficiency is inconclusive, the GMRG is of the view that the allocative efficiency gains </w:t>
      </w:r>
      <w:r w:rsidR="00736BED">
        <w:t xml:space="preserve">will </w:t>
      </w:r>
      <w:r w:rsidR="007B153E">
        <w:t>outweigh the possible dynamic inefficienc</w:t>
      </w:r>
      <w:r w:rsidR="00736BED">
        <w:t>ies and therefore promote the NGO, the Energy Council’s Vision and the broader objective of the capacity trading reforms</w:t>
      </w:r>
      <w:r w:rsidR="007B153E">
        <w:t>.</w:t>
      </w:r>
    </w:p>
    <w:p w14:paraId="7ECE1B05" w14:textId="1CDC3E0B" w:rsidR="00634483" w:rsidRDefault="008445B5" w:rsidP="00634483">
      <w:pPr>
        <w:pStyle w:val="BodyText"/>
      </w:pPr>
      <w:r>
        <w:t>In relation to exemptions, the GRMG’s preliminary view is that exemptions should be available to:</w:t>
      </w:r>
      <w:r w:rsidR="007B153E">
        <w:t xml:space="preserve"> </w:t>
      </w:r>
    </w:p>
    <w:p w14:paraId="7F7DC845" w14:textId="066C19D3" w:rsidR="008D7DA9" w:rsidRDefault="008445B5" w:rsidP="008D7DA9">
      <w:pPr>
        <w:pStyle w:val="ListBullet"/>
      </w:pPr>
      <w:r w:rsidRPr="008D7DA9">
        <w:rPr>
          <w:b/>
        </w:rPr>
        <w:t xml:space="preserve">Transportation assets that are not providing third party access: </w:t>
      </w:r>
      <w:r>
        <w:t xml:space="preserve">This is consistent with the approach that has been taken in Part 23 of the NGR and is, in the GMRG’s view, appropriate because the auction </w:t>
      </w:r>
      <w:r w:rsidR="004953E2">
        <w:t xml:space="preserve">should </w:t>
      </w:r>
      <w:r w:rsidR="00792B70">
        <w:t xml:space="preserve">not </w:t>
      </w:r>
      <w:r w:rsidR="004953E2">
        <w:t xml:space="preserve">be used as the vehicle through which third parties gain access to transportation assets that are not currently providing third party </w:t>
      </w:r>
      <w:r>
        <w:t xml:space="preserve">access. </w:t>
      </w:r>
      <w:r w:rsidR="004953E2">
        <w:t>The appropriate vehicle for gaining this type of access is, in the GMRG’s view, the coverage test</w:t>
      </w:r>
      <w:r w:rsidR="00792B70">
        <w:t xml:space="preserve"> in the NGL in the case of pipelines</w:t>
      </w:r>
      <w:r w:rsidR="00792B70">
        <w:rPr>
          <w:rStyle w:val="FootnoteReference"/>
        </w:rPr>
        <w:footnoteReference w:id="75"/>
      </w:r>
      <w:r w:rsidR="00792B70">
        <w:t xml:space="preserve"> or Part IIIA of the </w:t>
      </w:r>
      <w:r w:rsidR="00792B70" w:rsidRPr="00792B70">
        <w:rPr>
          <w:i/>
        </w:rPr>
        <w:t>Competition and Consumer Act</w:t>
      </w:r>
      <w:r w:rsidR="00792B70">
        <w:t xml:space="preserve"> </w:t>
      </w:r>
      <w:r w:rsidR="00792B70">
        <w:rPr>
          <w:i/>
        </w:rPr>
        <w:t xml:space="preserve">(2010) </w:t>
      </w:r>
      <w:r w:rsidR="00792B70">
        <w:t>for compressors</w:t>
      </w:r>
      <w:r w:rsidR="004953E2">
        <w:t>.</w:t>
      </w:r>
      <w:r w:rsidR="006B7AC6">
        <w:t xml:space="preserve"> </w:t>
      </w:r>
    </w:p>
    <w:p w14:paraId="7084AE61" w14:textId="46A183F0" w:rsidR="004953E2" w:rsidRDefault="00792B70" w:rsidP="008D7DA9">
      <w:pPr>
        <w:pStyle w:val="BodyText"/>
        <w:ind w:left="357"/>
      </w:pPr>
      <w:r>
        <w:t>T</w:t>
      </w:r>
      <w:r w:rsidR="008D7DA9">
        <w:t xml:space="preserve">he </w:t>
      </w:r>
      <w:r w:rsidR="004953E2">
        <w:t xml:space="preserve">GMRG has considered the suggestion by some stakeholders that </w:t>
      </w:r>
      <w:r w:rsidR="008D7DA9">
        <w:t xml:space="preserve">this </w:t>
      </w:r>
      <w:r w:rsidR="004953E2">
        <w:t>exemption should extend to pipelines that are subject to a 15 year no coverage decision</w:t>
      </w:r>
      <w:r w:rsidR="008D7DA9">
        <w:t xml:space="preserve">. However, </w:t>
      </w:r>
      <w:r>
        <w:t xml:space="preserve">the GMRG is of the </w:t>
      </w:r>
      <w:r w:rsidR="008D7DA9">
        <w:t xml:space="preserve">view </w:t>
      </w:r>
      <w:r>
        <w:t xml:space="preserve">that </w:t>
      </w:r>
      <w:r w:rsidR="004953E2">
        <w:t xml:space="preserve">there </w:t>
      </w:r>
      <w:r w:rsidR="008D7DA9">
        <w:t>c</w:t>
      </w:r>
      <w:r w:rsidR="004953E2">
        <w:t xml:space="preserve">ould still be benefit </w:t>
      </w:r>
      <w:r>
        <w:t xml:space="preserve">in </w:t>
      </w:r>
      <w:r w:rsidR="004953E2">
        <w:t xml:space="preserve">applying the auction </w:t>
      </w:r>
      <w:r w:rsidR="008D7DA9">
        <w:t xml:space="preserve">to these pipelines if they are </w:t>
      </w:r>
      <w:r w:rsidR="004953E2">
        <w:t xml:space="preserve">providing third party access and </w:t>
      </w:r>
      <w:r w:rsidR="008D7DA9">
        <w:t>do not fall into another exemption category. While t</w:t>
      </w:r>
      <w:r w:rsidR="004953E2">
        <w:t xml:space="preserve">he GMRG is not proposing to adopt a specific exemption </w:t>
      </w:r>
      <w:r w:rsidR="008D7DA9">
        <w:t>for pipelines, it would expect</w:t>
      </w:r>
      <w:r w:rsidR="004953E2">
        <w:t xml:space="preserve"> the majority of pipelines subject to a 15-year no-coverage determination to be able to seek an exemption on the basis that the pipeline does not provide third party access</w:t>
      </w:r>
      <w:r w:rsidR="008D7DA9">
        <w:t xml:space="preserve"> or that it services a single facility</w:t>
      </w:r>
      <w:r w:rsidR="004953E2">
        <w:t>.</w:t>
      </w:r>
    </w:p>
    <w:p w14:paraId="7B4A68A3" w14:textId="44A4E56B" w:rsidR="008D7DA9" w:rsidRDefault="008D7DA9" w:rsidP="008D7DA9">
      <w:pPr>
        <w:pStyle w:val="ListBullet"/>
      </w:pPr>
      <w:r w:rsidRPr="008D7DA9">
        <w:rPr>
          <w:b/>
        </w:rPr>
        <w:t xml:space="preserve">Transportation assets that </w:t>
      </w:r>
      <w:r>
        <w:rPr>
          <w:b/>
        </w:rPr>
        <w:t>service a single facility</w:t>
      </w:r>
      <w:r w:rsidRPr="008D7DA9">
        <w:rPr>
          <w:b/>
        </w:rPr>
        <w:t xml:space="preserve">: </w:t>
      </w:r>
      <w:r w:rsidRPr="008D7DA9">
        <w:t>Like</w:t>
      </w:r>
      <w:r>
        <w:t xml:space="preserve"> the AEMC</w:t>
      </w:r>
      <w:r w:rsidR="00792B70">
        <w:t>,</w:t>
      </w:r>
      <w:r>
        <w:t xml:space="preserve"> the GMRG </w:t>
      </w:r>
      <w:r w:rsidR="00792B70">
        <w:t xml:space="preserve">is of the view that </w:t>
      </w:r>
      <w:r>
        <w:t xml:space="preserve">there would be little value in subjecting these assets to the auction because there is little prospect </w:t>
      </w:r>
      <w:r w:rsidR="00792B70">
        <w:t xml:space="preserve">of </w:t>
      </w:r>
      <w:r>
        <w:t xml:space="preserve">the un-nominated capacity being resold to another shipper. The GMRG does, however, </w:t>
      </w:r>
      <w:r w:rsidR="00792B70">
        <w:t xml:space="preserve">believe </w:t>
      </w:r>
      <w:r>
        <w:t xml:space="preserve">there may be merit in allowing prospective users of these pipelines </w:t>
      </w:r>
      <w:r w:rsidR="0042162D">
        <w:t xml:space="preserve">or the owner of the end-user facility </w:t>
      </w:r>
      <w:r>
        <w:t>to apply to have the exemption revoked. This could</w:t>
      </w:r>
      <w:r w:rsidR="0042162D">
        <w:t>, for example,</w:t>
      </w:r>
      <w:r>
        <w:t xml:space="preserve"> be appropriate if the </w:t>
      </w:r>
      <w:r w:rsidR="0042162D">
        <w:t xml:space="preserve">owner of the facility </w:t>
      </w:r>
      <w:r>
        <w:t xml:space="preserve">is serviced by a retailer and </w:t>
      </w:r>
      <w:r w:rsidR="0042162D">
        <w:t xml:space="preserve">it </w:t>
      </w:r>
      <w:r>
        <w:t>wants to diversify its sources of supply.</w:t>
      </w:r>
    </w:p>
    <w:p w14:paraId="3BA10745" w14:textId="78C5BFBB" w:rsidR="00BB20AC" w:rsidRDefault="00BB20AC" w:rsidP="00BB20AC">
      <w:pPr>
        <w:pStyle w:val="BodyText"/>
      </w:pPr>
      <w:r>
        <w:rPr>
          <w:rFonts w:eastAsiaTheme="minorEastAsia"/>
        </w:rPr>
        <w:t xml:space="preserve">An indicative list of the assets that could be subject to the auction under the GMRG’s proposed approach is set out in </w:t>
      </w:r>
      <w:r>
        <w:rPr>
          <w:rFonts w:eastAsiaTheme="minorEastAsia"/>
        </w:rPr>
        <w:fldChar w:fldCharType="begin"/>
      </w:r>
      <w:r>
        <w:rPr>
          <w:rFonts w:eastAsiaTheme="minorEastAsia"/>
        </w:rPr>
        <w:instrText xml:space="preserve"> REF _Ref494902817 \h </w:instrText>
      </w:r>
      <w:r>
        <w:rPr>
          <w:rFonts w:eastAsiaTheme="minorEastAsia"/>
        </w:rPr>
      </w:r>
      <w:r>
        <w:rPr>
          <w:rFonts w:eastAsiaTheme="minorEastAsia"/>
        </w:rPr>
        <w:fldChar w:fldCharType="separate"/>
      </w:r>
      <w:r w:rsidR="00272B32" w:rsidRPr="00EF389B">
        <w:t xml:space="preserve">Table </w:t>
      </w:r>
      <w:r w:rsidR="00272B32">
        <w:rPr>
          <w:noProof/>
        </w:rPr>
        <w:t>5</w:t>
      </w:r>
      <w:r w:rsidR="00272B32" w:rsidRPr="00EF389B">
        <w:t>.</w:t>
      </w:r>
      <w:r w:rsidR="00272B32">
        <w:rPr>
          <w:noProof/>
        </w:rPr>
        <w:t>3</w:t>
      </w:r>
      <w:r>
        <w:rPr>
          <w:rFonts w:eastAsiaTheme="minorEastAsia"/>
        </w:rPr>
        <w:fldChar w:fldCharType="end"/>
      </w:r>
      <w:r>
        <w:rPr>
          <w:rFonts w:eastAsiaTheme="minorEastAsia"/>
        </w:rPr>
        <w:t xml:space="preserve">. This </w:t>
      </w:r>
      <w:r w:rsidR="00792B70">
        <w:rPr>
          <w:rFonts w:eastAsiaTheme="minorEastAsia"/>
        </w:rPr>
        <w:t xml:space="preserve">list </w:t>
      </w:r>
      <w:r>
        <w:rPr>
          <w:rFonts w:eastAsiaTheme="minorEastAsia"/>
        </w:rPr>
        <w:t>indicative only at this stage and the GMRG welcomes further feedback on its contents.</w:t>
      </w:r>
    </w:p>
    <w:p w14:paraId="373BE453" w14:textId="65C9F34D" w:rsidR="00B94822" w:rsidRPr="00EF389B" w:rsidRDefault="00B94822" w:rsidP="00B94822">
      <w:pPr>
        <w:pStyle w:val="Caption"/>
        <w:spacing w:after="0"/>
      </w:pPr>
      <w:bookmarkStart w:id="132" w:name="_Ref494902817"/>
      <w:r w:rsidRPr="00EF389B">
        <w:t xml:space="preserve">Table </w:t>
      </w:r>
      <w:r w:rsidR="00115A93">
        <w:fldChar w:fldCharType="begin"/>
      </w:r>
      <w:r w:rsidR="00115A93">
        <w:instrText xml:space="preserve"> STYLEREF 1 \s </w:instrText>
      </w:r>
      <w:r w:rsidR="00115A93">
        <w:fldChar w:fldCharType="separate"/>
      </w:r>
      <w:r w:rsidR="00272B32">
        <w:rPr>
          <w:noProof/>
        </w:rPr>
        <w:t>5</w:t>
      </w:r>
      <w:r w:rsidR="00115A93">
        <w:rPr>
          <w:noProof/>
        </w:rPr>
        <w:fldChar w:fldCharType="end"/>
      </w:r>
      <w:r w:rsidRPr="00EF389B">
        <w:t>.</w:t>
      </w:r>
      <w:r w:rsidR="00115A93">
        <w:fldChar w:fldCharType="begin"/>
      </w:r>
      <w:r w:rsidR="00115A93">
        <w:instrText xml:space="preserve"> SEQ Table \* ARABIC \s 1 </w:instrText>
      </w:r>
      <w:r w:rsidR="00115A93">
        <w:fldChar w:fldCharType="separate"/>
      </w:r>
      <w:r w:rsidR="00272B32">
        <w:rPr>
          <w:noProof/>
        </w:rPr>
        <w:t>3</w:t>
      </w:r>
      <w:r w:rsidR="00115A93">
        <w:rPr>
          <w:noProof/>
        </w:rPr>
        <w:fldChar w:fldCharType="end"/>
      </w:r>
      <w:bookmarkEnd w:id="132"/>
      <w:r w:rsidRPr="00EF389B">
        <w:t xml:space="preserve">: </w:t>
      </w:r>
      <w:r w:rsidR="003949FF">
        <w:t xml:space="preserve">Indicative list of assets that could be subject to the </w:t>
      </w:r>
      <w:r w:rsidR="00A61FEF">
        <w:t>auction</w:t>
      </w:r>
    </w:p>
    <w:tbl>
      <w:tblPr>
        <w:tblStyle w:val="TableGrid"/>
        <w:tblW w:w="4920" w:type="pct"/>
        <w:tblLayout w:type="fixed"/>
        <w:tblLook w:val="0420" w:firstRow="1" w:lastRow="0" w:firstColumn="0" w:lastColumn="0" w:noHBand="0" w:noVBand="1"/>
        <w:tblCaption w:val="Table 5.3: Indicative list of assets that could be subject to the auction"/>
        <w:tblDescription w:val="Indicative list of assets that could be subject to the auction"/>
      </w:tblPr>
      <w:tblGrid>
        <w:gridCol w:w="8647"/>
      </w:tblGrid>
      <w:tr w:rsidR="00B94822" w:rsidRPr="009A057E" w14:paraId="72B87F27" w14:textId="77777777" w:rsidTr="005F6236">
        <w:trPr>
          <w:cnfStyle w:val="100000000000" w:firstRow="1" w:lastRow="0" w:firstColumn="0" w:lastColumn="0" w:oddVBand="0" w:evenVBand="0" w:oddHBand="0" w:evenHBand="0" w:firstRowFirstColumn="0" w:firstRowLastColumn="0" w:lastRowFirstColumn="0" w:lastRowLastColumn="0"/>
          <w:cantSplit/>
          <w:tblHeader/>
        </w:trPr>
        <w:tc>
          <w:tcPr>
            <w:tcW w:w="5000" w:type="pct"/>
            <w:tcBorders>
              <w:bottom w:val="single" w:sz="4" w:space="0" w:color="auto"/>
            </w:tcBorders>
            <w:shd w:val="clear" w:color="auto" w:fill="0099CC"/>
            <w:vAlign w:val="bottom"/>
          </w:tcPr>
          <w:p w14:paraId="0FB302DF" w14:textId="04A10F0F" w:rsidR="00B94822" w:rsidRPr="009A057E" w:rsidRDefault="003949FF" w:rsidP="003949FF">
            <w:pPr>
              <w:pStyle w:val="TableHeading"/>
              <w:keepNext/>
              <w:spacing w:before="20" w:after="20"/>
              <w:rPr>
                <w:szCs w:val="18"/>
                <w:lang w:eastAsia="fr-CA"/>
              </w:rPr>
            </w:pPr>
            <w:bookmarkStart w:id="133" w:name="_Hlk494985378"/>
            <w:r>
              <w:rPr>
                <w:szCs w:val="18"/>
                <w:lang w:eastAsia="fr-CA"/>
              </w:rPr>
              <w:t xml:space="preserve">Transmission </w:t>
            </w:r>
            <w:r w:rsidR="00B94822" w:rsidRPr="009A057E">
              <w:rPr>
                <w:szCs w:val="18"/>
                <w:lang w:eastAsia="fr-CA"/>
              </w:rPr>
              <w:t>Pipeline</w:t>
            </w:r>
            <w:r w:rsidR="005F6236">
              <w:rPr>
                <w:szCs w:val="18"/>
                <w:lang w:eastAsia="fr-CA"/>
              </w:rPr>
              <w:t>s and Compressors</w:t>
            </w:r>
          </w:p>
        </w:tc>
      </w:tr>
      <w:tr w:rsidR="005F6236" w:rsidRPr="005F6236" w14:paraId="583D342A" w14:textId="77777777" w:rsidTr="005F6236">
        <w:trPr>
          <w:cantSplit/>
        </w:trPr>
        <w:tc>
          <w:tcPr>
            <w:tcW w:w="5000" w:type="pct"/>
            <w:shd w:val="clear" w:color="auto" w:fill="65697F" w:themeFill="background2" w:themeFillShade="80"/>
          </w:tcPr>
          <w:p w14:paraId="400AE2C9" w14:textId="23D5DD0A" w:rsidR="00B94822" w:rsidRPr="005F6236" w:rsidRDefault="00B94822" w:rsidP="003949FF">
            <w:pPr>
              <w:pStyle w:val="TableBodyText"/>
              <w:keepNext/>
              <w:spacing w:before="20" w:after="20"/>
              <w:jc w:val="center"/>
              <w:rPr>
                <w:b/>
                <w:color w:val="FFFFFF" w:themeColor="background1"/>
                <w:szCs w:val="18"/>
              </w:rPr>
            </w:pPr>
            <w:r w:rsidRPr="005F6236">
              <w:rPr>
                <w:b/>
                <w:color w:val="FFFFFF" w:themeColor="background1"/>
                <w:szCs w:val="18"/>
              </w:rPr>
              <w:t>Queensland</w:t>
            </w:r>
          </w:p>
        </w:tc>
      </w:tr>
      <w:tr w:rsidR="00B94822" w:rsidRPr="009A057E" w14:paraId="0D5B2EC8" w14:textId="77777777" w:rsidTr="005F6236">
        <w:trPr>
          <w:cnfStyle w:val="000000010000" w:firstRow="0" w:lastRow="0" w:firstColumn="0" w:lastColumn="0" w:oddVBand="0" w:evenVBand="0" w:oddHBand="0" w:evenHBand="1" w:firstRowFirstColumn="0" w:firstRowLastColumn="0" w:lastRowFirstColumn="0" w:lastRowLastColumn="0"/>
          <w:cantSplit/>
        </w:trPr>
        <w:tc>
          <w:tcPr>
            <w:tcW w:w="5000" w:type="pct"/>
          </w:tcPr>
          <w:p w14:paraId="5FFC6724" w14:textId="5E4162BC" w:rsidR="00B94822" w:rsidRDefault="00B94822" w:rsidP="003949FF">
            <w:pPr>
              <w:pStyle w:val="TableBodyText"/>
              <w:keepNext/>
              <w:spacing w:before="20" w:after="20"/>
              <w:rPr>
                <w:szCs w:val="18"/>
              </w:rPr>
            </w:pPr>
            <w:r>
              <w:rPr>
                <w:szCs w:val="18"/>
              </w:rPr>
              <w:t>South West Queensland Pipeline (both directions)</w:t>
            </w:r>
          </w:p>
        </w:tc>
      </w:tr>
      <w:tr w:rsidR="00B94822" w:rsidRPr="009A057E" w14:paraId="1EEC2128" w14:textId="77777777" w:rsidTr="005F6236">
        <w:trPr>
          <w:cantSplit/>
        </w:trPr>
        <w:tc>
          <w:tcPr>
            <w:tcW w:w="5000" w:type="pct"/>
          </w:tcPr>
          <w:p w14:paraId="3D56F74C" w14:textId="66866687" w:rsidR="00B94822" w:rsidRDefault="00B94822" w:rsidP="003949FF">
            <w:pPr>
              <w:pStyle w:val="TableBodyText"/>
              <w:keepNext/>
              <w:spacing w:before="20" w:after="20"/>
              <w:rPr>
                <w:szCs w:val="18"/>
              </w:rPr>
            </w:pPr>
            <w:r>
              <w:rPr>
                <w:szCs w:val="18"/>
              </w:rPr>
              <w:t>Roma to Brisbane Pipeline (both directions)</w:t>
            </w:r>
          </w:p>
        </w:tc>
      </w:tr>
      <w:tr w:rsidR="00B94822" w:rsidRPr="009A057E" w14:paraId="6B526895" w14:textId="77777777" w:rsidTr="005F6236">
        <w:trPr>
          <w:cnfStyle w:val="000000010000" w:firstRow="0" w:lastRow="0" w:firstColumn="0" w:lastColumn="0" w:oddVBand="0" w:evenVBand="0" w:oddHBand="0" w:evenHBand="1" w:firstRowFirstColumn="0" w:firstRowLastColumn="0" w:lastRowFirstColumn="0" w:lastRowLastColumn="0"/>
          <w:cantSplit/>
        </w:trPr>
        <w:tc>
          <w:tcPr>
            <w:tcW w:w="5000" w:type="pct"/>
          </w:tcPr>
          <w:p w14:paraId="30D9C8BC" w14:textId="6BDEF523" w:rsidR="00B94822" w:rsidRPr="009A057E" w:rsidRDefault="00B94822" w:rsidP="003949FF">
            <w:pPr>
              <w:pStyle w:val="TableBodyText"/>
              <w:keepNext/>
              <w:spacing w:before="20" w:after="20"/>
              <w:rPr>
                <w:szCs w:val="18"/>
                <w:highlight w:val="yellow"/>
                <w:lang w:eastAsia="fr-CA"/>
              </w:rPr>
            </w:pPr>
            <w:r>
              <w:rPr>
                <w:szCs w:val="18"/>
              </w:rPr>
              <w:t>Darling Downs Pipeline (both directions)</w:t>
            </w:r>
          </w:p>
        </w:tc>
      </w:tr>
      <w:tr w:rsidR="00B94822" w:rsidRPr="009A057E" w14:paraId="05694C09" w14:textId="77777777" w:rsidTr="005F6236">
        <w:trPr>
          <w:cantSplit/>
        </w:trPr>
        <w:tc>
          <w:tcPr>
            <w:tcW w:w="5000" w:type="pct"/>
          </w:tcPr>
          <w:p w14:paraId="3A27B1E4" w14:textId="5DB17072" w:rsidR="00B94822" w:rsidRDefault="00B94822" w:rsidP="003949FF">
            <w:pPr>
              <w:pStyle w:val="TableBodyText"/>
              <w:keepNext/>
              <w:spacing w:before="20" w:after="20"/>
              <w:rPr>
                <w:szCs w:val="18"/>
              </w:rPr>
            </w:pPr>
            <w:r>
              <w:rPr>
                <w:szCs w:val="18"/>
              </w:rPr>
              <w:t>Spring Gully Pipeline (both directions)</w:t>
            </w:r>
          </w:p>
        </w:tc>
      </w:tr>
      <w:tr w:rsidR="00B94822" w:rsidRPr="009A057E" w14:paraId="0C00D9EF" w14:textId="77777777" w:rsidTr="005F6236">
        <w:trPr>
          <w:cnfStyle w:val="000000010000" w:firstRow="0" w:lastRow="0" w:firstColumn="0" w:lastColumn="0" w:oddVBand="0" w:evenVBand="0" w:oddHBand="0" w:evenHBand="1" w:firstRowFirstColumn="0" w:firstRowLastColumn="0" w:lastRowFirstColumn="0" w:lastRowLastColumn="0"/>
          <w:cantSplit/>
        </w:trPr>
        <w:tc>
          <w:tcPr>
            <w:tcW w:w="5000" w:type="pct"/>
          </w:tcPr>
          <w:p w14:paraId="23763BFD" w14:textId="0D5841FA" w:rsidR="00B94822" w:rsidRDefault="00B94822" w:rsidP="003949FF">
            <w:pPr>
              <w:pStyle w:val="TableBodyText"/>
              <w:keepNext/>
              <w:spacing w:before="20" w:after="20"/>
              <w:rPr>
                <w:szCs w:val="18"/>
              </w:rPr>
            </w:pPr>
            <w:proofErr w:type="spellStart"/>
            <w:r>
              <w:rPr>
                <w:szCs w:val="18"/>
              </w:rPr>
              <w:t>Berwyndale</w:t>
            </w:r>
            <w:proofErr w:type="spellEnd"/>
            <w:r>
              <w:rPr>
                <w:szCs w:val="18"/>
              </w:rPr>
              <w:t xml:space="preserve"> to Wallumbilla Pipeline (both directions)</w:t>
            </w:r>
          </w:p>
        </w:tc>
      </w:tr>
      <w:tr w:rsidR="00B94822" w:rsidRPr="009A057E" w14:paraId="3F766EE0" w14:textId="77777777" w:rsidTr="005F6236">
        <w:trPr>
          <w:cantSplit/>
        </w:trPr>
        <w:tc>
          <w:tcPr>
            <w:tcW w:w="5000" w:type="pct"/>
          </w:tcPr>
          <w:p w14:paraId="3ED0363E" w14:textId="16AC8092" w:rsidR="00B94822" w:rsidRDefault="00B94822" w:rsidP="003949FF">
            <w:pPr>
              <w:pStyle w:val="TableBodyText"/>
              <w:keepNext/>
              <w:spacing w:before="20" w:after="20"/>
              <w:rPr>
                <w:szCs w:val="18"/>
              </w:rPr>
            </w:pPr>
            <w:r>
              <w:rPr>
                <w:szCs w:val="18"/>
              </w:rPr>
              <w:t>Queensland Gas Pipeline (both directions)</w:t>
            </w:r>
          </w:p>
        </w:tc>
      </w:tr>
      <w:tr w:rsidR="00B94822" w:rsidRPr="009A057E" w14:paraId="4FA636E1" w14:textId="77777777" w:rsidTr="005F6236">
        <w:trPr>
          <w:cnfStyle w:val="000000010000" w:firstRow="0" w:lastRow="0" w:firstColumn="0" w:lastColumn="0" w:oddVBand="0" w:evenVBand="0" w:oddHBand="0" w:evenHBand="1" w:firstRowFirstColumn="0" w:firstRowLastColumn="0" w:lastRowFirstColumn="0" w:lastRowLastColumn="0"/>
          <w:cantSplit/>
        </w:trPr>
        <w:tc>
          <w:tcPr>
            <w:tcW w:w="5000" w:type="pct"/>
            <w:tcBorders>
              <w:bottom w:val="single" w:sz="4" w:space="0" w:color="auto"/>
            </w:tcBorders>
          </w:tcPr>
          <w:p w14:paraId="0F353B62" w14:textId="1DA74214" w:rsidR="00B94822" w:rsidRPr="009A057E" w:rsidRDefault="00B94822" w:rsidP="003949FF">
            <w:pPr>
              <w:pStyle w:val="TableBodyText"/>
              <w:keepNext/>
              <w:spacing w:before="20" w:after="20"/>
              <w:rPr>
                <w:szCs w:val="18"/>
                <w:highlight w:val="yellow"/>
                <w:lang w:eastAsia="fr-CA"/>
              </w:rPr>
            </w:pPr>
            <w:r>
              <w:rPr>
                <w:szCs w:val="18"/>
              </w:rPr>
              <w:t>Carpentaria Gas Pipeline</w:t>
            </w:r>
          </w:p>
        </w:tc>
      </w:tr>
      <w:tr w:rsidR="003949FF" w:rsidRPr="009A057E" w14:paraId="4DE64FA7" w14:textId="77777777" w:rsidTr="003949FF">
        <w:trPr>
          <w:cantSplit/>
        </w:trPr>
        <w:tc>
          <w:tcPr>
            <w:tcW w:w="5000" w:type="pct"/>
            <w:tcBorders>
              <w:bottom w:val="single" w:sz="4" w:space="0" w:color="auto"/>
            </w:tcBorders>
          </w:tcPr>
          <w:p w14:paraId="7B06C5FC" w14:textId="77777777" w:rsidR="003949FF" w:rsidRDefault="003949FF" w:rsidP="003949FF">
            <w:pPr>
              <w:pStyle w:val="TableBodyText"/>
              <w:keepNext/>
              <w:spacing w:before="20" w:after="20"/>
              <w:rPr>
                <w:szCs w:val="18"/>
              </w:rPr>
            </w:pPr>
            <w:r>
              <w:rPr>
                <w:szCs w:val="18"/>
              </w:rPr>
              <w:t>Contractually congested regional pipelines</w:t>
            </w:r>
          </w:p>
        </w:tc>
      </w:tr>
      <w:tr w:rsidR="005F6236" w:rsidRPr="005F6236" w14:paraId="18F68632" w14:textId="77777777" w:rsidTr="005F6236">
        <w:trPr>
          <w:cnfStyle w:val="000000010000" w:firstRow="0" w:lastRow="0" w:firstColumn="0" w:lastColumn="0" w:oddVBand="0" w:evenVBand="0" w:oddHBand="0" w:evenHBand="1" w:firstRowFirstColumn="0" w:firstRowLastColumn="0" w:lastRowFirstColumn="0" w:lastRowLastColumn="0"/>
          <w:cantSplit/>
        </w:trPr>
        <w:tc>
          <w:tcPr>
            <w:tcW w:w="5000" w:type="pct"/>
            <w:shd w:val="clear" w:color="auto" w:fill="65697F" w:themeFill="background2" w:themeFillShade="80"/>
          </w:tcPr>
          <w:p w14:paraId="51E5EC48" w14:textId="34272A29" w:rsidR="00B94822" w:rsidRPr="005F6236" w:rsidRDefault="00B94822" w:rsidP="003949FF">
            <w:pPr>
              <w:pStyle w:val="TableBodyText"/>
              <w:keepNext/>
              <w:spacing w:before="20" w:after="20"/>
              <w:jc w:val="center"/>
              <w:rPr>
                <w:b/>
                <w:color w:val="FFFFFF" w:themeColor="background1"/>
                <w:szCs w:val="18"/>
              </w:rPr>
            </w:pPr>
            <w:r w:rsidRPr="005F6236">
              <w:rPr>
                <w:b/>
                <w:color w:val="FFFFFF" w:themeColor="background1"/>
                <w:szCs w:val="18"/>
              </w:rPr>
              <w:t>NSW</w:t>
            </w:r>
            <w:r w:rsidR="005F6236">
              <w:rPr>
                <w:b/>
                <w:color w:val="FFFFFF" w:themeColor="background1"/>
                <w:szCs w:val="18"/>
              </w:rPr>
              <w:t>/ACT</w:t>
            </w:r>
          </w:p>
        </w:tc>
      </w:tr>
      <w:tr w:rsidR="00B94822" w:rsidRPr="009A057E" w14:paraId="264F92CE" w14:textId="77777777" w:rsidTr="005F6236">
        <w:trPr>
          <w:cantSplit/>
        </w:trPr>
        <w:tc>
          <w:tcPr>
            <w:tcW w:w="5000" w:type="pct"/>
          </w:tcPr>
          <w:p w14:paraId="0927843D" w14:textId="19AA9B3B" w:rsidR="00B94822" w:rsidRPr="009A057E" w:rsidRDefault="00B94822" w:rsidP="003949FF">
            <w:pPr>
              <w:pStyle w:val="TableBodyText"/>
              <w:keepNext/>
              <w:spacing w:before="20" w:after="20"/>
              <w:rPr>
                <w:szCs w:val="18"/>
                <w:highlight w:val="yellow"/>
                <w:lang w:eastAsia="fr-CA"/>
              </w:rPr>
            </w:pPr>
            <w:r>
              <w:rPr>
                <w:szCs w:val="18"/>
              </w:rPr>
              <w:t xml:space="preserve">Eastern Gas Pipeline </w:t>
            </w:r>
          </w:p>
        </w:tc>
      </w:tr>
      <w:tr w:rsidR="00B94822" w:rsidRPr="009A057E" w14:paraId="121DF1E8" w14:textId="77777777" w:rsidTr="005F6236">
        <w:trPr>
          <w:cnfStyle w:val="000000010000" w:firstRow="0" w:lastRow="0" w:firstColumn="0" w:lastColumn="0" w:oddVBand="0" w:evenVBand="0" w:oddHBand="0" w:evenHBand="1" w:firstRowFirstColumn="0" w:firstRowLastColumn="0" w:lastRowFirstColumn="0" w:lastRowLastColumn="0"/>
          <w:cantSplit/>
        </w:trPr>
        <w:tc>
          <w:tcPr>
            <w:tcW w:w="5000" w:type="pct"/>
            <w:tcBorders>
              <w:bottom w:val="single" w:sz="4" w:space="0" w:color="auto"/>
            </w:tcBorders>
          </w:tcPr>
          <w:p w14:paraId="55BF9D23" w14:textId="724E0562" w:rsidR="00B94822" w:rsidRPr="009A057E" w:rsidRDefault="00B94822" w:rsidP="003949FF">
            <w:pPr>
              <w:pStyle w:val="TableBodyText"/>
              <w:keepNext/>
              <w:spacing w:before="20" w:after="20"/>
              <w:rPr>
                <w:szCs w:val="18"/>
                <w:highlight w:val="yellow"/>
                <w:lang w:eastAsia="fr-CA"/>
              </w:rPr>
            </w:pPr>
            <w:r>
              <w:rPr>
                <w:szCs w:val="18"/>
              </w:rPr>
              <w:t>Moomba to Sydney Pipeline (both directions)</w:t>
            </w:r>
          </w:p>
        </w:tc>
      </w:tr>
      <w:tr w:rsidR="003949FF" w:rsidRPr="009A057E" w14:paraId="28C0E438" w14:textId="77777777" w:rsidTr="003949FF">
        <w:trPr>
          <w:cantSplit/>
        </w:trPr>
        <w:tc>
          <w:tcPr>
            <w:tcW w:w="5000" w:type="pct"/>
            <w:tcBorders>
              <w:bottom w:val="single" w:sz="4" w:space="0" w:color="auto"/>
            </w:tcBorders>
          </w:tcPr>
          <w:p w14:paraId="0B85D81F" w14:textId="77777777" w:rsidR="003949FF" w:rsidRDefault="003949FF" w:rsidP="003949FF">
            <w:pPr>
              <w:pStyle w:val="TableBodyText"/>
              <w:keepNext/>
              <w:spacing w:before="20" w:after="20"/>
              <w:rPr>
                <w:szCs w:val="18"/>
              </w:rPr>
            </w:pPr>
            <w:r>
              <w:rPr>
                <w:szCs w:val="18"/>
              </w:rPr>
              <w:t>Contractually congested regional pipelines</w:t>
            </w:r>
          </w:p>
        </w:tc>
      </w:tr>
      <w:tr w:rsidR="005F6236" w:rsidRPr="005F6236" w14:paraId="6B2710D4" w14:textId="77777777" w:rsidTr="005F6236">
        <w:trPr>
          <w:cnfStyle w:val="000000010000" w:firstRow="0" w:lastRow="0" w:firstColumn="0" w:lastColumn="0" w:oddVBand="0" w:evenVBand="0" w:oddHBand="0" w:evenHBand="1" w:firstRowFirstColumn="0" w:firstRowLastColumn="0" w:lastRowFirstColumn="0" w:lastRowLastColumn="0"/>
          <w:cantSplit/>
        </w:trPr>
        <w:tc>
          <w:tcPr>
            <w:tcW w:w="5000" w:type="pct"/>
            <w:shd w:val="clear" w:color="auto" w:fill="65697F" w:themeFill="background2" w:themeFillShade="80"/>
          </w:tcPr>
          <w:p w14:paraId="2B21CBC0" w14:textId="516510A3" w:rsidR="00B94822" w:rsidRPr="005F6236" w:rsidRDefault="00B94822" w:rsidP="003949FF">
            <w:pPr>
              <w:pStyle w:val="TableBodyText"/>
              <w:keepNext/>
              <w:spacing w:before="20" w:after="20"/>
              <w:jc w:val="center"/>
              <w:rPr>
                <w:b/>
                <w:color w:val="FFFFFF" w:themeColor="background1"/>
                <w:szCs w:val="18"/>
              </w:rPr>
            </w:pPr>
            <w:r w:rsidRPr="005F6236">
              <w:rPr>
                <w:b/>
                <w:color w:val="FFFFFF" w:themeColor="background1"/>
                <w:szCs w:val="18"/>
              </w:rPr>
              <w:t>South Australia</w:t>
            </w:r>
          </w:p>
        </w:tc>
      </w:tr>
      <w:tr w:rsidR="00B94822" w:rsidRPr="009A057E" w14:paraId="5498C6B5" w14:textId="77777777" w:rsidTr="005F6236">
        <w:trPr>
          <w:cantSplit/>
        </w:trPr>
        <w:tc>
          <w:tcPr>
            <w:tcW w:w="5000" w:type="pct"/>
          </w:tcPr>
          <w:p w14:paraId="21D612FF" w14:textId="4B101703" w:rsidR="00B94822" w:rsidRPr="009A057E" w:rsidRDefault="00B94822" w:rsidP="003949FF">
            <w:pPr>
              <w:pStyle w:val="TableBodyText"/>
              <w:keepNext/>
              <w:spacing w:before="20" w:after="20"/>
              <w:rPr>
                <w:szCs w:val="18"/>
                <w:highlight w:val="yellow"/>
                <w:lang w:eastAsia="fr-CA"/>
              </w:rPr>
            </w:pPr>
            <w:r>
              <w:rPr>
                <w:szCs w:val="18"/>
              </w:rPr>
              <w:t>Moomba to Adelaide Pipeline System (both directions)</w:t>
            </w:r>
          </w:p>
        </w:tc>
      </w:tr>
      <w:tr w:rsidR="00B94822" w:rsidRPr="009A057E" w14:paraId="0A37541B" w14:textId="77777777" w:rsidTr="005F6236">
        <w:trPr>
          <w:cnfStyle w:val="000000010000" w:firstRow="0" w:lastRow="0" w:firstColumn="0" w:lastColumn="0" w:oddVBand="0" w:evenVBand="0" w:oddHBand="0" w:evenHBand="1" w:firstRowFirstColumn="0" w:firstRowLastColumn="0" w:lastRowFirstColumn="0" w:lastRowLastColumn="0"/>
          <w:cantSplit/>
        </w:trPr>
        <w:tc>
          <w:tcPr>
            <w:tcW w:w="5000" w:type="pct"/>
            <w:tcBorders>
              <w:bottom w:val="single" w:sz="4" w:space="0" w:color="auto"/>
            </w:tcBorders>
          </w:tcPr>
          <w:p w14:paraId="040C0006" w14:textId="74DE51EB" w:rsidR="00B94822" w:rsidRPr="009A057E" w:rsidRDefault="00B94822" w:rsidP="003949FF">
            <w:pPr>
              <w:pStyle w:val="TableBodyText"/>
              <w:keepNext/>
              <w:spacing w:before="20" w:after="20"/>
              <w:rPr>
                <w:szCs w:val="18"/>
                <w:highlight w:val="yellow"/>
                <w:lang w:eastAsia="fr-CA"/>
              </w:rPr>
            </w:pPr>
            <w:proofErr w:type="spellStart"/>
            <w:r>
              <w:rPr>
                <w:szCs w:val="18"/>
              </w:rPr>
              <w:t>SEAGas</w:t>
            </w:r>
            <w:proofErr w:type="spellEnd"/>
            <w:r>
              <w:rPr>
                <w:szCs w:val="18"/>
              </w:rPr>
              <w:t xml:space="preserve"> Pipeline </w:t>
            </w:r>
          </w:p>
        </w:tc>
      </w:tr>
      <w:tr w:rsidR="003949FF" w:rsidRPr="009A057E" w14:paraId="4BE1EA19" w14:textId="77777777" w:rsidTr="005F6236">
        <w:trPr>
          <w:cantSplit/>
        </w:trPr>
        <w:tc>
          <w:tcPr>
            <w:tcW w:w="5000" w:type="pct"/>
            <w:tcBorders>
              <w:bottom w:val="single" w:sz="4" w:space="0" w:color="auto"/>
            </w:tcBorders>
          </w:tcPr>
          <w:p w14:paraId="1F8EFF39" w14:textId="76186E1D" w:rsidR="003949FF" w:rsidRDefault="003949FF" w:rsidP="003949FF">
            <w:pPr>
              <w:pStyle w:val="TableBodyText"/>
              <w:keepNext/>
              <w:spacing w:before="20" w:after="20"/>
              <w:rPr>
                <w:szCs w:val="18"/>
              </w:rPr>
            </w:pPr>
            <w:r>
              <w:rPr>
                <w:szCs w:val="18"/>
              </w:rPr>
              <w:t>Contractually congested regional pipelines</w:t>
            </w:r>
          </w:p>
        </w:tc>
      </w:tr>
      <w:tr w:rsidR="005F6236" w:rsidRPr="005F6236" w14:paraId="1F415673" w14:textId="77777777" w:rsidTr="005F6236">
        <w:trPr>
          <w:cnfStyle w:val="000000010000" w:firstRow="0" w:lastRow="0" w:firstColumn="0" w:lastColumn="0" w:oddVBand="0" w:evenVBand="0" w:oddHBand="0" w:evenHBand="1" w:firstRowFirstColumn="0" w:firstRowLastColumn="0" w:lastRowFirstColumn="0" w:lastRowLastColumn="0"/>
          <w:cantSplit/>
        </w:trPr>
        <w:tc>
          <w:tcPr>
            <w:tcW w:w="5000" w:type="pct"/>
            <w:shd w:val="clear" w:color="auto" w:fill="65697F" w:themeFill="background2" w:themeFillShade="80"/>
          </w:tcPr>
          <w:p w14:paraId="2EA58739" w14:textId="1CBBE93C" w:rsidR="00B94822" w:rsidRPr="005F6236" w:rsidRDefault="00B94822" w:rsidP="003949FF">
            <w:pPr>
              <w:pStyle w:val="TableBodyText"/>
              <w:keepNext/>
              <w:spacing w:before="20" w:after="20"/>
              <w:jc w:val="center"/>
              <w:rPr>
                <w:b/>
                <w:color w:val="FFFFFF" w:themeColor="background1"/>
                <w:szCs w:val="18"/>
              </w:rPr>
            </w:pPr>
            <w:r w:rsidRPr="005F6236">
              <w:rPr>
                <w:b/>
                <w:color w:val="FFFFFF" w:themeColor="background1"/>
                <w:szCs w:val="18"/>
              </w:rPr>
              <w:t>Tasmania</w:t>
            </w:r>
          </w:p>
        </w:tc>
      </w:tr>
      <w:tr w:rsidR="00B94822" w:rsidRPr="00B94822" w14:paraId="3DEEF023" w14:textId="77777777" w:rsidTr="005F6236">
        <w:trPr>
          <w:cantSplit/>
        </w:trPr>
        <w:tc>
          <w:tcPr>
            <w:tcW w:w="5000" w:type="pct"/>
          </w:tcPr>
          <w:p w14:paraId="07A24C0E" w14:textId="27B20681" w:rsidR="00B94822" w:rsidRPr="00B94822" w:rsidRDefault="00B94822" w:rsidP="003949FF">
            <w:pPr>
              <w:pStyle w:val="TableBodyText"/>
              <w:keepNext/>
              <w:spacing w:before="20" w:after="20"/>
              <w:rPr>
                <w:szCs w:val="18"/>
                <w:lang w:eastAsia="fr-CA"/>
              </w:rPr>
            </w:pPr>
            <w:r w:rsidRPr="00B94822">
              <w:rPr>
                <w:szCs w:val="18"/>
                <w:lang w:eastAsia="fr-CA"/>
              </w:rPr>
              <w:t xml:space="preserve">Tasmanian Gas Pipeline </w:t>
            </w:r>
          </w:p>
        </w:tc>
      </w:tr>
      <w:tr w:rsidR="005F6236" w:rsidRPr="003949FF" w14:paraId="1AED35F8" w14:textId="77777777" w:rsidTr="003D738B">
        <w:trPr>
          <w:cnfStyle w:val="000000010000" w:firstRow="0" w:lastRow="0" w:firstColumn="0" w:lastColumn="0" w:oddVBand="0" w:evenVBand="0" w:oddHBand="0" w:evenHBand="1" w:firstRowFirstColumn="0" w:firstRowLastColumn="0" w:lastRowFirstColumn="0" w:lastRowLastColumn="0"/>
          <w:cantSplit/>
        </w:trPr>
        <w:tc>
          <w:tcPr>
            <w:tcW w:w="5000" w:type="pct"/>
            <w:shd w:val="clear" w:color="auto" w:fill="65697F" w:themeFill="background2" w:themeFillShade="80"/>
          </w:tcPr>
          <w:p w14:paraId="11AFA8D9" w14:textId="67C728F3" w:rsidR="005F6236" w:rsidRPr="003949FF" w:rsidRDefault="005F6236" w:rsidP="003949FF">
            <w:pPr>
              <w:pStyle w:val="TableBodyText"/>
              <w:keepNext/>
              <w:spacing w:before="20" w:after="20"/>
              <w:jc w:val="center"/>
              <w:rPr>
                <w:b/>
                <w:color w:val="FFFFFF" w:themeColor="background1"/>
                <w:szCs w:val="18"/>
              </w:rPr>
            </w:pPr>
            <w:r w:rsidRPr="003949FF">
              <w:rPr>
                <w:b/>
                <w:color w:val="FFFFFF" w:themeColor="background1"/>
                <w:szCs w:val="18"/>
              </w:rPr>
              <w:t>Compression assets</w:t>
            </w:r>
          </w:p>
        </w:tc>
      </w:tr>
      <w:tr w:rsidR="00B94822" w:rsidRPr="003949FF" w14:paraId="3D2DF9CD" w14:textId="77777777" w:rsidTr="005F6236">
        <w:trPr>
          <w:cantSplit/>
        </w:trPr>
        <w:tc>
          <w:tcPr>
            <w:tcW w:w="5000" w:type="pct"/>
          </w:tcPr>
          <w:p w14:paraId="127F397F" w14:textId="10E818ED" w:rsidR="00B94822" w:rsidRPr="003949FF" w:rsidRDefault="003949FF" w:rsidP="003949FF">
            <w:pPr>
              <w:pStyle w:val="TableBodyText"/>
              <w:keepNext/>
              <w:spacing w:before="20" w:after="20"/>
              <w:rPr>
                <w:szCs w:val="18"/>
                <w:lang w:eastAsia="fr-CA"/>
              </w:rPr>
            </w:pPr>
            <w:r w:rsidRPr="003949FF">
              <w:rPr>
                <w:szCs w:val="18"/>
                <w:lang w:eastAsia="fr-CA"/>
              </w:rPr>
              <w:t xml:space="preserve">Compressors servicing the Wallumbilla GSH </w:t>
            </w:r>
            <w:r w:rsidR="005F6236" w:rsidRPr="003949FF">
              <w:rPr>
                <w:szCs w:val="18"/>
                <w:lang w:eastAsia="fr-CA"/>
              </w:rPr>
              <w:t>(</w:t>
            </w:r>
            <w:r w:rsidRPr="003949FF">
              <w:rPr>
                <w:szCs w:val="18"/>
                <w:lang w:eastAsia="fr-CA"/>
              </w:rPr>
              <w:t xml:space="preserve">operated by </w:t>
            </w:r>
            <w:r w:rsidR="005F6236" w:rsidRPr="003949FF">
              <w:rPr>
                <w:szCs w:val="18"/>
                <w:lang w:eastAsia="fr-CA"/>
              </w:rPr>
              <w:t>APA)</w:t>
            </w:r>
          </w:p>
        </w:tc>
      </w:tr>
      <w:tr w:rsidR="00B94822" w:rsidRPr="003949FF" w14:paraId="00D9E659" w14:textId="77777777" w:rsidTr="005F6236">
        <w:trPr>
          <w:cnfStyle w:val="000000010000" w:firstRow="0" w:lastRow="0" w:firstColumn="0" w:lastColumn="0" w:oddVBand="0" w:evenVBand="0" w:oddHBand="0" w:evenHBand="1" w:firstRowFirstColumn="0" w:firstRowLastColumn="0" w:lastRowFirstColumn="0" w:lastRowLastColumn="0"/>
          <w:cantSplit/>
        </w:trPr>
        <w:tc>
          <w:tcPr>
            <w:tcW w:w="5000" w:type="pct"/>
          </w:tcPr>
          <w:p w14:paraId="27D4F182" w14:textId="4F30612F" w:rsidR="00B94822" w:rsidRPr="003949FF" w:rsidRDefault="003949FF" w:rsidP="003949FF">
            <w:pPr>
              <w:pStyle w:val="TableBodyText"/>
              <w:keepNext/>
              <w:spacing w:before="20" w:after="20"/>
              <w:rPr>
                <w:szCs w:val="18"/>
                <w:lang w:eastAsia="fr-CA"/>
              </w:rPr>
            </w:pPr>
            <w:r w:rsidRPr="003949FF">
              <w:rPr>
                <w:szCs w:val="18"/>
                <w:lang w:eastAsia="fr-CA"/>
              </w:rPr>
              <w:t xml:space="preserve">Compressors servicing the </w:t>
            </w:r>
            <w:r w:rsidR="005F6236" w:rsidRPr="003949FF">
              <w:rPr>
                <w:szCs w:val="18"/>
                <w:lang w:eastAsia="fr-CA"/>
              </w:rPr>
              <w:t xml:space="preserve">Moomba </w:t>
            </w:r>
            <w:r w:rsidRPr="003949FF">
              <w:rPr>
                <w:szCs w:val="18"/>
                <w:lang w:eastAsia="fr-CA"/>
              </w:rPr>
              <w:t xml:space="preserve">GSH </w:t>
            </w:r>
            <w:r w:rsidR="005F6236" w:rsidRPr="003949FF">
              <w:rPr>
                <w:szCs w:val="18"/>
                <w:lang w:eastAsia="fr-CA"/>
              </w:rPr>
              <w:t>(</w:t>
            </w:r>
            <w:r w:rsidRPr="003949FF">
              <w:rPr>
                <w:szCs w:val="18"/>
                <w:lang w:eastAsia="fr-CA"/>
              </w:rPr>
              <w:t xml:space="preserve">operated by </w:t>
            </w:r>
            <w:r w:rsidR="005F6236" w:rsidRPr="003949FF">
              <w:rPr>
                <w:szCs w:val="18"/>
                <w:lang w:eastAsia="fr-CA"/>
              </w:rPr>
              <w:t>APA)</w:t>
            </w:r>
          </w:p>
        </w:tc>
      </w:tr>
      <w:bookmarkEnd w:id="133"/>
    </w:tbl>
    <w:p w14:paraId="58EB13B8" w14:textId="571585BA" w:rsidR="00634483" w:rsidRPr="00EC75C1" w:rsidRDefault="00634483" w:rsidP="008E1F54">
      <w:pPr>
        <w:pStyle w:val="Caption"/>
        <w:spacing w:before="120" w:after="0"/>
        <w:rPr>
          <w:bCs w:val="0"/>
        </w:rPr>
      </w:pPr>
    </w:p>
    <w:tbl>
      <w:tblPr>
        <w:tblStyle w:val="PullOutBoxTable"/>
        <w:tblW w:w="5000" w:type="pct"/>
        <w:shd w:val="clear" w:color="auto" w:fill="B7E7FF"/>
        <w:tblLook w:val="0600" w:firstRow="0" w:lastRow="0" w:firstColumn="0" w:lastColumn="0" w:noHBand="1" w:noVBand="1"/>
        <w:tblCaption w:val="Box 5.1: Questions on coverage of the auction "/>
        <w:tblDescription w:val="Questions on coverage of the auction "/>
      </w:tblPr>
      <w:tblGrid>
        <w:gridCol w:w="8788"/>
      </w:tblGrid>
      <w:tr w:rsidR="00634483" w:rsidRPr="008E1F54" w14:paraId="05711B7D" w14:textId="77777777" w:rsidTr="008E1F54">
        <w:trPr>
          <w:tblHeader/>
        </w:trPr>
        <w:tc>
          <w:tcPr>
            <w:tcW w:w="5000" w:type="pct"/>
            <w:shd w:val="clear" w:color="auto" w:fill="auto"/>
          </w:tcPr>
          <w:p w14:paraId="4D6060DF" w14:textId="6FB81B31" w:rsidR="00151C91" w:rsidRPr="008E1F54" w:rsidRDefault="008E1F54" w:rsidP="008E1F54">
            <w:pPr>
              <w:pStyle w:val="ListNumber"/>
              <w:numPr>
                <w:ilvl w:val="0"/>
                <w:numId w:val="0"/>
              </w:numPr>
              <w:spacing w:before="0" w:after="0"/>
              <w:rPr>
                <w:rFonts w:eastAsiaTheme="majorEastAsia"/>
                <w:b/>
                <w:sz w:val="21"/>
                <w:szCs w:val="21"/>
              </w:rPr>
            </w:pPr>
            <w:r w:rsidRPr="008E1F54">
              <w:rPr>
                <w:b/>
              </w:rPr>
              <w:t xml:space="preserve">Box </w:t>
            </w:r>
            <w:r w:rsidRPr="008E1F54">
              <w:rPr>
                <w:b/>
              </w:rPr>
              <w:fldChar w:fldCharType="begin"/>
            </w:r>
            <w:r w:rsidRPr="008E1F54">
              <w:rPr>
                <w:b/>
              </w:rPr>
              <w:instrText xml:space="preserve"> STYLEREF 1 \s </w:instrText>
            </w:r>
            <w:r w:rsidRPr="008E1F54">
              <w:rPr>
                <w:b/>
              </w:rPr>
              <w:fldChar w:fldCharType="separate"/>
            </w:r>
            <w:r w:rsidRPr="008E1F54">
              <w:rPr>
                <w:b/>
                <w:noProof/>
              </w:rPr>
              <w:t>5</w:t>
            </w:r>
            <w:r w:rsidRPr="008E1F54">
              <w:rPr>
                <w:b/>
                <w:noProof/>
              </w:rPr>
              <w:fldChar w:fldCharType="end"/>
            </w:r>
            <w:r w:rsidRPr="008E1F54">
              <w:rPr>
                <w:b/>
              </w:rPr>
              <w:t>.</w:t>
            </w:r>
            <w:r w:rsidRPr="008E1F54">
              <w:rPr>
                <w:b/>
              </w:rPr>
              <w:fldChar w:fldCharType="begin"/>
            </w:r>
            <w:r w:rsidRPr="008E1F54">
              <w:rPr>
                <w:b/>
              </w:rPr>
              <w:instrText xml:space="preserve"> SEQ Box \* ARABIC \s 1 </w:instrText>
            </w:r>
            <w:r w:rsidRPr="008E1F54">
              <w:rPr>
                <w:b/>
              </w:rPr>
              <w:fldChar w:fldCharType="separate"/>
            </w:r>
            <w:r w:rsidRPr="008E1F54">
              <w:rPr>
                <w:b/>
                <w:noProof/>
              </w:rPr>
              <w:t>1</w:t>
            </w:r>
            <w:r w:rsidRPr="008E1F54">
              <w:rPr>
                <w:b/>
                <w:noProof/>
              </w:rPr>
              <w:fldChar w:fldCharType="end"/>
            </w:r>
            <w:r w:rsidRPr="008E1F54">
              <w:rPr>
                <w:b/>
              </w:rPr>
              <w:t xml:space="preserve">: </w:t>
            </w:r>
            <w:r w:rsidRPr="008E1F54">
              <w:rPr>
                <w:b/>
                <w:bCs/>
              </w:rPr>
              <w:t>Questions on coverage of the auction</w:t>
            </w:r>
          </w:p>
        </w:tc>
      </w:tr>
      <w:tr w:rsidR="008E1F54" w:rsidRPr="00674898" w14:paraId="6ACD8B2F" w14:textId="77777777" w:rsidTr="00634483">
        <w:tc>
          <w:tcPr>
            <w:tcW w:w="5000" w:type="pct"/>
            <w:shd w:val="clear" w:color="auto" w:fill="B7E7FF"/>
          </w:tcPr>
          <w:p w14:paraId="13DF0115" w14:textId="77777777" w:rsidR="008E1F54" w:rsidRPr="003949FF" w:rsidRDefault="008E1F54" w:rsidP="008E1F54">
            <w:pPr>
              <w:pStyle w:val="ListNumber"/>
              <w:numPr>
                <w:ilvl w:val="0"/>
                <w:numId w:val="20"/>
              </w:numPr>
              <w:rPr>
                <w:rFonts w:eastAsiaTheme="majorEastAsia"/>
                <w:sz w:val="21"/>
                <w:szCs w:val="21"/>
              </w:rPr>
            </w:pPr>
            <w:r w:rsidRPr="003949FF">
              <w:rPr>
                <w:rFonts w:eastAsiaTheme="majorEastAsia"/>
                <w:sz w:val="21"/>
                <w:szCs w:val="21"/>
              </w:rPr>
              <w:t xml:space="preserve">Do you agree with the proposal to apply the auction to </w:t>
            </w:r>
            <w:r w:rsidRPr="003949FF">
              <w:rPr>
                <w:rFonts w:eastAsiaTheme="minorEastAsia"/>
                <w:sz w:val="21"/>
                <w:szCs w:val="21"/>
              </w:rPr>
              <w:t xml:space="preserve">all the transmission pipelines (excluding the Declared Transmission System) linking major demand centres and supply sources in the east coast and contractually congested pipelines in regional areas? </w:t>
            </w:r>
            <w:r>
              <w:rPr>
                <w:rFonts w:eastAsiaTheme="minorEastAsia"/>
                <w:sz w:val="21"/>
                <w:szCs w:val="21"/>
              </w:rPr>
              <w:t>If not, please explain why</w:t>
            </w:r>
            <w:r w:rsidRPr="003949FF">
              <w:rPr>
                <w:rFonts w:eastAsiaTheme="minorEastAsia"/>
                <w:sz w:val="21"/>
                <w:szCs w:val="21"/>
              </w:rPr>
              <w:t>.</w:t>
            </w:r>
          </w:p>
          <w:p w14:paraId="6D39398D" w14:textId="77777777" w:rsidR="008E1F54" w:rsidRPr="003949FF" w:rsidRDefault="008E1F54" w:rsidP="008E1F54">
            <w:pPr>
              <w:pStyle w:val="ListNumber"/>
              <w:numPr>
                <w:ilvl w:val="0"/>
                <w:numId w:val="20"/>
              </w:numPr>
              <w:rPr>
                <w:rFonts w:eastAsiaTheme="majorEastAsia"/>
                <w:sz w:val="21"/>
                <w:szCs w:val="21"/>
              </w:rPr>
            </w:pPr>
            <w:r>
              <w:rPr>
                <w:rFonts w:eastAsiaTheme="minorEastAsia"/>
                <w:sz w:val="21"/>
                <w:szCs w:val="21"/>
              </w:rPr>
              <w:t>A</w:t>
            </w:r>
            <w:r w:rsidRPr="003949FF">
              <w:rPr>
                <w:rFonts w:eastAsiaTheme="minorEastAsia"/>
                <w:sz w:val="21"/>
                <w:szCs w:val="21"/>
              </w:rPr>
              <w:t>re there any other pipelines or compressor</w:t>
            </w:r>
            <w:r>
              <w:rPr>
                <w:rFonts w:eastAsiaTheme="minorEastAsia"/>
                <w:sz w:val="21"/>
                <w:szCs w:val="21"/>
              </w:rPr>
              <w:t>s</w:t>
            </w:r>
            <w:r w:rsidRPr="003949FF">
              <w:rPr>
                <w:rFonts w:eastAsiaTheme="minorEastAsia"/>
                <w:sz w:val="21"/>
                <w:szCs w:val="21"/>
              </w:rPr>
              <w:t xml:space="preserve"> that you think should be added to the list </w:t>
            </w:r>
            <w:r>
              <w:rPr>
                <w:rFonts w:eastAsiaTheme="minorEastAsia"/>
                <w:sz w:val="21"/>
                <w:szCs w:val="21"/>
              </w:rPr>
              <w:t xml:space="preserve">of pipelines and compressors that could be subject to the auction </w:t>
            </w:r>
            <w:r w:rsidRPr="003949FF">
              <w:rPr>
                <w:rFonts w:eastAsiaTheme="minorEastAsia"/>
                <w:sz w:val="21"/>
                <w:szCs w:val="21"/>
              </w:rPr>
              <w:t>in Table 5.2?</w:t>
            </w:r>
          </w:p>
          <w:p w14:paraId="4761B588" w14:textId="77777777" w:rsidR="008E1F54" w:rsidRPr="0090126D" w:rsidRDefault="008E1F54" w:rsidP="008E1F54">
            <w:pPr>
              <w:pStyle w:val="ListNumber"/>
              <w:numPr>
                <w:ilvl w:val="0"/>
                <w:numId w:val="20"/>
              </w:numPr>
              <w:rPr>
                <w:rFonts w:eastAsiaTheme="majorEastAsia"/>
                <w:sz w:val="21"/>
                <w:szCs w:val="21"/>
              </w:rPr>
            </w:pPr>
            <w:r w:rsidRPr="0090126D">
              <w:rPr>
                <w:rFonts w:eastAsiaTheme="minorEastAsia"/>
                <w:sz w:val="21"/>
                <w:szCs w:val="21"/>
              </w:rPr>
              <w:t xml:space="preserve">Do you think that the efficiencies associated with a broader application of the auction will outweigh some of the dynamic efficiency losses that could occur on individual pipelines? </w:t>
            </w:r>
            <w:r w:rsidRPr="0090126D">
              <w:rPr>
                <w:rFonts w:eastAsiaTheme="majorEastAsia"/>
                <w:sz w:val="21"/>
                <w:szCs w:val="21"/>
              </w:rPr>
              <w:t>If not, are there any other measures that you think could be employed to ameliorate the effect of any such losses?</w:t>
            </w:r>
          </w:p>
          <w:p w14:paraId="0A7DFE0C" w14:textId="77777777" w:rsidR="008E1F54" w:rsidRPr="003949FF" w:rsidRDefault="008E1F54" w:rsidP="008E1F54">
            <w:pPr>
              <w:pStyle w:val="ListNumber"/>
              <w:numPr>
                <w:ilvl w:val="0"/>
                <w:numId w:val="20"/>
              </w:numPr>
              <w:rPr>
                <w:rFonts w:eastAsiaTheme="majorEastAsia"/>
                <w:sz w:val="21"/>
                <w:szCs w:val="21"/>
              </w:rPr>
            </w:pPr>
            <w:r w:rsidRPr="003949FF">
              <w:rPr>
                <w:rFonts w:eastAsiaTheme="majorEastAsia"/>
                <w:sz w:val="21"/>
                <w:szCs w:val="21"/>
              </w:rPr>
              <w:t>Do you agree that exemptions should be available to:</w:t>
            </w:r>
          </w:p>
          <w:p w14:paraId="1E87CB75" w14:textId="77777777" w:rsidR="008E1F54" w:rsidRPr="003949FF" w:rsidRDefault="008E1F54" w:rsidP="008E1F54">
            <w:pPr>
              <w:pStyle w:val="ListBullet2"/>
              <w:rPr>
                <w:rFonts w:eastAsiaTheme="majorEastAsia"/>
                <w:sz w:val="21"/>
                <w:szCs w:val="21"/>
              </w:rPr>
            </w:pPr>
            <w:proofErr w:type="gramStart"/>
            <w:r w:rsidRPr="003949FF">
              <w:rPr>
                <w:sz w:val="21"/>
                <w:szCs w:val="21"/>
              </w:rPr>
              <w:t>transportation</w:t>
            </w:r>
            <w:proofErr w:type="gramEnd"/>
            <w:r w:rsidRPr="003949FF">
              <w:rPr>
                <w:sz w:val="21"/>
                <w:szCs w:val="21"/>
              </w:rPr>
              <w:t xml:space="preserve"> assets that are not providing third party access? If not, please explain why.</w:t>
            </w:r>
          </w:p>
          <w:p w14:paraId="5A950AB7" w14:textId="77777777" w:rsidR="008E1F54" w:rsidRPr="00151C91" w:rsidRDefault="008E1F54" w:rsidP="008E1F54">
            <w:pPr>
              <w:pStyle w:val="ListBullet2"/>
              <w:rPr>
                <w:rFonts w:eastAsiaTheme="majorEastAsia"/>
                <w:sz w:val="21"/>
                <w:szCs w:val="21"/>
              </w:rPr>
            </w:pPr>
            <w:proofErr w:type="gramStart"/>
            <w:r w:rsidRPr="00151C91">
              <w:rPr>
                <w:sz w:val="21"/>
                <w:szCs w:val="21"/>
              </w:rPr>
              <w:t>transportation</w:t>
            </w:r>
            <w:proofErr w:type="gramEnd"/>
            <w:r w:rsidRPr="00151C91">
              <w:rPr>
                <w:sz w:val="21"/>
                <w:szCs w:val="21"/>
              </w:rPr>
              <w:t xml:space="preserve"> assets that service a single facility? </w:t>
            </w:r>
            <w:r>
              <w:rPr>
                <w:sz w:val="21"/>
                <w:szCs w:val="21"/>
              </w:rPr>
              <w:t>If not, please explain why</w:t>
            </w:r>
            <w:r w:rsidRPr="00151C91">
              <w:rPr>
                <w:sz w:val="21"/>
                <w:szCs w:val="21"/>
              </w:rPr>
              <w:t>?</w:t>
            </w:r>
          </w:p>
          <w:p w14:paraId="22C8E5B3" w14:textId="77777777" w:rsidR="008E1F54" w:rsidRDefault="008E1F54" w:rsidP="008E1F54">
            <w:pPr>
              <w:pStyle w:val="ListNumber"/>
              <w:numPr>
                <w:ilvl w:val="0"/>
                <w:numId w:val="20"/>
              </w:numPr>
              <w:rPr>
                <w:rFonts w:eastAsiaTheme="majorEastAsia"/>
                <w:sz w:val="21"/>
                <w:szCs w:val="21"/>
              </w:rPr>
            </w:pPr>
            <w:r>
              <w:rPr>
                <w:rFonts w:eastAsiaTheme="majorEastAsia"/>
                <w:sz w:val="21"/>
                <w:szCs w:val="21"/>
              </w:rPr>
              <w:t xml:space="preserve">Do you think an exemption should be available to pipelines that fall below a minimum size threshold if they are not contractually congested? Please explain your response. </w:t>
            </w:r>
          </w:p>
          <w:p w14:paraId="707F9D97" w14:textId="1020C7FE" w:rsidR="008E1F54" w:rsidRPr="003949FF" w:rsidRDefault="008E1F54" w:rsidP="008E1F54">
            <w:pPr>
              <w:pStyle w:val="ListNumber"/>
              <w:numPr>
                <w:ilvl w:val="0"/>
                <w:numId w:val="20"/>
              </w:numPr>
              <w:rPr>
                <w:rFonts w:eastAsiaTheme="majorEastAsia"/>
                <w:sz w:val="21"/>
                <w:szCs w:val="21"/>
              </w:rPr>
            </w:pPr>
            <w:r>
              <w:rPr>
                <w:rFonts w:eastAsiaTheme="majorEastAsia"/>
                <w:sz w:val="21"/>
                <w:szCs w:val="21"/>
              </w:rPr>
              <w:t>Are there any other exemptions that you think should be provided for? If so, please explain what they are and why they are required.</w:t>
            </w:r>
          </w:p>
        </w:tc>
      </w:tr>
    </w:tbl>
    <w:p w14:paraId="14740EEA" w14:textId="2A8FFE14" w:rsidR="008D07D2" w:rsidRDefault="002E4A88" w:rsidP="008D07D2">
      <w:pPr>
        <w:pStyle w:val="Heading1"/>
      </w:pPr>
      <w:bookmarkStart w:id="134" w:name="_Toc495351651"/>
      <w:bookmarkEnd w:id="125"/>
      <w:r>
        <w:t xml:space="preserve">Design </w:t>
      </w:r>
      <w:r w:rsidR="008A493E">
        <w:t xml:space="preserve">and Use </w:t>
      </w:r>
      <w:r>
        <w:t xml:space="preserve">of the </w:t>
      </w:r>
      <w:r w:rsidR="00EF3175">
        <w:t xml:space="preserve">Auction </w:t>
      </w:r>
      <w:r w:rsidR="00272D81">
        <w:t>Platform</w:t>
      </w:r>
      <w:bookmarkEnd w:id="134"/>
      <w:r w:rsidR="00272D81">
        <w:t xml:space="preserve"> </w:t>
      </w:r>
    </w:p>
    <w:p w14:paraId="37D0F272" w14:textId="6BA42817" w:rsidR="00641DFE" w:rsidRDefault="00CA333E" w:rsidP="008D07D2">
      <w:pPr>
        <w:pStyle w:val="BodyText"/>
      </w:pPr>
      <w:r>
        <w:t xml:space="preserve">The day-ahead auction will be operated and administered by AEMO. To minimise the costs and time associated with implementing the auction platform, AEMO has proposed to </w:t>
      </w:r>
      <w:r w:rsidR="00622F2A">
        <w:t xml:space="preserve">use </w:t>
      </w:r>
      <w:r>
        <w:t xml:space="preserve">a number of its existing </w:t>
      </w:r>
      <w:r w:rsidR="00EF270E">
        <w:t xml:space="preserve">IT </w:t>
      </w:r>
      <w:r>
        <w:t>systems</w:t>
      </w:r>
      <w:r w:rsidR="00D228AF">
        <w:t>,</w:t>
      </w:r>
      <w:r w:rsidR="00EF270E">
        <w:t xml:space="preserve"> an adapted version of the inter-regional SRA algorithm</w:t>
      </w:r>
      <w:r w:rsidR="00D228AF">
        <w:t xml:space="preserve"> and </w:t>
      </w:r>
      <w:r w:rsidR="00B63D8F">
        <w:t xml:space="preserve">the </w:t>
      </w:r>
      <w:r w:rsidR="00EF270E">
        <w:t xml:space="preserve">existing data exchange system for communications between itself and service providers. </w:t>
      </w:r>
      <w:r w:rsidR="00D228AF">
        <w:t xml:space="preserve">AEMO has also proposed to draw on the settlement and credit support </w:t>
      </w:r>
      <w:r w:rsidR="00514CB4">
        <w:t>frameworks</w:t>
      </w:r>
      <w:r w:rsidR="00D228AF">
        <w:t xml:space="preserve"> that have been set up for the GSH to minimise the costs and complexities associated with using the day-ahead auction</w:t>
      </w:r>
      <w:r w:rsidR="002A2DED">
        <w:t xml:space="preserve"> (subject to checking the impact on the GSH legal framework)</w:t>
      </w:r>
      <w:r w:rsidR="00D228AF">
        <w:t xml:space="preserve">. </w:t>
      </w:r>
    </w:p>
    <w:p w14:paraId="10DFAA78" w14:textId="15D8C381" w:rsidR="00CA333E" w:rsidRDefault="00D228AF" w:rsidP="008D07D2">
      <w:pPr>
        <w:pStyle w:val="BodyText"/>
      </w:pPr>
      <w:r>
        <w:t>The remainder of this chapter provides f</w:t>
      </w:r>
      <w:r w:rsidR="00EF270E">
        <w:t xml:space="preserve">urther detail on the </w:t>
      </w:r>
      <w:r>
        <w:t xml:space="preserve">auction platform and </w:t>
      </w:r>
      <w:r w:rsidR="00EF270E">
        <w:t>systems that AEMO is proposing to use</w:t>
      </w:r>
      <w:r>
        <w:t>,</w:t>
      </w:r>
      <w:r w:rsidR="00EF270E">
        <w:t xml:space="preserve"> </w:t>
      </w:r>
      <w:r>
        <w:t xml:space="preserve">the arrangements shippers will need to have in place to </w:t>
      </w:r>
      <w:r w:rsidR="003957AA">
        <w:t xml:space="preserve">use </w:t>
      </w:r>
      <w:r>
        <w:t xml:space="preserve">the auction </w:t>
      </w:r>
      <w:r w:rsidR="003957AA">
        <w:t xml:space="preserve">platform </w:t>
      </w:r>
      <w:r>
        <w:t xml:space="preserve">and how the </w:t>
      </w:r>
      <w:r w:rsidR="00EF270E">
        <w:t>auction will interact with the STTM</w:t>
      </w:r>
      <w:r>
        <w:t xml:space="preserve"> and </w:t>
      </w:r>
      <w:r w:rsidR="00EF270E">
        <w:t xml:space="preserve">DWGM. </w:t>
      </w:r>
    </w:p>
    <w:p w14:paraId="4944DFCD" w14:textId="06F54B18" w:rsidR="00272D81" w:rsidRPr="003E28ED" w:rsidRDefault="00272D81" w:rsidP="00EF3175">
      <w:pPr>
        <w:pStyle w:val="Heading2"/>
      </w:pPr>
      <w:bookmarkStart w:id="135" w:name="_Toc495351652"/>
      <w:r w:rsidRPr="003E28ED">
        <w:t>Auction platform</w:t>
      </w:r>
      <w:r w:rsidR="00D912E5" w:rsidRPr="003E28ED">
        <w:t xml:space="preserve"> </w:t>
      </w:r>
      <w:r w:rsidR="002E4A88" w:rsidRPr="003E28ED">
        <w:t>and systems</w:t>
      </w:r>
      <w:bookmarkEnd w:id="135"/>
    </w:p>
    <w:p w14:paraId="64253521" w14:textId="03B17D23" w:rsidR="00A96EB9" w:rsidRDefault="005673FE" w:rsidP="00A96EB9">
      <w:pPr>
        <w:pStyle w:val="BodyText"/>
      </w:pPr>
      <w:r>
        <w:t xml:space="preserve">In a similar manner to the GSH and a number of other AEMO operated market systems, shippers </w:t>
      </w:r>
      <w:r w:rsidR="00A96EB9">
        <w:t xml:space="preserve">that want to utilise the </w:t>
      </w:r>
      <w:r>
        <w:t xml:space="preserve">auction platform </w:t>
      </w:r>
      <w:r w:rsidR="00A96EB9">
        <w:t xml:space="preserve">will need to access the platform </w:t>
      </w:r>
      <w:r>
        <w:t xml:space="preserve">via a new tab on the </w:t>
      </w:r>
      <w:r w:rsidR="00D912E5">
        <w:t xml:space="preserve">Electricity Market Management System (EMMS) web portal. </w:t>
      </w:r>
      <w:r w:rsidR="00A96EB9">
        <w:t xml:space="preserve">The auction platform, as proposed by AEMO, will utilise: </w:t>
      </w:r>
    </w:p>
    <w:p w14:paraId="6445FA70" w14:textId="0491BCA7" w:rsidR="00D912E5" w:rsidRDefault="00D912E5" w:rsidP="00A96EB9">
      <w:pPr>
        <w:pStyle w:val="ListBullet"/>
      </w:pPr>
      <w:r>
        <w:t xml:space="preserve">an adapted version of the web-interface that is currently </w:t>
      </w:r>
      <w:r w:rsidR="00A96EB9">
        <w:t xml:space="preserve">used </w:t>
      </w:r>
      <w:r w:rsidR="00A940B8">
        <w:t xml:space="preserve">for bid submission in the </w:t>
      </w:r>
      <w:r w:rsidR="00A96EB9">
        <w:t>inter-regional SRA; and</w:t>
      </w:r>
    </w:p>
    <w:p w14:paraId="4FC59A58" w14:textId="0A532546" w:rsidR="00D912E5" w:rsidRDefault="00D912E5" w:rsidP="00A96EB9">
      <w:pPr>
        <w:pStyle w:val="ListBullet"/>
      </w:pPr>
      <w:proofErr w:type="gramStart"/>
      <w:r>
        <w:t>the</w:t>
      </w:r>
      <w:proofErr w:type="gramEnd"/>
      <w:r>
        <w:t xml:space="preserve"> existing EMMS file server and data interchange to provide </w:t>
      </w:r>
      <w:r w:rsidR="005673FE">
        <w:t>auction</w:t>
      </w:r>
      <w:r>
        <w:t xml:space="preserve"> participants with auction related information and reports.</w:t>
      </w:r>
    </w:p>
    <w:p w14:paraId="644E44F1" w14:textId="75D08E9C" w:rsidR="00A96EB9" w:rsidRDefault="00A96EB9" w:rsidP="00A96EB9">
      <w:pPr>
        <w:pStyle w:val="BodyText"/>
      </w:pPr>
      <w:r>
        <w:t xml:space="preserve">The auction platform will also use an adapted version of the auction algorithm that is currently used in the SRA, which provides for combinatorial bidding and uses a linear program to establish the bid stack and allocate </w:t>
      </w:r>
      <w:r w:rsidR="00E354D7">
        <w:t xml:space="preserve">the auction </w:t>
      </w:r>
      <w:r>
        <w:t>residue.</w:t>
      </w:r>
      <w:r w:rsidR="00D228AF">
        <w:t xml:space="preserve"> As noted in section </w:t>
      </w:r>
      <w:r w:rsidR="00D228AF">
        <w:fldChar w:fldCharType="begin"/>
      </w:r>
      <w:r w:rsidR="00D228AF">
        <w:instrText xml:space="preserve"> REF _Ref494450523 \r \h </w:instrText>
      </w:r>
      <w:r w:rsidR="00D228AF">
        <w:fldChar w:fldCharType="separate"/>
      </w:r>
      <w:r w:rsidR="00272B32">
        <w:t>4.1</w:t>
      </w:r>
      <w:r w:rsidR="00D228AF">
        <w:fldChar w:fldCharType="end"/>
      </w:r>
      <w:r w:rsidR="00D228AF">
        <w:t xml:space="preserve">, if </w:t>
      </w:r>
      <w:r w:rsidR="00514CB4">
        <w:t xml:space="preserve">a decision is made to include the </w:t>
      </w:r>
      <w:r w:rsidR="00D228AF">
        <w:t xml:space="preserve">minimum requirements or </w:t>
      </w:r>
      <w:r w:rsidR="00641DFE">
        <w:t xml:space="preserve">the </w:t>
      </w:r>
      <w:r w:rsidR="00514CB4">
        <w:t>XOR set optional features in the auction format, then a number of changes will need to be made to the SRA algorithm</w:t>
      </w:r>
      <w:r w:rsidR="00641DFE">
        <w:t>.</w:t>
      </w:r>
      <w:r w:rsidR="00514CB4">
        <w:t xml:space="preserve"> </w:t>
      </w:r>
      <w:r w:rsidR="00641DFE">
        <w:t xml:space="preserve">This </w:t>
      </w:r>
      <w:r w:rsidR="00514CB4">
        <w:t>will need to be subject to testing before it is implemented.</w:t>
      </w:r>
    </w:p>
    <w:p w14:paraId="550AA7D5" w14:textId="5BB1A1C6" w:rsidR="003E28ED" w:rsidRDefault="00514CB4" w:rsidP="00514CB4">
      <w:pPr>
        <w:pStyle w:val="BodyText"/>
        <w:rPr>
          <w:rFonts w:cs="Arial"/>
        </w:rPr>
      </w:pPr>
      <w:r>
        <w:t xml:space="preserve">In relation to the data interchange, there will, as noted in sections </w:t>
      </w:r>
      <w:r>
        <w:fldChar w:fldCharType="begin"/>
      </w:r>
      <w:r>
        <w:instrText xml:space="preserve"> REF _Ref494450740 \r \h </w:instrText>
      </w:r>
      <w:r>
        <w:fldChar w:fldCharType="separate"/>
      </w:r>
      <w:r w:rsidR="00272B32">
        <w:t>4.1</w:t>
      </w:r>
      <w:r>
        <w:fldChar w:fldCharType="end"/>
      </w:r>
      <w:r>
        <w:t xml:space="preserve"> and </w:t>
      </w:r>
      <w:r>
        <w:fldChar w:fldCharType="begin"/>
      </w:r>
      <w:r>
        <w:instrText xml:space="preserve"> REF _Ref494450725 \r \h </w:instrText>
      </w:r>
      <w:r>
        <w:fldChar w:fldCharType="separate"/>
      </w:r>
      <w:r w:rsidR="00272B32">
        <w:t>4.8</w:t>
      </w:r>
      <w:r>
        <w:fldChar w:fldCharType="end"/>
      </w:r>
      <w:r>
        <w:t xml:space="preserve">, need to be a number of transfers of information between AEMO and service providers. For example, </w:t>
      </w:r>
      <w:r>
        <w:rPr>
          <w:rFonts w:cs="Arial"/>
        </w:rPr>
        <w:t>b</w:t>
      </w:r>
      <w:r w:rsidR="00A940B8">
        <w:rPr>
          <w:rFonts w:cs="Arial"/>
        </w:rPr>
        <w:t xml:space="preserve">efore the auction can be conducted, service providers will need to inform AEMO of the </w:t>
      </w:r>
      <w:r w:rsidR="003E28ED">
        <w:rPr>
          <w:rFonts w:cs="Arial"/>
        </w:rPr>
        <w:t xml:space="preserve">quantity of </w:t>
      </w:r>
      <w:r w:rsidR="00A940B8">
        <w:rPr>
          <w:rFonts w:cs="Arial"/>
        </w:rPr>
        <w:t>contracted but un-nominated capacity that can be released in the auction. AEMO will then need to inform service providers of the outcomes of the auction</w:t>
      </w:r>
      <w:r w:rsidR="003E28ED">
        <w:rPr>
          <w:rFonts w:cs="Arial"/>
        </w:rPr>
        <w:t xml:space="preserve"> and the shippers that have purchased capacity</w:t>
      </w:r>
      <w:r w:rsidR="00A940B8">
        <w:rPr>
          <w:rFonts w:cs="Arial"/>
        </w:rPr>
        <w:t xml:space="preserve">. </w:t>
      </w:r>
      <w:r w:rsidR="003E28ED">
        <w:rPr>
          <w:rFonts w:cs="Arial"/>
        </w:rPr>
        <w:t xml:space="preserve">If auction capacity is curtailed on the gas day, then service providers will also need to inform AEMO of the extent to which each auction </w:t>
      </w:r>
      <w:r w:rsidR="00F8246A">
        <w:rPr>
          <w:rFonts w:cs="Arial"/>
        </w:rPr>
        <w:t xml:space="preserve">winner </w:t>
      </w:r>
      <w:r w:rsidR="003E28ED">
        <w:rPr>
          <w:rFonts w:cs="Arial"/>
        </w:rPr>
        <w:t>was affected by the curtailment.</w:t>
      </w:r>
      <w:r w:rsidR="006B7AC6">
        <w:rPr>
          <w:rFonts w:cs="Arial"/>
        </w:rPr>
        <w:t xml:space="preserve"> </w:t>
      </w:r>
      <w:r w:rsidR="00F8246A">
        <w:rPr>
          <w:rFonts w:cs="Arial"/>
        </w:rPr>
        <w:t>There may then need to be further communication between AEMO and other service providers if the affected auction winners had a combinatorial bid in place, or this could be left to the auction winner to communicate to the relevant service providers.</w:t>
      </w:r>
    </w:p>
    <w:p w14:paraId="54C59EBE" w14:textId="77777777" w:rsidR="0085172E" w:rsidRDefault="00A96EB9" w:rsidP="00A96EB9">
      <w:pPr>
        <w:pStyle w:val="BodyText"/>
        <w:rPr>
          <w:rFonts w:cs="Arial"/>
        </w:rPr>
      </w:pPr>
      <w:r>
        <w:rPr>
          <w:rFonts w:cs="Arial"/>
        </w:rPr>
        <w:t xml:space="preserve">To minimise </w:t>
      </w:r>
      <w:r w:rsidR="00A940B8">
        <w:rPr>
          <w:rFonts w:cs="Arial"/>
        </w:rPr>
        <w:t xml:space="preserve">the </w:t>
      </w:r>
      <w:r>
        <w:rPr>
          <w:rFonts w:cs="Arial"/>
        </w:rPr>
        <w:t>costs</w:t>
      </w:r>
      <w:r w:rsidR="00A940B8">
        <w:rPr>
          <w:rFonts w:cs="Arial"/>
        </w:rPr>
        <w:t xml:space="preserve"> associated with these data exchanges</w:t>
      </w:r>
      <w:r>
        <w:rPr>
          <w:rFonts w:cs="Arial"/>
        </w:rPr>
        <w:t xml:space="preserve">, AEMO is proposing to utilise </w:t>
      </w:r>
      <w:r w:rsidR="00A940B8">
        <w:rPr>
          <w:rFonts w:cs="Arial"/>
        </w:rPr>
        <w:t>either</w:t>
      </w:r>
      <w:r w:rsidR="0085172E">
        <w:rPr>
          <w:rFonts w:cs="Arial"/>
        </w:rPr>
        <w:t>:</w:t>
      </w:r>
      <w:r w:rsidR="00A940B8">
        <w:rPr>
          <w:rFonts w:cs="Arial"/>
        </w:rPr>
        <w:t xml:space="preserve"> </w:t>
      </w:r>
    </w:p>
    <w:p w14:paraId="3CF65634" w14:textId="57D33E2F" w:rsidR="0085172E" w:rsidRDefault="00A96EB9" w:rsidP="0085172E">
      <w:pPr>
        <w:pStyle w:val="ListBullet"/>
      </w:pPr>
      <w:r>
        <w:t xml:space="preserve">the </w:t>
      </w:r>
      <w:r w:rsidRPr="008B1B73">
        <w:t>BB data exchange</w:t>
      </w:r>
      <w:r w:rsidR="0085172E">
        <w:t>;</w:t>
      </w:r>
      <w:r w:rsidR="0085172E">
        <w:rPr>
          <w:rStyle w:val="FootnoteReference"/>
        </w:rPr>
        <w:footnoteReference w:id="76"/>
      </w:r>
      <w:r>
        <w:t xml:space="preserve"> or </w:t>
      </w:r>
    </w:p>
    <w:p w14:paraId="0FA47335" w14:textId="403350F2" w:rsidR="00A96EB9" w:rsidRPr="008B1B73" w:rsidRDefault="00A96EB9" w:rsidP="0085172E">
      <w:pPr>
        <w:pStyle w:val="ListBullet"/>
      </w:pPr>
      <w:proofErr w:type="gramStart"/>
      <w:r>
        <w:t>the</w:t>
      </w:r>
      <w:proofErr w:type="gramEnd"/>
      <w:r>
        <w:t xml:space="preserve"> STTM </w:t>
      </w:r>
      <w:r w:rsidR="0085172E">
        <w:t xml:space="preserve">Web Exchange (SWEX) and SWEX </w:t>
      </w:r>
      <w:r>
        <w:t xml:space="preserve">Interface </w:t>
      </w:r>
      <w:r w:rsidR="0085172E">
        <w:t>Engine (SWEXIE)</w:t>
      </w:r>
      <w:r w:rsidRPr="008B1B73">
        <w:t>.</w:t>
      </w:r>
      <w:r w:rsidR="0085172E" w:rsidRPr="0085172E">
        <w:rPr>
          <w:rStyle w:val="FootnoteReference"/>
          <w:rFonts w:eastAsia="Cambria"/>
        </w:rPr>
        <w:t xml:space="preserve"> </w:t>
      </w:r>
      <w:r w:rsidR="0085172E" w:rsidRPr="008B1B73">
        <w:rPr>
          <w:rStyle w:val="FootnoteReference"/>
          <w:rFonts w:eastAsia="Cambria"/>
        </w:rPr>
        <w:footnoteReference w:id="77"/>
      </w:r>
      <w:r w:rsidRPr="008B1B73">
        <w:t xml:space="preserve"> </w:t>
      </w:r>
    </w:p>
    <w:p w14:paraId="6ECD0D6E" w14:textId="442371F2" w:rsidR="00A96EB9" w:rsidRDefault="00DF08E7" w:rsidP="00A96EB9">
      <w:pPr>
        <w:pStyle w:val="BodyText"/>
        <w:rPr>
          <w:rFonts w:cs="Arial"/>
        </w:rPr>
      </w:pPr>
      <w:r>
        <w:rPr>
          <w:rFonts w:cs="Arial"/>
        </w:rPr>
        <w:t xml:space="preserve">The GMRG understands that </w:t>
      </w:r>
      <w:r w:rsidR="00A96EB9" w:rsidRPr="008B1B73">
        <w:rPr>
          <w:rFonts w:cs="Arial"/>
        </w:rPr>
        <w:t xml:space="preserve">AEMO is </w:t>
      </w:r>
      <w:r w:rsidR="00A96EB9">
        <w:rPr>
          <w:rFonts w:cs="Arial"/>
        </w:rPr>
        <w:t xml:space="preserve">carrying out further work </w:t>
      </w:r>
      <w:r w:rsidR="00A96EB9" w:rsidRPr="008B1B73">
        <w:rPr>
          <w:rFonts w:cs="Arial"/>
        </w:rPr>
        <w:t>to understand the strengths, limitations and costs of the</w:t>
      </w:r>
      <w:r w:rsidR="00641DFE">
        <w:rPr>
          <w:rFonts w:cs="Arial"/>
        </w:rPr>
        <w:t>se</w:t>
      </w:r>
      <w:r w:rsidR="00A96EB9" w:rsidRPr="008B1B73">
        <w:rPr>
          <w:rFonts w:cs="Arial"/>
        </w:rPr>
        <w:t xml:space="preserve"> options</w:t>
      </w:r>
      <w:r w:rsidR="00A96EB9">
        <w:rPr>
          <w:rFonts w:cs="Arial"/>
        </w:rPr>
        <w:t xml:space="preserve">, </w:t>
      </w:r>
      <w:r w:rsidR="008B0055">
        <w:rPr>
          <w:rFonts w:cs="Arial"/>
        </w:rPr>
        <w:t xml:space="preserve">which will be informed by feedback on the </w:t>
      </w:r>
      <w:r w:rsidR="008B0055" w:rsidRPr="008B0055">
        <w:rPr>
          <w:rFonts w:cs="Arial"/>
          <w:i/>
        </w:rPr>
        <w:t>Standardisation Related Reforms and Capacity Trading Platform Consultation Paper</w:t>
      </w:r>
      <w:r w:rsidR="00A96EB9">
        <w:rPr>
          <w:rFonts w:cs="Arial"/>
        </w:rPr>
        <w:t xml:space="preserve">. </w:t>
      </w:r>
    </w:p>
    <w:p w14:paraId="74FDA92D" w14:textId="0B8B0DF7" w:rsidR="00514CB4" w:rsidRDefault="00514CB4" w:rsidP="00514CB4">
      <w:pPr>
        <w:pStyle w:val="BodyText"/>
      </w:pPr>
      <w:r>
        <w:t xml:space="preserve">The GMRG agrees with AEMO’s proposal to try and minimise the cost and time associated with implementing the day-ahead auction by utilising existing systems and a modified version of the SRA algorithm. The GMRG is interested though in whether stakeholders share this view, or if they think </w:t>
      </w:r>
      <w:r w:rsidR="00FB2196">
        <w:t>any aspects of the proposed platform or systems should be modified</w:t>
      </w:r>
      <w:r>
        <w:t>.</w:t>
      </w:r>
      <w:r w:rsidR="00DA008E">
        <w:t xml:space="preserve"> The GMRG is also interested in understanding whether service providers will need to put in place any new systems to calculate auction quantities and to deal with information transfers between itself and AEMO and, if so, how long this is likely to take.</w:t>
      </w:r>
      <w:r w:rsidR="001428D1">
        <w:t xml:space="preserve"> This information will inform the implementation plan that the GMRG is currently working on.</w:t>
      </w:r>
    </w:p>
    <w:tbl>
      <w:tblPr>
        <w:tblStyle w:val="PullOutBoxTable"/>
        <w:tblW w:w="5000" w:type="pct"/>
        <w:shd w:val="clear" w:color="auto" w:fill="B7E7FF"/>
        <w:tblLook w:val="0620" w:firstRow="1" w:lastRow="0" w:firstColumn="0" w:lastColumn="0" w:noHBand="1" w:noVBand="1"/>
        <w:tblCaption w:val="Box 6.1: Questions on auction platform and systems"/>
        <w:tblDescription w:val="Box 6.1: Questions on auction platform and systems"/>
      </w:tblPr>
      <w:tblGrid>
        <w:gridCol w:w="8788"/>
      </w:tblGrid>
      <w:tr w:rsidR="00514CB4" w:rsidRPr="00641DFE" w14:paraId="0FA4E3F0" w14:textId="77777777" w:rsidTr="003974E4">
        <w:trPr>
          <w:tblHeader/>
        </w:trPr>
        <w:tc>
          <w:tcPr>
            <w:tcW w:w="5000" w:type="pct"/>
            <w:shd w:val="clear" w:color="auto" w:fill="auto"/>
          </w:tcPr>
          <w:p w14:paraId="5445AA58" w14:textId="3AEA8216" w:rsidR="00DA008E" w:rsidRPr="00641DFE" w:rsidRDefault="008E1F54" w:rsidP="008E1F54">
            <w:pPr>
              <w:pStyle w:val="ListNumber"/>
              <w:numPr>
                <w:ilvl w:val="0"/>
                <w:numId w:val="0"/>
              </w:numPr>
              <w:spacing w:before="0" w:after="0"/>
              <w:ind w:left="360" w:hanging="360"/>
              <w:rPr>
                <w:sz w:val="21"/>
                <w:szCs w:val="21"/>
              </w:rPr>
            </w:pPr>
            <w:r w:rsidRPr="0057020B">
              <w:rPr>
                <w:rFonts w:eastAsiaTheme="minorHAnsi" w:cstheme="minorBidi"/>
                <w:b/>
                <w:bCs/>
                <w:lang w:eastAsia="fr-CA"/>
              </w:rPr>
              <w:t xml:space="preserve">Box </w:t>
            </w:r>
            <w:r>
              <w:rPr>
                <w:rFonts w:eastAsiaTheme="minorHAnsi" w:cstheme="minorBidi"/>
                <w:b/>
                <w:bCs/>
                <w:lang w:eastAsia="fr-CA"/>
              </w:rPr>
              <w:fldChar w:fldCharType="begin"/>
            </w:r>
            <w:r>
              <w:rPr>
                <w:rFonts w:eastAsiaTheme="minorHAnsi" w:cstheme="minorBidi"/>
                <w:b/>
                <w:bCs/>
                <w:lang w:eastAsia="fr-CA"/>
              </w:rPr>
              <w:instrText xml:space="preserve"> STYLEREF 1 \s </w:instrText>
            </w:r>
            <w:r>
              <w:rPr>
                <w:rFonts w:eastAsiaTheme="minorHAnsi" w:cstheme="minorBidi"/>
                <w:b/>
                <w:bCs/>
                <w:lang w:eastAsia="fr-CA"/>
              </w:rPr>
              <w:fldChar w:fldCharType="separate"/>
            </w:r>
            <w:r>
              <w:rPr>
                <w:rFonts w:eastAsiaTheme="minorHAnsi" w:cstheme="minorBidi"/>
                <w:b/>
                <w:bCs/>
                <w:noProof/>
                <w:lang w:eastAsia="fr-CA"/>
              </w:rPr>
              <w:t>6</w:t>
            </w:r>
            <w:r>
              <w:rPr>
                <w:rFonts w:eastAsiaTheme="minorHAnsi" w:cstheme="minorBidi"/>
                <w:b/>
                <w:bCs/>
                <w:lang w:eastAsia="fr-CA"/>
              </w:rPr>
              <w:fldChar w:fldCharType="end"/>
            </w:r>
            <w:r>
              <w:rPr>
                <w:rFonts w:eastAsiaTheme="minorHAnsi" w:cstheme="minorBidi"/>
                <w:b/>
                <w:bCs/>
                <w:lang w:eastAsia="fr-CA"/>
              </w:rPr>
              <w:t>.</w:t>
            </w:r>
            <w:r>
              <w:rPr>
                <w:rFonts w:eastAsiaTheme="minorHAnsi" w:cstheme="minorBidi"/>
                <w:b/>
                <w:bCs/>
                <w:lang w:eastAsia="fr-CA"/>
              </w:rPr>
              <w:fldChar w:fldCharType="begin"/>
            </w:r>
            <w:r>
              <w:rPr>
                <w:rFonts w:eastAsiaTheme="minorHAnsi" w:cstheme="minorBidi"/>
                <w:b/>
                <w:bCs/>
                <w:lang w:eastAsia="fr-CA"/>
              </w:rPr>
              <w:instrText xml:space="preserve"> SEQ Box \* ARABIC \s 1 </w:instrText>
            </w:r>
            <w:r>
              <w:rPr>
                <w:rFonts w:eastAsiaTheme="minorHAnsi" w:cstheme="minorBidi"/>
                <w:b/>
                <w:bCs/>
                <w:lang w:eastAsia="fr-CA"/>
              </w:rPr>
              <w:fldChar w:fldCharType="separate"/>
            </w:r>
            <w:r>
              <w:rPr>
                <w:rFonts w:eastAsiaTheme="minorHAnsi" w:cstheme="minorBidi"/>
                <w:b/>
                <w:bCs/>
                <w:noProof/>
                <w:lang w:eastAsia="fr-CA"/>
              </w:rPr>
              <w:t>1</w:t>
            </w:r>
            <w:r>
              <w:rPr>
                <w:rFonts w:eastAsiaTheme="minorHAnsi" w:cstheme="minorBidi"/>
                <w:b/>
                <w:bCs/>
                <w:lang w:eastAsia="fr-CA"/>
              </w:rPr>
              <w:fldChar w:fldCharType="end"/>
            </w:r>
            <w:r w:rsidRPr="0057020B">
              <w:rPr>
                <w:rFonts w:eastAsiaTheme="minorHAnsi" w:cstheme="minorBidi"/>
                <w:b/>
                <w:bCs/>
                <w:lang w:eastAsia="fr-CA"/>
              </w:rPr>
              <w:t xml:space="preserve">: </w:t>
            </w:r>
            <w:r w:rsidRPr="0057020B">
              <w:rPr>
                <w:rFonts w:eastAsiaTheme="minorHAnsi" w:cstheme="minorBidi"/>
                <w:b/>
                <w:lang w:eastAsia="fr-CA"/>
              </w:rPr>
              <w:t xml:space="preserve">Questions on </w:t>
            </w:r>
            <w:r>
              <w:rPr>
                <w:rFonts w:eastAsiaTheme="minorHAnsi" w:cstheme="minorBidi"/>
                <w:b/>
                <w:lang w:eastAsia="fr-CA"/>
              </w:rPr>
              <w:t>auction platform and systems</w:t>
            </w:r>
          </w:p>
        </w:tc>
      </w:tr>
      <w:tr w:rsidR="008E1F54" w:rsidRPr="00641DFE" w14:paraId="664662DC" w14:textId="77777777" w:rsidTr="003974E4">
        <w:tc>
          <w:tcPr>
            <w:tcW w:w="5000" w:type="pct"/>
            <w:shd w:val="clear" w:color="auto" w:fill="B7E7FF"/>
          </w:tcPr>
          <w:p w14:paraId="12F9BD71" w14:textId="77777777" w:rsidR="008E1F54" w:rsidRPr="00151C91" w:rsidRDefault="008E1F54" w:rsidP="008E1F54">
            <w:pPr>
              <w:pStyle w:val="ListNumber"/>
              <w:numPr>
                <w:ilvl w:val="0"/>
                <w:numId w:val="20"/>
              </w:numPr>
              <w:rPr>
                <w:sz w:val="21"/>
                <w:szCs w:val="21"/>
              </w:rPr>
            </w:pPr>
            <w:r w:rsidRPr="00151C91">
              <w:rPr>
                <w:sz w:val="21"/>
                <w:szCs w:val="21"/>
              </w:rPr>
              <w:t xml:space="preserve">Do you agree with AEMO’s proposal to use existing systems and a modified version of the SRA algorithm? </w:t>
            </w:r>
            <w:r>
              <w:rPr>
                <w:sz w:val="21"/>
                <w:szCs w:val="21"/>
              </w:rPr>
              <w:t>If not, please explain why</w:t>
            </w:r>
            <w:r w:rsidRPr="00151C91">
              <w:rPr>
                <w:sz w:val="21"/>
                <w:szCs w:val="21"/>
              </w:rPr>
              <w:t xml:space="preserve">. </w:t>
            </w:r>
          </w:p>
          <w:p w14:paraId="63EF16B1" w14:textId="11E54ED4" w:rsidR="008E1F54" w:rsidRPr="00151C91" w:rsidRDefault="008E1F54" w:rsidP="008E1F54">
            <w:pPr>
              <w:pStyle w:val="ListNumber"/>
              <w:numPr>
                <w:ilvl w:val="0"/>
                <w:numId w:val="20"/>
              </w:numPr>
              <w:rPr>
                <w:sz w:val="21"/>
                <w:szCs w:val="21"/>
              </w:rPr>
            </w:pPr>
            <w:r w:rsidRPr="00151C91">
              <w:rPr>
                <w:sz w:val="21"/>
                <w:szCs w:val="21"/>
              </w:rPr>
              <w:t>Will service providers need to put any new systems in to calculate auction quantities or to deal with information transfers between itself and AEMO? If so, how long do service providers think this is likely to take?</w:t>
            </w:r>
          </w:p>
        </w:tc>
      </w:tr>
    </w:tbl>
    <w:p w14:paraId="49BF8F3E" w14:textId="135FCE8C" w:rsidR="008A493E" w:rsidRPr="003E28ED" w:rsidRDefault="008A493E" w:rsidP="008A493E">
      <w:pPr>
        <w:pStyle w:val="Heading2"/>
      </w:pPr>
      <w:bookmarkStart w:id="136" w:name="_Toc495351653"/>
      <w:r w:rsidRPr="003E28ED">
        <w:t>Use of the Auction Platform</w:t>
      </w:r>
      <w:bookmarkEnd w:id="136"/>
    </w:p>
    <w:p w14:paraId="76DEBC79" w14:textId="0D6058BB" w:rsidR="002A2DED" w:rsidRDefault="008A493E" w:rsidP="008A493E">
      <w:pPr>
        <w:pStyle w:val="BodyText"/>
        <w:rPr>
          <w:rFonts w:cs="Arial"/>
        </w:rPr>
      </w:pPr>
      <w:r>
        <w:t xml:space="preserve">To utilise the day-ahead auction platform, </w:t>
      </w:r>
      <w:r w:rsidR="00FB2196">
        <w:t xml:space="preserve">auction participants </w:t>
      </w:r>
      <w:r>
        <w:t>will need to</w:t>
      </w:r>
      <w:r w:rsidR="00236C0A">
        <w:t xml:space="preserve"> enter into</w:t>
      </w:r>
      <w:r w:rsidR="00CD147E">
        <w:t xml:space="preserve"> a number of contractual arrangements, including </w:t>
      </w:r>
      <w:r w:rsidR="00236C0A">
        <w:t xml:space="preserve">an </w:t>
      </w:r>
      <w:r>
        <w:t xml:space="preserve">Auction </w:t>
      </w:r>
      <w:r w:rsidRPr="008B1B73">
        <w:t>Agreement</w:t>
      </w:r>
      <w:r w:rsidR="00236C0A">
        <w:t xml:space="preserve"> with AEMO</w:t>
      </w:r>
      <w:r w:rsidR="00FB2196">
        <w:t xml:space="preserve">, which will set out the terms of </w:t>
      </w:r>
      <w:r w:rsidR="00917A06">
        <w:t xml:space="preserve">participation </w:t>
      </w:r>
      <w:r w:rsidR="00FB2196">
        <w:t>in the auction, including the settlement and credit support arrangements</w:t>
      </w:r>
      <w:r w:rsidR="00CD147E">
        <w:t>.</w:t>
      </w:r>
      <w:r w:rsidR="002A2DED">
        <w:rPr>
          <w:rFonts w:cs="Arial"/>
        </w:rPr>
        <w:t xml:space="preserve"> </w:t>
      </w:r>
      <w:r w:rsidR="00FB2196">
        <w:rPr>
          <w:rFonts w:cs="Arial"/>
        </w:rPr>
        <w:t xml:space="preserve">Auction participants may </w:t>
      </w:r>
      <w:r>
        <w:rPr>
          <w:rFonts w:cs="Arial"/>
        </w:rPr>
        <w:t xml:space="preserve">also be required to pay a participation fee if the costs of conducting the auction are to be recovered directly from those that use the auction (see section </w:t>
      </w:r>
      <w:r w:rsidR="00B9364D">
        <w:rPr>
          <w:rFonts w:cs="Arial"/>
          <w:highlight w:val="yellow"/>
        </w:rPr>
        <w:fldChar w:fldCharType="begin"/>
      </w:r>
      <w:r w:rsidR="00B9364D">
        <w:rPr>
          <w:rFonts w:cs="Arial"/>
        </w:rPr>
        <w:instrText xml:space="preserve"> REF _Ref494715108 \r \h </w:instrText>
      </w:r>
      <w:r w:rsidR="00B9364D">
        <w:rPr>
          <w:rFonts w:cs="Arial"/>
          <w:highlight w:val="yellow"/>
        </w:rPr>
      </w:r>
      <w:r w:rsidR="00B9364D">
        <w:rPr>
          <w:rFonts w:cs="Arial"/>
          <w:highlight w:val="yellow"/>
        </w:rPr>
        <w:fldChar w:fldCharType="separate"/>
      </w:r>
      <w:r w:rsidR="00272B32">
        <w:rPr>
          <w:rFonts w:cs="Arial"/>
        </w:rPr>
        <w:t>6.2.4</w:t>
      </w:r>
      <w:r w:rsidR="00B9364D">
        <w:rPr>
          <w:rFonts w:cs="Arial"/>
          <w:highlight w:val="yellow"/>
        </w:rPr>
        <w:fldChar w:fldCharType="end"/>
      </w:r>
      <w:r>
        <w:rPr>
          <w:rFonts w:cs="Arial"/>
        </w:rPr>
        <w:t>).</w:t>
      </w:r>
      <w:r w:rsidR="006B7AC6">
        <w:rPr>
          <w:rFonts w:cs="Arial"/>
        </w:rPr>
        <w:t xml:space="preserve"> </w:t>
      </w:r>
    </w:p>
    <w:p w14:paraId="133E64ED" w14:textId="5FD7DA4E" w:rsidR="008A493E" w:rsidRDefault="00FB2196" w:rsidP="008A493E">
      <w:pPr>
        <w:pStyle w:val="BodyText"/>
        <w:rPr>
          <w:rFonts w:cs="Arial"/>
        </w:rPr>
      </w:pPr>
      <w:r>
        <w:rPr>
          <w:rFonts w:cs="Arial"/>
        </w:rPr>
        <w:t xml:space="preserve">Further detail on the </w:t>
      </w:r>
      <w:r w:rsidR="00236C0A">
        <w:rPr>
          <w:rFonts w:cs="Arial"/>
        </w:rPr>
        <w:t>A</w:t>
      </w:r>
      <w:r>
        <w:rPr>
          <w:rFonts w:cs="Arial"/>
        </w:rPr>
        <w:t xml:space="preserve">uction </w:t>
      </w:r>
      <w:r w:rsidR="00236C0A">
        <w:rPr>
          <w:rFonts w:cs="Arial"/>
        </w:rPr>
        <w:t>A</w:t>
      </w:r>
      <w:r>
        <w:rPr>
          <w:rFonts w:cs="Arial"/>
        </w:rPr>
        <w:t xml:space="preserve">greement, the settlement </w:t>
      </w:r>
      <w:r w:rsidR="007E7936">
        <w:rPr>
          <w:rFonts w:cs="Arial"/>
        </w:rPr>
        <w:t>and credit support requirements</w:t>
      </w:r>
      <w:r w:rsidR="00CD147E">
        <w:rPr>
          <w:rFonts w:cs="Arial"/>
        </w:rPr>
        <w:t>,</w:t>
      </w:r>
      <w:r w:rsidR="007E7936">
        <w:rPr>
          <w:rFonts w:cs="Arial"/>
        </w:rPr>
        <w:t xml:space="preserve"> participation fees </w:t>
      </w:r>
      <w:r w:rsidR="00CD147E">
        <w:rPr>
          <w:rFonts w:cs="Arial"/>
        </w:rPr>
        <w:t xml:space="preserve">and other contractual arrangements that auction participants will need to enter into </w:t>
      </w:r>
      <w:r w:rsidR="007E7936">
        <w:rPr>
          <w:rFonts w:cs="Arial"/>
        </w:rPr>
        <w:t>is provided below</w:t>
      </w:r>
      <w:r w:rsidR="008A493E">
        <w:rPr>
          <w:rFonts w:cs="Arial"/>
        </w:rPr>
        <w:t>.</w:t>
      </w:r>
    </w:p>
    <w:p w14:paraId="5BB28CEC" w14:textId="77777777" w:rsidR="008A493E" w:rsidRPr="00696FA5" w:rsidRDefault="008A493E" w:rsidP="008A493E">
      <w:pPr>
        <w:pStyle w:val="Heading3"/>
      </w:pPr>
      <w:r w:rsidRPr="00696FA5">
        <w:t xml:space="preserve">Auction Agreement </w:t>
      </w:r>
    </w:p>
    <w:p w14:paraId="19553B10" w14:textId="6B965F13" w:rsidR="00236C0A" w:rsidRDefault="00236C0A" w:rsidP="00236C0A">
      <w:pPr>
        <w:pStyle w:val="BodyText"/>
        <w:rPr>
          <w:lang w:eastAsia="fr-CA"/>
        </w:rPr>
      </w:pPr>
      <w:r>
        <w:rPr>
          <w:lang w:eastAsia="fr-CA"/>
        </w:rPr>
        <w:t>M</w:t>
      </w:r>
      <w:r w:rsidR="00514CB4">
        <w:rPr>
          <w:lang w:eastAsia="fr-CA"/>
        </w:rPr>
        <w:t>arket participants</w:t>
      </w:r>
      <w:r w:rsidR="00AE7D49">
        <w:rPr>
          <w:lang w:eastAsia="fr-CA"/>
        </w:rPr>
        <w:t xml:space="preserve"> that want to purchase capacity through the day-ahead auction would need to execute an Auction Agreement with AEMO. </w:t>
      </w:r>
      <w:r>
        <w:rPr>
          <w:lang w:eastAsia="fr-CA"/>
        </w:rPr>
        <w:t>The Auction Agreement is expected to</w:t>
      </w:r>
      <w:r w:rsidR="00696FA5">
        <w:rPr>
          <w:lang w:eastAsia="fr-CA"/>
        </w:rPr>
        <w:t>, amongst other things,</w:t>
      </w:r>
      <w:r>
        <w:rPr>
          <w:lang w:eastAsia="fr-CA"/>
        </w:rPr>
        <w:t xml:space="preserve"> set out: </w:t>
      </w:r>
    </w:p>
    <w:p w14:paraId="6AE43626" w14:textId="0F74A786" w:rsidR="00236C0A" w:rsidRPr="00696FA5" w:rsidRDefault="00696FA5" w:rsidP="00696FA5">
      <w:pPr>
        <w:pStyle w:val="ListBullet"/>
        <w:rPr>
          <w:i/>
        </w:rPr>
      </w:pPr>
      <w:r>
        <w:rPr>
          <w:lang w:eastAsia="fr-CA"/>
        </w:rPr>
        <w:t xml:space="preserve">the </w:t>
      </w:r>
      <w:r w:rsidR="00236C0A">
        <w:rPr>
          <w:lang w:eastAsia="fr-CA"/>
        </w:rPr>
        <w:t xml:space="preserve">arrangements for access to the auction platform </w:t>
      </w:r>
      <w:r>
        <w:rPr>
          <w:lang w:eastAsia="fr-CA"/>
        </w:rPr>
        <w:t xml:space="preserve">and </w:t>
      </w:r>
      <w:r w:rsidR="00236C0A">
        <w:rPr>
          <w:lang w:eastAsia="fr-CA"/>
        </w:rPr>
        <w:t>conditions for participation in auctions</w:t>
      </w:r>
      <w:r>
        <w:rPr>
          <w:lang w:eastAsia="fr-CA"/>
        </w:rPr>
        <w:t xml:space="preserve"> (this includes information on the requirement</w:t>
      </w:r>
      <w:r w:rsidR="00236C0A">
        <w:rPr>
          <w:lang w:eastAsia="fr-CA"/>
        </w:rPr>
        <w:t xml:space="preserve"> </w:t>
      </w:r>
      <w:r>
        <w:rPr>
          <w:lang w:eastAsia="fr-CA"/>
        </w:rPr>
        <w:t xml:space="preserve">shippers will have </w:t>
      </w:r>
      <w:r w:rsidR="00236C0A">
        <w:rPr>
          <w:lang w:eastAsia="fr-CA"/>
        </w:rPr>
        <w:t>to provide payment security</w:t>
      </w:r>
      <w:r>
        <w:rPr>
          <w:lang w:eastAsia="fr-CA"/>
        </w:rPr>
        <w:t xml:space="preserve"> and </w:t>
      </w:r>
      <w:r w:rsidR="00236C0A">
        <w:rPr>
          <w:lang w:eastAsia="fr-CA"/>
        </w:rPr>
        <w:t>when credit support can be called</w:t>
      </w:r>
      <w:r>
        <w:rPr>
          <w:lang w:eastAsia="fr-CA"/>
        </w:rPr>
        <w:t>)</w:t>
      </w:r>
      <w:r w:rsidR="00236C0A">
        <w:rPr>
          <w:lang w:eastAsia="fr-CA"/>
        </w:rPr>
        <w:t>;</w:t>
      </w:r>
    </w:p>
    <w:p w14:paraId="4FFE455E" w14:textId="77777777" w:rsidR="00236C0A" w:rsidRDefault="00236C0A" w:rsidP="00236C0A">
      <w:pPr>
        <w:pStyle w:val="ListBullet"/>
        <w:rPr>
          <w:lang w:eastAsia="fr-CA"/>
        </w:rPr>
      </w:pPr>
      <w:r>
        <w:rPr>
          <w:lang w:eastAsia="fr-CA"/>
        </w:rPr>
        <w:t xml:space="preserve">the shipper's agreement to be bound by and comply with the arrangements governing participation in auctions, the conduct of auctions and the results of auctions; </w:t>
      </w:r>
    </w:p>
    <w:p w14:paraId="68B800D6" w14:textId="639A67EA" w:rsidR="00236C0A" w:rsidRPr="00217757" w:rsidRDefault="00696FA5" w:rsidP="00236C0A">
      <w:pPr>
        <w:pStyle w:val="ListBullet"/>
        <w:rPr>
          <w:i/>
        </w:rPr>
      </w:pPr>
      <w:r>
        <w:rPr>
          <w:lang w:eastAsia="fr-CA"/>
        </w:rPr>
        <w:t xml:space="preserve">the </w:t>
      </w:r>
      <w:r w:rsidR="00236C0A">
        <w:rPr>
          <w:lang w:eastAsia="fr-CA"/>
        </w:rPr>
        <w:t>circumstances in which AEMO can suspend a shipper from participation in auctions and terminate the shipper's Auction Agreement, which are expected to be similar to those that apply in the GSH;</w:t>
      </w:r>
    </w:p>
    <w:p w14:paraId="383E48BD" w14:textId="4574ADFA" w:rsidR="00236C0A" w:rsidRPr="00696FA5" w:rsidRDefault="00696FA5" w:rsidP="00696FA5">
      <w:pPr>
        <w:pStyle w:val="ListBullet"/>
        <w:rPr>
          <w:i/>
        </w:rPr>
      </w:pPr>
      <w:r>
        <w:rPr>
          <w:lang w:eastAsia="fr-CA"/>
        </w:rPr>
        <w:t xml:space="preserve">the </w:t>
      </w:r>
      <w:r w:rsidR="00236C0A">
        <w:rPr>
          <w:lang w:eastAsia="fr-CA"/>
        </w:rPr>
        <w:t>paym</w:t>
      </w:r>
      <w:r>
        <w:rPr>
          <w:lang w:eastAsia="fr-CA"/>
        </w:rPr>
        <w:t xml:space="preserve">ent and settlement arrangements and other </w:t>
      </w:r>
      <w:r w:rsidR="00236C0A">
        <w:rPr>
          <w:lang w:eastAsia="fr-CA"/>
        </w:rPr>
        <w:t>contractual matters</w:t>
      </w:r>
      <w:r>
        <w:rPr>
          <w:lang w:eastAsia="fr-CA"/>
        </w:rPr>
        <w:t>,</w:t>
      </w:r>
      <w:r w:rsidR="00236C0A">
        <w:rPr>
          <w:lang w:eastAsia="fr-CA"/>
        </w:rPr>
        <w:t xml:space="preserve"> such as warranties and representations and limitations and exclusions of liability; and</w:t>
      </w:r>
    </w:p>
    <w:p w14:paraId="48794836" w14:textId="77777777" w:rsidR="00236C0A" w:rsidRPr="008149DD" w:rsidRDefault="00236C0A" w:rsidP="00236C0A">
      <w:pPr>
        <w:pStyle w:val="ListBullet"/>
        <w:rPr>
          <w:i/>
        </w:rPr>
      </w:pPr>
      <w:proofErr w:type="gramStart"/>
      <w:r>
        <w:rPr>
          <w:lang w:eastAsia="fr-CA"/>
        </w:rPr>
        <w:t>an</w:t>
      </w:r>
      <w:proofErr w:type="gramEnd"/>
      <w:r>
        <w:rPr>
          <w:lang w:eastAsia="fr-CA"/>
        </w:rPr>
        <w:t xml:space="preserve"> acknowledgement that AEMO's role is limited to conduct of the auction, the notification of auction results and settlement and that the shipper is responsible for ensuring it has the rights it needs to use the capacity purchased at auction.</w:t>
      </w:r>
    </w:p>
    <w:p w14:paraId="6FD41961" w14:textId="4C1230CD" w:rsidR="00236C0A" w:rsidRDefault="00236C0A" w:rsidP="00236C0A">
      <w:pPr>
        <w:pStyle w:val="BodyText"/>
        <w:rPr>
          <w:rFonts w:cs="Arial"/>
        </w:rPr>
      </w:pPr>
      <w:r>
        <w:rPr>
          <w:rFonts w:cs="Arial"/>
        </w:rPr>
        <w:t>A shipper would enter into one Auction Agreement covering its participation in auctions from time to time.</w:t>
      </w:r>
      <w:r w:rsidR="006B7AC6">
        <w:rPr>
          <w:rFonts w:cs="Arial"/>
        </w:rPr>
        <w:t xml:space="preserve"> </w:t>
      </w:r>
      <w:r>
        <w:rPr>
          <w:rFonts w:cs="Arial"/>
        </w:rPr>
        <w:t xml:space="preserve">A shipper could terminate its Auction Agreement by notice to AEMO, with termination taking effect once </w:t>
      </w:r>
      <w:r w:rsidR="00696FA5">
        <w:rPr>
          <w:rFonts w:cs="Arial"/>
        </w:rPr>
        <w:t xml:space="preserve">it </w:t>
      </w:r>
      <w:r>
        <w:rPr>
          <w:rFonts w:cs="Arial"/>
        </w:rPr>
        <w:t>has met all liabilities under the Auction Agreement.</w:t>
      </w:r>
      <w:r w:rsidR="00696FA5">
        <w:rPr>
          <w:rFonts w:cs="Arial"/>
        </w:rPr>
        <w:t xml:space="preserve"> Further detail on the Auction Agreement can be found in Chapter </w:t>
      </w:r>
      <w:r w:rsidR="00696FA5">
        <w:rPr>
          <w:rFonts w:cs="Arial"/>
        </w:rPr>
        <w:fldChar w:fldCharType="begin"/>
      </w:r>
      <w:r w:rsidR="00696FA5">
        <w:rPr>
          <w:rFonts w:cs="Arial"/>
        </w:rPr>
        <w:instrText xml:space="preserve"> REF _Ref494425370 \r \h </w:instrText>
      </w:r>
      <w:r w:rsidR="00696FA5">
        <w:rPr>
          <w:rFonts w:cs="Arial"/>
        </w:rPr>
      </w:r>
      <w:r w:rsidR="00696FA5">
        <w:rPr>
          <w:rFonts w:cs="Arial"/>
        </w:rPr>
        <w:fldChar w:fldCharType="separate"/>
      </w:r>
      <w:r w:rsidR="00272B32">
        <w:rPr>
          <w:rFonts w:cs="Arial"/>
        </w:rPr>
        <w:t>7</w:t>
      </w:r>
      <w:r w:rsidR="00696FA5">
        <w:rPr>
          <w:rFonts w:cs="Arial"/>
        </w:rPr>
        <w:fldChar w:fldCharType="end"/>
      </w:r>
      <w:r w:rsidR="00696FA5">
        <w:rPr>
          <w:rFonts w:cs="Arial"/>
        </w:rPr>
        <w:t>.</w:t>
      </w:r>
    </w:p>
    <w:p w14:paraId="1AE2FD74" w14:textId="7919D349" w:rsidR="008A493E" w:rsidRPr="003E28ED" w:rsidRDefault="008A493E" w:rsidP="008A493E">
      <w:pPr>
        <w:pStyle w:val="Heading3"/>
      </w:pPr>
      <w:r w:rsidRPr="003E28ED">
        <w:t>Settlement arrangements</w:t>
      </w:r>
    </w:p>
    <w:p w14:paraId="4DB38EBD" w14:textId="288B08FA" w:rsidR="00696FA5" w:rsidRDefault="00696FA5" w:rsidP="00696FA5">
      <w:pPr>
        <w:pStyle w:val="BodyText"/>
      </w:pPr>
      <w:r>
        <w:t>Capacity purchased through the day-ahead auction is expected to be settled centrally by AEMO.</w:t>
      </w:r>
      <w:r w:rsidR="006B7AC6">
        <w:t xml:space="preserve"> </w:t>
      </w:r>
      <w:r>
        <w:t xml:space="preserve">Settlement amounts would </w:t>
      </w:r>
      <w:r w:rsidR="00144CFC">
        <w:t>be calculated</w:t>
      </w:r>
      <w:r>
        <w:t xml:space="preserve"> and reported to auction participants and service providers on a daily basis and settled on a monthly basis.</w:t>
      </w:r>
    </w:p>
    <w:p w14:paraId="7C77C365" w14:textId="77777777" w:rsidR="00696FA5" w:rsidRDefault="00696FA5" w:rsidP="00696FA5">
      <w:pPr>
        <w:pStyle w:val="BodyText"/>
      </w:pPr>
      <w:r>
        <w:t>Under the proposed settlement framework, an auction participant’s settlement amount in relation to a day-ahead auction would be calculated as follows:</w:t>
      </w:r>
    </w:p>
    <w:p w14:paraId="198FF89F" w14:textId="77777777" w:rsidR="00696FA5" w:rsidRDefault="00696FA5" w:rsidP="00696FA5">
      <w:pPr>
        <w:pStyle w:val="ListBullet"/>
      </w:pPr>
      <w:r w:rsidRPr="009E3FEC">
        <w:t xml:space="preserve">the face value of </w:t>
      </w:r>
      <w:r>
        <w:t>the capacity purchased by the participant in the auction</w:t>
      </w:r>
      <w:r w:rsidRPr="009E3FEC">
        <w:t>;</w:t>
      </w:r>
      <w:r>
        <w:t xml:space="preserve"> </w:t>
      </w:r>
      <w:r w:rsidRPr="007E7936">
        <w:rPr>
          <w:i/>
        </w:rPr>
        <w:t>less</w:t>
      </w:r>
      <w:r>
        <w:t xml:space="preserve"> </w:t>
      </w:r>
    </w:p>
    <w:p w14:paraId="4341BA36" w14:textId="6AC0782E" w:rsidR="00696FA5" w:rsidRDefault="00696FA5" w:rsidP="00696FA5">
      <w:pPr>
        <w:pStyle w:val="ListBullet"/>
      </w:pPr>
      <w:proofErr w:type="gramStart"/>
      <w:r>
        <w:t>the</w:t>
      </w:r>
      <w:proofErr w:type="gramEnd"/>
      <w:r>
        <w:t xml:space="preserve"> value of any compensation that may be payable by AEMO to the auction participant if any of its auction capacity is curtailed (see section </w:t>
      </w:r>
      <w:r>
        <w:fldChar w:fldCharType="begin"/>
      </w:r>
      <w:r>
        <w:instrText xml:space="preserve"> REF _Ref494452070 \r \h </w:instrText>
      </w:r>
      <w:r>
        <w:fldChar w:fldCharType="separate"/>
      </w:r>
      <w:r w:rsidR="00272B32">
        <w:t>4.6</w:t>
      </w:r>
      <w:r>
        <w:fldChar w:fldCharType="end"/>
      </w:r>
      <w:r>
        <w:t>).</w:t>
      </w:r>
    </w:p>
    <w:p w14:paraId="2974C8CA" w14:textId="529CA0DB" w:rsidR="00696FA5" w:rsidRPr="009E3FEC" w:rsidRDefault="00696FA5" w:rsidP="0065529C">
      <w:pPr>
        <w:pStyle w:val="BodyText"/>
      </w:pPr>
      <w:r>
        <w:t>The settlement amount in any month will include the amounts for</w:t>
      </w:r>
      <w:r w:rsidR="0065529C">
        <w:t xml:space="preserve"> all auctions in the month plus </w:t>
      </w:r>
      <w:r>
        <w:rPr>
          <w:rStyle w:val="Bold"/>
          <w:b w:val="0"/>
        </w:rPr>
        <w:t>any</w:t>
      </w:r>
      <w:r w:rsidRPr="009E3FEC">
        <w:rPr>
          <w:rStyle w:val="Bold"/>
          <w:b w:val="0"/>
        </w:rPr>
        <w:t xml:space="preserve"> </w:t>
      </w:r>
      <w:r>
        <w:rPr>
          <w:rStyle w:val="Bold"/>
          <w:b w:val="0"/>
        </w:rPr>
        <w:t xml:space="preserve">participation </w:t>
      </w:r>
      <w:r w:rsidRPr="009E3FEC">
        <w:rPr>
          <w:rStyle w:val="Bold"/>
          <w:b w:val="0"/>
        </w:rPr>
        <w:t xml:space="preserve">fees </w:t>
      </w:r>
      <w:r w:rsidRPr="009E3FEC">
        <w:t xml:space="preserve">payable by the </w:t>
      </w:r>
      <w:r>
        <w:t>auction</w:t>
      </w:r>
      <w:r w:rsidRPr="009E3FEC">
        <w:t xml:space="preserve"> </w:t>
      </w:r>
      <w:r>
        <w:t>p</w:t>
      </w:r>
      <w:r w:rsidRPr="009E3FEC">
        <w:t>articipant</w:t>
      </w:r>
      <w:r>
        <w:t xml:space="preserve"> (see section </w:t>
      </w:r>
      <w:r>
        <w:fldChar w:fldCharType="begin"/>
      </w:r>
      <w:r>
        <w:instrText xml:space="preserve"> REF _Ref494715108 \r \h </w:instrText>
      </w:r>
      <w:r>
        <w:fldChar w:fldCharType="separate"/>
      </w:r>
      <w:r w:rsidR="00272B32">
        <w:t>6.2.4</w:t>
      </w:r>
      <w:r>
        <w:fldChar w:fldCharType="end"/>
      </w:r>
      <w:r>
        <w:t>)</w:t>
      </w:r>
      <w:r w:rsidR="0065529C">
        <w:t>.</w:t>
      </w:r>
    </w:p>
    <w:p w14:paraId="0047B757" w14:textId="00FF4832" w:rsidR="00696FA5" w:rsidRDefault="00696FA5" w:rsidP="00696FA5">
      <w:pPr>
        <w:pStyle w:val="BodyText"/>
      </w:pPr>
      <w:r>
        <w:t>Settlement for service providers will be separate from auction settlement and will be undertaken in accordance with provisions in the NGR.</w:t>
      </w:r>
      <w:r w:rsidR="006B7AC6">
        <w:t xml:space="preserve"> </w:t>
      </w:r>
      <w:r>
        <w:t>Settlement amounts would be calculated and reported daily and settled monthly.</w:t>
      </w:r>
      <w:r w:rsidR="006B7AC6">
        <w:t xml:space="preserve"> </w:t>
      </w:r>
      <w:r>
        <w:t>A service provider’s daily settlement amount would be calculated as:</w:t>
      </w:r>
    </w:p>
    <w:p w14:paraId="5A5142CB" w14:textId="77777777" w:rsidR="00696FA5" w:rsidRDefault="00696FA5" w:rsidP="00696FA5">
      <w:pPr>
        <w:pStyle w:val="ListBullet"/>
      </w:pPr>
      <w:r w:rsidRPr="009E3FEC">
        <w:t xml:space="preserve">the face value of </w:t>
      </w:r>
      <w:r>
        <w:t>the auction capacity purchased by auction participants in relation to the service provided by that service provider</w:t>
      </w:r>
      <w:r w:rsidRPr="009E3FEC">
        <w:t>;</w:t>
      </w:r>
      <w:r>
        <w:t xml:space="preserve"> </w:t>
      </w:r>
      <w:r w:rsidRPr="007E7936">
        <w:rPr>
          <w:i/>
        </w:rPr>
        <w:t>less</w:t>
      </w:r>
    </w:p>
    <w:p w14:paraId="7A7C5CCE" w14:textId="77777777" w:rsidR="00696FA5" w:rsidRPr="009E3FEC" w:rsidRDefault="00696FA5" w:rsidP="00696FA5">
      <w:pPr>
        <w:pStyle w:val="ListBullet"/>
      </w:pPr>
      <w:proofErr w:type="gramStart"/>
      <w:r>
        <w:t>the</w:t>
      </w:r>
      <w:proofErr w:type="gramEnd"/>
      <w:r>
        <w:t xml:space="preserve"> value of any compensation that may be payable by AEMO to auction participants if that auction capacity is curtailed on the day.</w:t>
      </w:r>
    </w:p>
    <w:p w14:paraId="10014B1E" w14:textId="10C7BDF5" w:rsidR="00696FA5" w:rsidRDefault="00696FA5" w:rsidP="00696FA5">
      <w:pPr>
        <w:pStyle w:val="BodyText"/>
      </w:pPr>
      <w:r>
        <w:t>While settlement amounts will be calculated on a daily basis, the billing cycle will be monthly</w:t>
      </w:r>
      <w:r w:rsidR="0065529C">
        <w:t xml:space="preserve"> as it currently is in the GSH</w:t>
      </w:r>
      <w:r>
        <w:t xml:space="preserve">. </w:t>
      </w:r>
      <w:r w:rsidRPr="008B1B73">
        <w:t xml:space="preserve">Final </w:t>
      </w:r>
      <w:r>
        <w:t>s</w:t>
      </w:r>
      <w:r w:rsidRPr="008B1B73">
        <w:t xml:space="preserve">ettlement </w:t>
      </w:r>
      <w:r>
        <w:t>s</w:t>
      </w:r>
      <w:r w:rsidRPr="008B1B73">
        <w:t xml:space="preserve">tatements </w:t>
      </w:r>
      <w:r>
        <w:t xml:space="preserve">will therefore be </w:t>
      </w:r>
      <w:r w:rsidRPr="008B1B73">
        <w:t xml:space="preserve">prepared and issued by AEMO to </w:t>
      </w:r>
      <w:r>
        <w:t xml:space="preserve">auction </w:t>
      </w:r>
      <w:r w:rsidRPr="008B1B73">
        <w:t xml:space="preserve">participants </w:t>
      </w:r>
      <w:r>
        <w:t xml:space="preserve">and service providers on a </w:t>
      </w:r>
      <w:r w:rsidRPr="008B1B73">
        <w:t>monthly</w:t>
      </w:r>
      <w:r>
        <w:t xml:space="preserve"> basis</w:t>
      </w:r>
      <w:r w:rsidRPr="008B1B73">
        <w:t xml:space="preserve">. </w:t>
      </w:r>
      <w:r>
        <w:t xml:space="preserve">Further detail on the proposed </w:t>
      </w:r>
      <w:r w:rsidRPr="008B1B73">
        <w:t xml:space="preserve">settlement process is </w:t>
      </w:r>
      <w:r>
        <w:t xml:space="preserve">provided </w:t>
      </w:r>
      <w:r w:rsidRPr="008B1B73">
        <w:t xml:space="preserve">in </w:t>
      </w:r>
      <w:r w:rsidRPr="00853064">
        <w:fldChar w:fldCharType="begin"/>
      </w:r>
      <w:r w:rsidRPr="00853064">
        <w:instrText xml:space="preserve"> REF _Ref491917612 \h  \* MERGEFORMAT </w:instrText>
      </w:r>
      <w:r w:rsidRPr="00853064">
        <w:fldChar w:fldCharType="separate"/>
      </w:r>
      <w:r w:rsidR="00272B32" w:rsidRPr="00272B32">
        <w:t xml:space="preserve">Table </w:t>
      </w:r>
      <w:r w:rsidR="00272B32" w:rsidRPr="00272B32">
        <w:rPr>
          <w:noProof/>
        </w:rPr>
        <w:t>6.1</w:t>
      </w:r>
      <w:r w:rsidRPr="00853064">
        <w:fldChar w:fldCharType="end"/>
      </w:r>
      <w:r w:rsidRPr="008B1B73">
        <w:t>.</w:t>
      </w:r>
    </w:p>
    <w:p w14:paraId="7ECC25CE" w14:textId="328C1253" w:rsidR="00E354D7" w:rsidRPr="008B1B73" w:rsidRDefault="00E354D7" w:rsidP="003E5EDD">
      <w:pPr>
        <w:pStyle w:val="BodyText"/>
        <w:keepNext/>
        <w:spacing w:after="0"/>
        <w:rPr>
          <w:rStyle w:val="Bold"/>
        </w:rPr>
      </w:pPr>
      <w:bookmarkStart w:id="137" w:name="_Ref491917612"/>
      <w:r w:rsidRPr="00446B58">
        <w:rPr>
          <w:b/>
        </w:rPr>
        <w:t xml:space="preserve">Table </w:t>
      </w:r>
      <w:r w:rsidR="009A057E">
        <w:rPr>
          <w:b/>
        </w:rPr>
        <w:fldChar w:fldCharType="begin"/>
      </w:r>
      <w:r w:rsidR="009A057E">
        <w:rPr>
          <w:b/>
        </w:rPr>
        <w:instrText xml:space="preserve"> STYLEREF 1 \s </w:instrText>
      </w:r>
      <w:r w:rsidR="009A057E">
        <w:rPr>
          <w:b/>
        </w:rPr>
        <w:fldChar w:fldCharType="separate"/>
      </w:r>
      <w:r w:rsidR="00272B32">
        <w:rPr>
          <w:b/>
          <w:noProof/>
        </w:rPr>
        <w:t>6</w:t>
      </w:r>
      <w:r w:rsidR="009A057E">
        <w:rPr>
          <w:b/>
        </w:rPr>
        <w:fldChar w:fldCharType="end"/>
      </w:r>
      <w:r w:rsidR="009A057E">
        <w:rPr>
          <w:b/>
        </w:rPr>
        <w:t>.</w:t>
      </w:r>
      <w:r w:rsidR="009A057E">
        <w:rPr>
          <w:b/>
        </w:rPr>
        <w:fldChar w:fldCharType="begin"/>
      </w:r>
      <w:r w:rsidR="009A057E">
        <w:rPr>
          <w:b/>
        </w:rPr>
        <w:instrText xml:space="preserve"> SEQ Table \* ARABIC \s 1 </w:instrText>
      </w:r>
      <w:r w:rsidR="009A057E">
        <w:rPr>
          <w:b/>
        </w:rPr>
        <w:fldChar w:fldCharType="separate"/>
      </w:r>
      <w:r w:rsidR="00272B32">
        <w:rPr>
          <w:b/>
          <w:noProof/>
        </w:rPr>
        <w:t>1</w:t>
      </w:r>
      <w:r w:rsidR="009A057E">
        <w:rPr>
          <w:b/>
        </w:rPr>
        <w:fldChar w:fldCharType="end"/>
      </w:r>
      <w:bookmarkEnd w:id="137"/>
      <w:r w:rsidRPr="00446B58">
        <w:rPr>
          <w:b/>
        </w:rPr>
        <w:t>:</w:t>
      </w:r>
      <w:r w:rsidRPr="008B1B73">
        <w:rPr>
          <w:rStyle w:val="Bold"/>
        </w:rPr>
        <w:t xml:space="preserve"> Settlement timeline</w:t>
      </w:r>
    </w:p>
    <w:tbl>
      <w:tblPr>
        <w:tblStyle w:val="TableGrid"/>
        <w:tblW w:w="4839" w:type="pct"/>
        <w:tblLook w:val="0420" w:firstRow="1" w:lastRow="0" w:firstColumn="0" w:lastColumn="0" w:noHBand="0" w:noVBand="1"/>
        <w:tblCaption w:val="Table 6.1: Settlement timeline"/>
        <w:tblDescription w:val="Settlement timeline"/>
      </w:tblPr>
      <w:tblGrid>
        <w:gridCol w:w="3827"/>
        <w:gridCol w:w="2929"/>
        <w:gridCol w:w="1749"/>
      </w:tblGrid>
      <w:tr w:rsidR="00E354D7" w:rsidRPr="008B1B73" w14:paraId="06322026" w14:textId="77777777" w:rsidTr="00E354D7">
        <w:trPr>
          <w:cnfStyle w:val="100000000000" w:firstRow="1" w:lastRow="0" w:firstColumn="0" w:lastColumn="0" w:oddVBand="0" w:evenVBand="0" w:oddHBand="0" w:evenHBand="0" w:firstRowFirstColumn="0" w:firstRowLastColumn="0" w:lastRowFirstColumn="0" w:lastRowLastColumn="0"/>
          <w:tblHeader/>
        </w:trPr>
        <w:tc>
          <w:tcPr>
            <w:tcW w:w="2250" w:type="pct"/>
            <w:shd w:val="clear" w:color="auto" w:fill="0099CC"/>
          </w:tcPr>
          <w:p w14:paraId="78D3579A" w14:textId="77777777" w:rsidR="00E354D7" w:rsidRPr="008B1B73" w:rsidRDefault="00E354D7" w:rsidP="003E5EDD">
            <w:pPr>
              <w:pStyle w:val="TableHeading"/>
              <w:keepNext/>
            </w:pPr>
            <w:r w:rsidRPr="008B1B73">
              <w:t>Process</w:t>
            </w:r>
          </w:p>
        </w:tc>
        <w:tc>
          <w:tcPr>
            <w:tcW w:w="1722" w:type="pct"/>
            <w:shd w:val="clear" w:color="auto" w:fill="0099CC"/>
          </w:tcPr>
          <w:p w14:paraId="5ED4B43E" w14:textId="77777777" w:rsidR="00E354D7" w:rsidRPr="008B1B73" w:rsidRDefault="00E354D7" w:rsidP="003E5EDD">
            <w:pPr>
              <w:pStyle w:val="TableHeading"/>
              <w:keepNext/>
            </w:pPr>
            <w:r w:rsidRPr="008B1B73">
              <w:t>When</w:t>
            </w:r>
          </w:p>
        </w:tc>
        <w:tc>
          <w:tcPr>
            <w:tcW w:w="1028" w:type="pct"/>
            <w:shd w:val="clear" w:color="auto" w:fill="0099CC"/>
          </w:tcPr>
          <w:p w14:paraId="21138DC2" w14:textId="77777777" w:rsidR="00E354D7" w:rsidRPr="008B1B73" w:rsidRDefault="00E354D7" w:rsidP="003E5EDD">
            <w:pPr>
              <w:pStyle w:val="TableHeading"/>
              <w:keepNext/>
            </w:pPr>
            <w:r w:rsidRPr="008B1B73">
              <w:t>Who</w:t>
            </w:r>
          </w:p>
        </w:tc>
      </w:tr>
      <w:tr w:rsidR="00E354D7" w:rsidRPr="008B1B73" w14:paraId="6C351C03" w14:textId="77777777" w:rsidTr="00E354D7">
        <w:tc>
          <w:tcPr>
            <w:tcW w:w="5000" w:type="pct"/>
            <w:gridSpan w:val="3"/>
          </w:tcPr>
          <w:p w14:paraId="4C080F05" w14:textId="77777777" w:rsidR="00E354D7" w:rsidRPr="008B1B73" w:rsidRDefault="00E354D7" w:rsidP="003E5EDD">
            <w:pPr>
              <w:pStyle w:val="TableBodyText"/>
              <w:keepNext/>
              <w:jc w:val="center"/>
              <w:rPr>
                <w:rStyle w:val="Bold"/>
              </w:rPr>
            </w:pPr>
            <w:r w:rsidRPr="008B1B73">
              <w:rPr>
                <w:rStyle w:val="Bold"/>
              </w:rPr>
              <w:t>Daily Settlement</w:t>
            </w:r>
          </w:p>
        </w:tc>
      </w:tr>
      <w:tr w:rsidR="002E6323" w:rsidRPr="008B1B73" w14:paraId="35CE1C8A" w14:textId="77777777" w:rsidTr="00E354D7">
        <w:trPr>
          <w:cnfStyle w:val="000000010000" w:firstRow="0" w:lastRow="0" w:firstColumn="0" w:lastColumn="0" w:oddVBand="0" w:evenVBand="0" w:oddHBand="0" w:evenHBand="1" w:firstRowFirstColumn="0" w:firstRowLastColumn="0" w:lastRowFirstColumn="0" w:lastRowLastColumn="0"/>
        </w:trPr>
        <w:tc>
          <w:tcPr>
            <w:tcW w:w="2250" w:type="pct"/>
          </w:tcPr>
          <w:p w14:paraId="4C80A031" w14:textId="6A1D2AF2" w:rsidR="002E6323" w:rsidRPr="008B1B73" w:rsidRDefault="0085172E" w:rsidP="003E5EDD">
            <w:pPr>
              <w:pStyle w:val="TableBodyText"/>
              <w:keepNext/>
            </w:pPr>
            <w:r>
              <w:t xml:space="preserve">Provide AEMO with information on whether any auction winner’s capacity has been curtailed </w:t>
            </w:r>
          </w:p>
        </w:tc>
        <w:tc>
          <w:tcPr>
            <w:tcW w:w="1722" w:type="pct"/>
          </w:tcPr>
          <w:p w14:paraId="7D8E5070" w14:textId="45A01650" w:rsidR="002E6323" w:rsidRPr="008B1B73" w:rsidRDefault="002E6323" w:rsidP="003E5EDD">
            <w:pPr>
              <w:pStyle w:val="TableBodyText"/>
              <w:keepNext/>
            </w:pPr>
            <w:r w:rsidRPr="008B1B73">
              <w:t xml:space="preserve">From end of </w:t>
            </w:r>
            <w:r w:rsidR="0085172E">
              <w:t xml:space="preserve">the </w:t>
            </w:r>
            <w:r w:rsidRPr="008B1B73">
              <w:t>gas day</w:t>
            </w:r>
          </w:p>
        </w:tc>
        <w:tc>
          <w:tcPr>
            <w:tcW w:w="1028" w:type="pct"/>
          </w:tcPr>
          <w:p w14:paraId="57B0D451" w14:textId="78F38CA1" w:rsidR="002E6323" w:rsidRPr="008B1B73" w:rsidRDefault="002E6323" w:rsidP="003E5EDD">
            <w:pPr>
              <w:pStyle w:val="TableBodyText"/>
              <w:keepNext/>
            </w:pPr>
            <w:r>
              <w:t>Service Providers</w:t>
            </w:r>
          </w:p>
        </w:tc>
      </w:tr>
      <w:tr w:rsidR="00E354D7" w:rsidRPr="008B1B73" w14:paraId="6665AE99" w14:textId="77777777" w:rsidTr="00E354D7">
        <w:tc>
          <w:tcPr>
            <w:tcW w:w="2250" w:type="pct"/>
          </w:tcPr>
          <w:p w14:paraId="07A032E8" w14:textId="77777777" w:rsidR="00E354D7" w:rsidRPr="008B1B73" w:rsidRDefault="00E354D7" w:rsidP="003E5EDD">
            <w:pPr>
              <w:pStyle w:val="TableBodyText"/>
              <w:keepNext/>
            </w:pPr>
            <w:r w:rsidRPr="008B1B73">
              <w:t>Prepare estimate of settlement amounts</w:t>
            </w:r>
          </w:p>
        </w:tc>
        <w:tc>
          <w:tcPr>
            <w:tcW w:w="1722" w:type="pct"/>
          </w:tcPr>
          <w:p w14:paraId="27CDA01C" w14:textId="77777777" w:rsidR="00E354D7" w:rsidRPr="008B1B73" w:rsidRDefault="00E354D7" w:rsidP="003E5EDD">
            <w:pPr>
              <w:pStyle w:val="TableBodyText"/>
              <w:keepNext/>
            </w:pPr>
            <w:r w:rsidRPr="008B1B73">
              <w:t>Each business day</w:t>
            </w:r>
          </w:p>
        </w:tc>
        <w:tc>
          <w:tcPr>
            <w:tcW w:w="1028" w:type="pct"/>
          </w:tcPr>
          <w:p w14:paraId="168423FF" w14:textId="77777777" w:rsidR="00E354D7" w:rsidRPr="008B1B73" w:rsidRDefault="00E354D7" w:rsidP="003E5EDD">
            <w:pPr>
              <w:pStyle w:val="TableBodyText"/>
              <w:keepNext/>
            </w:pPr>
            <w:r w:rsidRPr="008B1B73">
              <w:t>AEMO</w:t>
            </w:r>
          </w:p>
        </w:tc>
      </w:tr>
      <w:tr w:rsidR="00E354D7" w:rsidRPr="008B1B73" w14:paraId="3056F0CB" w14:textId="77777777" w:rsidTr="00E354D7">
        <w:trPr>
          <w:cnfStyle w:val="000000010000" w:firstRow="0" w:lastRow="0" w:firstColumn="0" w:lastColumn="0" w:oddVBand="0" w:evenVBand="0" w:oddHBand="0" w:evenHBand="1" w:firstRowFirstColumn="0" w:firstRowLastColumn="0" w:lastRowFirstColumn="0" w:lastRowLastColumn="0"/>
        </w:trPr>
        <w:tc>
          <w:tcPr>
            <w:tcW w:w="2250" w:type="pct"/>
          </w:tcPr>
          <w:p w14:paraId="65E80FED" w14:textId="1EC22FA4" w:rsidR="00E354D7" w:rsidRPr="008B1B73" w:rsidRDefault="00E354D7" w:rsidP="003E5EDD">
            <w:pPr>
              <w:pStyle w:val="TableBodyText"/>
              <w:keepNext/>
            </w:pPr>
            <w:r w:rsidRPr="008B1B73">
              <w:t xml:space="preserve">Report settlement amount and quantities to </w:t>
            </w:r>
            <w:r w:rsidR="002E6323">
              <w:t xml:space="preserve">auction </w:t>
            </w:r>
            <w:r w:rsidRPr="008B1B73">
              <w:t xml:space="preserve">participants </w:t>
            </w:r>
            <w:r w:rsidR="002E6323">
              <w:t xml:space="preserve">and service providers </w:t>
            </w:r>
            <w:r w:rsidRPr="008B1B73">
              <w:t>via market report</w:t>
            </w:r>
          </w:p>
        </w:tc>
        <w:tc>
          <w:tcPr>
            <w:tcW w:w="1722" w:type="pct"/>
          </w:tcPr>
          <w:p w14:paraId="12B7E9F7" w14:textId="77777777" w:rsidR="00E354D7" w:rsidRPr="008B1B73" w:rsidRDefault="00E354D7" w:rsidP="003E5EDD">
            <w:pPr>
              <w:pStyle w:val="TableBodyText"/>
              <w:keepNext/>
            </w:pPr>
            <w:r w:rsidRPr="008B1B73">
              <w:t>Each business day</w:t>
            </w:r>
          </w:p>
        </w:tc>
        <w:tc>
          <w:tcPr>
            <w:tcW w:w="1028" w:type="pct"/>
          </w:tcPr>
          <w:p w14:paraId="34976DAA" w14:textId="77777777" w:rsidR="00E354D7" w:rsidRPr="008B1B73" w:rsidRDefault="00E354D7" w:rsidP="003E5EDD">
            <w:pPr>
              <w:pStyle w:val="TableBodyText"/>
              <w:keepNext/>
            </w:pPr>
            <w:r w:rsidRPr="008B1B73">
              <w:t>AEMO</w:t>
            </w:r>
          </w:p>
        </w:tc>
      </w:tr>
      <w:tr w:rsidR="00E354D7" w:rsidRPr="008B1B73" w14:paraId="194F6FE2" w14:textId="77777777" w:rsidTr="00E354D7">
        <w:tc>
          <w:tcPr>
            <w:tcW w:w="5000" w:type="pct"/>
            <w:gridSpan w:val="3"/>
          </w:tcPr>
          <w:p w14:paraId="12607404" w14:textId="77777777" w:rsidR="00E354D7" w:rsidRPr="008B1B73" w:rsidRDefault="00E354D7" w:rsidP="003E5EDD">
            <w:pPr>
              <w:pStyle w:val="TableBodyText"/>
              <w:keepNext/>
              <w:jc w:val="center"/>
              <w:rPr>
                <w:rStyle w:val="Bold"/>
              </w:rPr>
            </w:pPr>
            <w:r w:rsidRPr="008B1B73">
              <w:rPr>
                <w:rStyle w:val="Bold"/>
              </w:rPr>
              <w:t>Monthly Settlement</w:t>
            </w:r>
          </w:p>
        </w:tc>
      </w:tr>
      <w:tr w:rsidR="00E354D7" w:rsidRPr="008B1B73" w14:paraId="48937BD6" w14:textId="77777777" w:rsidTr="00E354D7">
        <w:trPr>
          <w:cnfStyle w:val="000000010000" w:firstRow="0" w:lastRow="0" w:firstColumn="0" w:lastColumn="0" w:oddVBand="0" w:evenVBand="0" w:oddHBand="0" w:evenHBand="1" w:firstRowFirstColumn="0" w:firstRowLastColumn="0" w:lastRowFirstColumn="0" w:lastRowLastColumn="0"/>
        </w:trPr>
        <w:tc>
          <w:tcPr>
            <w:tcW w:w="2250" w:type="pct"/>
          </w:tcPr>
          <w:p w14:paraId="1783EDF2" w14:textId="1E467908" w:rsidR="00E354D7" w:rsidRPr="008B1B73" w:rsidRDefault="00E354D7" w:rsidP="003E5EDD">
            <w:pPr>
              <w:pStyle w:val="TableBodyText"/>
              <w:keepNext/>
            </w:pPr>
            <w:r w:rsidRPr="008B1B73">
              <w:t xml:space="preserve">Provide AEMO with </w:t>
            </w:r>
            <w:r w:rsidR="0085172E">
              <w:t xml:space="preserve">information on the extent to which any auction winner’s capacity has been curtailed </w:t>
            </w:r>
          </w:p>
        </w:tc>
        <w:tc>
          <w:tcPr>
            <w:tcW w:w="1722" w:type="pct"/>
          </w:tcPr>
          <w:p w14:paraId="3B4C2346" w14:textId="77777777" w:rsidR="00E354D7" w:rsidRPr="008B1B73" w:rsidRDefault="00E354D7" w:rsidP="003E5EDD">
            <w:pPr>
              <w:pStyle w:val="TableBodyText"/>
              <w:keepNext/>
            </w:pPr>
            <w:r w:rsidRPr="008B1B73">
              <w:t>By 9am on the 14</w:t>
            </w:r>
            <w:r w:rsidRPr="00853064">
              <w:rPr>
                <w:vertAlign w:val="superscript"/>
              </w:rPr>
              <w:t>th</w:t>
            </w:r>
            <w:r>
              <w:t xml:space="preserve"> </w:t>
            </w:r>
            <w:r w:rsidRPr="008B1B73">
              <w:t>business day after the end</w:t>
            </w:r>
            <w:r>
              <w:t xml:space="preserve"> </w:t>
            </w:r>
            <w:r w:rsidRPr="008B1B73">
              <w:t>of that billing period</w:t>
            </w:r>
          </w:p>
        </w:tc>
        <w:tc>
          <w:tcPr>
            <w:tcW w:w="1028" w:type="pct"/>
          </w:tcPr>
          <w:p w14:paraId="72F1FD68" w14:textId="020A4D1E" w:rsidR="00E354D7" w:rsidRPr="008B1B73" w:rsidRDefault="002E6323" w:rsidP="003E5EDD">
            <w:pPr>
              <w:pStyle w:val="TableBodyText"/>
              <w:keepNext/>
            </w:pPr>
            <w:r>
              <w:t>Service Providers</w:t>
            </w:r>
          </w:p>
        </w:tc>
      </w:tr>
      <w:tr w:rsidR="00E354D7" w:rsidRPr="008B1B73" w14:paraId="7B603A65" w14:textId="77777777" w:rsidTr="00E354D7">
        <w:tc>
          <w:tcPr>
            <w:tcW w:w="2250" w:type="pct"/>
          </w:tcPr>
          <w:p w14:paraId="504B7199" w14:textId="40E1AA51" w:rsidR="00E354D7" w:rsidRPr="008B1B73" w:rsidRDefault="00E354D7" w:rsidP="003E5EDD">
            <w:pPr>
              <w:pStyle w:val="TableBodyText"/>
              <w:keepNext/>
            </w:pPr>
            <w:r w:rsidRPr="008B1B73">
              <w:t xml:space="preserve">Issue </w:t>
            </w:r>
            <w:r w:rsidR="0085172E">
              <w:t>f</w:t>
            </w:r>
            <w:r w:rsidRPr="008B1B73">
              <w:t xml:space="preserve">inal </w:t>
            </w:r>
            <w:r w:rsidR="0085172E">
              <w:t>s</w:t>
            </w:r>
            <w:r w:rsidRPr="008B1B73">
              <w:t xml:space="preserve">ettlement </w:t>
            </w:r>
            <w:r w:rsidR="0085172E">
              <w:t>s</w:t>
            </w:r>
            <w:r w:rsidRPr="008B1B73">
              <w:t>tatement</w:t>
            </w:r>
          </w:p>
        </w:tc>
        <w:tc>
          <w:tcPr>
            <w:tcW w:w="1722" w:type="pct"/>
          </w:tcPr>
          <w:p w14:paraId="7951EB45" w14:textId="7504C018" w:rsidR="00E354D7" w:rsidRPr="008B1B73" w:rsidRDefault="00E354D7" w:rsidP="003E5EDD">
            <w:pPr>
              <w:pStyle w:val="TableBodyText"/>
              <w:keepNext/>
            </w:pPr>
            <w:r w:rsidRPr="008B1B73">
              <w:t xml:space="preserve">By the 15th business day after the end of the </w:t>
            </w:r>
            <w:r w:rsidR="0085172E">
              <w:t>b</w:t>
            </w:r>
            <w:r w:rsidRPr="008B1B73">
              <w:t xml:space="preserve">illing </w:t>
            </w:r>
            <w:r w:rsidR="0085172E">
              <w:t>p</w:t>
            </w:r>
            <w:r w:rsidRPr="008B1B73">
              <w:t>eriod</w:t>
            </w:r>
          </w:p>
        </w:tc>
        <w:tc>
          <w:tcPr>
            <w:tcW w:w="1028" w:type="pct"/>
          </w:tcPr>
          <w:p w14:paraId="56BBBD76" w14:textId="77777777" w:rsidR="00E354D7" w:rsidRPr="008B1B73" w:rsidRDefault="00E354D7" w:rsidP="003E5EDD">
            <w:pPr>
              <w:pStyle w:val="TableBodyText"/>
              <w:keepNext/>
            </w:pPr>
            <w:r w:rsidRPr="008B1B73">
              <w:t>AEMO</w:t>
            </w:r>
          </w:p>
        </w:tc>
      </w:tr>
      <w:tr w:rsidR="00E354D7" w:rsidRPr="008B1B73" w14:paraId="746B210D" w14:textId="77777777" w:rsidTr="00E354D7">
        <w:trPr>
          <w:cnfStyle w:val="000000010000" w:firstRow="0" w:lastRow="0" w:firstColumn="0" w:lastColumn="0" w:oddVBand="0" w:evenVBand="0" w:oddHBand="0" w:evenHBand="1" w:firstRowFirstColumn="0" w:firstRowLastColumn="0" w:lastRowFirstColumn="0" w:lastRowLastColumn="0"/>
        </w:trPr>
        <w:tc>
          <w:tcPr>
            <w:tcW w:w="2250" w:type="pct"/>
          </w:tcPr>
          <w:p w14:paraId="35AD2F6D" w14:textId="70318308" w:rsidR="00E354D7" w:rsidRPr="008B1B73" w:rsidRDefault="0085172E" w:rsidP="003E5EDD">
            <w:pPr>
              <w:pStyle w:val="TableBodyText"/>
              <w:keepNext/>
            </w:pPr>
            <w:r>
              <w:t>Auction p</w:t>
            </w:r>
            <w:r w:rsidR="002E6323">
              <w:t>articipants m</w:t>
            </w:r>
            <w:r w:rsidR="00E354D7" w:rsidRPr="008B1B73">
              <w:t>ake payment to AEMO</w:t>
            </w:r>
          </w:p>
        </w:tc>
        <w:tc>
          <w:tcPr>
            <w:tcW w:w="1722" w:type="pct"/>
          </w:tcPr>
          <w:p w14:paraId="50013074" w14:textId="5C6096B1" w:rsidR="00E354D7" w:rsidRPr="008B1B73" w:rsidRDefault="00E354D7" w:rsidP="003E5EDD">
            <w:pPr>
              <w:pStyle w:val="TableBodyText"/>
              <w:keepNext/>
            </w:pPr>
            <w:r w:rsidRPr="008B1B73">
              <w:t xml:space="preserve">By 12 noon on the 17th business day after the end of the </w:t>
            </w:r>
            <w:r w:rsidR="0085172E">
              <w:t>b</w:t>
            </w:r>
            <w:r w:rsidRPr="008B1B73">
              <w:t xml:space="preserve">illing </w:t>
            </w:r>
            <w:r w:rsidR="0085172E">
              <w:t>p</w:t>
            </w:r>
            <w:r w:rsidRPr="008B1B73">
              <w:t>eriod</w:t>
            </w:r>
          </w:p>
        </w:tc>
        <w:tc>
          <w:tcPr>
            <w:tcW w:w="1028" w:type="pct"/>
          </w:tcPr>
          <w:p w14:paraId="58ACB365" w14:textId="4895B05D" w:rsidR="00E354D7" w:rsidRPr="008B1B73" w:rsidRDefault="002E6323" w:rsidP="003E5EDD">
            <w:pPr>
              <w:pStyle w:val="TableBodyText"/>
              <w:keepNext/>
            </w:pPr>
            <w:r>
              <w:t>Auction</w:t>
            </w:r>
            <w:r w:rsidR="00E354D7">
              <w:t xml:space="preserve"> </w:t>
            </w:r>
            <w:r w:rsidR="00E354D7" w:rsidRPr="008B1B73">
              <w:t>Participants</w:t>
            </w:r>
          </w:p>
        </w:tc>
      </w:tr>
      <w:tr w:rsidR="00E354D7" w:rsidRPr="008B1B73" w14:paraId="62A9601D" w14:textId="77777777" w:rsidTr="00E354D7">
        <w:tc>
          <w:tcPr>
            <w:tcW w:w="2250" w:type="pct"/>
          </w:tcPr>
          <w:p w14:paraId="4CDFD720" w14:textId="2E271AC1" w:rsidR="00E354D7" w:rsidRPr="008B1B73" w:rsidRDefault="00E354D7" w:rsidP="003E5EDD">
            <w:pPr>
              <w:pStyle w:val="TableBodyText"/>
              <w:keepNext/>
            </w:pPr>
            <w:r w:rsidRPr="008B1B73">
              <w:t xml:space="preserve">AEMO makes payments to </w:t>
            </w:r>
            <w:r w:rsidR="0085172E">
              <w:t>s</w:t>
            </w:r>
            <w:r w:rsidR="002E6323">
              <w:t>ervice</w:t>
            </w:r>
            <w:r w:rsidRPr="008B1B73">
              <w:t xml:space="preserve"> </w:t>
            </w:r>
            <w:r w:rsidR="0085172E">
              <w:t>p</w:t>
            </w:r>
            <w:r w:rsidR="002E6323">
              <w:t>roviders</w:t>
            </w:r>
          </w:p>
        </w:tc>
        <w:tc>
          <w:tcPr>
            <w:tcW w:w="1722" w:type="pct"/>
          </w:tcPr>
          <w:p w14:paraId="424CB394" w14:textId="77777777" w:rsidR="00E354D7" w:rsidRPr="008B1B73" w:rsidRDefault="00E354D7" w:rsidP="003E5EDD">
            <w:pPr>
              <w:pStyle w:val="TableBodyText"/>
              <w:keepNext/>
            </w:pPr>
            <w:r w:rsidRPr="008B1B73">
              <w:t>By 2pm on the same day</w:t>
            </w:r>
          </w:p>
        </w:tc>
        <w:tc>
          <w:tcPr>
            <w:tcW w:w="1028" w:type="pct"/>
          </w:tcPr>
          <w:p w14:paraId="1391FD26" w14:textId="77777777" w:rsidR="00E354D7" w:rsidRPr="008B1B73" w:rsidRDefault="00E354D7" w:rsidP="003E5EDD">
            <w:pPr>
              <w:pStyle w:val="TableBodyText"/>
              <w:keepNext/>
            </w:pPr>
            <w:r w:rsidRPr="008B1B73">
              <w:t>AEMO</w:t>
            </w:r>
          </w:p>
        </w:tc>
      </w:tr>
    </w:tbl>
    <w:p w14:paraId="02FF0E63" w14:textId="4E214F89" w:rsidR="00696FA5" w:rsidRDefault="00696FA5" w:rsidP="00696FA5">
      <w:pPr>
        <w:pStyle w:val="BodyText"/>
      </w:pPr>
      <w:bookmarkStart w:id="138" w:name="_Ref494191364"/>
      <w:bookmarkStart w:id="139" w:name="_Hlk494458200"/>
      <w:r>
        <w:t xml:space="preserve">The GMRG understands that AEMO is </w:t>
      </w:r>
      <w:r w:rsidR="00F8246A">
        <w:t>considering whether</w:t>
      </w:r>
      <w:r>
        <w:t xml:space="preserve"> to combine the settlement process and settlement amounts for auction purchases and the GSH and to issue one settlement statement to participants.</w:t>
      </w:r>
      <w:r>
        <w:rPr>
          <w:rStyle w:val="FootnoteReference"/>
        </w:rPr>
        <w:footnoteReference w:id="78"/>
      </w:r>
      <w:r w:rsidR="006B7AC6">
        <w:t xml:space="preserve"> </w:t>
      </w:r>
      <w:r>
        <w:t>The GMRG thinks there is merit in this proposal, subject to checking the impact on the legal framework for the GSH. The GMRG is interested though in whether stakeholders share this view.</w:t>
      </w:r>
    </w:p>
    <w:tbl>
      <w:tblPr>
        <w:tblStyle w:val="PullOutBoxTable"/>
        <w:tblW w:w="5000" w:type="pct"/>
        <w:shd w:val="clear" w:color="auto" w:fill="B7E7FF"/>
        <w:tblLook w:val="0620" w:firstRow="1" w:lastRow="0" w:firstColumn="0" w:lastColumn="0" w:noHBand="1" w:noVBand="1"/>
        <w:tblCaption w:val="Box 6.2: Questions on settlement arrangements"/>
        <w:tblDescription w:val="Questions on settlement arrangements"/>
      </w:tblPr>
      <w:tblGrid>
        <w:gridCol w:w="8788"/>
      </w:tblGrid>
      <w:tr w:rsidR="008E1F54" w:rsidRPr="00696FA5" w14:paraId="68A7524A" w14:textId="77777777" w:rsidTr="003E48D8">
        <w:trPr>
          <w:tblHeader/>
        </w:trPr>
        <w:tc>
          <w:tcPr>
            <w:tcW w:w="5000" w:type="pct"/>
            <w:shd w:val="clear" w:color="auto" w:fill="auto"/>
          </w:tcPr>
          <w:p w14:paraId="012E4F5D" w14:textId="0E30E592" w:rsidR="008E1F54" w:rsidRPr="00696FA5" w:rsidRDefault="003E48D8" w:rsidP="003E48D8">
            <w:pPr>
              <w:pStyle w:val="ListNumber"/>
              <w:numPr>
                <w:ilvl w:val="0"/>
                <w:numId w:val="0"/>
              </w:numPr>
              <w:spacing w:after="0"/>
              <w:ind w:left="357" w:hanging="357"/>
              <w:rPr>
                <w:sz w:val="21"/>
                <w:szCs w:val="21"/>
              </w:rPr>
            </w:pPr>
            <w:r w:rsidRPr="0057020B">
              <w:rPr>
                <w:rFonts w:eastAsiaTheme="minorHAnsi" w:cstheme="minorBidi"/>
                <w:b/>
                <w:bCs/>
                <w:lang w:eastAsia="fr-CA"/>
              </w:rPr>
              <w:t xml:space="preserve">Box </w:t>
            </w:r>
            <w:r>
              <w:rPr>
                <w:rFonts w:eastAsiaTheme="minorHAnsi" w:cstheme="minorBidi"/>
                <w:b/>
                <w:bCs/>
                <w:lang w:eastAsia="fr-CA"/>
              </w:rPr>
              <w:fldChar w:fldCharType="begin"/>
            </w:r>
            <w:r>
              <w:rPr>
                <w:rFonts w:eastAsiaTheme="minorHAnsi" w:cstheme="minorBidi"/>
                <w:b/>
                <w:bCs/>
                <w:lang w:eastAsia="fr-CA"/>
              </w:rPr>
              <w:instrText xml:space="preserve"> STYLEREF 1 \s </w:instrText>
            </w:r>
            <w:r>
              <w:rPr>
                <w:rFonts w:eastAsiaTheme="minorHAnsi" w:cstheme="minorBidi"/>
                <w:b/>
                <w:bCs/>
                <w:lang w:eastAsia="fr-CA"/>
              </w:rPr>
              <w:fldChar w:fldCharType="separate"/>
            </w:r>
            <w:r>
              <w:rPr>
                <w:rFonts w:eastAsiaTheme="minorHAnsi" w:cstheme="minorBidi"/>
                <w:b/>
                <w:bCs/>
                <w:noProof/>
                <w:lang w:eastAsia="fr-CA"/>
              </w:rPr>
              <w:t>6</w:t>
            </w:r>
            <w:r>
              <w:rPr>
                <w:rFonts w:eastAsiaTheme="minorHAnsi" w:cstheme="minorBidi"/>
                <w:b/>
                <w:bCs/>
                <w:lang w:eastAsia="fr-CA"/>
              </w:rPr>
              <w:fldChar w:fldCharType="end"/>
            </w:r>
            <w:r>
              <w:rPr>
                <w:rFonts w:eastAsiaTheme="minorHAnsi" w:cstheme="minorBidi"/>
                <w:b/>
                <w:bCs/>
                <w:lang w:eastAsia="fr-CA"/>
              </w:rPr>
              <w:t>.</w:t>
            </w:r>
            <w:r>
              <w:rPr>
                <w:rFonts w:eastAsiaTheme="minorHAnsi" w:cstheme="minorBidi"/>
                <w:b/>
                <w:bCs/>
                <w:lang w:eastAsia="fr-CA"/>
              </w:rPr>
              <w:fldChar w:fldCharType="begin"/>
            </w:r>
            <w:r>
              <w:rPr>
                <w:rFonts w:eastAsiaTheme="minorHAnsi" w:cstheme="minorBidi"/>
                <w:b/>
                <w:bCs/>
                <w:lang w:eastAsia="fr-CA"/>
              </w:rPr>
              <w:instrText xml:space="preserve"> SEQ Box \* ARABIC \s 1 </w:instrText>
            </w:r>
            <w:r>
              <w:rPr>
                <w:rFonts w:eastAsiaTheme="minorHAnsi" w:cstheme="minorBidi"/>
                <w:b/>
                <w:bCs/>
                <w:lang w:eastAsia="fr-CA"/>
              </w:rPr>
              <w:fldChar w:fldCharType="separate"/>
            </w:r>
            <w:r>
              <w:rPr>
                <w:rFonts w:eastAsiaTheme="minorHAnsi" w:cstheme="minorBidi"/>
                <w:b/>
                <w:bCs/>
                <w:noProof/>
                <w:lang w:eastAsia="fr-CA"/>
              </w:rPr>
              <w:t>2</w:t>
            </w:r>
            <w:r>
              <w:rPr>
                <w:rFonts w:eastAsiaTheme="minorHAnsi" w:cstheme="minorBidi"/>
                <w:b/>
                <w:bCs/>
                <w:lang w:eastAsia="fr-CA"/>
              </w:rPr>
              <w:fldChar w:fldCharType="end"/>
            </w:r>
            <w:r w:rsidRPr="0057020B">
              <w:rPr>
                <w:rFonts w:eastAsiaTheme="minorHAnsi" w:cstheme="minorBidi"/>
                <w:b/>
                <w:bCs/>
                <w:lang w:eastAsia="fr-CA"/>
              </w:rPr>
              <w:t xml:space="preserve">: </w:t>
            </w:r>
            <w:r w:rsidRPr="0057020B">
              <w:rPr>
                <w:rFonts w:eastAsiaTheme="minorHAnsi" w:cstheme="minorBidi"/>
                <w:b/>
                <w:lang w:eastAsia="fr-CA"/>
              </w:rPr>
              <w:t xml:space="preserve">Questions on </w:t>
            </w:r>
            <w:r>
              <w:rPr>
                <w:rFonts w:eastAsiaTheme="minorHAnsi" w:cstheme="minorBidi"/>
                <w:b/>
                <w:lang w:eastAsia="fr-CA"/>
              </w:rPr>
              <w:t>settlement arrangements</w:t>
            </w:r>
          </w:p>
        </w:tc>
      </w:tr>
      <w:tr w:rsidR="003E48D8" w:rsidRPr="00696FA5" w14:paraId="2F922D33" w14:textId="77777777" w:rsidTr="003974E4">
        <w:tc>
          <w:tcPr>
            <w:tcW w:w="5000" w:type="pct"/>
            <w:shd w:val="clear" w:color="auto" w:fill="B7E7FF"/>
          </w:tcPr>
          <w:p w14:paraId="05C69D6E" w14:textId="32E3A861" w:rsidR="003E48D8" w:rsidRPr="00696FA5" w:rsidRDefault="003E48D8" w:rsidP="003E48D8">
            <w:pPr>
              <w:pStyle w:val="ListNumber"/>
              <w:numPr>
                <w:ilvl w:val="0"/>
                <w:numId w:val="20"/>
              </w:numPr>
              <w:spacing w:before="0"/>
              <w:rPr>
                <w:sz w:val="21"/>
                <w:szCs w:val="21"/>
              </w:rPr>
            </w:pPr>
            <w:r w:rsidRPr="00696FA5">
              <w:rPr>
                <w:sz w:val="21"/>
                <w:szCs w:val="21"/>
              </w:rPr>
              <w:t>Do you agree with AEMO’s proposal to combine the settlement amounts for the GSH and day-ahead auctions? If not, please explain why.</w:t>
            </w:r>
          </w:p>
        </w:tc>
      </w:tr>
    </w:tbl>
    <w:p w14:paraId="2D1AB719" w14:textId="77777777" w:rsidR="00696FA5" w:rsidRPr="00696FA5" w:rsidRDefault="00696FA5" w:rsidP="00696FA5">
      <w:pPr>
        <w:pStyle w:val="Heading3"/>
      </w:pPr>
      <w:r w:rsidRPr="00696FA5">
        <w:t>Credit risk management</w:t>
      </w:r>
    </w:p>
    <w:p w14:paraId="74EEF9D8" w14:textId="4AC48304" w:rsidR="00696FA5" w:rsidRDefault="00696FA5" w:rsidP="00696FA5">
      <w:pPr>
        <w:pStyle w:val="BodyText"/>
      </w:pPr>
      <w:r>
        <w:t>This section considers the arrangements for managing the risk that a shipper fails to pay an amount owed to AEMO in settlement.</w:t>
      </w:r>
      <w:r w:rsidR="006B7AC6">
        <w:t xml:space="preserve"> </w:t>
      </w:r>
      <w:r>
        <w:t>These amounts are principally payment for capacity bought at auction (net of any compensation for curtailment) and participant fees.</w:t>
      </w:r>
      <w:r w:rsidR="006B7AC6">
        <w:t xml:space="preserve"> </w:t>
      </w:r>
      <w:r>
        <w:t xml:space="preserve">Credit risk in relation to amounts owed under operational GTAs will be dealt with through the operational GTA and is considered in Chapter 3 of the </w:t>
      </w:r>
      <w:r w:rsidRPr="00696FA5">
        <w:rPr>
          <w:i/>
        </w:rPr>
        <w:t>Standardisation Related Reforms and the Capacity Trading Platform Consultation Paper</w:t>
      </w:r>
      <w:r>
        <w:t xml:space="preserve">. </w:t>
      </w:r>
    </w:p>
    <w:p w14:paraId="0EF3C36A" w14:textId="5FAE7A1A" w:rsidR="00696FA5" w:rsidRDefault="00696FA5" w:rsidP="00696FA5">
      <w:pPr>
        <w:pStyle w:val="BodyText"/>
      </w:pPr>
      <w:r>
        <w:t>The GMRG's preliminary views are that:</w:t>
      </w:r>
    </w:p>
    <w:p w14:paraId="389C7B5F" w14:textId="77777777" w:rsidR="00696FA5" w:rsidRDefault="00696FA5" w:rsidP="00696FA5">
      <w:pPr>
        <w:pStyle w:val="ListBullet"/>
      </w:pPr>
      <w:r>
        <w:t>credit risk should be managed through the provision of payment security by shippers participating in auctions;</w:t>
      </w:r>
    </w:p>
    <w:p w14:paraId="6635B863" w14:textId="327AC3E5" w:rsidR="00696FA5" w:rsidRDefault="00696FA5" w:rsidP="00696FA5">
      <w:pPr>
        <w:pStyle w:val="ListBullet"/>
      </w:pPr>
      <w:r>
        <w:t xml:space="preserve">permitted forms of </w:t>
      </w:r>
      <w:r w:rsidR="00917A06">
        <w:t>payment security</w:t>
      </w:r>
      <w:r>
        <w:t xml:space="preserve"> </w:t>
      </w:r>
      <w:r w:rsidR="00E3255D">
        <w:t xml:space="preserve">should include </w:t>
      </w:r>
      <w:r>
        <w:t>cash deposits by way of prepayment or bank guarantees only;</w:t>
      </w:r>
    </w:p>
    <w:p w14:paraId="35EF95BE" w14:textId="2B012BD3" w:rsidR="00696FA5" w:rsidRDefault="00696FA5" w:rsidP="00696FA5">
      <w:pPr>
        <w:pStyle w:val="ListBullet"/>
      </w:pPr>
      <w:r>
        <w:t xml:space="preserve">a minimum level of </w:t>
      </w:r>
      <w:r w:rsidR="00917A06">
        <w:t xml:space="preserve">payment security </w:t>
      </w:r>
      <w:r>
        <w:t>must be maintained at all times to cover participant fees;</w:t>
      </w:r>
    </w:p>
    <w:p w14:paraId="43506374" w14:textId="77777777" w:rsidR="00696FA5" w:rsidRDefault="00696FA5" w:rsidP="00696FA5">
      <w:pPr>
        <w:pStyle w:val="ListBullet"/>
      </w:pPr>
      <w:r>
        <w:t>each shipper will determine how much additional payment security it will provide from time to time;</w:t>
      </w:r>
    </w:p>
    <w:p w14:paraId="7E043347" w14:textId="2AF34AE4" w:rsidR="00696FA5" w:rsidRDefault="00696FA5" w:rsidP="00696FA5">
      <w:pPr>
        <w:pStyle w:val="ListBullet"/>
      </w:pPr>
      <w:r>
        <w:t xml:space="preserve">AEMO will determine each auction participant's trading limit as the difference between its current payment security (above the minimum) and its current </w:t>
      </w:r>
      <w:proofErr w:type="spellStart"/>
      <w:r>
        <w:t>outstandings</w:t>
      </w:r>
      <w:proofErr w:type="spellEnd"/>
      <w:r>
        <w:t xml:space="preserve"> (amounts invoiced but unpaid and amounts it will be required to pay for past auctions but not yet invoiced); and</w:t>
      </w:r>
    </w:p>
    <w:p w14:paraId="02301858" w14:textId="77777777" w:rsidR="00696FA5" w:rsidRDefault="00696FA5" w:rsidP="00696FA5">
      <w:pPr>
        <w:pStyle w:val="ListBullet"/>
      </w:pPr>
      <w:proofErr w:type="gramStart"/>
      <w:r>
        <w:t>in</w:t>
      </w:r>
      <w:proofErr w:type="gramEnd"/>
      <w:r>
        <w:t xml:space="preserve"> any auction, the shipper will only be permitted to bid up to its current trading limit.</w:t>
      </w:r>
    </w:p>
    <w:p w14:paraId="6A2E530E" w14:textId="21EEE67C" w:rsidR="00696FA5" w:rsidRDefault="00696FA5" w:rsidP="00696FA5">
      <w:pPr>
        <w:pStyle w:val="BodyText"/>
      </w:pPr>
      <w:r>
        <w:t>These arrangements are intended to minimise credit risk to the extent feasible and consistent with the approach taken in other markets operated by AEMO</w:t>
      </w:r>
      <w:r w:rsidR="00E3255D">
        <w:t>, including</w:t>
      </w:r>
      <w:r>
        <w:t xml:space="preserve"> the GSH.</w:t>
      </w:r>
      <w:r w:rsidR="006B7AC6">
        <w:t xml:space="preserve"> </w:t>
      </w:r>
      <w:r>
        <w:t>However, there remains a residual credit risk; that is, the risk that payment security for some reason fails and there is a shortfall between the amount that AEMO receives from a shipper and the amount the shipper owes.</w:t>
      </w:r>
      <w:r w:rsidR="00E3255D">
        <w:t xml:space="preserve"> </w:t>
      </w:r>
      <w:r>
        <w:t>AEMO has no financial capacity to accept this residual credit risk.</w:t>
      </w:r>
      <w:r w:rsidR="006B7AC6">
        <w:t xml:space="preserve"> </w:t>
      </w:r>
      <w:r>
        <w:t xml:space="preserve">The GMRG's preliminary view is </w:t>
      </w:r>
      <w:r w:rsidR="00E3255D">
        <w:t xml:space="preserve">therefore </w:t>
      </w:r>
      <w:r>
        <w:t>that this risk will be allocated to service providers, by limiting the maximum amount that AEMO is required to pay to service providers to the amount AEMO receives from shippers in settlement, less auction participation fees.</w:t>
      </w:r>
    </w:p>
    <w:p w14:paraId="0E3532DF" w14:textId="4932D9EB" w:rsidR="00696FA5" w:rsidRDefault="00696FA5" w:rsidP="00696FA5">
      <w:pPr>
        <w:pStyle w:val="BodyText"/>
      </w:pPr>
      <w:r>
        <w:t>AEMO has proposed that credit support arrangements for day-ahead auctions and the GSH could be managed as a single process</w:t>
      </w:r>
      <w:r w:rsidR="00E3255D">
        <w:t xml:space="preserve">. This would enable </w:t>
      </w:r>
      <w:r>
        <w:t xml:space="preserve">a single prepayment or third party payment guarantee </w:t>
      </w:r>
      <w:r w:rsidR="00E3255D">
        <w:t xml:space="preserve">to </w:t>
      </w:r>
      <w:r>
        <w:t>be provided for both markets and amounts owed to the participant in one market could be set off against amounts owed by the participant in the other, to reduce the amount of credit support required.</w:t>
      </w:r>
      <w:r w:rsidR="006B7AC6">
        <w:t xml:space="preserve"> </w:t>
      </w:r>
    </w:p>
    <w:p w14:paraId="29ED43B2" w14:textId="2EC10260" w:rsidR="00696FA5" w:rsidRDefault="00696FA5" w:rsidP="00201CBA">
      <w:pPr>
        <w:pStyle w:val="BodyText"/>
        <w:spacing w:after="60"/>
      </w:pPr>
      <w:r>
        <w:t>The GMRG recognises a single settlement and credit support process across both markets will be more convenient for shippers and will reduce costs for some shippers.</w:t>
      </w:r>
      <w:r w:rsidR="006B7AC6">
        <w:t xml:space="preserve"> </w:t>
      </w:r>
      <w:r w:rsidR="00F8246A">
        <w:t xml:space="preserve">The GMRG therefore thinks there is merit in this proposal, subject to checking the impact on the legal framework for the GSH. </w:t>
      </w:r>
      <w:r>
        <w:t>The GMRG is currently investigating further with AEMO whether this can be implemented while retaining the current credit risk management arrangements in the GSH (which allow for payment netting and allocation of residual credit risk to shippers).</w:t>
      </w:r>
    </w:p>
    <w:tbl>
      <w:tblPr>
        <w:tblStyle w:val="PullOutBoxTable"/>
        <w:tblW w:w="5000" w:type="pct"/>
        <w:shd w:val="clear" w:color="auto" w:fill="B7E7FF"/>
        <w:tblLook w:val="0620" w:firstRow="1" w:lastRow="0" w:firstColumn="0" w:lastColumn="0" w:noHBand="1" w:noVBand="1"/>
        <w:tblCaption w:val="Box 6.3: Questions on credit risk management"/>
        <w:tblDescription w:val="Questions on credit risk management"/>
      </w:tblPr>
      <w:tblGrid>
        <w:gridCol w:w="8788"/>
      </w:tblGrid>
      <w:tr w:rsidR="00696FA5" w:rsidRPr="00696FA5" w14:paraId="50644110" w14:textId="77777777" w:rsidTr="003974E4">
        <w:trPr>
          <w:tblHeader/>
        </w:trPr>
        <w:tc>
          <w:tcPr>
            <w:tcW w:w="5000" w:type="pct"/>
            <w:shd w:val="clear" w:color="auto" w:fill="auto"/>
          </w:tcPr>
          <w:p w14:paraId="644F4704" w14:textId="121B24FA" w:rsidR="00696FA5" w:rsidRPr="008E1F54" w:rsidRDefault="008E1F54" w:rsidP="008E1F54">
            <w:pPr>
              <w:pStyle w:val="ListNumber"/>
              <w:numPr>
                <w:ilvl w:val="0"/>
                <w:numId w:val="0"/>
              </w:numPr>
              <w:spacing w:before="0" w:after="0"/>
              <w:rPr>
                <w:rFonts w:eastAsiaTheme="majorEastAsia"/>
                <w:b/>
                <w:sz w:val="21"/>
                <w:szCs w:val="21"/>
              </w:rPr>
            </w:pPr>
            <w:r w:rsidRPr="008E1F54">
              <w:rPr>
                <w:b/>
              </w:rPr>
              <w:t xml:space="preserve">Box </w:t>
            </w:r>
            <w:r w:rsidRPr="008E1F54">
              <w:rPr>
                <w:b/>
              </w:rPr>
              <w:fldChar w:fldCharType="begin"/>
            </w:r>
            <w:r w:rsidRPr="008E1F54">
              <w:rPr>
                <w:b/>
              </w:rPr>
              <w:instrText xml:space="preserve"> STYLEREF 1 \s </w:instrText>
            </w:r>
            <w:r w:rsidRPr="008E1F54">
              <w:rPr>
                <w:b/>
              </w:rPr>
              <w:fldChar w:fldCharType="separate"/>
            </w:r>
            <w:r w:rsidRPr="008E1F54">
              <w:rPr>
                <w:b/>
                <w:noProof/>
              </w:rPr>
              <w:t>6</w:t>
            </w:r>
            <w:r w:rsidRPr="008E1F54">
              <w:rPr>
                <w:b/>
                <w:noProof/>
              </w:rPr>
              <w:fldChar w:fldCharType="end"/>
            </w:r>
            <w:r w:rsidRPr="008E1F54">
              <w:rPr>
                <w:b/>
              </w:rPr>
              <w:t>.</w:t>
            </w:r>
            <w:r w:rsidRPr="008E1F54">
              <w:rPr>
                <w:b/>
              </w:rPr>
              <w:fldChar w:fldCharType="begin"/>
            </w:r>
            <w:r w:rsidRPr="008E1F54">
              <w:rPr>
                <w:b/>
              </w:rPr>
              <w:instrText xml:space="preserve"> SEQ Box \* ARABIC \s 1 </w:instrText>
            </w:r>
            <w:r w:rsidRPr="008E1F54">
              <w:rPr>
                <w:b/>
              </w:rPr>
              <w:fldChar w:fldCharType="separate"/>
            </w:r>
            <w:r w:rsidRPr="008E1F54">
              <w:rPr>
                <w:b/>
                <w:noProof/>
              </w:rPr>
              <w:t>3</w:t>
            </w:r>
            <w:r w:rsidRPr="008E1F54">
              <w:rPr>
                <w:b/>
                <w:noProof/>
              </w:rPr>
              <w:fldChar w:fldCharType="end"/>
            </w:r>
            <w:r w:rsidRPr="008E1F54">
              <w:rPr>
                <w:b/>
              </w:rPr>
              <w:t xml:space="preserve">: </w:t>
            </w:r>
            <w:r w:rsidRPr="008E1F54">
              <w:rPr>
                <w:b/>
                <w:bCs/>
              </w:rPr>
              <w:t>Questions on credit risk management</w:t>
            </w:r>
          </w:p>
        </w:tc>
      </w:tr>
      <w:tr w:rsidR="008E1F54" w:rsidRPr="00696FA5" w14:paraId="0025D4A0" w14:textId="77777777" w:rsidTr="003974E4">
        <w:tc>
          <w:tcPr>
            <w:tcW w:w="5000" w:type="pct"/>
            <w:shd w:val="clear" w:color="auto" w:fill="B7E7FF"/>
          </w:tcPr>
          <w:p w14:paraId="566F1FDA" w14:textId="32BFA411" w:rsidR="008E1F54" w:rsidRPr="00696FA5" w:rsidRDefault="008E1F54" w:rsidP="00201CBA">
            <w:pPr>
              <w:pStyle w:val="ListNumber"/>
              <w:numPr>
                <w:ilvl w:val="0"/>
                <w:numId w:val="20"/>
              </w:numPr>
              <w:spacing w:before="0" w:after="0"/>
              <w:ind w:left="357" w:hanging="357"/>
              <w:rPr>
                <w:sz w:val="21"/>
                <w:szCs w:val="21"/>
              </w:rPr>
            </w:pPr>
            <w:r w:rsidRPr="00696FA5">
              <w:rPr>
                <w:sz w:val="21"/>
                <w:szCs w:val="21"/>
              </w:rPr>
              <w:t>Do you agree with AEMO’s proposal to combine the credit risk management arrangements for the GSH and auction products? If not, please explain why.</w:t>
            </w:r>
          </w:p>
        </w:tc>
      </w:tr>
    </w:tbl>
    <w:p w14:paraId="23116DF8" w14:textId="77777777" w:rsidR="008A493E" w:rsidRPr="00E842AF" w:rsidRDefault="008A493E" w:rsidP="008A493E">
      <w:pPr>
        <w:pStyle w:val="Heading3"/>
      </w:pPr>
      <w:bookmarkStart w:id="140" w:name="_Ref494715108"/>
      <w:r w:rsidRPr="00E842AF">
        <w:t>Fees to use the auction platform</w:t>
      </w:r>
      <w:bookmarkEnd w:id="138"/>
      <w:bookmarkEnd w:id="140"/>
    </w:p>
    <w:p w14:paraId="36EE3747" w14:textId="0D9EB074" w:rsidR="00E74E47" w:rsidRDefault="000E4C56" w:rsidP="00FE5053">
      <w:pPr>
        <w:pStyle w:val="BodyText"/>
      </w:pPr>
      <w:r>
        <w:t xml:space="preserve">One of the AEMC’s preferred outcomes for </w:t>
      </w:r>
      <w:r w:rsidR="00706CDC">
        <w:t xml:space="preserve">the </w:t>
      </w:r>
      <w:r>
        <w:t xml:space="preserve">day-ahead auction is that the </w:t>
      </w:r>
      <w:r w:rsidR="00FE5053">
        <w:t xml:space="preserve">costs of running the </w:t>
      </w:r>
      <w:r w:rsidR="00706CDC">
        <w:t xml:space="preserve">auction </w:t>
      </w:r>
      <w:r w:rsidR="00FE5053">
        <w:t xml:space="preserve">be recovered from the auction proceeds, with any </w:t>
      </w:r>
      <w:r w:rsidR="00706CDC" w:rsidRPr="008A76EF">
        <w:t>residual revenue then p</w:t>
      </w:r>
      <w:r w:rsidR="00706CDC">
        <w:t xml:space="preserve">rovided to </w:t>
      </w:r>
      <w:r w:rsidR="00FE5053">
        <w:t>service providers</w:t>
      </w:r>
      <w:r w:rsidR="00706CDC">
        <w:t>.</w:t>
      </w:r>
      <w:r w:rsidR="00706CDC" w:rsidRPr="008A76EF">
        <w:rPr>
          <w:rStyle w:val="FootnoteReference"/>
          <w:i/>
        </w:rPr>
        <w:footnoteReference w:id="79"/>
      </w:r>
      <w:r w:rsidR="00FE5053">
        <w:t xml:space="preserve"> </w:t>
      </w:r>
      <w:r w:rsidR="00E74E47">
        <w:t>T</w:t>
      </w:r>
      <w:r w:rsidR="00FE5053">
        <w:t xml:space="preserve">his </w:t>
      </w:r>
      <w:r w:rsidR="00706CDC">
        <w:t xml:space="preserve">cost recovery </w:t>
      </w:r>
      <w:r w:rsidR="00FE5053">
        <w:t xml:space="preserve">model </w:t>
      </w:r>
      <w:r w:rsidR="00706CDC">
        <w:t>differs from the model used in other markets operated by AEMO</w:t>
      </w:r>
      <w:r w:rsidR="00E74E47">
        <w:t xml:space="preserve">, such as: </w:t>
      </w:r>
    </w:p>
    <w:p w14:paraId="768C2B0B" w14:textId="1DA8363F" w:rsidR="00E74E47" w:rsidRDefault="00E74E47" w:rsidP="00E74E47">
      <w:pPr>
        <w:pStyle w:val="ListBullet"/>
      </w:pPr>
      <w:r>
        <w:t xml:space="preserve">the </w:t>
      </w:r>
      <w:r w:rsidR="00706CDC">
        <w:t>GSH</w:t>
      </w:r>
      <w:r w:rsidR="0006277B">
        <w:t xml:space="preserve"> </w:t>
      </w:r>
      <w:r>
        <w:t xml:space="preserve">where </w:t>
      </w:r>
      <w:r w:rsidR="00706CDC">
        <w:t>trading participants are required to pay a fixed fee and variable transaction fees</w:t>
      </w:r>
      <w:r>
        <w:t>; and</w:t>
      </w:r>
    </w:p>
    <w:p w14:paraId="00B2EF5A" w14:textId="77777777" w:rsidR="00E74E47" w:rsidRDefault="00706CDC" w:rsidP="00E74E47">
      <w:pPr>
        <w:pStyle w:val="ListBullet"/>
      </w:pPr>
      <w:proofErr w:type="gramStart"/>
      <w:r>
        <w:t>the</w:t>
      </w:r>
      <w:proofErr w:type="gramEnd"/>
      <w:r>
        <w:t xml:space="preserve"> SRA </w:t>
      </w:r>
      <w:r w:rsidR="00E74E47">
        <w:t xml:space="preserve">where auction participants </w:t>
      </w:r>
      <w:r>
        <w:t xml:space="preserve">are required to pay a variable charge for units purchased in the auction. </w:t>
      </w:r>
    </w:p>
    <w:p w14:paraId="0D3D2AA0" w14:textId="00CEFD87" w:rsidR="00252A97" w:rsidRDefault="00706CDC" w:rsidP="00FE5053">
      <w:pPr>
        <w:pStyle w:val="BodyText"/>
      </w:pPr>
      <w:r>
        <w:t>In both of these cases</w:t>
      </w:r>
      <w:r w:rsidR="00E74E47">
        <w:t>,</w:t>
      </w:r>
      <w:r>
        <w:t xml:space="preserve"> it is the market participants utilising the market mechanisms that pay AEMO’s implementation and operating costs, rather than infrastructure provider</w:t>
      </w:r>
      <w:r w:rsidR="0006277B">
        <w:t>s</w:t>
      </w:r>
      <w:r>
        <w:t xml:space="preserve">. </w:t>
      </w:r>
    </w:p>
    <w:p w14:paraId="250933D0" w14:textId="1BEC31E9" w:rsidR="00E74E47" w:rsidRDefault="00E74E47" w:rsidP="00FE5053">
      <w:pPr>
        <w:pStyle w:val="BodyText"/>
      </w:pPr>
      <w:r>
        <w:t xml:space="preserve">While the </w:t>
      </w:r>
      <w:r w:rsidR="00706CDC">
        <w:t>GMRG</w:t>
      </w:r>
      <w:r>
        <w:t xml:space="preserve"> appreciates the simplicity of the AEMC’s suggested approach, it does have some concerns about the potential for the difference in treatment of costs AEMO incurs in </w:t>
      </w:r>
      <w:r w:rsidR="0006277B">
        <w:t>developing and operating</w:t>
      </w:r>
      <w:r>
        <w:t xml:space="preserve"> the capacity trading platform and the day-ahead auction to distort shippers’ decisions to use these mechanisms.</w:t>
      </w:r>
      <w:r>
        <w:rPr>
          <w:rStyle w:val="FootnoteReference"/>
        </w:rPr>
        <w:footnoteReference w:id="80"/>
      </w:r>
      <w:r>
        <w:t xml:space="preserve"> The other concern the GMRG has with the suggested approach is that it is unclear what would occur if the auction proceeds were insufficient to cover AEMO’s costs.</w:t>
      </w:r>
      <w:r w:rsidR="006B7AC6">
        <w:t xml:space="preserve"> </w:t>
      </w:r>
      <w:r w:rsidR="0006277B">
        <w:t xml:space="preserve">Specifically, </w:t>
      </w:r>
      <w:r w:rsidR="00BE07CF">
        <w:t>it is unclear whether service providers or market participants would be required to fund the difference.</w:t>
      </w:r>
    </w:p>
    <w:p w14:paraId="385B9B15" w14:textId="3260F145" w:rsidR="000E4C56" w:rsidRDefault="00BE07CF" w:rsidP="00E74E47">
      <w:pPr>
        <w:pStyle w:val="BodyText"/>
      </w:pPr>
      <w:r>
        <w:t xml:space="preserve">Given these concerns, the </w:t>
      </w:r>
      <w:r w:rsidR="000E4C56">
        <w:t xml:space="preserve">GMRG has given some thought to other cost recovery models that could be </w:t>
      </w:r>
      <w:r w:rsidR="002C567E">
        <w:t>applied to the day-ahead auction</w:t>
      </w:r>
      <w:r w:rsidR="000E4C56">
        <w:t xml:space="preserve">. The </w:t>
      </w:r>
      <w:r w:rsidR="002C567E">
        <w:t xml:space="preserve">three </w:t>
      </w:r>
      <w:r w:rsidR="000E4C56">
        <w:t xml:space="preserve">options the GMRG has identified </w:t>
      </w:r>
      <w:r w:rsidR="002C567E">
        <w:t>would involve recovering the costs AEMO incurs implementing and operating the day-ahead auction from</w:t>
      </w:r>
      <w:r w:rsidR="000E4C56">
        <w:t>:</w:t>
      </w:r>
    </w:p>
    <w:p w14:paraId="48821CB0" w14:textId="5624837C" w:rsidR="000E4C56" w:rsidRDefault="000E4C56" w:rsidP="00187EB2">
      <w:pPr>
        <w:pStyle w:val="ListNumber"/>
        <w:numPr>
          <w:ilvl w:val="0"/>
          <w:numId w:val="33"/>
        </w:numPr>
      </w:pPr>
      <w:r w:rsidRPr="001A7368">
        <w:rPr>
          <w:b/>
        </w:rPr>
        <w:t>auction participants</w:t>
      </w:r>
      <w:r w:rsidR="002C567E" w:rsidRPr="001A7368">
        <w:rPr>
          <w:b/>
        </w:rPr>
        <w:t xml:space="preserve"> only</w:t>
      </w:r>
      <w:r w:rsidR="000069D6">
        <w:t xml:space="preserve"> – the rationale for this </w:t>
      </w:r>
      <w:r w:rsidR="001A7368">
        <w:t xml:space="preserve">user pays </w:t>
      </w:r>
      <w:r w:rsidR="000069D6">
        <w:t xml:space="preserve">option is that </w:t>
      </w:r>
      <w:r w:rsidR="001A7368">
        <w:t xml:space="preserve">auction participants are </w:t>
      </w:r>
      <w:r w:rsidR="000069D6">
        <w:t>the main beneficiaries of the day-ahead auction</w:t>
      </w:r>
      <w:r w:rsidR="002C567E">
        <w:t xml:space="preserve">; </w:t>
      </w:r>
    </w:p>
    <w:p w14:paraId="152FF984" w14:textId="2E4B812F" w:rsidR="002C567E" w:rsidRDefault="002C567E" w:rsidP="00187EB2">
      <w:pPr>
        <w:pStyle w:val="ListNumber"/>
        <w:numPr>
          <w:ilvl w:val="0"/>
          <w:numId w:val="33"/>
        </w:numPr>
      </w:pPr>
      <w:r w:rsidRPr="001A7368">
        <w:rPr>
          <w:b/>
        </w:rPr>
        <w:t>auction participants and GSH participants</w:t>
      </w:r>
      <w:r w:rsidR="000069D6">
        <w:t xml:space="preserve"> – the rationale for this option is that trade on the day-ahead auction and capacity trading platform is closely related </w:t>
      </w:r>
      <w:r w:rsidR="001A7368">
        <w:t>and there may be times where conditions in the auction are such that it drives market participants to use the trading platform and vice versa</w:t>
      </w:r>
      <w:r>
        <w:t>; or</w:t>
      </w:r>
    </w:p>
    <w:p w14:paraId="2DD915F7" w14:textId="5A4488F5" w:rsidR="002C567E" w:rsidRDefault="000069D6" w:rsidP="00187EB2">
      <w:pPr>
        <w:pStyle w:val="ListNumber"/>
        <w:numPr>
          <w:ilvl w:val="0"/>
          <w:numId w:val="33"/>
        </w:numPr>
      </w:pPr>
      <w:r w:rsidRPr="001A7368">
        <w:rPr>
          <w:b/>
        </w:rPr>
        <w:t>BB shippers (i.e. primary capacity holders on transmission pipelines)</w:t>
      </w:r>
      <w:r>
        <w:t xml:space="preserve"> – the rationale for option is that if primary capacity holders released their capacity then the auction would not need to be conducted</w:t>
      </w:r>
      <w:r w:rsidR="001A7368">
        <w:t xml:space="preserve"> (causer pays)</w:t>
      </w:r>
      <w:r>
        <w:t>.</w:t>
      </w:r>
    </w:p>
    <w:p w14:paraId="11896FB1" w14:textId="22A91F70" w:rsidR="006B50A1" w:rsidRDefault="006B50A1" w:rsidP="006B50A1">
      <w:pPr>
        <w:pStyle w:val="BodyText"/>
      </w:pPr>
      <w:r>
        <w:t xml:space="preserve">The risk with the first of these options is that if there is limited demand for auction </w:t>
      </w:r>
      <w:r w:rsidR="00A75187">
        <w:t xml:space="preserve">products </w:t>
      </w:r>
      <w:r>
        <w:t xml:space="preserve">(i.e. because the auction works as intended and encourages </w:t>
      </w:r>
      <w:r w:rsidR="00DF08E7">
        <w:t>firm</w:t>
      </w:r>
      <w:r>
        <w:t xml:space="preserve"> capacity holders to sell any spare capacity they have ahead of </w:t>
      </w:r>
      <w:r w:rsidR="00DF08E7">
        <w:t>the auction</w:t>
      </w:r>
      <w:r>
        <w:t>)</w:t>
      </w:r>
      <w:r w:rsidR="00A75187">
        <w:t>,</w:t>
      </w:r>
      <w:r>
        <w:t xml:space="preserve"> then it may result in: </w:t>
      </w:r>
    </w:p>
    <w:p w14:paraId="6AA888F7" w14:textId="2A311216" w:rsidR="006B50A1" w:rsidRDefault="006B50A1" w:rsidP="006B50A1">
      <w:pPr>
        <w:pStyle w:val="ListBullet"/>
      </w:pPr>
      <w:r>
        <w:t>relatively high participation fees, which could further discourage market participants from using the auction; and</w:t>
      </w:r>
      <w:r w:rsidR="00A75187">
        <w:t>/or</w:t>
      </w:r>
    </w:p>
    <w:p w14:paraId="6949CF3F" w14:textId="3DBF3468" w:rsidR="006B50A1" w:rsidRDefault="006B50A1" w:rsidP="0065529C">
      <w:pPr>
        <w:pStyle w:val="ListBullet"/>
      </w:pPr>
      <w:r w:rsidRPr="008855D0">
        <w:t xml:space="preserve">AEMO failing to recover the costs it incurs in operating the auction, the cost of which would </w:t>
      </w:r>
      <w:r w:rsidR="00A75187" w:rsidRPr="008855D0">
        <w:t>be borne by all market participants</w:t>
      </w:r>
      <w:r w:rsidR="008855D0" w:rsidRPr="008855D0">
        <w:t xml:space="preserve">, given AEMO is a not-for-profit company limited by guarantee under the </w:t>
      </w:r>
      <w:r w:rsidR="008855D0" w:rsidRPr="008855D0">
        <w:rPr>
          <w:i/>
        </w:rPr>
        <w:t>Corporations Act</w:t>
      </w:r>
      <w:r w:rsidR="008855D0">
        <w:t xml:space="preserve"> </w:t>
      </w:r>
      <w:r w:rsidR="008855D0" w:rsidRPr="008855D0">
        <w:rPr>
          <w:i/>
        </w:rPr>
        <w:t>2001</w:t>
      </w:r>
      <w:r w:rsidR="008855D0">
        <w:t xml:space="preserve"> (Commonwealth)</w:t>
      </w:r>
      <w:r w:rsidR="008855D0" w:rsidRPr="008855D0">
        <w:t>.</w:t>
      </w:r>
      <w:r w:rsidR="008855D0">
        <w:t xml:space="preserve"> </w:t>
      </w:r>
    </w:p>
    <w:p w14:paraId="2165699E" w14:textId="3B8BCF6F" w:rsidR="002C567E" w:rsidRDefault="0031633B" w:rsidP="00E74E47">
      <w:pPr>
        <w:pStyle w:val="BodyText"/>
      </w:pPr>
      <w:r>
        <w:t xml:space="preserve">This risk is not expected to be as significant under the second and third options given the number of participants in the GSH and primary capacity holders. </w:t>
      </w:r>
      <w:r w:rsidR="00A75187">
        <w:t>Of the</w:t>
      </w:r>
      <w:r>
        <w:t>se</w:t>
      </w:r>
      <w:r w:rsidR="00A75187">
        <w:t xml:space="preserve"> two options, the </w:t>
      </w:r>
      <w:r w:rsidR="001A7368">
        <w:t xml:space="preserve">second option </w:t>
      </w:r>
      <w:r>
        <w:t xml:space="preserve">(i.e. recovery from auction and GSH participants) would </w:t>
      </w:r>
      <w:r w:rsidR="00E842AF">
        <w:t>be easier to implement</w:t>
      </w:r>
      <w:r w:rsidR="00C14D2A">
        <w:t xml:space="preserve">. It would also minimise the risk of differences in GSH and auction participation fees distorting shippers’ decisions to </w:t>
      </w:r>
      <w:r w:rsidR="00E842AF">
        <w:t xml:space="preserve">use </w:t>
      </w:r>
      <w:r w:rsidR="00C14D2A">
        <w:t xml:space="preserve">either </w:t>
      </w:r>
      <w:r w:rsidR="00E842AF">
        <w:t>the auction or trading platform</w:t>
      </w:r>
      <w:r w:rsidR="00C14D2A">
        <w:t>, because it would enable a more holistic approach to be taken to setting both of these fees</w:t>
      </w:r>
      <w:r w:rsidR="00E842AF">
        <w:t xml:space="preserve">. The other benefit of this option is that if there </w:t>
      </w:r>
      <w:r w:rsidR="00917A06">
        <w:t>is</w:t>
      </w:r>
      <w:r w:rsidR="00E842AF">
        <w:t xml:space="preserve"> a sufficient number of auction participants, then the fees recovered from these participants could also make a contribution to the </w:t>
      </w:r>
      <w:r>
        <w:t xml:space="preserve">GSH systems </w:t>
      </w:r>
      <w:r w:rsidR="00E842AF">
        <w:t xml:space="preserve">that will be used in </w:t>
      </w:r>
      <w:r>
        <w:t xml:space="preserve">the auction. </w:t>
      </w:r>
      <w:r w:rsidR="00E842AF">
        <w:t>The GMRG’s preliminary view is therefore that this cost recovery model option should be utilised.</w:t>
      </w:r>
    </w:p>
    <w:p w14:paraId="0C46AE53" w14:textId="5B966C7F" w:rsidR="002153E1" w:rsidRPr="002153E1" w:rsidRDefault="002C567E" w:rsidP="00E74E47">
      <w:pPr>
        <w:pStyle w:val="BodyText"/>
        <w:rPr>
          <w:rFonts w:asciiTheme="majorHAnsi" w:hAnsiTheme="majorHAnsi" w:cstheme="majorHAnsi"/>
        </w:rPr>
      </w:pPr>
      <w:bookmarkStart w:id="141" w:name="_Hlk494719324"/>
      <w:r>
        <w:t xml:space="preserve">As to </w:t>
      </w:r>
      <w:r w:rsidR="002B05CA">
        <w:t xml:space="preserve">the level of </w:t>
      </w:r>
      <w:r>
        <w:t>fee</w:t>
      </w:r>
      <w:r w:rsidR="002B05CA">
        <w:t>s and the fee</w:t>
      </w:r>
      <w:r>
        <w:t xml:space="preserve"> </w:t>
      </w:r>
      <w:r w:rsidR="002B05CA">
        <w:t xml:space="preserve">structure that will be </w:t>
      </w:r>
      <w:r>
        <w:t xml:space="preserve">used to recover AEMO’s costs, </w:t>
      </w:r>
      <w:r>
        <w:rPr>
          <w:rFonts w:asciiTheme="majorHAnsi" w:hAnsiTheme="majorHAnsi" w:cstheme="majorHAnsi"/>
        </w:rPr>
        <w:t>i</w:t>
      </w:r>
      <w:r w:rsidR="002153E1" w:rsidRPr="002153E1">
        <w:rPr>
          <w:rFonts w:asciiTheme="majorHAnsi" w:hAnsiTheme="majorHAnsi" w:cstheme="majorHAnsi"/>
        </w:rPr>
        <w:t xml:space="preserve">n the GMRG’s view this should be a matter for AEMO to determine in consultation with </w:t>
      </w:r>
      <w:r w:rsidR="000E4C56">
        <w:rPr>
          <w:rFonts w:asciiTheme="majorHAnsi" w:hAnsiTheme="majorHAnsi" w:cstheme="majorHAnsi"/>
        </w:rPr>
        <w:t xml:space="preserve">registered </w:t>
      </w:r>
      <w:r w:rsidR="002153E1" w:rsidRPr="002153E1">
        <w:rPr>
          <w:rFonts w:asciiTheme="majorHAnsi" w:hAnsiTheme="majorHAnsi" w:cstheme="majorHAnsi"/>
        </w:rPr>
        <w:t xml:space="preserve">auction </w:t>
      </w:r>
      <w:r>
        <w:rPr>
          <w:rFonts w:asciiTheme="majorHAnsi" w:hAnsiTheme="majorHAnsi" w:cstheme="majorHAnsi"/>
        </w:rPr>
        <w:t xml:space="preserve">and GSH </w:t>
      </w:r>
      <w:r w:rsidR="000E4C56">
        <w:rPr>
          <w:rFonts w:asciiTheme="majorHAnsi" w:hAnsiTheme="majorHAnsi" w:cstheme="majorHAnsi"/>
        </w:rPr>
        <w:t>participants</w:t>
      </w:r>
      <w:r>
        <w:rPr>
          <w:rFonts w:asciiTheme="majorHAnsi" w:hAnsiTheme="majorHAnsi" w:cstheme="majorHAnsi"/>
        </w:rPr>
        <w:t xml:space="preserve">. This </w:t>
      </w:r>
      <w:r w:rsidR="002153E1" w:rsidRPr="002153E1">
        <w:rPr>
          <w:rFonts w:asciiTheme="majorHAnsi" w:hAnsiTheme="majorHAnsi" w:cstheme="majorHAnsi"/>
        </w:rPr>
        <w:t xml:space="preserve">is </w:t>
      </w:r>
      <w:r>
        <w:rPr>
          <w:rFonts w:asciiTheme="majorHAnsi" w:hAnsiTheme="majorHAnsi" w:cstheme="majorHAnsi"/>
        </w:rPr>
        <w:t xml:space="preserve">consistent with </w:t>
      </w:r>
      <w:r w:rsidR="002153E1" w:rsidRPr="002153E1">
        <w:rPr>
          <w:rFonts w:asciiTheme="majorHAnsi" w:hAnsiTheme="majorHAnsi" w:cstheme="majorHAnsi"/>
        </w:rPr>
        <w:t>the approach used in the GSH</w:t>
      </w:r>
      <w:r>
        <w:rPr>
          <w:rFonts w:asciiTheme="majorHAnsi" w:hAnsiTheme="majorHAnsi" w:cstheme="majorHAnsi"/>
        </w:rPr>
        <w:t xml:space="preserve">, </w:t>
      </w:r>
      <w:r w:rsidR="002153E1" w:rsidRPr="002153E1">
        <w:rPr>
          <w:rFonts w:asciiTheme="majorHAnsi" w:hAnsiTheme="majorHAnsi" w:cstheme="majorHAnsi"/>
        </w:rPr>
        <w:t>with rule 534</w:t>
      </w:r>
      <w:r w:rsidR="002153E1">
        <w:rPr>
          <w:rFonts w:asciiTheme="majorHAnsi" w:hAnsiTheme="majorHAnsi" w:cstheme="majorHAnsi"/>
        </w:rPr>
        <w:t>(1)</w:t>
      </w:r>
      <w:r w:rsidR="002153E1" w:rsidRPr="002153E1">
        <w:rPr>
          <w:rFonts w:asciiTheme="majorHAnsi" w:hAnsiTheme="majorHAnsi" w:cstheme="majorHAnsi"/>
        </w:rPr>
        <w:t xml:space="preserve"> in the NGR allowing AEMO to charge exchange members fees that are sufficient to cover its budgeted costs of </w:t>
      </w:r>
      <w:r w:rsidR="002153E1" w:rsidRPr="00BE07CF">
        <w:rPr>
          <w:rFonts w:asciiTheme="majorHAnsi" w:hAnsiTheme="majorHAnsi" w:cstheme="majorHAnsi"/>
          <w:color w:val="000000"/>
        </w:rPr>
        <w:t>establish</w:t>
      </w:r>
      <w:r w:rsidR="002153E1" w:rsidRPr="002153E1">
        <w:rPr>
          <w:rFonts w:asciiTheme="majorHAnsi" w:hAnsiTheme="majorHAnsi" w:cstheme="majorHAnsi"/>
          <w:color w:val="000000"/>
        </w:rPr>
        <w:t>ing, operating and administering</w:t>
      </w:r>
      <w:r w:rsidR="002153E1" w:rsidRPr="00BE07CF">
        <w:rPr>
          <w:rFonts w:asciiTheme="majorHAnsi" w:hAnsiTheme="majorHAnsi" w:cstheme="majorHAnsi"/>
          <w:color w:val="000000"/>
        </w:rPr>
        <w:t xml:space="preserve"> the </w:t>
      </w:r>
      <w:r w:rsidR="002153E1" w:rsidRPr="002153E1">
        <w:rPr>
          <w:rFonts w:asciiTheme="majorHAnsi" w:hAnsiTheme="majorHAnsi" w:cstheme="majorHAnsi"/>
          <w:color w:val="000000"/>
        </w:rPr>
        <w:t>GSH</w:t>
      </w:r>
      <w:r>
        <w:rPr>
          <w:rFonts w:asciiTheme="majorHAnsi" w:hAnsiTheme="majorHAnsi" w:cstheme="majorHAnsi"/>
          <w:color w:val="000000"/>
        </w:rPr>
        <w:t>,</w:t>
      </w:r>
      <w:r w:rsidR="002153E1" w:rsidRPr="002153E1">
        <w:rPr>
          <w:rFonts w:asciiTheme="majorHAnsi" w:hAnsiTheme="majorHAnsi" w:cstheme="majorHAnsi"/>
          <w:color w:val="000000"/>
        </w:rPr>
        <w:t xml:space="preserve"> </w:t>
      </w:r>
      <w:r w:rsidR="002153E1">
        <w:rPr>
          <w:rFonts w:asciiTheme="majorHAnsi" w:hAnsiTheme="majorHAnsi" w:cstheme="majorHAnsi"/>
          <w:color w:val="000000"/>
        </w:rPr>
        <w:t xml:space="preserve">while </w:t>
      </w:r>
      <w:r>
        <w:rPr>
          <w:rFonts w:asciiTheme="majorHAnsi" w:hAnsiTheme="majorHAnsi" w:cstheme="majorHAnsi"/>
          <w:color w:val="000000"/>
        </w:rPr>
        <w:t xml:space="preserve">rule </w:t>
      </w:r>
      <w:r w:rsidR="002153E1">
        <w:rPr>
          <w:rFonts w:asciiTheme="majorHAnsi" w:hAnsiTheme="majorHAnsi" w:cstheme="majorHAnsi"/>
          <w:color w:val="000000"/>
        </w:rPr>
        <w:t xml:space="preserve">534(2) requires AEMO </w:t>
      </w:r>
      <w:r w:rsidR="002153E1" w:rsidRPr="002153E1">
        <w:rPr>
          <w:rFonts w:asciiTheme="majorHAnsi" w:hAnsiTheme="majorHAnsi" w:cstheme="majorHAnsi"/>
          <w:color w:val="000000"/>
        </w:rPr>
        <w:t>to consult with exchange members on the structure</w:t>
      </w:r>
      <w:r w:rsidR="002153E1">
        <w:rPr>
          <w:rFonts w:asciiTheme="majorHAnsi" w:hAnsiTheme="majorHAnsi" w:cstheme="majorHAnsi"/>
          <w:color w:val="000000"/>
        </w:rPr>
        <w:t>, introduction</w:t>
      </w:r>
      <w:r w:rsidR="002153E1" w:rsidRPr="002153E1">
        <w:rPr>
          <w:rFonts w:asciiTheme="majorHAnsi" w:hAnsiTheme="majorHAnsi" w:cstheme="majorHAnsi"/>
          <w:color w:val="000000"/>
        </w:rPr>
        <w:t xml:space="preserve"> and determination of fees.</w:t>
      </w:r>
      <w:r w:rsidR="002153E1">
        <w:rPr>
          <w:rFonts w:asciiTheme="majorHAnsi" w:hAnsiTheme="majorHAnsi" w:cstheme="majorHAnsi"/>
          <w:color w:val="000000"/>
        </w:rPr>
        <w:t xml:space="preserve"> This is only a preliminary view at this stage. The GMRG therefore welcomes feedback from stakeholders on this proposal and the questions in </w:t>
      </w:r>
      <w:r w:rsidR="002153E1">
        <w:rPr>
          <w:rFonts w:asciiTheme="majorHAnsi" w:hAnsiTheme="majorHAnsi" w:cstheme="majorHAnsi"/>
          <w:color w:val="000000"/>
        </w:rPr>
        <w:fldChar w:fldCharType="begin"/>
      </w:r>
      <w:r w:rsidR="002153E1">
        <w:rPr>
          <w:rFonts w:asciiTheme="majorHAnsi" w:hAnsiTheme="majorHAnsi" w:cstheme="majorHAnsi"/>
          <w:color w:val="000000"/>
        </w:rPr>
        <w:instrText xml:space="preserve"> REF _Ref493864105 \h </w:instrText>
      </w:r>
      <w:r w:rsidR="002153E1">
        <w:rPr>
          <w:rFonts w:asciiTheme="majorHAnsi" w:hAnsiTheme="majorHAnsi" w:cstheme="majorHAnsi"/>
          <w:color w:val="000000"/>
        </w:rPr>
      </w:r>
      <w:r w:rsidR="002153E1">
        <w:rPr>
          <w:rFonts w:asciiTheme="majorHAnsi" w:hAnsiTheme="majorHAnsi" w:cstheme="majorHAnsi"/>
          <w:color w:val="000000"/>
        </w:rPr>
        <w:fldChar w:fldCharType="separate"/>
      </w:r>
      <w:r w:rsidR="00272B32" w:rsidRPr="00EC75C1">
        <w:t xml:space="preserve">Box </w:t>
      </w:r>
      <w:r w:rsidR="00272B32">
        <w:rPr>
          <w:noProof/>
        </w:rPr>
        <w:t>6</w:t>
      </w:r>
      <w:r w:rsidR="00272B32">
        <w:t>.</w:t>
      </w:r>
      <w:r w:rsidR="00272B32">
        <w:rPr>
          <w:noProof/>
        </w:rPr>
        <w:t>4</w:t>
      </w:r>
      <w:r w:rsidR="002153E1">
        <w:rPr>
          <w:rFonts w:asciiTheme="majorHAnsi" w:hAnsiTheme="majorHAnsi" w:cstheme="majorHAnsi"/>
          <w:color w:val="000000"/>
        </w:rPr>
        <w:fldChar w:fldCharType="end"/>
      </w:r>
      <w:r w:rsidR="002153E1">
        <w:rPr>
          <w:rFonts w:asciiTheme="majorHAnsi" w:hAnsiTheme="majorHAnsi" w:cstheme="majorHAnsi"/>
          <w:color w:val="000000"/>
        </w:rPr>
        <w:t>.</w:t>
      </w:r>
    </w:p>
    <w:tbl>
      <w:tblPr>
        <w:tblStyle w:val="PullOutBoxTable"/>
        <w:tblW w:w="5000" w:type="pct"/>
        <w:shd w:val="clear" w:color="auto" w:fill="B7E7FF"/>
        <w:tblLook w:val="0620" w:firstRow="1" w:lastRow="0" w:firstColumn="0" w:lastColumn="0" w:noHBand="1" w:noVBand="1"/>
        <w:tblCaption w:val="Box 6.4: Questions on cost recovery"/>
        <w:tblDescription w:val="Questions on cost recovery"/>
      </w:tblPr>
      <w:tblGrid>
        <w:gridCol w:w="8788"/>
      </w:tblGrid>
      <w:tr w:rsidR="00201CBA" w:rsidRPr="007F3565" w14:paraId="283ABCF5" w14:textId="77777777" w:rsidTr="003E48D8">
        <w:trPr>
          <w:tblHeader/>
        </w:trPr>
        <w:tc>
          <w:tcPr>
            <w:tcW w:w="5000" w:type="pct"/>
            <w:shd w:val="clear" w:color="auto" w:fill="auto"/>
          </w:tcPr>
          <w:p w14:paraId="677FADC8" w14:textId="0C888D22" w:rsidR="00201CBA" w:rsidRPr="00201CBA" w:rsidRDefault="003E48D8" w:rsidP="003E48D8">
            <w:pPr>
              <w:pStyle w:val="ListNumber"/>
              <w:numPr>
                <w:ilvl w:val="0"/>
                <w:numId w:val="0"/>
              </w:numPr>
              <w:spacing w:before="60" w:after="60"/>
              <w:ind w:left="360" w:hanging="360"/>
              <w:rPr>
                <w:rFonts w:eastAsiaTheme="majorEastAsia"/>
                <w:sz w:val="21"/>
                <w:szCs w:val="21"/>
              </w:rPr>
            </w:pPr>
            <w:bookmarkStart w:id="142" w:name="_Ref493864105"/>
            <w:bookmarkEnd w:id="141"/>
            <w:r w:rsidRPr="00201CBA">
              <w:rPr>
                <w:b/>
              </w:rPr>
              <w:t xml:space="preserve">Box </w:t>
            </w:r>
            <w:r w:rsidRPr="00201CBA">
              <w:rPr>
                <w:b/>
              </w:rPr>
              <w:fldChar w:fldCharType="begin"/>
            </w:r>
            <w:r w:rsidRPr="00201CBA">
              <w:rPr>
                <w:b/>
              </w:rPr>
              <w:instrText xml:space="preserve"> STYLEREF 1 \s </w:instrText>
            </w:r>
            <w:r w:rsidRPr="00201CBA">
              <w:rPr>
                <w:b/>
              </w:rPr>
              <w:fldChar w:fldCharType="separate"/>
            </w:r>
            <w:r w:rsidRPr="00201CBA">
              <w:rPr>
                <w:b/>
                <w:noProof/>
              </w:rPr>
              <w:t>6</w:t>
            </w:r>
            <w:r w:rsidRPr="00201CBA">
              <w:rPr>
                <w:b/>
                <w:noProof/>
              </w:rPr>
              <w:fldChar w:fldCharType="end"/>
            </w:r>
            <w:r w:rsidRPr="00201CBA">
              <w:rPr>
                <w:b/>
              </w:rPr>
              <w:t>.</w:t>
            </w:r>
            <w:r w:rsidRPr="00201CBA">
              <w:rPr>
                <w:b/>
              </w:rPr>
              <w:fldChar w:fldCharType="begin"/>
            </w:r>
            <w:r w:rsidRPr="00201CBA">
              <w:rPr>
                <w:b/>
              </w:rPr>
              <w:instrText xml:space="preserve"> SEQ Box \* ARABIC \s 1 </w:instrText>
            </w:r>
            <w:r w:rsidRPr="00201CBA">
              <w:rPr>
                <w:b/>
              </w:rPr>
              <w:fldChar w:fldCharType="separate"/>
            </w:r>
            <w:r w:rsidRPr="00201CBA">
              <w:rPr>
                <w:b/>
                <w:noProof/>
              </w:rPr>
              <w:t>4</w:t>
            </w:r>
            <w:r w:rsidRPr="00201CBA">
              <w:rPr>
                <w:b/>
                <w:noProof/>
              </w:rPr>
              <w:fldChar w:fldCharType="end"/>
            </w:r>
            <w:bookmarkEnd w:id="142"/>
            <w:r w:rsidRPr="00201CBA">
              <w:rPr>
                <w:b/>
              </w:rPr>
              <w:t xml:space="preserve">: </w:t>
            </w:r>
            <w:r w:rsidRPr="00201CBA">
              <w:rPr>
                <w:b/>
                <w:bCs/>
              </w:rPr>
              <w:t>Questions on cost recovery</w:t>
            </w:r>
          </w:p>
        </w:tc>
      </w:tr>
      <w:tr w:rsidR="003E48D8" w:rsidRPr="007F3565" w14:paraId="490AA24F" w14:textId="77777777" w:rsidTr="003974E4">
        <w:tc>
          <w:tcPr>
            <w:tcW w:w="5000" w:type="pct"/>
            <w:shd w:val="clear" w:color="auto" w:fill="B7E7FF"/>
          </w:tcPr>
          <w:p w14:paraId="7E3F7B48" w14:textId="77777777" w:rsidR="003E48D8" w:rsidRDefault="003E48D8" w:rsidP="003E48D8">
            <w:pPr>
              <w:pStyle w:val="ListNumber"/>
              <w:numPr>
                <w:ilvl w:val="0"/>
                <w:numId w:val="20"/>
              </w:numPr>
              <w:spacing w:before="60" w:after="60"/>
              <w:ind w:left="357" w:hanging="357"/>
              <w:rPr>
                <w:rFonts w:eastAsiaTheme="majorEastAsia"/>
                <w:sz w:val="21"/>
                <w:szCs w:val="21"/>
              </w:rPr>
            </w:pPr>
            <w:r w:rsidRPr="007F3565">
              <w:rPr>
                <w:rFonts w:eastAsiaTheme="majorEastAsia"/>
                <w:sz w:val="21"/>
                <w:szCs w:val="21"/>
              </w:rPr>
              <w:t xml:space="preserve">Do you agree with the proposal </w:t>
            </w:r>
            <w:r>
              <w:rPr>
                <w:rFonts w:eastAsiaTheme="majorEastAsia"/>
                <w:sz w:val="21"/>
                <w:szCs w:val="21"/>
              </w:rPr>
              <w:t xml:space="preserve">to recover </w:t>
            </w:r>
            <w:r w:rsidRPr="007F3565">
              <w:rPr>
                <w:rFonts w:eastAsiaTheme="majorEastAsia"/>
                <w:sz w:val="21"/>
                <w:szCs w:val="21"/>
              </w:rPr>
              <w:t xml:space="preserve">AEMO’s costs </w:t>
            </w:r>
            <w:r>
              <w:rPr>
                <w:rFonts w:eastAsiaTheme="majorEastAsia"/>
                <w:sz w:val="21"/>
                <w:szCs w:val="21"/>
              </w:rPr>
              <w:t xml:space="preserve">of implementing and conducting the day-ahead auction </w:t>
            </w:r>
            <w:r w:rsidRPr="007F3565">
              <w:rPr>
                <w:rFonts w:eastAsiaTheme="majorEastAsia"/>
                <w:sz w:val="21"/>
                <w:szCs w:val="21"/>
              </w:rPr>
              <w:t>from auction</w:t>
            </w:r>
            <w:r>
              <w:rPr>
                <w:rFonts w:eastAsiaTheme="majorEastAsia"/>
                <w:sz w:val="21"/>
                <w:szCs w:val="21"/>
              </w:rPr>
              <w:t xml:space="preserve"> and GSH participants? If not, please explain why.</w:t>
            </w:r>
          </w:p>
          <w:p w14:paraId="64697BAE" w14:textId="77777777" w:rsidR="003E48D8" w:rsidRDefault="003E48D8" w:rsidP="003E48D8">
            <w:pPr>
              <w:pStyle w:val="ListNumber"/>
              <w:numPr>
                <w:ilvl w:val="0"/>
                <w:numId w:val="20"/>
              </w:numPr>
              <w:spacing w:before="60" w:after="60"/>
              <w:ind w:left="357" w:hanging="357"/>
              <w:rPr>
                <w:rFonts w:eastAsiaTheme="majorEastAsia"/>
                <w:sz w:val="21"/>
                <w:szCs w:val="21"/>
              </w:rPr>
            </w:pPr>
            <w:r>
              <w:rPr>
                <w:rFonts w:eastAsiaTheme="majorEastAsia"/>
                <w:sz w:val="21"/>
                <w:szCs w:val="21"/>
              </w:rPr>
              <w:t>Do you agree with the proposal to allow AEMO to determine, in consultation with auction and GSH participants, the fee structure that would apply to the day-ahead auction and secondary capacity trades? If not, please explain why.</w:t>
            </w:r>
          </w:p>
          <w:p w14:paraId="4B16E98D" w14:textId="3DBAAC3C" w:rsidR="003E48D8" w:rsidRPr="007F3565" w:rsidRDefault="003E48D8" w:rsidP="003E48D8">
            <w:pPr>
              <w:pStyle w:val="ListNumber"/>
              <w:numPr>
                <w:ilvl w:val="0"/>
                <w:numId w:val="20"/>
              </w:numPr>
              <w:spacing w:before="60" w:after="60"/>
              <w:ind w:left="357" w:hanging="357"/>
              <w:rPr>
                <w:rFonts w:eastAsiaTheme="majorEastAsia"/>
                <w:sz w:val="21"/>
                <w:szCs w:val="21"/>
              </w:rPr>
            </w:pPr>
            <w:r w:rsidRPr="00201CBA">
              <w:rPr>
                <w:rFonts w:eastAsiaTheme="majorEastAsia"/>
                <w:sz w:val="21"/>
                <w:szCs w:val="21"/>
              </w:rPr>
              <w:t>Do you think the cost recovery provisions should be specified in the NGR?</w:t>
            </w:r>
          </w:p>
        </w:tc>
      </w:tr>
    </w:tbl>
    <w:bookmarkEnd w:id="139"/>
    <w:p w14:paraId="2BEAD1AD" w14:textId="77777777" w:rsidR="00CD147E" w:rsidRDefault="00CD147E" w:rsidP="00827750">
      <w:pPr>
        <w:pStyle w:val="Heading3"/>
        <w:numPr>
          <w:ilvl w:val="2"/>
          <w:numId w:val="40"/>
        </w:numPr>
      </w:pPr>
      <w:r>
        <w:t>Other contractual arrangements required by auction winners</w:t>
      </w:r>
    </w:p>
    <w:p w14:paraId="6A7A9FFA" w14:textId="77777777" w:rsidR="00CD147E" w:rsidRDefault="00CD147E" w:rsidP="00CD147E">
      <w:pPr>
        <w:pStyle w:val="BodyText"/>
      </w:pPr>
      <w:r>
        <w:t xml:space="preserve">In addition to the arrangements outlined above, shippers wishing to procure capacity from the day-ahead auction will need to: </w:t>
      </w:r>
    </w:p>
    <w:p w14:paraId="7D583A9E" w14:textId="77777777" w:rsidR="00CD147E" w:rsidRDefault="00CD147E" w:rsidP="00CD147E">
      <w:pPr>
        <w:pStyle w:val="ListBullet"/>
      </w:pPr>
      <w:r>
        <w:t>enter into an operational GTA with the relevant service provider(s);</w:t>
      </w:r>
      <w:r>
        <w:rPr>
          <w:rStyle w:val="FootnoteReference"/>
          <w:rFonts w:eastAsiaTheme="majorEastAsia"/>
        </w:rPr>
        <w:footnoteReference w:id="81"/>
      </w:r>
      <w:r>
        <w:t xml:space="preserve"> and</w:t>
      </w:r>
    </w:p>
    <w:p w14:paraId="3CCDC8D1" w14:textId="77777777" w:rsidR="00CD147E" w:rsidRDefault="00CD147E" w:rsidP="00CD147E">
      <w:pPr>
        <w:pStyle w:val="ListBullet"/>
        <w:rPr>
          <w:lang w:eastAsia="fr-CA"/>
        </w:rPr>
      </w:pPr>
      <w:proofErr w:type="gramStart"/>
      <w:r>
        <w:rPr>
          <w:lang w:eastAsia="fr-CA"/>
        </w:rPr>
        <w:t>become</w:t>
      </w:r>
      <w:proofErr w:type="gramEnd"/>
      <w:r>
        <w:rPr>
          <w:lang w:eastAsia="fr-CA"/>
        </w:rPr>
        <w:t xml:space="preserve"> a party to the relevant allocation agreement(s) if it wishes to use multi-user receipt or delivery point(s).</w:t>
      </w:r>
    </w:p>
    <w:p w14:paraId="3D9DD8DC" w14:textId="11D9DA26" w:rsidR="00CD147E" w:rsidRDefault="00CD147E" w:rsidP="00CD147E">
      <w:pPr>
        <w:pStyle w:val="BodyText"/>
      </w:pPr>
      <w:r>
        <w:t xml:space="preserve">Further detail on these arrangements can be found in </w:t>
      </w:r>
      <w:r>
        <w:fldChar w:fldCharType="begin"/>
      </w:r>
      <w:r>
        <w:instrText xml:space="preserve"> REF _Ref491414461 \h </w:instrText>
      </w:r>
      <w:r>
        <w:fldChar w:fldCharType="separate"/>
      </w:r>
      <w:r w:rsidR="00272B32">
        <w:t xml:space="preserve">Table </w:t>
      </w:r>
      <w:r w:rsidR="00272B32">
        <w:rPr>
          <w:noProof/>
        </w:rPr>
        <w:t>2</w:t>
      </w:r>
      <w:r w:rsidR="00272B32">
        <w:t>.</w:t>
      </w:r>
      <w:r w:rsidR="00272B32">
        <w:rPr>
          <w:noProof/>
        </w:rPr>
        <w:t>1</w:t>
      </w:r>
      <w:r>
        <w:fldChar w:fldCharType="end"/>
      </w:r>
      <w:r>
        <w:t>.</w:t>
      </w:r>
    </w:p>
    <w:p w14:paraId="4A1B47F6" w14:textId="57477BFB" w:rsidR="00960488" w:rsidRDefault="00CD147E" w:rsidP="00CD147E">
      <w:pPr>
        <w:pStyle w:val="BodyText"/>
      </w:pPr>
      <w:r>
        <w:t xml:space="preserve">The GMRG is currently working on the amendments that would be required to the </w:t>
      </w:r>
      <w:r w:rsidR="00960488">
        <w:t>O</w:t>
      </w:r>
      <w:r>
        <w:t>perational GTA Code that was released f</w:t>
      </w:r>
      <w:r w:rsidR="00960488">
        <w:t xml:space="preserve">or public comment in the </w:t>
      </w:r>
      <w:r w:rsidR="00960488">
        <w:rPr>
          <w:i/>
        </w:rPr>
        <w:t xml:space="preserve">Standardisation Related Reforms and the Capacity Trading Platform Consultation Paper </w:t>
      </w:r>
      <w:r>
        <w:t>to accommodate the auction product.</w:t>
      </w:r>
      <w:r w:rsidR="00960488">
        <w:rPr>
          <w:rStyle w:val="FootnoteReference"/>
        </w:rPr>
        <w:footnoteReference w:id="82"/>
      </w:r>
      <w:r w:rsidR="00960488">
        <w:t xml:space="preserve"> When this was initially discussed with the Standardisation project team, it was noted that most of the provisions that had been drafted for secondary capacity trades </w:t>
      </w:r>
      <w:r w:rsidR="006357C9">
        <w:t xml:space="preserve">could be applied equally </w:t>
      </w:r>
      <w:r w:rsidR="00960488">
        <w:t>to the auction</w:t>
      </w:r>
      <w:r w:rsidR="006357C9">
        <w:t xml:space="preserve"> product</w:t>
      </w:r>
      <w:r w:rsidR="00960488">
        <w:t xml:space="preserve">. Some </w:t>
      </w:r>
      <w:r>
        <w:t>amendments</w:t>
      </w:r>
      <w:r w:rsidR="00960488">
        <w:t xml:space="preserve"> will, however, be required </w:t>
      </w:r>
      <w:r>
        <w:t xml:space="preserve">to, amongst others, </w:t>
      </w:r>
      <w:r w:rsidR="00960488">
        <w:t xml:space="preserve">specify: </w:t>
      </w:r>
    </w:p>
    <w:p w14:paraId="14CD3A4E" w14:textId="77777777" w:rsidR="00960488" w:rsidRDefault="00960488" w:rsidP="00960488">
      <w:pPr>
        <w:pStyle w:val="ListBullet"/>
      </w:pPr>
      <w:r>
        <w:t xml:space="preserve">the auction product definition; </w:t>
      </w:r>
    </w:p>
    <w:p w14:paraId="51FB38BE" w14:textId="77777777" w:rsidR="00960488" w:rsidRDefault="00960488" w:rsidP="00960488">
      <w:pPr>
        <w:pStyle w:val="ListBullet"/>
      </w:pPr>
      <w:r>
        <w:t xml:space="preserve">the priority rights associated with the auction product; </w:t>
      </w:r>
    </w:p>
    <w:p w14:paraId="3EE66D62" w14:textId="4700A883" w:rsidR="00960488" w:rsidRDefault="00960488" w:rsidP="00960488">
      <w:pPr>
        <w:pStyle w:val="ListBullet"/>
      </w:pPr>
      <w:r>
        <w:t xml:space="preserve">what is to occur in the event of a renomination by firm capacity holders; </w:t>
      </w:r>
    </w:p>
    <w:p w14:paraId="6E2C2F43" w14:textId="77777777" w:rsidR="00960488" w:rsidRDefault="00960488" w:rsidP="00960488">
      <w:pPr>
        <w:pStyle w:val="ListBullet"/>
      </w:pPr>
      <w:r>
        <w:t>the imbalance allowance associated with the auction product; and</w:t>
      </w:r>
    </w:p>
    <w:p w14:paraId="185B2739" w14:textId="77777777" w:rsidR="00960488" w:rsidRDefault="00960488" w:rsidP="00960488">
      <w:pPr>
        <w:pStyle w:val="ListBullet"/>
      </w:pPr>
      <w:proofErr w:type="gramStart"/>
      <w:r>
        <w:t>the</w:t>
      </w:r>
      <w:proofErr w:type="gramEnd"/>
      <w:r>
        <w:t xml:space="preserve"> other rights and obligations that will be associated with the auction product. </w:t>
      </w:r>
    </w:p>
    <w:p w14:paraId="7722173B" w14:textId="0148CC0A" w:rsidR="00CD147E" w:rsidRDefault="00960488" w:rsidP="00201CBA">
      <w:pPr>
        <w:pStyle w:val="BodyText"/>
        <w:spacing w:after="0"/>
      </w:pPr>
      <w:r>
        <w:t xml:space="preserve">The GMRG is </w:t>
      </w:r>
      <w:r w:rsidR="00CD147E">
        <w:t>interested in getting stakeholders’ feed</w:t>
      </w:r>
      <w:r>
        <w:t>back on the changes that may need to be made to the Operational GTA Code to accommodate the auction product.</w:t>
      </w:r>
    </w:p>
    <w:tbl>
      <w:tblPr>
        <w:tblStyle w:val="PullOutBoxTable"/>
        <w:tblW w:w="5000" w:type="pct"/>
        <w:shd w:val="clear" w:color="auto" w:fill="B7E7FF"/>
        <w:tblLook w:val="0620" w:firstRow="1" w:lastRow="0" w:firstColumn="0" w:lastColumn="0" w:noHBand="1" w:noVBand="1"/>
        <w:tblCaption w:val="Box 6.5: Questions on amendments to the Operational GTA Code"/>
        <w:tblDescription w:val="Questions on amendments to the Operational GTA Code"/>
      </w:tblPr>
      <w:tblGrid>
        <w:gridCol w:w="8788"/>
      </w:tblGrid>
      <w:tr w:rsidR="00CD147E" w:rsidRPr="007F3565" w14:paraId="145C8787" w14:textId="77777777" w:rsidTr="003974E4">
        <w:trPr>
          <w:tblHeader/>
        </w:trPr>
        <w:tc>
          <w:tcPr>
            <w:tcW w:w="5000" w:type="pct"/>
            <w:shd w:val="clear" w:color="auto" w:fill="auto"/>
          </w:tcPr>
          <w:p w14:paraId="57CDFC7F" w14:textId="409C1AC4" w:rsidR="00CD147E" w:rsidRPr="00201CBA" w:rsidRDefault="00201CBA" w:rsidP="00201CBA">
            <w:pPr>
              <w:pStyle w:val="ListNumber"/>
              <w:numPr>
                <w:ilvl w:val="0"/>
                <w:numId w:val="0"/>
              </w:numPr>
              <w:spacing w:before="0" w:after="0"/>
              <w:rPr>
                <w:rFonts w:eastAsiaTheme="majorEastAsia"/>
                <w:b/>
                <w:sz w:val="21"/>
                <w:szCs w:val="21"/>
              </w:rPr>
            </w:pPr>
            <w:r w:rsidRPr="00201CBA">
              <w:rPr>
                <w:b/>
              </w:rPr>
              <w:t xml:space="preserve">Box </w:t>
            </w:r>
            <w:r w:rsidRPr="00201CBA">
              <w:rPr>
                <w:b/>
              </w:rPr>
              <w:fldChar w:fldCharType="begin"/>
            </w:r>
            <w:r w:rsidRPr="00201CBA">
              <w:rPr>
                <w:b/>
              </w:rPr>
              <w:instrText xml:space="preserve"> STYLEREF 1 \s </w:instrText>
            </w:r>
            <w:r w:rsidRPr="00201CBA">
              <w:rPr>
                <w:b/>
              </w:rPr>
              <w:fldChar w:fldCharType="separate"/>
            </w:r>
            <w:r w:rsidRPr="00201CBA">
              <w:rPr>
                <w:b/>
                <w:noProof/>
              </w:rPr>
              <w:t>6</w:t>
            </w:r>
            <w:r w:rsidRPr="00201CBA">
              <w:rPr>
                <w:b/>
                <w:noProof/>
              </w:rPr>
              <w:fldChar w:fldCharType="end"/>
            </w:r>
            <w:r w:rsidRPr="00201CBA">
              <w:rPr>
                <w:b/>
              </w:rPr>
              <w:t>.</w:t>
            </w:r>
            <w:r w:rsidRPr="00201CBA">
              <w:rPr>
                <w:b/>
              </w:rPr>
              <w:fldChar w:fldCharType="begin"/>
            </w:r>
            <w:r w:rsidRPr="00201CBA">
              <w:rPr>
                <w:b/>
              </w:rPr>
              <w:instrText xml:space="preserve"> SEQ Box \* ARABIC \s 1 </w:instrText>
            </w:r>
            <w:r w:rsidRPr="00201CBA">
              <w:rPr>
                <w:b/>
              </w:rPr>
              <w:fldChar w:fldCharType="separate"/>
            </w:r>
            <w:r w:rsidRPr="00201CBA">
              <w:rPr>
                <w:b/>
                <w:noProof/>
              </w:rPr>
              <w:t>5</w:t>
            </w:r>
            <w:r w:rsidRPr="00201CBA">
              <w:rPr>
                <w:b/>
                <w:noProof/>
              </w:rPr>
              <w:fldChar w:fldCharType="end"/>
            </w:r>
            <w:r w:rsidRPr="00201CBA">
              <w:rPr>
                <w:b/>
              </w:rPr>
              <w:t xml:space="preserve">: </w:t>
            </w:r>
            <w:r w:rsidRPr="00201CBA">
              <w:rPr>
                <w:b/>
                <w:bCs/>
              </w:rPr>
              <w:t>Questions on amendments to the Operational GTA Code</w:t>
            </w:r>
          </w:p>
        </w:tc>
      </w:tr>
      <w:tr w:rsidR="00201CBA" w:rsidRPr="007F3565" w14:paraId="6275E362" w14:textId="77777777" w:rsidTr="003974E4">
        <w:tc>
          <w:tcPr>
            <w:tcW w:w="5000" w:type="pct"/>
            <w:shd w:val="clear" w:color="auto" w:fill="B7E7FF"/>
          </w:tcPr>
          <w:p w14:paraId="52B0C4AC" w14:textId="47BB35B9" w:rsidR="00201CBA" w:rsidRPr="00960488" w:rsidRDefault="00201CBA" w:rsidP="00201CBA">
            <w:pPr>
              <w:pStyle w:val="ListNumber"/>
              <w:numPr>
                <w:ilvl w:val="0"/>
                <w:numId w:val="20"/>
              </w:numPr>
              <w:spacing w:before="0" w:after="0"/>
              <w:ind w:left="357" w:hanging="357"/>
              <w:rPr>
                <w:rFonts w:eastAsiaTheme="majorEastAsia"/>
                <w:sz w:val="21"/>
                <w:szCs w:val="21"/>
              </w:rPr>
            </w:pPr>
            <w:r w:rsidRPr="00960488">
              <w:rPr>
                <w:rFonts w:eastAsiaTheme="majorEastAsia"/>
                <w:sz w:val="21"/>
                <w:szCs w:val="21"/>
              </w:rPr>
              <w:t>What changes do you think will need to be made to the Operational Code that was released f</w:t>
            </w:r>
            <w:r w:rsidRPr="00960488">
              <w:rPr>
                <w:sz w:val="21"/>
                <w:szCs w:val="21"/>
              </w:rPr>
              <w:t xml:space="preserve">or public comment in the </w:t>
            </w:r>
            <w:r w:rsidRPr="00960488">
              <w:rPr>
                <w:i/>
                <w:sz w:val="21"/>
                <w:szCs w:val="21"/>
              </w:rPr>
              <w:t xml:space="preserve">Standardisation Related Reforms and the Capacity Trading Platform Consultation Paper </w:t>
            </w:r>
            <w:r w:rsidRPr="00960488">
              <w:rPr>
                <w:sz w:val="21"/>
                <w:szCs w:val="21"/>
              </w:rPr>
              <w:t>to accommodate the auction product?</w:t>
            </w:r>
          </w:p>
        </w:tc>
      </w:tr>
    </w:tbl>
    <w:p w14:paraId="32A4B75C" w14:textId="6F4D6CA0" w:rsidR="00EF3175" w:rsidRPr="004C0F7F" w:rsidRDefault="00F26E33" w:rsidP="00EF3175">
      <w:pPr>
        <w:pStyle w:val="Heading2"/>
      </w:pPr>
      <w:bookmarkStart w:id="143" w:name="_Toc495351654"/>
      <w:r>
        <w:t>Use of the STTM and DWGM by auction participants</w:t>
      </w:r>
      <w:bookmarkEnd w:id="143"/>
    </w:p>
    <w:p w14:paraId="46C1C350" w14:textId="3C9FE5EC" w:rsidR="003E28ED" w:rsidRPr="00D74E82" w:rsidRDefault="00F26E33" w:rsidP="003E28ED">
      <w:pPr>
        <w:pStyle w:val="BodyText"/>
      </w:pPr>
      <w:r>
        <w:t>Auction participants</w:t>
      </w:r>
      <w:r w:rsidR="003E28ED">
        <w:t xml:space="preserve"> that procure capacity through the day-ahead auction </w:t>
      </w:r>
      <w:r>
        <w:t>that</w:t>
      </w:r>
      <w:r w:rsidR="003E28ED">
        <w:t xml:space="preserve"> want to supply gas to </w:t>
      </w:r>
      <w:r w:rsidR="007E7936">
        <w:t xml:space="preserve">either </w:t>
      </w:r>
      <w:r w:rsidR="003E28ED">
        <w:t>a STTM or the DWGM</w:t>
      </w:r>
      <w:r>
        <w:t xml:space="preserve"> will need to have a number of arrangements in place</w:t>
      </w:r>
      <w:r w:rsidR="003E28ED">
        <w:t xml:space="preserve">. </w:t>
      </w:r>
      <w:r>
        <w:t>Further detail on the</w:t>
      </w:r>
      <w:r w:rsidR="007E7936">
        <w:t>se</w:t>
      </w:r>
      <w:r>
        <w:t xml:space="preserve"> arrangements is provided below.</w:t>
      </w:r>
    </w:p>
    <w:p w14:paraId="126EB579" w14:textId="77777777" w:rsidR="003E28ED" w:rsidRDefault="003E28ED" w:rsidP="003E28ED">
      <w:pPr>
        <w:pStyle w:val="Heading3"/>
      </w:pPr>
      <w:bookmarkStart w:id="144" w:name="_Ref492225139"/>
      <w:r>
        <w:t xml:space="preserve">Interaction with the </w:t>
      </w:r>
      <w:r w:rsidRPr="008B1B73">
        <w:t>STTM</w:t>
      </w:r>
      <w:bookmarkEnd w:id="144"/>
    </w:p>
    <w:p w14:paraId="12D452E5" w14:textId="3FA8F383" w:rsidR="00E53BA0" w:rsidRDefault="00AE6706" w:rsidP="002C00C0">
      <w:pPr>
        <w:pStyle w:val="BodyText"/>
      </w:pPr>
      <w:r>
        <w:rPr>
          <w:rFonts w:cs="Arial"/>
        </w:rPr>
        <w:t xml:space="preserve">Auction participants that want to transport gas into the Adelaide, Brisbane or Sydney </w:t>
      </w:r>
      <w:r w:rsidRPr="007372B2">
        <w:t>STTM</w:t>
      </w:r>
      <w:r>
        <w:t xml:space="preserve"> will need </w:t>
      </w:r>
      <w:r w:rsidR="002C00C0">
        <w:t>to be registered STTM participants and register their operational GTA with AEMO.</w:t>
      </w:r>
      <w:r w:rsidR="002C00C0">
        <w:rPr>
          <w:rStyle w:val="FootnoteReference"/>
        </w:rPr>
        <w:footnoteReference w:id="83"/>
      </w:r>
      <w:r w:rsidR="002C00C0">
        <w:t xml:space="preserve"> </w:t>
      </w:r>
      <w:r w:rsidR="002C00C0">
        <w:rPr>
          <w:rFonts w:cs="Arial"/>
        </w:rPr>
        <w:t>Because t</w:t>
      </w:r>
      <w:r>
        <w:rPr>
          <w:rFonts w:cs="Arial"/>
        </w:rPr>
        <w:t xml:space="preserve">he day-ahead auction will be conducted a number of hours after the </w:t>
      </w:r>
      <w:r w:rsidR="002C00C0">
        <w:rPr>
          <w:rFonts w:cs="Arial"/>
        </w:rPr>
        <w:t xml:space="preserve">STTM </w:t>
      </w:r>
      <w:r>
        <w:rPr>
          <w:rFonts w:cs="Arial"/>
        </w:rPr>
        <w:t>ex-ante schedule is determined</w:t>
      </w:r>
      <w:r w:rsidR="002C00C0">
        <w:rPr>
          <w:rFonts w:cs="Arial"/>
        </w:rPr>
        <w:t xml:space="preserve">, auction participants </w:t>
      </w:r>
      <w:r w:rsidR="003E28ED">
        <w:t xml:space="preserve">will not </w:t>
      </w:r>
      <w:r w:rsidR="003E28ED" w:rsidRPr="007372B2">
        <w:t xml:space="preserve">be able to participate in the </w:t>
      </w:r>
      <w:r w:rsidR="003E28ED">
        <w:t>ex-ante</w:t>
      </w:r>
      <w:r w:rsidR="003E28ED" w:rsidRPr="007372B2">
        <w:t xml:space="preserve"> schedule</w:t>
      </w:r>
      <w:r>
        <w:t xml:space="preserve">. They will instead need to </w:t>
      </w:r>
      <w:r w:rsidR="003E28ED" w:rsidRPr="007372B2">
        <w:t>use market schedule variations (MSVs)</w:t>
      </w:r>
      <w:r>
        <w:t xml:space="preserve"> </w:t>
      </w:r>
      <w:r w:rsidR="002C00C0">
        <w:t xml:space="preserve">if they want </w:t>
      </w:r>
      <w:r>
        <w:t xml:space="preserve">to avoid </w:t>
      </w:r>
      <w:r w:rsidR="002C00C0">
        <w:t>the deviation</w:t>
      </w:r>
      <w:r>
        <w:t xml:space="preserve"> </w:t>
      </w:r>
      <w:r w:rsidR="002C00C0">
        <w:t xml:space="preserve">charges or payments that would otherwise arise because they have deviated from the </w:t>
      </w:r>
      <w:proofErr w:type="spellStart"/>
      <w:r w:rsidR="002C00C0">
        <w:t>ex ante</w:t>
      </w:r>
      <w:proofErr w:type="spellEnd"/>
      <w:r w:rsidR="002C00C0">
        <w:t xml:space="preserve"> schedule</w:t>
      </w:r>
      <w:r w:rsidR="003E28ED" w:rsidRPr="007372B2">
        <w:t>.</w:t>
      </w:r>
      <w:r w:rsidR="00E53BA0">
        <w:t xml:space="preserve"> For example, if </w:t>
      </w:r>
      <w:r w:rsidR="007E7936">
        <w:t xml:space="preserve">an </w:t>
      </w:r>
      <w:r w:rsidR="00E53BA0">
        <w:t>auction participant wants to use the auctioned capacity to deliver gas to the STTM then it must be matched by either:</w:t>
      </w:r>
    </w:p>
    <w:p w14:paraId="49F8C882" w14:textId="0F3857BD" w:rsidR="00E53BA0" w:rsidRDefault="00E53BA0" w:rsidP="00E53BA0">
      <w:pPr>
        <w:pStyle w:val="ListBullet"/>
      </w:pPr>
      <w:r>
        <w:t>an increase in withdrawals from or at the STTM hub; or</w:t>
      </w:r>
    </w:p>
    <w:p w14:paraId="7F8AB1C4" w14:textId="0A087D1D" w:rsidR="00E53BA0" w:rsidRDefault="00E53BA0" w:rsidP="00E53BA0">
      <w:pPr>
        <w:pStyle w:val="ListBullet"/>
      </w:pPr>
      <w:proofErr w:type="gramStart"/>
      <w:r>
        <w:t>a</w:t>
      </w:r>
      <w:proofErr w:type="gramEnd"/>
      <w:r>
        <w:t xml:space="preserve"> decrease in the supply to the STTM hub by another shipper.</w:t>
      </w:r>
    </w:p>
    <w:p w14:paraId="5383EF1A" w14:textId="20006393" w:rsidR="002C00C0" w:rsidRPr="002C00C0" w:rsidRDefault="002C00C0" w:rsidP="002C00C0">
      <w:pPr>
        <w:pStyle w:val="BodyText"/>
      </w:pPr>
      <w:r w:rsidRPr="002C00C0">
        <w:t xml:space="preserve">There are two ways in which </w:t>
      </w:r>
      <w:r>
        <w:t xml:space="preserve">MSVs </w:t>
      </w:r>
      <w:r w:rsidRPr="002C00C0">
        <w:t>can be used:</w:t>
      </w:r>
      <w:r>
        <w:rPr>
          <w:rStyle w:val="FootnoteReference"/>
        </w:rPr>
        <w:footnoteReference w:id="84"/>
      </w:r>
      <w:r w:rsidRPr="002C00C0">
        <w:t xml:space="preserve"> </w:t>
      </w:r>
    </w:p>
    <w:p w14:paraId="07789FED" w14:textId="639F0843" w:rsidR="002C00C0" w:rsidRPr="002C00C0" w:rsidRDefault="002C00C0" w:rsidP="002C00C0">
      <w:pPr>
        <w:pStyle w:val="ListBullet"/>
      </w:pPr>
      <w:r>
        <w:t>w</w:t>
      </w:r>
      <w:r w:rsidRPr="002C00C0">
        <w:t xml:space="preserve">hen a shipper makes an intraday nomination to a </w:t>
      </w:r>
      <w:r>
        <w:t>service provider</w:t>
      </w:r>
      <w:r w:rsidRPr="002C00C0">
        <w:t xml:space="preserve">, the shipper can submit a </w:t>
      </w:r>
      <w:r>
        <w:t xml:space="preserve">MSV </w:t>
      </w:r>
      <w:r w:rsidRPr="002C00C0">
        <w:t>to inform AEMO of the change and so avoid the deviation charges or payments that would otherwise arise</w:t>
      </w:r>
      <w:r>
        <w:t>; or</w:t>
      </w:r>
      <w:r w:rsidRPr="002C00C0">
        <w:t xml:space="preserve"> </w:t>
      </w:r>
    </w:p>
    <w:p w14:paraId="399BF4A8" w14:textId="7E357FDE" w:rsidR="002C00C0" w:rsidRPr="002C00C0" w:rsidRDefault="002C00C0" w:rsidP="002C00C0">
      <w:pPr>
        <w:pStyle w:val="ListBullet"/>
      </w:pPr>
      <w:proofErr w:type="gramStart"/>
      <w:r>
        <w:t>a</w:t>
      </w:r>
      <w:proofErr w:type="gramEnd"/>
      <w:r w:rsidRPr="002C00C0">
        <w:t xml:space="preserve"> shipper or user can submit a </w:t>
      </w:r>
      <w:r>
        <w:t xml:space="preserve">MSV </w:t>
      </w:r>
      <w:r w:rsidRPr="002C00C0">
        <w:t xml:space="preserve">variation without a corresponding intraday nomination to transfer a deviation to another shipper or user. </w:t>
      </w:r>
    </w:p>
    <w:p w14:paraId="6B4F909E" w14:textId="18BA7031" w:rsidR="002C00C0" w:rsidRDefault="002C00C0" w:rsidP="002C00C0">
      <w:pPr>
        <w:pStyle w:val="BodyText"/>
      </w:pPr>
      <w:r w:rsidRPr="002C00C0">
        <w:t xml:space="preserve">There are two parties to every market schedule variation: the shipper or user who submits the </w:t>
      </w:r>
      <w:r>
        <w:t xml:space="preserve">MSV </w:t>
      </w:r>
      <w:r w:rsidRPr="002C00C0">
        <w:t xml:space="preserve">and the confirming shipper or user who accepts it. </w:t>
      </w:r>
      <w:r>
        <w:t xml:space="preserve">MSVs </w:t>
      </w:r>
      <w:r w:rsidRPr="002C00C0">
        <w:t>must be accepted by the confirming party before AEMO will apply the variation to each party’s schedules.</w:t>
      </w:r>
    </w:p>
    <w:p w14:paraId="436EC9AA" w14:textId="5FA0AC96" w:rsidR="0065529C" w:rsidRDefault="0065529C" w:rsidP="0065529C">
      <w:pPr>
        <w:pStyle w:val="BodyText"/>
      </w:pPr>
      <w:r>
        <w:t xml:space="preserve">It is worth noting that while this appears to be a complex workaround, it is currently used by market participants to deal with other variations. </w:t>
      </w:r>
    </w:p>
    <w:p w14:paraId="27F75B88" w14:textId="7A95E917" w:rsidR="00AE6706" w:rsidRDefault="00AE6706" w:rsidP="0006277B">
      <w:pPr>
        <w:pStyle w:val="Heading3"/>
        <w:spacing w:after="120"/>
      </w:pPr>
      <w:r>
        <w:t>Interaction with the DWGM</w:t>
      </w:r>
    </w:p>
    <w:p w14:paraId="5C32DB40" w14:textId="60C1F691" w:rsidR="003E28ED" w:rsidRDefault="003E28ED" w:rsidP="0006277B">
      <w:pPr>
        <w:pStyle w:val="BodyText"/>
        <w:spacing w:before="0" w:line="252" w:lineRule="auto"/>
        <w:rPr>
          <w:rFonts w:cs="Arial"/>
        </w:rPr>
      </w:pPr>
      <w:r>
        <w:rPr>
          <w:rFonts w:cs="Arial"/>
        </w:rPr>
        <w:t xml:space="preserve">In contrast to the STTM, the DWGM runs five schedules during the gas day. </w:t>
      </w:r>
      <w:r w:rsidR="00F26E33">
        <w:rPr>
          <w:rFonts w:cs="Arial"/>
        </w:rPr>
        <w:t>Auction participants</w:t>
      </w:r>
      <w:r>
        <w:rPr>
          <w:rFonts w:cs="Arial"/>
        </w:rPr>
        <w:t xml:space="preserve"> that procure </w:t>
      </w:r>
      <w:r w:rsidRPr="007372B2">
        <w:rPr>
          <w:rFonts w:cs="Arial"/>
        </w:rPr>
        <w:t xml:space="preserve">capacity through the </w:t>
      </w:r>
      <w:r w:rsidR="002C00C0">
        <w:rPr>
          <w:rFonts w:cs="Arial"/>
        </w:rPr>
        <w:t xml:space="preserve">day-ahead auction </w:t>
      </w:r>
      <w:r>
        <w:rPr>
          <w:rFonts w:cs="Arial"/>
        </w:rPr>
        <w:t>for supply to the edge of the DTS (</w:t>
      </w:r>
      <w:r w:rsidR="007E7936">
        <w:rPr>
          <w:rFonts w:cs="Arial"/>
        </w:rPr>
        <w:t>e.g.</w:t>
      </w:r>
      <w:r>
        <w:rPr>
          <w:rFonts w:cs="Arial"/>
        </w:rPr>
        <w:t xml:space="preserve"> to the </w:t>
      </w:r>
      <w:r w:rsidRPr="008B1B73">
        <w:t>Culcairn System Injection Point</w:t>
      </w:r>
      <w:r>
        <w:t xml:space="preserve">) on gas day D </w:t>
      </w:r>
      <w:r>
        <w:rPr>
          <w:rFonts w:cs="Arial"/>
        </w:rPr>
        <w:t xml:space="preserve">will still therefore be able to participate in the DWGM’s scheduling processes on gas day D if they are a registered DWGM market participant. </w:t>
      </w:r>
    </w:p>
    <w:p w14:paraId="1FD8D325" w14:textId="6E1C0B5D" w:rsidR="003E28ED" w:rsidRPr="008B1B73" w:rsidRDefault="003E28ED" w:rsidP="0006277B">
      <w:pPr>
        <w:pStyle w:val="BodyText"/>
        <w:spacing w:line="252" w:lineRule="auto"/>
      </w:pPr>
      <w:r>
        <w:rPr>
          <w:rFonts w:cs="Arial"/>
        </w:rPr>
        <w:t xml:space="preserve">The only potential complexity that the integration of the </w:t>
      </w:r>
      <w:r w:rsidR="00E53BA0">
        <w:rPr>
          <w:rFonts w:cs="Arial"/>
        </w:rPr>
        <w:t xml:space="preserve">day-ahead auction </w:t>
      </w:r>
      <w:r>
        <w:rPr>
          <w:rFonts w:cs="Arial"/>
        </w:rPr>
        <w:t xml:space="preserve">and </w:t>
      </w:r>
      <w:r w:rsidR="00E53BA0">
        <w:rPr>
          <w:rFonts w:cs="Arial"/>
        </w:rPr>
        <w:t xml:space="preserve">the </w:t>
      </w:r>
      <w:r>
        <w:rPr>
          <w:rFonts w:cs="Arial"/>
        </w:rPr>
        <w:t xml:space="preserve">DWGM raises is that AEMO, in its capacity as DWGM operator, would need to know what accreditation constraint to apply to the capacity </w:t>
      </w:r>
      <w:r w:rsidR="00E53BA0">
        <w:rPr>
          <w:rFonts w:cs="Arial"/>
        </w:rPr>
        <w:t>purchased through the auction.</w:t>
      </w:r>
      <w:r w:rsidRPr="008B1B73">
        <w:rPr>
          <w:rStyle w:val="FootnoteReference"/>
          <w:rFonts w:eastAsia="Cambria"/>
        </w:rPr>
        <w:footnoteReference w:id="85"/>
      </w:r>
      <w:r>
        <w:rPr>
          <w:rStyle w:val="MySuperscript"/>
          <w:rFonts w:eastAsia="Cambria"/>
        </w:rPr>
        <w:t>,</w:t>
      </w:r>
      <w:r>
        <w:rPr>
          <w:rStyle w:val="FootnoteReference"/>
          <w:rFonts w:eastAsia="Cambria"/>
        </w:rPr>
        <w:footnoteReference w:id="86"/>
      </w:r>
      <w:r w:rsidR="007E7936">
        <w:rPr>
          <w:rStyle w:val="MySuperscript"/>
          <w:rFonts w:eastAsia="Cambria"/>
        </w:rPr>
        <w:t xml:space="preserve"> </w:t>
      </w:r>
      <w:r w:rsidRPr="008B1B73">
        <w:rPr>
          <w:rFonts w:cs="Arial"/>
        </w:rPr>
        <w:t xml:space="preserve">Accreditation </w:t>
      </w:r>
      <w:r>
        <w:rPr>
          <w:rFonts w:cs="Arial"/>
        </w:rPr>
        <w:t xml:space="preserve">constraints </w:t>
      </w:r>
      <w:r w:rsidRPr="008B1B73">
        <w:rPr>
          <w:rFonts w:cs="Arial"/>
        </w:rPr>
        <w:t xml:space="preserve">reflect </w:t>
      </w:r>
      <w:r>
        <w:rPr>
          <w:rFonts w:cs="Arial"/>
        </w:rPr>
        <w:t xml:space="preserve">the </w:t>
      </w:r>
      <w:r w:rsidRPr="008B1B73">
        <w:rPr>
          <w:rFonts w:cs="Arial"/>
        </w:rPr>
        <w:t xml:space="preserve">contractual or operational constraints, such as </w:t>
      </w:r>
      <w:r>
        <w:rPr>
          <w:rFonts w:cs="Arial"/>
        </w:rPr>
        <w:t xml:space="preserve">the </w:t>
      </w:r>
      <w:r w:rsidRPr="008B1B73">
        <w:rPr>
          <w:rFonts w:cs="Arial"/>
        </w:rPr>
        <w:t xml:space="preserve">MHQ, </w:t>
      </w:r>
      <w:r>
        <w:rPr>
          <w:rFonts w:cs="Arial"/>
        </w:rPr>
        <w:t xml:space="preserve">that are to be </w:t>
      </w:r>
      <w:r w:rsidR="00425188">
        <w:rPr>
          <w:rFonts w:cs="Arial"/>
        </w:rPr>
        <w:t>considered</w:t>
      </w:r>
      <w:r>
        <w:rPr>
          <w:rFonts w:cs="Arial"/>
        </w:rPr>
        <w:t xml:space="preserve"> by AEMO</w:t>
      </w:r>
      <w:r w:rsidRPr="008B1B73">
        <w:rPr>
          <w:rFonts w:cs="Arial"/>
        </w:rPr>
        <w:t xml:space="preserve"> in the scheduling process. For example, </w:t>
      </w:r>
      <w:r>
        <w:rPr>
          <w:rFonts w:cs="Arial"/>
        </w:rPr>
        <w:t xml:space="preserve">if </w:t>
      </w:r>
      <w:r w:rsidRPr="008B1B73">
        <w:rPr>
          <w:rFonts w:cs="Arial"/>
        </w:rPr>
        <w:t xml:space="preserve">a participant has purchased 10 TJ of capacity for one day with </w:t>
      </w:r>
      <w:r>
        <w:rPr>
          <w:rFonts w:cs="Arial"/>
        </w:rPr>
        <w:t>an MHQ</w:t>
      </w:r>
      <w:r w:rsidR="0065529C">
        <w:rPr>
          <w:rFonts w:cs="Arial"/>
        </w:rPr>
        <w:t>:MDQ</w:t>
      </w:r>
      <w:r>
        <w:rPr>
          <w:rFonts w:cs="Arial"/>
        </w:rPr>
        <w:t xml:space="preserve"> factor of 1</w:t>
      </w:r>
      <w:r w:rsidR="0065529C">
        <w:rPr>
          <w:rFonts w:cs="Arial"/>
        </w:rPr>
        <w:t>:</w:t>
      </w:r>
      <w:r>
        <w:rPr>
          <w:rFonts w:cs="Arial"/>
        </w:rPr>
        <w:t>24, t</w:t>
      </w:r>
      <w:r w:rsidRPr="008B1B73">
        <w:rPr>
          <w:rFonts w:cs="Arial"/>
        </w:rPr>
        <w:t>his would imply a</w:t>
      </w:r>
      <w:r w:rsidR="0006277B">
        <w:rPr>
          <w:rFonts w:cs="Arial"/>
        </w:rPr>
        <w:t>n</w:t>
      </w:r>
      <w:r w:rsidRPr="008B1B73">
        <w:rPr>
          <w:rFonts w:cs="Arial"/>
        </w:rPr>
        <w:t xml:space="preserve"> MHQ of 417 GJ per hour (10,000 GJ</w:t>
      </w:r>
      <w:r>
        <w:rPr>
          <w:rFonts w:cs="Arial"/>
        </w:rPr>
        <w:t>÷</w:t>
      </w:r>
      <w:r w:rsidRPr="008B1B73">
        <w:rPr>
          <w:rFonts w:cs="Arial"/>
        </w:rPr>
        <w:t xml:space="preserve">24 hours) and this constraint would be reflected in how AEMO schedules the participant in the DWGM. </w:t>
      </w:r>
    </w:p>
    <w:p w14:paraId="5C28F49A" w14:textId="7D78596A" w:rsidR="003E28ED" w:rsidRPr="008B1B73" w:rsidRDefault="003E28ED" w:rsidP="0006277B">
      <w:pPr>
        <w:pStyle w:val="BodyText"/>
        <w:spacing w:line="252" w:lineRule="auto"/>
      </w:pPr>
      <w:r w:rsidRPr="008B1B73">
        <w:t xml:space="preserve">Accreditation constraints for </w:t>
      </w:r>
      <w:r>
        <w:t xml:space="preserve">capacity purchased through the </w:t>
      </w:r>
      <w:r w:rsidR="0006277B">
        <w:t xml:space="preserve">auction </w:t>
      </w:r>
      <w:r w:rsidRPr="008B1B73">
        <w:t xml:space="preserve">could be </w:t>
      </w:r>
      <w:r>
        <w:t xml:space="preserve">dealt with </w:t>
      </w:r>
      <w:r w:rsidRPr="008B1B73">
        <w:t>in the following way</w:t>
      </w:r>
      <w:r>
        <w:t>s</w:t>
      </w:r>
      <w:r w:rsidRPr="008B1B73">
        <w:t>:</w:t>
      </w:r>
    </w:p>
    <w:p w14:paraId="2A3CA0B2" w14:textId="5108D2A1" w:rsidR="003E28ED" w:rsidRPr="008B1B73" w:rsidRDefault="003E28ED" w:rsidP="00187EB2">
      <w:pPr>
        <w:pStyle w:val="ListBullet"/>
        <w:numPr>
          <w:ilvl w:val="0"/>
          <w:numId w:val="25"/>
        </w:numPr>
        <w:spacing w:line="252" w:lineRule="auto"/>
      </w:pPr>
      <w:r w:rsidRPr="008B1B73">
        <w:rPr>
          <w:rStyle w:val="Bold"/>
        </w:rPr>
        <w:t>Standing accreditation constraint</w:t>
      </w:r>
      <w:r w:rsidRPr="008B1B73">
        <w:t xml:space="preserve">: A default accreditation constraint </w:t>
      </w:r>
      <w:r>
        <w:t>could remain</w:t>
      </w:r>
      <w:r w:rsidRPr="008B1B73">
        <w:t xml:space="preserve"> in place for all transactions unless a participant requests a change.</w:t>
      </w:r>
      <w:r w:rsidR="0006277B">
        <w:rPr>
          <w:rStyle w:val="FootnoteReference"/>
        </w:rPr>
        <w:footnoteReference w:id="87"/>
      </w:r>
      <w:r w:rsidRPr="008B1B73">
        <w:t xml:space="preserve"> </w:t>
      </w:r>
    </w:p>
    <w:p w14:paraId="72EDA3F4" w14:textId="212A9752" w:rsidR="003E28ED" w:rsidRPr="008B1B73" w:rsidRDefault="003E28ED" w:rsidP="00187EB2">
      <w:pPr>
        <w:pStyle w:val="ListBullet"/>
        <w:numPr>
          <w:ilvl w:val="0"/>
          <w:numId w:val="26"/>
        </w:numPr>
        <w:spacing w:line="252" w:lineRule="auto"/>
      </w:pPr>
      <w:r w:rsidRPr="008B1B73">
        <w:rPr>
          <w:rStyle w:val="Bold"/>
        </w:rPr>
        <w:t>Automatic accreditation constraints</w:t>
      </w:r>
      <w:r w:rsidRPr="008B1B73">
        <w:t xml:space="preserve">: Constraints </w:t>
      </w:r>
      <w:r>
        <w:t xml:space="preserve">could </w:t>
      </w:r>
      <w:r w:rsidRPr="008B1B73">
        <w:t xml:space="preserve">automatically </w:t>
      </w:r>
      <w:r>
        <w:t xml:space="preserve">be </w:t>
      </w:r>
      <w:r w:rsidRPr="008B1B73">
        <w:t xml:space="preserve">updated when capacity is purchased </w:t>
      </w:r>
      <w:r w:rsidR="00E53BA0">
        <w:t>through the auction</w:t>
      </w:r>
      <w:r w:rsidRPr="008B1B73">
        <w:t>.</w:t>
      </w:r>
      <w:r w:rsidR="0006277B">
        <w:rPr>
          <w:rStyle w:val="FootnoteReference"/>
        </w:rPr>
        <w:footnoteReference w:id="88"/>
      </w:r>
      <w:r w:rsidRPr="008B1B73">
        <w:t xml:space="preserve"> </w:t>
      </w:r>
    </w:p>
    <w:p w14:paraId="21B7B8EF" w14:textId="3B15FD65" w:rsidR="003E28ED" w:rsidRDefault="003E28ED" w:rsidP="00187EB2">
      <w:pPr>
        <w:pStyle w:val="ListBullet"/>
        <w:numPr>
          <w:ilvl w:val="0"/>
          <w:numId w:val="26"/>
        </w:numPr>
        <w:spacing w:line="252" w:lineRule="auto"/>
      </w:pPr>
      <w:r w:rsidRPr="008B1B73">
        <w:rPr>
          <w:rStyle w:val="Bold"/>
        </w:rPr>
        <w:t>Blank accreditation constraints</w:t>
      </w:r>
      <w:r w:rsidRPr="008B1B73">
        <w:t>: No accreditation constraint is entered for capacity purchased on the platform or auction</w:t>
      </w:r>
      <w:r w:rsidR="00E53BA0">
        <w:t xml:space="preserve"> and participants manage the limitations through their bids</w:t>
      </w:r>
      <w:r w:rsidRPr="008B1B73">
        <w:t>.</w:t>
      </w:r>
      <w:r w:rsidR="00E53BA0">
        <w:rPr>
          <w:rStyle w:val="FootnoteReference"/>
        </w:rPr>
        <w:footnoteReference w:id="89"/>
      </w:r>
      <w:r w:rsidRPr="008B1B73">
        <w:t xml:space="preserve"> </w:t>
      </w:r>
    </w:p>
    <w:p w14:paraId="0B0F79E9" w14:textId="68FC710C" w:rsidR="00EF3175" w:rsidRDefault="00DF08E7" w:rsidP="00EF3175">
      <w:pPr>
        <w:pStyle w:val="BodyText"/>
      </w:pPr>
      <w:r>
        <w:t xml:space="preserve">The GMRG understands that </w:t>
      </w:r>
      <w:r w:rsidR="0006277B" w:rsidRPr="008B1B73">
        <w:t xml:space="preserve">AEMO is </w:t>
      </w:r>
      <w:r w:rsidR="0006277B">
        <w:t xml:space="preserve">carrying out further work </w:t>
      </w:r>
      <w:r w:rsidR="0006277B" w:rsidRPr="008B1B73">
        <w:t>to understand the strengths, limitations and costs of the different options</w:t>
      </w:r>
      <w:r w:rsidR="0006277B">
        <w:t xml:space="preserve">, which will be informed by feedback on the </w:t>
      </w:r>
      <w:r w:rsidR="0006277B" w:rsidRPr="008B0055">
        <w:rPr>
          <w:i/>
        </w:rPr>
        <w:t>Standardisation Related Reforms and Capacity Trading Platform Consultation Paper</w:t>
      </w:r>
      <w:r w:rsidR="0006277B">
        <w:t xml:space="preserve">. </w:t>
      </w:r>
      <w:r w:rsidR="00EF3175">
        <w:br w:type="page"/>
      </w:r>
    </w:p>
    <w:p w14:paraId="6622B4E9" w14:textId="53CBFF24" w:rsidR="003416C5" w:rsidRPr="00E3255D" w:rsidRDefault="00E3255D" w:rsidP="003416C5">
      <w:pPr>
        <w:pStyle w:val="Heading1"/>
        <w:ind w:right="-143"/>
      </w:pPr>
      <w:bookmarkStart w:id="145" w:name="_Ref494425370"/>
      <w:bookmarkStart w:id="146" w:name="_Toc495351655"/>
      <w:r w:rsidRPr="00E3255D">
        <w:t>Legal and G</w:t>
      </w:r>
      <w:r w:rsidR="003416C5" w:rsidRPr="00E3255D">
        <w:t xml:space="preserve">overnance </w:t>
      </w:r>
      <w:r w:rsidRPr="00E3255D">
        <w:t>Framework</w:t>
      </w:r>
      <w:r w:rsidR="00BF312B" w:rsidRPr="00E3255D">
        <w:t xml:space="preserve"> for the Auction</w:t>
      </w:r>
      <w:bookmarkEnd w:id="145"/>
      <w:bookmarkEnd w:id="146"/>
    </w:p>
    <w:p w14:paraId="6AF8D265" w14:textId="5B507A50" w:rsidR="003416C5" w:rsidRDefault="00B539F3" w:rsidP="00180B1D">
      <w:pPr>
        <w:pStyle w:val="BodyText"/>
      </w:pPr>
      <w:r w:rsidRPr="00180B1D">
        <w:t xml:space="preserve">To implement the day-ahead auction, </w:t>
      </w:r>
      <w:r w:rsidR="00C64E17">
        <w:t xml:space="preserve">a number of </w:t>
      </w:r>
      <w:r w:rsidRPr="00180B1D">
        <w:t>changes will need to be made to</w:t>
      </w:r>
      <w:r w:rsidR="00C64E17">
        <w:t xml:space="preserve"> </w:t>
      </w:r>
      <w:r w:rsidR="00180B1D" w:rsidRPr="00180B1D">
        <w:t xml:space="preserve">the NGL, </w:t>
      </w:r>
      <w:r w:rsidR="00C64E17">
        <w:t xml:space="preserve">the </w:t>
      </w:r>
      <w:r w:rsidR="00180B1D" w:rsidRPr="00180B1D">
        <w:t>NGR</w:t>
      </w:r>
      <w:r w:rsidR="00C64E17">
        <w:t xml:space="preserve"> and the </w:t>
      </w:r>
      <w:r w:rsidR="00180B1D" w:rsidRPr="00180B1D">
        <w:t>Regulations</w:t>
      </w:r>
      <w:r w:rsidR="00C64E17">
        <w:t xml:space="preserve"> </w:t>
      </w:r>
      <w:r w:rsidR="0072442F">
        <w:t>as well as</w:t>
      </w:r>
      <w:r w:rsidR="00C64E17">
        <w:t xml:space="preserve"> the functions and powers of the AEMC, AEMO and the AER. A number of subordinate </w:t>
      </w:r>
      <w:r w:rsidR="00180B1D" w:rsidRPr="00180B1D">
        <w:t xml:space="preserve">instruments will also need to be developed </w:t>
      </w:r>
      <w:r w:rsidRPr="00180B1D">
        <w:t>(e.g. the Auction Agreement).</w:t>
      </w:r>
      <w:r w:rsidR="00180B1D" w:rsidRPr="00180B1D">
        <w:t xml:space="preserve"> </w:t>
      </w:r>
    </w:p>
    <w:p w14:paraId="47516F6E" w14:textId="3E768D5F" w:rsidR="00180B1D" w:rsidRDefault="00C64E17" w:rsidP="00180B1D">
      <w:pPr>
        <w:pStyle w:val="BodyText"/>
      </w:pPr>
      <w:r>
        <w:t>The remainder of this section provides f</w:t>
      </w:r>
      <w:r w:rsidR="00180B1D">
        <w:t xml:space="preserve">urther detail on the </w:t>
      </w:r>
      <w:r w:rsidR="006357C9">
        <w:t xml:space="preserve">legal and </w:t>
      </w:r>
      <w:r w:rsidR="00180B1D">
        <w:t xml:space="preserve">governance </w:t>
      </w:r>
      <w:r w:rsidR="006357C9">
        <w:t xml:space="preserve">framework </w:t>
      </w:r>
      <w:r w:rsidR="00180B1D">
        <w:t xml:space="preserve">that will </w:t>
      </w:r>
      <w:r w:rsidR="006357C9">
        <w:t xml:space="preserve">underpin </w:t>
      </w:r>
      <w:r>
        <w:t xml:space="preserve">the </w:t>
      </w:r>
      <w:r w:rsidR="00180B1D">
        <w:t xml:space="preserve">day-ahead auction </w:t>
      </w:r>
      <w:r>
        <w:t>and the changes that will need to be made to the NGL, NGR and other regulatory instruments</w:t>
      </w:r>
      <w:r w:rsidR="00180B1D">
        <w:t>.</w:t>
      </w:r>
    </w:p>
    <w:p w14:paraId="7C5B74B0" w14:textId="77777777" w:rsidR="00E3255D" w:rsidRDefault="00E3255D" w:rsidP="00E3255D">
      <w:pPr>
        <w:pStyle w:val="Heading2"/>
      </w:pPr>
      <w:bookmarkStart w:id="147" w:name="_Toc495351656"/>
      <w:r>
        <w:t>Legal and governance framework</w:t>
      </w:r>
      <w:bookmarkEnd w:id="147"/>
    </w:p>
    <w:p w14:paraId="5B988410" w14:textId="18365B44" w:rsidR="00E3255D" w:rsidRDefault="00E3255D" w:rsidP="00E3255D">
      <w:pPr>
        <w:pStyle w:val="BodyText"/>
      </w:pPr>
      <w:r>
        <w:t xml:space="preserve">The legal and governance framework for </w:t>
      </w:r>
      <w:r w:rsidR="006357C9">
        <w:t xml:space="preserve">the </w:t>
      </w:r>
      <w:r>
        <w:t xml:space="preserve">day-ahead auction will primarily need to cover the exchange of information between service providers and AEMO, </w:t>
      </w:r>
      <w:r w:rsidR="00917A06">
        <w:t xml:space="preserve">participation in and </w:t>
      </w:r>
      <w:r>
        <w:t>the ope</w:t>
      </w:r>
      <w:r w:rsidR="0072442F">
        <w:t>ration of the day-ahead auction,</w:t>
      </w:r>
      <w:r>
        <w:t xml:space="preserve"> </w:t>
      </w:r>
      <w:r w:rsidR="00F84D47">
        <w:t xml:space="preserve">and </w:t>
      </w:r>
      <w:r>
        <w:t>market supervision and conduct.</w:t>
      </w:r>
    </w:p>
    <w:p w14:paraId="050F4B08" w14:textId="77777777" w:rsidR="00E3255D" w:rsidRDefault="00E3255D" w:rsidP="00E3255D">
      <w:pPr>
        <w:pStyle w:val="BodyText"/>
      </w:pPr>
      <w:r>
        <w:t>The GMRG’s preliminary view is that:</w:t>
      </w:r>
    </w:p>
    <w:p w14:paraId="36BE36FE" w14:textId="23374A0C" w:rsidR="00E3255D" w:rsidRDefault="00E3255D" w:rsidP="00E3255D">
      <w:pPr>
        <w:pStyle w:val="ListBullet"/>
      </w:pPr>
      <w:r>
        <w:t xml:space="preserve">the arrangements between service providers and AEMO will be established through the NGL, </w:t>
      </w:r>
      <w:r w:rsidR="0072442F">
        <w:t xml:space="preserve">the NGR and </w:t>
      </w:r>
      <w:r>
        <w:t>procedures made by AEMO under the NGL;</w:t>
      </w:r>
    </w:p>
    <w:p w14:paraId="3A5073E2" w14:textId="2CF5E9B7" w:rsidR="00E3255D" w:rsidRDefault="00E3255D" w:rsidP="00E3255D">
      <w:pPr>
        <w:pStyle w:val="ListBullet"/>
      </w:pPr>
      <w:r>
        <w:t xml:space="preserve">AEMO's role in establishing and operating </w:t>
      </w:r>
      <w:r w:rsidR="0072442F">
        <w:t>the day-ahead auction</w:t>
      </w:r>
      <w:r>
        <w:t xml:space="preserve"> and the rules about conduct of </w:t>
      </w:r>
      <w:r w:rsidR="0072442F">
        <w:t>the auction</w:t>
      </w:r>
      <w:r>
        <w:t xml:space="preserve"> (implementing the auction design) will be set out in the NGL and </w:t>
      </w:r>
      <w:r w:rsidR="00F84D47">
        <w:t xml:space="preserve">the </w:t>
      </w:r>
      <w:r>
        <w:t>NGR</w:t>
      </w:r>
      <w:r w:rsidR="00F84D47">
        <w:t>,</w:t>
      </w:r>
      <w:r>
        <w:t xml:space="preserve"> with AEMO able to provide additional detail in AEMO-made procedures;</w:t>
      </w:r>
    </w:p>
    <w:p w14:paraId="3B7A7520" w14:textId="77777777" w:rsidR="00E3255D" w:rsidRDefault="00E3255D" w:rsidP="00E3255D">
      <w:pPr>
        <w:pStyle w:val="ListBullet"/>
      </w:pPr>
      <w:r>
        <w:t>the rules for the conduct of auctions will be made contractually binding between AEMO and shippers under the Auction Agreement; and</w:t>
      </w:r>
    </w:p>
    <w:p w14:paraId="63EC262A" w14:textId="77777777" w:rsidR="00E3255D" w:rsidRDefault="00E3255D" w:rsidP="00E3255D">
      <w:pPr>
        <w:pStyle w:val="ListBullet"/>
      </w:pPr>
      <w:proofErr w:type="gramStart"/>
      <w:r>
        <w:t>market</w:t>
      </w:r>
      <w:proofErr w:type="gramEnd"/>
      <w:r>
        <w:t xml:space="preserve"> supervision and conduct would be an AER role under the NGL and Rules.</w:t>
      </w:r>
    </w:p>
    <w:p w14:paraId="7580F56B" w14:textId="4E8BC711" w:rsidR="00E3255D" w:rsidRDefault="00E3255D" w:rsidP="00E3255D">
      <w:pPr>
        <w:pStyle w:val="BodyText"/>
      </w:pPr>
      <w:r>
        <w:t xml:space="preserve">A successful bidder in </w:t>
      </w:r>
      <w:r w:rsidR="00F84D47">
        <w:t xml:space="preserve">the </w:t>
      </w:r>
      <w:r>
        <w:t>day-ahead auction will use the capacity on the terms of its operational GTA with the service provider.</w:t>
      </w:r>
      <w:r w:rsidR="00F84D47" w:rsidRPr="00F84D47">
        <w:rPr>
          <w:rStyle w:val="FootnoteReference"/>
        </w:rPr>
        <w:t xml:space="preserve"> </w:t>
      </w:r>
      <w:r w:rsidR="00F84D47">
        <w:rPr>
          <w:rStyle w:val="FootnoteReference"/>
        </w:rPr>
        <w:footnoteReference w:id="90"/>
      </w:r>
      <w:r>
        <w:t xml:space="preserve"> The operational GTA, and the legal and governance framework </w:t>
      </w:r>
      <w:r w:rsidR="00F84D47">
        <w:t>that will apply to this contract</w:t>
      </w:r>
      <w:r>
        <w:t xml:space="preserve">, is </w:t>
      </w:r>
      <w:r w:rsidR="00F84D47">
        <w:t xml:space="preserve">outlined in Chapter 3 of </w:t>
      </w:r>
      <w:r>
        <w:t xml:space="preserve">the </w:t>
      </w:r>
      <w:r w:rsidR="00F84D47">
        <w:rPr>
          <w:i/>
        </w:rPr>
        <w:t xml:space="preserve">Standardisation Related Reforms and the Capacity Trading Platform </w:t>
      </w:r>
      <w:r>
        <w:t>consultation paper</w:t>
      </w:r>
      <w:r w:rsidR="00F84D47">
        <w:t xml:space="preserve"> that was published in September</w:t>
      </w:r>
      <w:r>
        <w:t>.</w:t>
      </w:r>
      <w:r w:rsidR="00F84D47">
        <w:rPr>
          <w:rStyle w:val="FootnoteReference"/>
        </w:rPr>
        <w:footnoteReference w:id="91"/>
      </w:r>
    </w:p>
    <w:p w14:paraId="10794F6A" w14:textId="6BC24293" w:rsidR="00F84D47" w:rsidRDefault="00E3255D" w:rsidP="00E3255D">
      <w:pPr>
        <w:pStyle w:val="BodyText"/>
      </w:pPr>
      <w:r>
        <w:t>There are already well-established governance arrangements for the NGL,</w:t>
      </w:r>
      <w:r w:rsidR="00F84D47">
        <w:t xml:space="preserve"> NGR and AEMO</w:t>
      </w:r>
      <w:r>
        <w:t xml:space="preserve"> procedures. The Auction Agreement </w:t>
      </w:r>
      <w:r w:rsidR="00F84D47">
        <w:t xml:space="preserve">will, however, be a </w:t>
      </w:r>
      <w:r>
        <w:t>new</w:t>
      </w:r>
      <w:r w:rsidR="00F84D47">
        <w:t xml:space="preserve"> subordinate instrument</w:t>
      </w:r>
      <w:r>
        <w:t xml:space="preserve">. The GMRG’s preliminary view is that the arrangements for making and amending the Auction Agreement </w:t>
      </w:r>
      <w:r w:rsidR="00F84D47">
        <w:t>should</w:t>
      </w:r>
      <w:r>
        <w:t xml:space="preserve"> mirror those in place for the GSH Exchange Agreement</w:t>
      </w:r>
      <w:r w:rsidR="00F84D47">
        <w:t>. In short, this means that:</w:t>
      </w:r>
    </w:p>
    <w:p w14:paraId="0B444F8D" w14:textId="638117FF" w:rsidR="00F84D47" w:rsidRDefault="00E3255D" w:rsidP="00F84D47">
      <w:pPr>
        <w:pStyle w:val="ListBullet"/>
      </w:pPr>
      <w:r>
        <w:t xml:space="preserve">AEMO </w:t>
      </w:r>
      <w:r w:rsidR="00F84D47">
        <w:t xml:space="preserve">will be </w:t>
      </w:r>
      <w:r>
        <w:t>authorised to make the Auction Agreement through the NGL</w:t>
      </w:r>
      <w:r w:rsidR="00F84D47">
        <w:t>.</w:t>
      </w:r>
    </w:p>
    <w:p w14:paraId="44D475F5" w14:textId="11909FAD" w:rsidR="00F84D47" w:rsidRDefault="00F84D47" w:rsidP="00F84D47">
      <w:pPr>
        <w:pStyle w:val="ListBullet"/>
      </w:pPr>
      <w:r>
        <w:t>T</w:t>
      </w:r>
      <w:r w:rsidR="00E3255D">
        <w:t xml:space="preserve">he NGR </w:t>
      </w:r>
      <w:r>
        <w:t xml:space="preserve">will set </w:t>
      </w:r>
      <w:r w:rsidR="00E3255D">
        <w:t xml:space="preserve">out </w:t>
      </w:r>
      <w:r>
        <w:t xml:space="preserve">the </w:t>
      </w:r>
      <w:r w:rsidR="00E3255D">
        <w:t xml:space="preserve">detailed requirements </w:t>
      </w:r>
      <w:r>
        <w:t xml:space="preserve">for </w:t>
      </w:r>
      <w:r w:rsidR="00E3255D">
        <w:t>the content of the Auction Agreement</w:t>
      </w:r>
      <w:r>
        <w:t>.</w:t>
      </w:r>
    </w:p>
    <w:p w14:paraId="6F53F3BE" w14:textId="6B2BBDB4" w:rsidR="00E3255D" w:rsidRDefault="00E3255D" w:rsidP="00F84D47">
      <w:pPr>
        <w:pStyle w:val="ListBullet"/>
      </w:pPr>
      <w:r>
        <w:t xml:space="preserve">AEMO will be able to make amendments to the Auction Agreement </w:t>
      </w:r>
      <w:r w:rsidR="00F84D47">
        <w:t xml:space="preserve">over time, </w:t>
      </w:r>
      <w:r>
        <w:t xml:space="preserve">following a consultation process similar to the process applicable to the Exchange Agreement and </w:t>
      </w:r>
      <w:r w:rsidR="00425188">
        <w:t>considering</w:t>
      </w:r>
      <w:r>
        <w:t xml:space="preserve"> any applicable principles in the </w:t>
      </w:r>
      <w:r w:rsidR="00F84D47">
        <w:t>NGR</w:t>
      </w:r>
      <w:r>
        <w:t xml:space="preserve"> and the NGO. Those amendments will apply to all Auction Agreements.</w:t>
      </w:r>
    </w:p>
    <w:p w14:paraId="02BAB331" w14:textId="77777777" w:rsidR="00E3255D" w:rsidRDefault="00E3255D" w:rsidP="00E3255D">
      <w:pPr>
        <w:pStyle w:val="Heading2"/>
      </w:pPr>
      <w:bookmarkStart w:id="148" w:name="_Toc495351657"/>
      <w:r>
        <w:t>Overview of key changes and new instruments</w:t>
      </w:r>
      <w:bookmarkEnd w:id="148"/>
    </w:p>
    <w:p w14:paraId="4F791952" w14:textId="2A5AA954" w:rsidR="00E3255D" w:rsidRDefault="00E3255D" w:rsidP="00E3255D">
      <w:pPr>
        <w:pStyle w:val="BodyText"/>
      </w:pPr>
      <w:r>
        <w:t xml:space="preserve">The following table provides an overview of GMRG's preliminary views about the </w:t>
      </w:r>
      <w:r w:rsidR="00830DCF">
        <w:t xml:space="preserve">key </w:t>
      </w:r>
      <w:r>
        <w:t xml:space="preserve">changes </w:t>
      </w:r>
      <w:r w:rsidR="00F84D47">
        <w:t xml:space="preserve">that will be required to </w:t>
      </w:r>
      <w:r>
        <w:t xml:space="preserve">existing instruments and new instruments </w:t>
      </w:r>
      <w:r w:rsidR="00F84D47">
        <w:t xml:space="preserve">to give effect to </w:t>
      </w:r>
      <w:r>
        <w:t>the day-ahead auction.</w:t>
      </w:r>
    </w:p>
    <w:p w14:paraId="2EAC122A" w14:textId="021081DD" w:rsidR="00E3255D" w:rsidRDefault="00E3255D" w:rsidP="00830DCF">
      <w:pPr>
        <w:pStyle w:val="Caption"/>
        <w:spacing w:after="0"/>
      </w:pPr>
      <w:bookmarkStart w:id="149" w:name="_Ref495159792"/>
      <w:r>
        <w:t xml:space="preserve">Table </w:t>
      </w:r>
      <w:r w:rsidR="00115A93">
        <w:fldChar w:fldCharType="begin"/>
      </w:r>
      <w:r w:rsidR="00115A93">
        <w:instrText xml:space="preserve"> STYLEREF 1 \s </w:instrText>
      </w:r>
      <w:r w:rsidR="00115A93">
        <w:fldChar w:fldCharType="separate"/>
      </w:r>
      <w:r w:rsidR="00272B32">
        <w:rPr>
          <w:noProof/>
        </w:rPr>
        <w:t>7</w:t>
      </w:r>
      <w:r w:rsidR="00115A93">
        <w:rPr>
          <w:noProof/>
        </w:rPr>
        <w:fldChar w:fldCharType="end"/>
      </w:r>
      <w:r w:rsidR="009A057E">
        <w:t>.</w:t>
      </w:r>
      <w:r w:rsidR="00115A93">
        <w:fldChar w:fldCharType="begin"/>
      </w:r>
      <w:r w:rsidR="00115A93">
        <w:instrText xml:space="preserve"> SEQ Table \* ARABIC \s 1 </w:instrText>
      </w:r>
      <w:r w:rsidR="00115A93">
        <w:fldChar w:fldCharType="separate"/>
      </w:r>
      <w:r w:rsidR="00272B32">
        <w:rPr>
          <w:noProof/>
        </w:rPr>
        <w:t>1</w:t>
      </w:r>
      <w:r w:rsidR="00115A93">
        <w:rPr>
          <w:noProof/>
        </w:rPr>
        <w:fldChar w:fldCharType="end"/>
      </w:r>
      <w:bookmarkEnd w:id="149"/>
      <w:r>
        <w:t>: Proposed</w:t>
      </w:r>
      <w:r w:rsidRPr="007B0CC1">
        <w:t xml:space="preserve"> legal and governance framework for auction</w:t>
      </w:r>
      <w:r w:rsidR="00830DCF">
        <w:t>: Key changes</w:t>
      </w:r>
    </w:p>
    <w:tbl>
      <w:tblPr>
        <w:tblStyle w:val="TableGrid"/>
        <w:tblW w:w="8931" w:type="dxa"/>
        <w:tblLook w:val="04A0" w:firstRow="1" w:lastRow="0" w:firstColumn="1" w:lastColumn="0" w:noHBand="0" w:noVBand="1"/>
        <w:tblCaption w:val="Table 7.1: Proposed legal and governance framework for auction: Key changes"/>
        <w:tblDescription w:val="Proposed legal and governance framework for auction: Key changes"/>
      </w:tblPr>
      <w:tblGrid>
        <w:gridCol w:w="1902"/>
        <w:gridCol w:w="7029"/>
      </w:tblGrid>
      <w:tr w:rsidR="00E3255D" w:rsidRPr="00917A06" w14:paraId="35219EC4" w14:textId="77777777" w:rsidTr="006357C9">
        <w:trPr>
          <w:cnfStyle w:val="100000000000" w:firstRow="1" w:lastRow="0" w:firstColumn="0" w:lastColumn="0" w:oddVBand="0" w:evenVBand="0" w:oddHBand="0" w:evenHBand="0" w:firstRowFirstColumn="0" w:firstRowLastColumn="0" w:lastRowFirstColumn="0" w:lastRowLastColumn="0"/>
          <w:tblHeader/>
        </w:trPr>
        <w:tc>
          <w:tcPr>
            <w:tcW w:w="0" w:type="auto"/>
            <w:shd w:val="clear" w:color="auto" w:fill="0099CC"/>
          </w:tcPr>
          <w:p w14:paraId="11E3E88C" w14:textId="53445E16" w:rsidR="00E3255D" w:rsidRPr="00917A06" w:rsidRDefault="00E3255D" w:rsidP="00E3255D">
            <w:pPr>
              <w:rPr>
                <w:color w:val="FFFFFF" w:themeColor="background1"/>
                <w:sz w:val="19"/>
                <w:szCs w:val="19"/>
              </w:rPr>
            </w:pPr>
            <w:r w:rsidRPr="00917A06">
              <w:rPr>
                <w:color w:val="FFFFFF" w:themeColor="background1"/>
                <w:sz w:val="19"/>
                <w:szCs w:val="19"/>
              </w:rPr>
              <w:t>Topic</w:t>
            </w:r>
          </w:p>
        </w:tc>
        <w:tc>
          <w:tcPr>
            <w:tcW w:w="7029" w:type="dxa"/>
            <w:shd w:val="clear" w:color="auto" w:fill="0099CC"/>
          </w:tcPr>
          <w:p w14:paraId="2229B56B" w14:textId="616196B1" w:rsidR="00E3255D" w:rsidRPr="00917A06" w:rsidRDefault="00E3255D" w:rsidP="00E3255D">
            <w:pPr>
              <w:rPr>
                <w:color w:val="FFFFFF" w:themeColor="background1"/>
                <w:sz w:val="19"/>
                <w:szCs w:val="19"/>
              </w:rPr>
            </w:pPr>
            <w:r w:rsidRPr="00917A06">
              <w:rPr>
                <w:color w:val="FFFFFF" w:themeColor="background1"/>
                <w:sz w:val="19"/>
                <w:szCs w:val="19"/>
              </w:rPr>
              <w:t>Summary of arrangements</w:t>
            </w:r>
          </w:p>
        </w:tc>
      </w:tr>
      <w:tr w:rsidR="00E3255D" w:rsidRPr="00917A06" w14:paraId="7A6C9C85" w14:textId="77777777" w:rsidTr="006357C9">
        <w:tc>
          <w:tcPr>
            <w:tcW w:w="8931" w:type="dxa"/>
            <w:gridSpan w:val="2"/>
            <w:shd w:val="clear" w:color="auto" w:fill="65697F" w:themeFill="background2" w:themeFillShade="80"/>
          </w:tcPr>
          <w:p w14:paraId="17CEFA7F" w14:textId="051D66A7" w:rsidR="00E3255D" w:rsidRPr="00917A06" w:rsidRDefault="00917A06" w:rsidP="00E3255D">
            <w:pPr>
              <w:jc w:val="center"/>
              <w:rPr>
                <w:b/>
                <w:color w:val="FFFFFF" w:themeColor="background1"/>
                <w:sz w:val="19"/>
                <w:szCs w:val="19"/>
              </w:rPr>
            </w:pPr>
            <w:r>
              <w:rPr>
                <w:b/>
                <w:color w:val="FFFFFF" w:themeColor="background1"/>
                <w:sz w:val="19"/>
                <w:szCs w:val="19"/>
              </w:rPr>
              <w:t>NGL</w:t>
            </w:r>
          </w:p>
        </w:tc>
      </w:tr>
      <w:tr w:rsidR="00E3255D" w:rsidRPr="00917A06" w14:paraId="79A0ECE3" w14:textId="77777777" w:rsidTr="006357C9">
        <w:trPr>
          <w:cnfStyle w:val="000000010000" w:firstRow="0" w:lastRow="0" w:firstColumn="0" w:lastColumn="0" w:oddVBand="0" w:evenVBand="0" w:oddHBand="0" w:evenHBand="1" w:firstRowFirstColumn="0" w:firstRowLastColumn="0" w:lastRowFirstColumn="0" w:lastRowLastColumn="0"/>
        </w:trPr>
        <w:tc>
          <w:tcPr>
            <w:tcW w:w="0" w:type="auto"/>
          </w:tcPr>
          <w:p w14:paraId="33BD97F9" w14:textId="77777777" w:rsidR="00E3255D" w:rsidRPr="00917A06" w:rsidRDefault="00E3255D" w:rsidP="00E3255D">
            <w:pPr>
              <w:rPr>
                <w:sz w:val="19"/>
                <w:szCs w:val="19"/>
              </w:rPr>
            </w:pPr>
            <w:r w:rsidRPr="00917A06">
              <w:rPr>
                <w:sz w:val="19"/>
                <w:szCs w:val="19"/>
              </w:rPr>
              <w:t>AEMO’s functions and powers</w:t>
            </w:r>
          </w:p>
        </w:tc>
        <w:tc>
          <w:tcPr>
            <w:tcW w:w="7029" w:type="dxa"/>
          </w:tcPr>
          <w:p w14:paraId="0B7BF677" w14:textId="77777777" w:rsidR="00E3255D" w:rsidRPr="00917A06" w:rsidRDefault="00E3255D" w:rsidP="00E3255D">
            <w:pPr>
              <w:rPr>
                <w:sz w:val="19"/>
                <w:szCs w:val="19"/>
              </w:rPr>
            </w:pPr>
            <w:r w:rsidRPr="00917A06">
              <w:rPr>
                <w:sz w:val="19"/>
                <w:szCs w:val="19"/>
              </w:rPr>
              <w:t>The NGL will specify the new functions and powers of AEMO as the operator of the day-ahead auction platform, covering:</w:t>
            </w:r>
          </w:p>
          <w:p w14:paraId="2DAADFE4" w14:textId="77777777" w:rsidR="00E3255D" w:rsidRPr="00917A06" w:rsidRDefault="00E3255D" w:rsidP="00E3255D">
            <w:pPr>
              <w:pStyle w:val="TableBullet1"/>
              <w:rPr>
                <w:sz w:val="19"/>
                <w:szCs w:val="19"/>
              </w:rPr>
            </w:pPr>
            <w:r w:rsidRPr="00917A06">
              <w:rPr>
                <w:sz w:val="19"/>
                <w:szCs w:val="19"/>
              </w:rPr>
              <w:t xml:space="preserve">establishing, operating and administering day-ahead auctions; </w:t>
            </w:r>
          </w:p>
          <w:p w14:paraId="0F5BEB33" w14:textId="083FD3D8" w:rsidR="00E3255D" w:rsidRPr="00917A06" w:rsidRDefault="00E3255D" w:rsidP="00E3255D">
            <w:pPr>
              <w:pStyle w:val="TableBullet1"/>
              <w:rPr>
                <w:sz w:val="19"/>
                <w:szCs w:val="19"/>
              </w:rPr>
            </w:pPr>
            <w:r w:rsidRPr="00917A06">
              <w:rPr>
                <w:sz w:val="19"/>
                <w:szCs w:val="19"/>
              </w:rPr>
              <w:t>making and administering a day-ahead auction agreement;</w:t>
            </w:r>
            <w:r w:rsidR="00F84D47" w:rsidRPr="00917A06">
              <w:rPr>
                <w:sz w:val="19"/>
                <w:szCs w:val="19"/>
              </w:rPr>
              <w:t xml:space="preserve"> and</w:t>
            </w:r>
          </w:p>
          <w:p w14:paraId="545AADF0" w14:textId="77777777" w:rsidR="00E3255D" w:rsidRPr="00917A06" w:rsidRDefault="00E3255D" w:rsidP="00E3255D">
            <w:pPr>
              <w:pStyle w:val="TableBullet1"/>
              <w:rPr>
                <w:sz w:val="19"/>
                <w:szCs w:val="19"/>
              </w:rPr>
            </w:pPr>
            <w:proofErr w:type="gramStart"/>
            <w:r w:rsidRPr="00917A06">
              <w:rPr>
                <w:sz w:val="19"/>
                <w:szCs w:val="19"/>
              </w:rPr>
              <w:t>making</w:t>
            </w:r>
            <w:proofErr w:type="gramEnd"/>
            <w:r w:rsidRPr="00917A06">
              <w:rPr>
                <w:sz w:val="19"/>
                <w:szCs w:val="19"/>
              </w:rPr>
              <w:t xml:space="preserve"> binding procedures about information to be exchanged with service providers about capacity available to auction and auction results.</w:t>
            </w:r>
          </w:p>
          <w:p w14:paraId="35CFA2AF" w14:textId="6C123503" w:rsidR="00E3255D" w:rsidRPr="00917A06" w:rsidRDefault="00E3255D" w:rsidP="00E3255D">
            <w:pPr>
              <w:rPr>
                <w:sz w:val="19"/>
                <w:szCs w:val="19"/>
              </w:rPr>
            </w:pPr>
            <w:r w:rsidRPr="00917A06">
              <w:rPr>
                <w:sz w:val="19"/>
                <w:szCs w:val="19"/>
              </w:rPr>
              <w:t>Other changes will support the operation of these provisions, such as power to make the procedures.</w:t>
            </w:r>
            <w:r w:rsidR="006B7AC6">
              <w:rPr>
                <w:sz w:val="19"/>
                <w:szCs w:val="19"/>
              </w:rPr>
              <w:t xml:space="preserve"> </w:t>
            </w:r>
            <w:r w:rsidRPr="00917A06">
              <w:rPr>
                <w:sz w:val="19"/>
                <w:szCs w:val="19"/>
              </w:rPr>
              <w:t>Existing provisions (91E, 91H and 91K) cover payments and liability issues.</w:t>
            </w:r>
            <w:r w:rsidR="006B7AC6">
              <w:rPr>
                <w:sz w:val="19"/>
                <w:szCs w:val="19"/>
              </w:rPr>
              <w:t xml:space="preserve"> </w:t>
            </w:r>
            <w:r w:rsidRPr="00917A06">
              <w:rPr>
                <w:sz w:val="19"/>
                <w:szCs w:val="19"/>
              </w:rPr>
              <w:t>Sections 91G to 91GH will apply to AEMO in relation to the information provided to it.</w:t>
            </w:r>
          </w:p>
        </w:tc>
      </w:tr>
      <w:tr w:rsidR="00917A06" w:rsidRPr="00917A06" w14:paraId="0807EB3E" w14:textId="77777777" w:rsidTr="006357C9">
        <w:tc>
          <w:tcPr>
            <w:tcW w:w="0" w:type="auto"/>
          </w:tcPr>
          <w:p w14:paraId="1D02C5F9" w14:textId="77777777" w:rsidR="00917A06" w:rsidRPr="00917A06" w:rsidRDefault="00917A06" w:rsidP="008F2E35">
            <w:pPr>
              <w:rPr>
                <w:sz w:val="19"/>
                <w:szCs w:val="19"/>
              </w:rPr>
            </w:pPr>
            <w:r w:rsidRPr="00917A06">
              <w:rPr>
                <w:sz w:val="19"/>
                <w:szCs w:val="19"/>
              </w:rPr>
              <w:t>Service Providers</w:t>
            </w:r>
          </w:p>
        </w:tc>
        <w:tc>
          <w:tcPr>
            <w:tcW w:w="7029" w:type="dxa"/>
          </w:tcPr>
          <w:p w14:paraId="0E71A293" w14:textId="5B4FAF01" w:rsidR="00917A06" w:rsidRPr="00917A06" w:rsidRDefault="00917A06" w:rsidP="008F2E35">
            <w:pPr>
              <w:rPr>
                <w:sz w:val="19"/>
                <w:szCs w:val="19"/>
              </w:rPr>
            </w:pPr>
            <w:r w:rsidRPr="00917A06">
              <w:rPr>
                <w:sz w:val="19"/>
                <w:szCs w:val="19"/>
              </w:rPr>
              <w:t>The NGL will create a framework for identifying which facilities are subject to day-ahead auctions.</w:t>
            </w:r>
            <w:r w:rsidR="006B7AC6">
              <w:rPr>
                <w:sz w:val="19"/>
                <w:szCs w:val="19"/>
              </w:rPr>
              <w:t xml:space="preserve"> </w:t>
            </w:r>
            <w:r w:rsidRPr="00917A06">
              <w:rPr>
                <w:sz w:val="19"/>
                <w:szCs w:val="19"/>
              </w:rPr>
              <w:t xml:space="preserve">The GRMG's current proposal is to require the service provider for a transmission pipeline or compressor to register with AEMO in relation to </w:t>
            </w:r>
            <w:r w:rsidR="006357C9">
              <w:rPr>
                <w:sz w:val="19"/>
                <w:szCs w:val="19"/>
              </w:rPr>
              <w:t>the day-ahead auction</w:t>
            </w:r>
            <w:r w:rsidRPr="00917A06">
              <w:rPr>
                <w:sz w:val="19"/>
                <w:szCs w:val="19"/>
              </w:rPr>
              <w:t xml:space="preserve"> unless exempted from registration under the NGR.</w:t>
            </w:r>
            <w:r w:rsidR="006B7AC6">
              <w:rPr>
                <w:sz w:val="19"/>
                <w:szCs w:val="19"/>
              </w:rPr>
              <w:t xml:space="preserve"> </w:t>
            </w:r>
            <w:r w:rsidRPr="00917A06">
              <w:rPr>
                <w:sz w:val="19"/>
                <w:szCs w:val="19"/>
              </w:rPr>
              <w:t xml:space="preserve">The registration process will give AEMO the information it needs about the service provider, pipelines and compressors to conduct </w:t>
            </w:r>
            <w:r w:rsidR="006357C9">
              <w:rPr>
                <w:sz w:val="19"/>
                <w:szCs w:val="19"/>
              </w:rPr>
              <w:t xml:space="preserve">the </w:t>
            </w:r>
            <w:r w:rsidRPr="00917A06">
              <w:rPr>
                <w:sz w:val="19"/>
                <w:szCs w:val="19"/>
              </w:rPr>
              <w:t>day-ahead auction.</w:t>
            </w:r>
          </w:p>
          <w:p w14:paraId="38768EF6" w14:textId="77777777" w:rsidR="00917A06" w:rsidRPr="00917A06" w:rsidRDefault="00917A06" w:rsidP="008F2E35">
            <w:pPr>
              <w:rPr>
                <w:sz w:val="19"/>
                <w:szCs w:val="19"/>
              </w:rPr>
            </w:pPr>
            <w:r w:rsidRPr="00917A06">
              <w:rPr>
                <w:sz w:val="19"/>
                <w:szCs w:val="19"/>
              </w:rPr>
              <w:t>If necessary, the NGL will be amended to make it clear that the term "service provider" includes compression service providers.</w:t>
            </w:r>
          </w:p>
          <w:p w14:paraId="375737A1" w14:textId="60B7B174" w:rsidR="00917A06" w:rsidRPr="00917A06" w:rsidRDefault="00917A06" w:rsidP="008F2E35">
            <w:pPr>
              <w:rPr>
                <w:sz w:val="19"/>
                <w:szCs w:val="19"/>
              </w:rPr>
            </w:pPr>
            <w:r w:rsidRPr="00917A06">
              <w:rPr>
                <w:sz w:val="19"/>
                <w:szCs w:val="19"/>
              </w:rPr>
              <w:t>The NGL will require service providers to comply with the Procedures made by AEMO and give information to AEMO that relates to</w:t>
            </w:r>
            <w:r w:rsidR="006357C9">
              <w:rPr>
                <w:sz w:val="19"/>
                <w:szCs w:val="19"/>
              </w:rPr>
              <w:t>,</w:t>
            </w:r>
            <w:r w:rsidRPr="00917A06">
              <w:rPr>
                <w:sz w:val="19"/>
                <w:szCs w:val="19"/>
              </w:rPr>
              <w:t xml:space="preserve"> and is necessary for</w:t>
            </w:r>
            <w:r w:rsidR="006357C9">
              <w:rPr>
                <w:sz w:val="19"/>
                <w:szCs w:val="19"/>
              </w:rPr>
              <w:t>,</w:t>
            </w:r>
            <w:r w:rsidRPr="00917A06">
              <w:rPr>
                <w:sz w:val="19"/>
                <w:szCs w:val="19"/>
              </w:rPr>
              <w:t xml:space="preserve"> the operation and administration of </w:t>
            </w:r>
            <w:r w:rsidR="006357C9">
              <w:rPr>
                <w:sz w:val="19"/>
                <w:szCs w:val="19"/>
              </w:rPr>
              <w:t xml:space="preserve">the </w:t>
            </w:r>
            <w:r w:rsidRPr="00917A06">
              <w:rPr>
                <w:sz w:val="19"/>
                <w:szCs w:val="19"/>
              </w:rPr>
              <w:t>day-ahead auction.</w:t>
            </w:r>
            <w:r w:rsidRPr="00917A06">
              <w:rPr>
                <w:sz w:val="19"/>
                <w:szCs w:val="19"/>
                <w:vertAlign w:val="superscript"/>
              </w:rPr>
              <w:footnoteReference w:id="92"/>
            </w:r>
          </w:p>
          <w:p w14:paraId="27FDE12C" w14:textId="105669E4" w:rsidR="00917A06" w:rsidRPr="00917A06" w:rsidRDefault="00917A06" w:rsidP="008F2E35">
            <w:pPr>
              <w:rPr>
                <w:sz w:val="19"/>
                <w:szCs w:val="19"/>
              </w:rPr>
            </w:pPr>
            <w:r w:rsidRPr="00917A06">
              <w:rPr>
                <w:sz w:val="19"/>
                <w:szCs w:val="19"/>
              </w:rPr>
              <w:t>The NGL may specify that the service provider is not liable to a primary shipper under a primary GTA in relation to the use of capacity the subject of the GTA but sold through the day-ahead auction platform in accordance with the NGR</w:t>
            </w:r>
            <w:r w:rsidR="006357C9">
              <w:rPr>
                <w:sz w:val="19"/>
                <w:szCs w:val="19"/>
              </w:rPr>
              <w:t>.</w:t>
            </w:r>
          </w:p>
          <w:p w14:paraId="51B42BFA" w14:textId="2951254C" w:rsidR="00917A06" w:rsidRPr="00917A06" w:rsidRDefault="00917A06" w:rsidP="008F2E35">
            <w:pPr>
              <w:rPr>
                <w:sz w:val="19"/>
                <w:szCs w:val="19"/>
              </w:rPr>
            </w:pPr>
            <w:r w:rsidRPr="00917A06">
              <w:rPr>
                <w:sz w:val="19"/>
                <w:szCs w:val="19"/>
              </w:rPr>
              <w:t>The NGL will specify the obligation of service providers to offer the standard form operational GTA to any person on request.</w:t>
            </w:r>
            <w:r w:rsidRPr="00917A06">
              <w:rPr>
                <w:sz w:val="19"/>
                <w:szCs w:val="19"/>
                <w:vertAlign w:val="superscript"/>
              </w:rPr>
              <w:footnoteReference w:id="93"/>
            </w:r>
            <w:r w:rsidR="006B7AC6">
              <w:rPr>
                <w:sz w:val="19"/>
                <w:szCs w:val="19"/>
              </w:rPr>
              <w:t xml:space="preserve"> </w:t>
            </w:r>
          </w:p>
        </w:tc>
      </w:tr>
      <w:tr w:rsidR="00917A06" w:rsidRPr="00917A06" w14:paraId="634575F0" w14:textId="77777777" w:rsidTr="006357C9">
        <w:trPr>
          <w:cnfStyle w:val="000000010000" w:firstRow="0" w:lastRow="0" w:firstColumn="0" w:lastColumn="0" w:oddVBand="0" w:evenVBand="0" w:oddHBand="0" w:evenHBand="1" w:firstRowFirstColumn="0" w:firstRowLastColumn="0" w:lastRowFirstColumn="0" w:lastRowLastColumn="0"/>
        </w:trPr>
        <w:tc>
          <w:tcPr>
            <w:tcW w:w="0" w:type="auto"/>
          </w:tcPr>
          <w:p w14:paraId="32D85FB3" w14:textId="77777777" w:rsidR="00917A06" w:rsidRPr="00917A06" w:rsidRDefault="00917A06" w:rsidP="008F2E35">
            <w:pPr>
              <w:rPr>
                <w:sz w:val="19"/>
                <w:szCs w:val="19"/>
              </w:rPr>
            </w:pPr>
            <w:r w:rsidRPr="00917A06">
              <w:rPr>
                <w:sz w:val="19"/>
                <w:szCs w:val="19"/>
              </w:rPr>
              <w:t>Primary Shippers</w:t>
            </w:r>
          </w:p>
        </w:tc>
        <w:tc>
          <w:tcPr>
            <w:tcW w:w="7029" w:type="dxa"/>
          </w:tcPr>
          <w:p w14:paraId="31DC1604" w14:textId="77777777" w:rsidR="00917A06" w:rsidRPr="00917A06" w:rsidRDefault="00917A06" w:rsidP="008F2E35">
            <w:pPr>
              <w:rPr>
                <w:sz w:val="19"/>
                <w:szCs w:val="19"/>
              </w:rPr>
            </w:pPr>
            <w:r w:rsidRPr="00917A06">
              <w:rPr>
                <w:sz w:val="19"/>
                <w:szCs w:val="19"/>
              </w:rPr>
              <w:t xml:space="preserve">The NGL will create a framework for the NGR to specify market conduct rules for shippers with renomination rights. </w:t>
            </w:r>
          </w:p>
        </w:tc>
      </w:tr>
      <w:tr w:rsidR="00917A06" w:rsidRPr="00917A06" w14:paraId="385776B6" w14:textId="77777777" w:rsidTr="006357C9">
        <w:tc>
          <w:tcPr>
            <w:tcW w:w="0" w:type="auto"/>
          </w:tcPr>
          <w:p w14:paraId="7ACA53E5" w14:textId="77777777" w:rsidR="00917A06" w:rsidRPr="00917A06" w:rsidRDefault="00917A06" w:rsidP="008F2E35">
            <w:pPr>
              <w:rPr>
                <w:sz w:val="19"/>
                <w:szCs w:val="19"/>
              </w:rPr>
            </w:pPr>
            <w:r w:rsidRPr="00917A06">
              <w:rPr>
                <w:sz w:val="19"/>
                <w:szCs w:val="19"/>
              </w:rPr>
              <w:t>AER</w:t>
            </w:r>
          </w:p>
        </w:tc>
        <w:tc>
          <w:tcPr>
            <w:tcW w:w="7029" w:type="dxa"/>
          </w:tcPr>
          <w:p w14:paraId="3F0184FB" w14:textId="4DE2449F" w:rsidR="00917A06" w:rsidRPr="00917A06" w:rsidRDefault="00917A06" w:rsidP="008F2E35">
            <w:pPr>
              <w:rPr>
                <w:sz w:val="19"/>
                <w:szCs w:val="19"/>
              </w:rPr>
            </w:pPr>
            <w:r w:rsidRPr="00917A06">
              <w:rPr>
                <w:sz w:val="19"/>
                <w:szCs w:val="19"/>
              </w:rPr>
              <w:t xml:space="preserve">The AER’s existing powers, including monitoring, information collection and enforcement will apply, with any changes necessary to extend the powers to </w:t>
            </w:r>
            <w:r w:rsidR="006357C9">
              <w:rPr>
                <w:sz w:val="19"/>
                <w:szCs w:val="19"/>
              </w:rPr>
              <w:t>the day-ahead auction</w:t>
            </w:r>
            <w:r w:rsidRPr="00917A06">
              <w:rPr>
                <w:sz w:val="19"/>
                <w:szCs w:val="19"/>
              </w:rPr>
              <w:t xml:space="preserve">. </w:t>
            </w:r>
          </w:p>
        </w:tc>
      </w:tr>
      <w:tr w:rsidR="00917A06" w:rsidRPr="00917A06" w14:paraId="3BF1E259" w14:textId="77777777" w:rsidTr="006357C9">
        <w:trPr>
          <w:cnfStyle w:val="000000010000" w:firstRow="0" w:lastRow="0" w:firstColumn="0" w:lastColumn="0" w:oddVBand="0" w:evenVBand="0" w:oddHBand="0" w:evenHBand="1" w:firstRowFirstColumn="0" w:firstRowLastColumn="0" w:lastRowFirstColumn="0" w:lastRowLastColumn="0"/>
        </w:trPr>
        <w:tc>
          <w:tcPr>
            <w:tcW w:w="0" w:type="auto"/>
          </w:tcPr>
          <w:p w14:paraId="0E7202AE" w14:textId="77777777" w:rsidR="00917A06" w:rsidRPr="00917A06" w:rsidRDefault="00917A06" w:rsidP="008F2E35">
            <w:pPr>
              <w:rPr>
                <w:sz w:val="19"/>
                <w:szCs w:val="19"/>
              </w:rPr>
            </w:pPr>
            <w:r w:rsidRPr="00917A06">
              <w:rPr>
                <w:sz w:val="19"/>
                <w:szCs w:val="19"/>
              </w:rPr>
              <w:t>AEMC</w:t>
            </w:r>
          </w:p>
        </w:tc>
        <w:tc>
          <w:tcPr>
            <w:tcW w:w="7029" w:type="dxa"/>
          </w:tcPr>
          <w:p w14:paraId="46DD8987" w14:textId="1BED68F2" w:rsidR="00917A06" w:rsidRPr="00917A06" w:rsidRDefault="00917A06" w:rsidP="008F2E35">
            <w:pPr>
              <w:rPr>
                <w:sz w:val="19"/>
                <w:szCs w:val="19"/>
              </w:rPr>
            </w:pPr>
            <w:r w:rsidRPr="00917A06">
              <w:rPr>
                <w:sz w:val="19"/>
                <w:szCs w:val="19"/>
              </w:rPr>
              <w:t xml:space="preserve">The AEMC’s powers to make rules under section 74(3) will be extended to the day-ahead auction. </w:t>
            </w:r>
          </w:p>
        </w:tc>
      </w:tr>
      <w:tr w:rsidR="00917A06" w:rsidRPr="00917A06" w14:paraId="161473EE" w14:textId="77777777" w:rsidTr="006357C9">
        <w:tc>
          <w:tcPr>
            <w:tcW w:w="0" w:type="auto"/>
            <w:tcBorders>
              <w:bottom w:val="single" w:sz="4" w:space="0" w:color="auto"/>
            </w:tcBorders>
          </w:tcPr>
          <w:p w14:paraId="49855629" w14:textId="77777777" w:rsidR="00917A06" w:rsidRPr="00917A06" w:rsidRDefault="00917A06" w:rsidP="008F2E35">
            <w:pPr>
              <w:rPr>
                <w:sz w:val="19"/>
                <w:szCs w:val="19"/>
              </w:rPr>
            </w:pPr>
            <w:r w:rsidRPr="00917A06">
              <w:rPr>
                <w:sz w:val="19"/>
                <w:szCs w:val="19"/>
              </w:rPr>
              <w:t>SA Minister</w:t>
            </w:r>
          </w:p>
        </w:tc>
        <w:tc>
          <w:tcPr>
            <w:tcW w:w="7029" w:type="dxa"/>
            <w:tcBorders>
              <w:bottom w:val="single" w:sz="4" w:space="0" w:color="auto"/>
            </w:tcBorders>
          </w:tcPr>
          <w:p w14:paraId="1B4736F7" w14:textId="77777777" w:rsidR="00917A06" w:rsidRPr="00917A06" w:rsidRDefault="00917A06" w:rsidP="008F2E35">
            <w:pPr>
              <w:rPr>
                <w:sz w:val="19"/>
                <w:szCs w:val="19"/>
              </w:rPr>
            </w:pPr>
            <w:r w:rsidRPr="00917A06">
              <w:rPr>
                <w:sz w:val="19"/>
                <w:szCs w:val="19"/>
              </w:rPr>
              <w:t>The SA Minister will be empowered to make initial Rules for day-ahead auction.</w:t>
            </w:r>
          </w:p>
        </w:tc>
      </w:tr>
      <w:tr w:rsidR="00917A06" w:rsidRPr="00917A06" w14:paraId="67042BA8" w14:textId="77777777" w:rsidTr="006357C9">
        <w:trPr>
          <w:cnfStyle w:val="000000010000" w:firstRow="0" w:lastRow="0" w:firstColumn="0" w:lastColumn="0" w:oddVBand="0" w:evenVBand="0" w:oddHBand="0" w:evenHBand="1" w:firstRowFirstColumn="0" w:firstRowLastColumn="0" w:lastRowFirstColumn="0" w:lastRowLastColumn="0"/>
        </w:trPr>
        <w:tc>
          <w:tcPr>
            <w:tcW w:w="8931" w:type="dxa"/>
            <w:gridSpan w:val="2"/>
            <w:tcBorders>
              <w:bottom w:val="single" w:sz="4" w:space="0" w:color="auto"/>
            </w:tcBorders>
            <w:shd w:val="clear" w:color="auto" w:fill="65697F" w:themeFill="background2" w:themeFillShade="80"/>
          </w:tcPr>
          <w:p w14:paraId="29B02EE7" w14:textId="77777777" w:rsidR="00917A06" w:rsidRPr="00917A06" w:rsidRDefault="00917A06" w:rsidP="008F2E35">
            <w:pPr>
              <w:jc w:val="center"/>
              <w:rPr>
                <w:b/>
                <w:color w:val="FFFFFF" w:themeColor="background1"/>
                <w:sz w:val="19"/>
                <w:szCs w:val="19"/>
              </w:rPr>
            </w:pPr>
            <w:r w:rsidRPr="00917A06">
              <w:rPr>
                <w:b/>
                <w:color w:val="FFFFFF" w:themeColor="background1"/>
                <w:sz w:val="19"/>
                <w:szCs w:val="19"/>
              </w:rPr>
              <w:t>Regulations made under the NGL</w:t>
            </w:r>
          </w:p>
        </w:tc>
      </w:tr>
      <w:tr w:rsidR="00917A06" w:rsidRPr="00917A06" w14:paraId="0F8EEAB7" w14:textId="77777777" w:rsidTr="006357C9">
        <w:tc>
          <w:tcPr>
            <w:tcW w:w="0" w:type="auto"/>
            <w:tcBorders>
              <w:bottom w:val="single" w:sz="4" w:space="0" w:color="auto"/>
            </w:tcBorders>
            <w:shd w:val="clear" w:color="auto" w:fill="E1E2E7" w:themeFill="background2"/>
          </w:tcPr>
          <w:p w14:paraId="260BC0C5" w14:textId="77777777" w:rsidR="00917A06" w:rsidRPr="00917A06" w:rsidRDefault="00917A06" w:rsidP="008F2E35">
            <w:pPr>
              <w:rPr>
                <w:sz w:val="19"/>
                <w:szCs w:val="19"/>
              </w:rPr>
            </w:pPr>
            <w:r w:rsidRPr="00917A06">
              <w:rPr>
                <w:sz w:val="19"/>
                <w:szCs w:val="19"/>
              </w:rPr>
              <w:t>Liability</w:t>
            </w:r>
          </w:p>
        </w:tc>
        <w:tc>
          <w:tcPr>
            <w:tcW w:w="7029" w:type="dxa"/>
            <w:tcBorders>
              <w:bottom w:val="single" w:sz="4" w:space="0" w:color="auto"/>
            </w:tcBorders>
            <w:shd w:val="clear" w:color="auto" w:fill="E1E2E7" w:themeFill="background2"/>
          </w:tcPr>
          <w:p w14:paraId="2BEF1F42" w14:textId="77777777" w:rsidR="00917A06" w:rsidRPr="00917A06" w:rsidRDefault="00917A06" w:rsidP="008F2E35">
            <w:pPr>
              <w:rPr>
                <w:sz w:val="19"/>
                <w:szCs w:val="19"/>
              </w:rPr>
            </w:pPr>
            <w:r w:rsidRPr="00917A06">
              <w:rPr>
                <w:sz w:val="19"/>
                <w:szCs w:val="19"/>
              </w:rPr>
              <w:t>Regulations to specify liability caps, if any, for the purposes of section 91K.</w:t>
            </w:r>
          </w:p>
        </w:tc>
      </w:tr>
      <w:tr w:rsidR="00917A06" w:rsidRPr="00917A06" w14:paraId="07EE1C05" w14:textId="77777777" w:rsidTr="006357C9">
        <w:trPr>
          <w:cnfStyle w:val="000000010000" w:firstRow="0" w:lastRow="0" w:firstColumn="0" w:lastColumn="0" w:oddVBand="0" w:evenVBand="0" w:oddHBand="0" w:evenHBand="1" w:firstRowFirstColumn="0" w:firstRowLastColumn="0" w:lastRowFirstColumn="0" w:lastRowLastColumn="0"/>
        </w:trPr>
        <w:tc>
          <w:tcPr>
            <w:tcW w:w="0" w:type="auto"/>
            <w:tcBorders>
              <w:bottom w:val="single" w:sz="4" w:space="0" w:color="auto"/>
            </w:tcBorders>
            <w:shd w:val="clear" w:color="auto" w:fill="FFFFFF" w:themeFill="background1"/>
          </w:tcPr>
          <w:p w14:paraId="78CF29BF" w14:textId="77777777" w:rsidR="00917A06" w:rsidRPr="00917A06" w:rsidRDefault="00917A06" w:rsidP="008F2E35">
            <w:pPr>
              <w:rPr>
                <w:sz w:val="19"/>
                <w:szCs w:val="19"/>
              </w:rPr>
            </w:pPr>
            <w:r w:rsidRPr="00917A06">
              <w:rPr>
                <w:sz w:val="19"/>
                <w:szCs w:val="19"/>
              </w:rPr>
              <w:t>Penalties</w:t>
            </w:r>
          </w:p>
        </w:tc>
        <w:tc>
          <w:tcPr>
            <w:tcW w:w="7029" w:type="dxa"/>
            <w:tcBorders>
              <w:bottom w:val="single" w:sz="4" w:space="0" w:color="auto"/>
            </w:tcBorders>
            <w:shd w:val="clear" w:color="auto" w:fill="FFFFFF" w:themeFill="background1"/>
          </w:tcPr>
          <w:p w14:paraId="3E81783A" w14:textId="77777777" w:rsidR="00917A06" w:rsidRPr="00917A06" w:rsidRDefault="00917A06" w:rsidP="008F2E35">
            <w:pPr>
              <w:rPr>
                <w:sz w:val="19"/>
                <w:szCs w:val="19"/>
              </w:rPr>
            </w:pPr>
            <w:r w:rsidRPr="00917A06">
              <w:rPr>
                <w:sz w:val="19"/>
                <w:szCs w:val="19"/>
              </w:rPr>
              <w:t>Regulations to specify civil penalty or conduct provisions.</w:t>
            </w:r>
          </w:p>
        </w:tc>
      </w:tr>
      <w:tr w:rsidR="00917A06" w:rsidRPr="00917A06" w14:paraId="571CECE0" w14:textId="77777777" w:rsidTr="006357C9">
        <w:tc>
          <w:tcPr>
            <w:tcW w:w="8931" w:type="dxa"/>
            <w:gridSpan w:val="2"/>
            <w:shd w:val="clear" w:color="auto" w:fill="65697F" w:themeFill="background2" w:themeFillShade="80"/>
          </w:tcPr>
          <w:p w14:paraId="54B5A237" w14:textId="77777777" w:rsidR="00917A06" w:rsidRPr="00917A06" w:rsidRDefault="00917A06" w:rsidP="008F2E35">
            <w:pPr>
              <w:jc w:val="center"/>
              <w:rPr>
                <w:b/>
                <w:color w:val="FFFFFF" w:themeColor="background1"/>
                <w:sz w:val="19"/>
                <w:szCs w:val="19"/>
              </w:rPr>
            </w:pPr>
            <w:r w:rsidRPr="00917A06">
              <w:rPr>
                <w:b/>
                <w:color w:val="FFFFFF" w:themeColor="background1"/>
                <w:sz w:val="19"/>
                <w:szCs w:val="19"/>
              </w:rPr>
              <w:t>NGR – key content</w:t>
            </w:r>
          </w:p>
        </w:tc>
      </w:tr>
      <w:tr w:rsidR="00917A06" w:rsidRPr="00917A06" w14:paraId="0209B2CB" w14:textId="77777777" w:rsidTr="006357C9">
        <w:trPr>
          <w:cnfStyle w:val="000000010000" w:firstRow="0" w:lastRow="0" w:firstColumn="0" w:lastColumn="0" w:oddVBand="0" w:evenVBand="0" w:oddHBand="0" w:evenHBand="1" w:firstRowFirstColumn="0" w:firstRowLastColumn="0" w:lastRowFirstColumn="0" w:lastRowLastColumn="0"/>
        </w:trPr>
        <w:tc>
          <w:tcPr>
            <w:tcW w:w="0" w:type="auto"/>
          </w:tcPr>
          <w:p w14:paraId="0BB81F80" w14:textId="77777777" w:rsidR="00917A06" w:rsidRPr="00917A06" w:rsidRDefault="00917A06" w:rsidP="008F2E35">
            <w:pPr>
              <w:rPr>
                <w:sz w:val="19"/>
                <w:szCs w:val="19"/>
              </w:rPr>
            </w:pPr>
            <w:r w:rsidRPr="00917A06">
              <w:rPr>
                <w:sz w:val="19"/>
                <w:szCs w:val="19"/>
              </w:rPr>
              <w:t>Registration arrangements</w:t>
            </w:r>
          </w:p>
        </w:tc>
        <w:tc>
          <w:tcPr>
            <w:tcW w:w="7029" w:type="dxa"/>
          </w:tcPr>
          <w:p w14:paraId="319D27F9" w14:textId="08688339" w:rsidR="00917A06" w:rsidRPr="00917A06" w:rsidRDefault="00917A06" w:rsidP="008F2E35">
            <w:pPr>
              <w:rPr>
                <w:sz w:val="19"/>
                <w:szCs w:val="19"/>
              </w:rPr>
            </w:pPr>
            <w:r w:rsidRPr="00917A06">
              <w:rPr>
                <w:sz w:val="19"/>
                <w:szCs w:val="19"/>
              </w:rPr>
              <w:t>If registration is used, the NGR will set out the arrangements for service provider registration with AEMO.</w:t>
            </w:r>
          </w:p>
          <w:p w14:paraId="75135751" w14:textId="77777777" w:rsidR="00917A06" w:rsidRPr="00917A06" w:rsidRDefault="00917A06" w:rsidP="008F2E35">
            <w:pPr>
              <w:rPr>
                <w:sz w:val="19"/>
                <w:szCs w:val="19"/>
              </w:rPr>
            </w:pPr>
            <w:r w:rsidRPr="00917A06">
              <w:rPr>
                <w:sz w:val="19"/>
                <w:szCs w:val="19"/>
              </w:rPr>
              <w:t>The NGR will also allow the AER to grant exemptions from the obligation to register, where specified criteria are satisfied.</w:t>
            </w:r>
          </w:p>
        </w:tc>
      </w:tr>
      <w:tr w:rsidR="00917A06" w:rsidRPr="00917A06" w14:paraId="40F36CAE" w14:textId="77777777" w:rsidTr="006357C9">
        <w:tc>
          <w:tcPr>
            <w:tcW w:w="0" w:type="auto"/>
          </w:tcPr>
          <w:p w14:paraId="491CCCAB" w14:textId="77777777" w:rsidR="00917A06" w:rsidRPr="00917A06" w:rsidRDefault="00917A06" w:rsidP="008F2E35">
            <w:pPr>
              <w:rPr>
                <w:sz w:val="19"/>
                <w:szCs w:val="19"/>
              </w:rPr>
            </w:pPr>
            <w:r w:rsidRPr="00917A06">
              <w:rPr>
                <w:sz w:val="19"/>
                <w:szCs w:val="19"/>
              </w:rPr>
              <w:t>Service provider obligations</w:t>
            </w:r>
          </w:p>
        </w:tc>
        <w:tc>
          <w:tcPr>
            <w:tcW w:w="7029" w:type="dxa"/>
          </w:tcPr>
          <w:p w14:paraId="70E49B6E" w14:textId="77777777" w:rsidR="00917A06" w:rsidRPr="00917A06" w:rsidRDefault="00917A06" w:rsidP="008F2E35">
            <w:pPr>
              <w:rPr>
                <w:sz w:val="19"/>
                <w:szCs w:val="19"/>
              </w:rPr>
            </w:pPr>
            <w:r w:rsidRPr="00917A06">
              <w:rPr>
                <w:sz w:val="19"/>
                <w:szCs w:val="19"/>
              </w:rPr>
              <w:t>The NGR will establish the role of service providers, including:</w:t>
            </w:r>
          </w:p>
          <w:p w14:paraId="0D2BBD9B" w14:textId="77777777" w:rsidR="00917A06" w:rsidRPr="00917A06" w:rsidRDefault="00917A06" w:rsidP="008F2E35">
            <w:pPr>
              <w:pStyle w:val="TableBullet1"/>
              <w:rPr>
                <w:sz w:val="19"/>
                <w:szCs w:val="19"/>
              </w:rPr>
            </w:pPr>
            <w:r w:rsidRPr="00917A06">
              <w:rPr>
                <w:sz w:val="19"/>
                <w:szCs w:val="19"/>
              </w:rPr>
              <w:t>the obligation to provide information about contracted but un-nominated capacity in accordance with the Procedures;</w:t>
            </w:r>
          </w:p>
          <w:p w14:paraId="6215937C" w14:textId="14AA1611" w:rsidR="00917A06" w:rsidRPr="00917A06" w:rsidRDefault="0065529C" w:rsidP="008F2E35">
            <w:pPr>
              <w:pStyle w:val="TableBullet1"/>
              <w:rPr>
                <w:sz w:val="19"/>
                <w:szCs w:val="19"/>
              </w:rPr>
            </w:pPr>
            <w:r>
              <w:rPr>
                <w:sz w:val="19"/>
                <w:szCs w:val="19"/>
              </w:rPr>
              <w:t>the obligation to consent</w:t>
            </w:r>
            <w:r w:rsidR="00917A06" w:rsidRPr="00917A06">
              <w:rPr>
                <w:sz w:val="19"/>
                <w:szCs w:val="19"/>
              </w:rPr>
              <w:t xml:space="preserve"> to the sale of capacity in the day-ahead auctions;</w:t>
            </w:r>
          </w:p>
          <w:p w14:paraId="70C7F461" w14:textId="77777777" w:rsidR="00917A06" w:rsidRPr="00917A06" w:rsidRDefault="00917A06" w:rsidP="008F2E35">
            <w:pPr>
              <w:pStyle w:val="TableBullet1"/>
              <w:rPr>
                <w:sz w:val="19"/>
                <w:szCs w:val="19"/>
              </w:rPr>
            </w:pPr>
            <w:r w:rsidRPr="00917A06">
              <w:rPr>
                <w:sz w:val="19"/>
                <w:szCs w:val="19"/>
              </w:rPr>
              <w:t>arrangements for giving effect to the auction results including providing pipeline services on the terms of the applicable operational GTA (unless otherwise agreed with the shipper); and</w:t>
            </w:r>
          </w:p>
          <w:p w14:paraId="41F72280" w14:textId="77777777" w:rsidR="00917A06" w:rsidRPr="00917A06" w:rsidRDefault="00917A06" w:rsidP="008F2E35">
            <w:pPr>
              <w:pStyle w:val="TableBullet1"/>
              <w:rPr>
                <w:sz w:val="19"/>
                <w:szCs w:val="19"/>
              </w:rPr>
            </w:pPr>
            <w:proofErr w:type="gramStart"/>
            <w:r w:rsidRPr="00917A06">
              <w:rPr>
                <w:sz w:val="19"/>
                <w:szCs w:val="19"/>
              </w:rPr>
              <w:t>payment</w:t>
            </w:r>
            <w:proofErr w:type="gramEnd"/>
            <w:r w:rsidRPr="00917A06">
              <w:rPr>
                <w:sz w:val="19"/>
                <w:szCs w:val="19"/>
              </w:rPr>
              <w:t xml:space="preserve"> of the auction proceeds by AEMO to service providers. </w:t>
            </w:r>
          </w:p>
        </w:tc>
      </w:tr>
      <w:tr w:rsidR="00917A06" w:rsidRPr="00917A06" w14:paraId="7D67E53C" w14:textId="77777777" w:rsidTr="006357C9">
        <w:trPr>
          <w:cnfStyle w:val="000000010000" w:firstRow="0" w:lastRow="0" w:firstColumn="0" w:lastColumn="0" w:oddVBand="0" w:evenVBand="0" w:oddHBand="0" w:evenHBand="1" w:firstRowFirstColumn="0" w:firstRowLastColumn="0" w:lastRowFirstColumn="0" w:lastRowLastColumn="0"/>
        </w:trPr>
        <w:tc>
          <w:tcPr>
            <w:tcW w:w="0" w:type="auto"/>
          </w:tcPr>
          <w:p w14:paraId="559D236E" w14:textId="77777777" w:rsidR="00917A06" w:rsidRPr="00917A06" w:rsidRDefault="00917A06" w:rsidP="008F2E35">
            <w:pPr>
              <w:rPr>
                <w:sz w:val="19"/>
                <w:szCs w:val="19"/>
              </w:rPr>
            </w:pPr>
            <w:r w:rsidRPr="00917A06">
              <w:rPr>
                <w:sz w:val="19"/>
                <w:szCs w:val="19"/>
              </w:rPr>
              <w:t>Day-ahead auctions</w:t>
            </w:r>
          </w:p>
        </w:tc>
        <w:tc>
          <w:tcPr>
            <w:tcW w:w="7029" w:type="dxa"/>
          </w:tcPr>
          <w:p w14:paraId="08651319" w14:textId="77777777" w:rsidR="00917A06" w:rsidRPr="00917A06" w:rsidRDefault="00917A06" w:rsidP="008F2E35">
            <w:pPr>
              <w:rPr>
                <w:sz w:val="19"/>
                <w:szCs w:val="19"/>
              </w:rPr>
            </w:pPr>
            <w:r w:rsidRPr="00917A06">
              <w:rPr>
                <w:sz w:val="19"/>
                <w:szCs w:val="19"/>
              </w:rPr>
              <w:t>The NGR will:</w:t>
            </w:r>
          </w:p>
          <w:p w14:paraId="289A5B48" w14:textId="77777777" w:rsidR="00917A06" w:rsidRPr="00917A06" w:rsidRDefault="00917A06" w:rsidP="008F2E35">
            <w:pPr>
              <w:pStyle w:val="TableBullet1"/>
              <w:rPr>
                <w:sz w:val="19"/>
                <w:szCs w:val="19"/>
              </w:rPr>
            </w:pPr>
            <w:r w:rsidRPr="00917A06">
              <w:rPr>
                <w:sz w:val="19"/>
                <w:szCs w:val="19"/>
              </w:rPr>
              <w:t>set out principles to be applied by AEMO in determining what is to be sold;</w:t>
            </w:r>
          </w:p>
          <w:p w14:paraId="44ACB1A6" w14:textId="77777777" w:rsidR="00917A06" w:rsidRPr="00917A06" w:rsidRDefault="00917A06" w:rsidP="008F2E35">
            <w:pPr>
              <w:pStyle w:val="TableBullet1"/>
              <w:rPr>
                <w:sz w:val="19"/>
                <w:szCs w:val="19"/>
              </w:rPr>
            </w:pPr>
            <w:r w:rsidRPr="00917A06">
              <w:rPr>
                <w:sz w:val="19"/>
                <w:szCs w:val="19"/>
              </w:rPr>
              <w:t>implement the auction design by specifying how auctions must be conducted and allowing AEMO to include further detail in AEMO made-procedures;</w:t>
            </w:r>
          </w:p>
          <w:p w14:paraId="3027F4A3" w14:textId="3D2B4FAF" w:rsidR="00917A06" w:rsidRPr="00917A06" w:rsidRDefault="00917A06" w:rsidP="008F2E35">
            <w:pPr>
              <w:pStyle w:val="TableBullet1"/>
              <w:rPr>
                <w:sz w:val="19"/>
                <w:szCs w:val="19"/>
              </w:rPr>
            </w:pPr>
            <w:r w:rsidRPr="00917A06">
              <w:rPr>
                <w:sz w:val="19"/>
                <w:szCs w:val="19"/>
              </w:rPr>
              <w:t>specify the content of the Auction Agreement and how it can change, similar to the approach to the Exchange Agreement in Part 22 of the NGR</w:t>
            </w:r>
            <w:r w:rsidR="006357C9">
              <w:rPr>
                <w:sz w:val="19"/>
                <w:szCs w:val="19"/>
              </w:rPr>
              <w:t>;</w:t>
            </w:r>
          </w:p>
          <w:p w14:paraId="07E0E80F" w14:textId="1D0064F0" w:rsidR="00917A06" w:rsidRPr="00917A06" w:rsidRDefault="00917A06" w:rsidP="008F2E35">
            <w:pPr>
              <w:pStyle w:val="TableBullet1"/>
              <w:rPr>
                <w:sz w:val="19"/>
                <w:szCs w:val="19"/>
              </w:rPr>
            </w:pPr>
            <w:proofErr w:type="gramStart"/>
            <w:r w:rsidRPr="00917A06">
              <w:rPr>
                <w:sz w:val="19"/>
                <w:szCs w:val="19"/>
              </w:rPr>
              <w:t>specify</w:t>
            </w:r>
            <w:proofErr w:type="gramEnd"/>
            <w:r w:rsidRPr="00917A06">
              <w:rPr>
                <w:sz w:val="19"/>
                <w:szCs w:val="19"/>
              </w:rPr>
              <w:t xml:space="preserve"> any minimum qualifications to participate in </w:t>
            </w:r>
            <w:r w:rsidR="006357C9">
              <w:rPr>
                <w:sz w:val="19"/>
                <w:szCs w:val="19"/>
              </w:rPr>
              <w:t xml:space="preserve">the </w:t>
            </w:r>
            <w:r w:rsidRPr="00917A06">
              <w:rPr>
                <w:sz w:val="19"/>
                <w:szCs w:val="19"/>
              </w:rPr>
              <w:t>day-ahe</w:t>
            </w:r>
            <w:r w:rsidR="006357C9">
              <w:rPr>
                <w:sz w:val="19"/>
                <w:szCs w:val="19"/>
              </w:rPr>
              <w:t>ad auction</w:t>
            </w:r>
            <w:r w:rsidRPr="00917A06">
              <w:rPr>
                <w:sz w:val="19"/>
                <w:szCs w:val="19"/>
              </w:rPr>
              <w:t xml:space="preserve"> as a shipper. such as requirement to be a company incorporated in Australia; and</w:t>
            </w:r>
          </w:p>
          <w:p w14:paraId="5A334EEE" w14:textId="77777777" w:rsidR="00917A06" w:rsidRPr="00917A06" w:rsidRDefault="00917A06" w:rsidP="008F2E35">
            <w:pPr>
              <w:pStyle w:val="TableBullet1"/>
              <w:rPr>
                <w:b/>
                <w:sz w:val="19"/>
                <w:szCs w:val="19"/>
              </w:rPr>
            </w:pPr>
            <w:proofErr w:type="gramStart"/>
            <w:r w:rsidRPr="00917A06">
              <w:rPr>
                <w:sz w:val="19"/>
                <w:szCs w:val="19"/>
              </w:rPr>
              <w:t>deal</w:t>
            </w:r>
            <w:proofErr w:type="gramEnd"/>
            <w:r w:rsidRPr="00917A06">
              <w:rPr>
                <w:sz w:val="19"/>
                <w:szCs w:val="19"/>
              </w:rPr>
              <w:t xml:space="preserve"> with any matters that need to be dealt with in the NGR (and not the Auction Agreement) in order to satisfy other regulatory requirements.</w:t>
            </w:r>
          </w:p>
        </w:tc>
      </w:tr>
      <w:tr w:rsidR="00917A06" w:rsidRPr="00917A06" w14:paraId="56BD64B5" w14:textId="77777777" w:rsidTr="006357C9">
        <w:tc>
          <w:tcPr>
            <w:tcW w:w="0" w:type="auto"/>
          </w:tcPr>
          <w:p w14:paraId="15D23AC4" w14:textId="77777777" w:rsidR="00917A06" w:rsidRPr="00917A06" w:rsidRDefault="00917A06" w:rsidP="008F2E35">
            <w:pPr>
              <w:rPr>
                <w:sz w:val="19"/>
                <w:szCs w:val="19"/>
              </w:rPr>
            </w:pPr>
            <w:r w:rsidRPr="00917A06">
              <w:rPr>
                <w:sz w:val="19"/>
                <w:szCs w:val="19"/>
              </w:rPr>
              <w:t>Reporting</w:t>
            </w:r>
          </w:p>
        </w:tc>
        <w:tc>
          <w:tcPr>
            <w:tcW w:w="7029" w:type="dxa"/>
          </w:tcPr>
          <w:p w14:paraId="3D25305E" w14:textId="77777777" w:rsidR="00917A06" w:rsidRPr="00917A06" w:rsidRDefault="00917A06" w:rsidP="008F2E35">
            <w:pPr>
              <w:rPr>
                <w:sz w:val="19"/>
                <w:szCs w:val="19"/>
              </w:rPr>
            </w:pPr>
            <w:r w:rsidRPr="00917A06">
              <w:rPr>
                <w:sz w:val="19"/>
                <w:szCs w:val="19"/>
              </w:rPr>
              <w:t>The NGR will require AEMO to report specified information about the day-ahead auction and will also require AEMO to publish this on the BB website as well as the auction platform.</w:t>
            </w:r>
          </w:p>
        </w:tc>
      </w:tr>
      <w:tr w:rsidR="00917A06" w:rsidRPr="00917A06" w14:paraId="094EF535" w14:textId="77777777" w:rsidTr="006357C9">
        <w:trPr>
          <w:cnfStyle w:val="000000010000" w:firstRow="0" w:lastRow="0" w:firstColumn="0" w:lastColumn="0" w:oddVBand="0" w:evenVBand="0" w:oddHBand="0" w:evenHBand="1" w:firstRowFirstColumn="0" w:firstRowLastColumn="0" w:lastRowFirstColumn="0" w:lastRowLastColumn="0"/>
        </w:trPr>
        <w:tc>
          <w:tcPr>
            <w:tcW w:w="0" w:type="auto"/>
          </w:tcPr>
          <w:p w14:paraId="3ACD566F" w14:textId="77777777" w:rsidR="00917A06" w:rsidRPr="00917A06" w:rsidRDefault="00917A06" w:rsidP="008F2E35">
            <w:pPr>
              <w:rPr>
                <w:sz w:val="19"/>
                <w:szCs w:val="19"/>
              </w:rPr>
            </w:pPr>
            <w:r w:rsidRPr="00917A06">
              <w:rPr>
                <w:sz w:val="19"/>
                <w:szCs w:val="19"/>
              </w:rPr>
              <w:t>Market conduct</w:t>
            </w:r>
          </w:p>
        </w:tc>
        <w:tc>
          <w:tcPr>
            <w:tcW w:w="7029" w:type="dxa"/>
          </w:tcPr>
          <w:p w14:paraId="7279C2A1" w14:textId="6D6A75E7" w:rsidR="00917A06" w:rsidRPr="00917A06" w:rsidRDefault="00917A06" w:rsidP="008F2E35">
            <w:pPr>
              <w:rPr>
                <w:sz w:val="19"/>
                <w:szCs w:val="19"/>
              </w:rPr>
            </w:pPr>
            <w:r w:rsidRPr="00917A06">
              <w:rPr>
                <w:sz w:val="19"/>
                <w:szCs w:val="19"/>
              </w:rPr>
              <w:t>The NGR will specify market conduct rules that will be applicable to auction participants and shippers with renomination rights</w:t>
            </w:r>
            <w:r w:rsidR="006B7AC6">
              <w:rPr>
                <w:sz w:val="19"/>
                <w:szCs w:val="19"/>
              </w:rPr>
              <w:t xml:space="preserve"> </w:t>
            </w:r>
            <w:r w:rsidRPr="00917A06">
              <w:rPr>
                <w:sz w:val="19"/>
                <w:szCs w:val="19"/>
              </w:rPr>
              <w:t>and will also set out the role of AEMO and the AER in monitoring and enforcement.</w:t>
            </w:r>
          </w:p>
          <w:p w14:paraId="442C8051" w14:textId="0863E56A" w:rsidR="00917A06" w:rsidRPr="00917A06" w:rsidRDefault="00917A06" w:rsidP="008F2E35">
            <w:pPr>
              <w:rPr>
                <w:sz w:val="19"/>
                <w:szCs w:val="19"/>
              </w:rPr>
            </w:pPr>
            <w:r w:rsidRPr="00917A06">
              <w:rPr>
                <w:sz w:val="19"/>
                <w:szCs w:val="19"/>
              </w:rPr>
              <w:t>The market conduct rules applicable to auction participants are expected to be modelled on the market conduct rules in Part 22 of the NGR, which apply to the GSH, modified to reflect the different nature of the day-ahead auctions</w:t>
            </w:r>
            <w:r w:rsidR="006357C9">
              <w:rPr>
                <w:sz w:val="19"/>
                <w:szCs w:val="19"/>
              </w:rPr>
              <w:t xml:space="preserve"> and the gaming risks associated with the auction</w:t>
            </w:r>
            <w:r w:rsidRPr="00917A06">
              <w:rPr>
                <w:sz w:val="19"/>
                <w:szCs w:val="19"/>
              </w:rPr>
              <w:t>.</w:t>
            </w:r>
          </w:p>
          <w:p w14:paraId="7A437791" w14:textId="77777777" w:rsidR="00917A06" w:rsidRPr="00917A06" w:rsidRDefault="00917A06" w:rsidP="008F2E35">
            <w:pPr>
              <w:rPr>
                <w:sz w:val="19"/>
                <w:szCs w:val="19"/>
              </w:rPr>
            </w:pPr>
            <w:r w:rsidRPr="00917A06">
              <w:rPr>
                <w:sz w:val="19"/>
                <w:szCs w:val="19"/>
              </w:rPr>
              <w:t>The market conduct rules applicable to shippers with renomination rights will be directed at ensuring renomination rights are exercised in good faith and not to game or undermine day-ahead auctions.</w:t>
            </w:r>
          </w:p>
        </w:tc>
      </w:tr>
      <w:tr w:rsidR="00917A06" w:rsidRPr="00917A06" w14:paraId="2820D2F4" w14:textId="77777777" w:rsidTr="006357C9">
        <w:tc>
          <w:tcPr>
            <w:tcW w:w="0" w:type="auto"/>
            <w:tcBorders>
              <w:bottom w:val="single" w:sz="4" w:space="0" w:color="auto"/>
            </w:tcBorders>
          </w:tcPr>
          <w:p w14:paraId="3521ABBA" w14:textId="77777777" w:rsidR="00917A06" w:rsidRPr="00917A06" w:rsidRDefault="00917A06" w:rsidP="008F2E35">
            <w:pPr>
              <w:rPr>
                <w:sz w:val="19"/>
                <w:szCs w:val="19"/>
              </w:rPr>
            </w:pPr>
            <w:r w:rsidRPr="00917A06">
              <w:rPr>
                <w:sz w:val="19"/>
                <w:szCs w:val="19"/>
              </w:rPr>
              <w:t>Cost recovery</w:t>
            </w:r>
          </w:p>
        </w:tc>
        <w:tc>
          <w:tcPr>
            <w:tcW w:w="7029" w:type="dxa"/>
            <w:tcBorders>
              <w:bottom w:val="single" w:sz="4" w:space="0" w:color="auto"/>
            </w:tcBorders>
          </w:tcPr>
          <w:p w14:paraId="67C5BE42" w14:textId="77777777" w:rsidR="00917A06" w:rsidRPr="00917A06" w:rsidRDefault="00917A06" w:rsidP="008F2E35">
            <w:pPr>
              <w:rPr>
                <w:sz w:val="19"/>
                <w:szCs w:val="19"/>
              </w:rPr>
            </w:pPr>
            <w:r w:rsidRPr="00917A06">
              <w:rPr>
                <w:sz w:val="19"/>
                <w:szCs w:val="19"/>
              </w:rPr>
              <w:t>The NGR will allow AEMO to recover the costs of establishing and operating the auction platform from market participants and to determine the appropriate fee structure in consultation with registered auction and GSH participants.</w:t>
            </w:r>
          </w:p>
        </w:tc>
      </w:tr>
      <w:tr w:rsidR="00917A06" w:rsidRPr="00917A06" w14:paraId="399E26E3" w14:textId="77777777" w:rsidTr="006357C9">
        <w:trPr>
          <w:cnfStyle w:val="000000010000" w:firstRow="0" w:lastRow="0" w:firstColumn="0" w:lastColumn="0" w:oddVBand="0" w:evenVBand="0" w:oddHBand="0" w:evenHBand="1" w:firstRowFirstColumn="0" w:firstRowLastColumn="0" w:lastRowFirstColumn="0" w:lastRowLastColumn="0"/>
        </w:trPr>
        <w:tc>
          <w:tcPr>
            <w:tcW w:w="8931" w:type="dxa"/>
            <w:gridSpan w:val="2"/>
            <w:tcBorders>
              <w:bottom w:val="single" w:sz="4" w:space="0" w:color="auto"/>
            </w:tcBorders>
            <w:shd w:val="clear" w:color="auto" w:fill="65697F" w:themeFill="background2" w:themeFillShade="80"/>
          </w:tcPr>
          <w:p w14:paraId="0E49A07A" w14:textId="77777777" w:rsidR="00917A06" w:rsidRPr="00917A06" w:rsidRDefault="00917A06" w:rsidP="008F2E35">
            <w:pPr>
              <w:keepNext/>
              <w:jc w:val="center"/>
              <w:rPr>
                <w:b/>
                <w:color w:val="FFFFFF" w:themeColor="background1"/>
                <w:sz w:val="19"/>
                <w:szCs w:val="19"/>
              </w:rPr>
            </w:pPr>
            <w:r w:rsidRPr="00917A06">
              <w:rPr>
                <w:b/>
                <w:color w:val="FFFFFF" w:themeColor="background1"/>
                <w:sz w:val="19"/>
                <w:szCs w:val="19"/>
              </w:rPr>
              <w:t xml:space="preserve">Procedures </w:t>
            </w:r>
          </w:p>
        </w:tc>
      </w:tr>
      <w:tr w:rsidR="00917A06" w:rsidRPr="00917A06" w14:paraId="605EA750" w14:textId="77777777" w:rsidTr="006357C9">
        <w:tc>
          <w:tcPr>
            <w:tcW w:w="0" w:type="auto"/>
            <w:tcBorders>
              <w:bottom w:val="single" w:sz="4" w:space="0" w:color="auto"/>
            </w:tcBorders>
            <w:shd w:val="clear" w:color="auto" w:fill="E1E2E7" w:themeFill="background2"/>
          </w:tcPr>
          <w:p w14:paraId="03469FA5" w14:textId="77777777" w:rsidR="00917A06" w:rsidRPr="00917A06" w:rsidRDefault="00917A06" w:rsidP="008F2E35">
            <w:pPr>
              <w:keepNext/>
              <w:rPr>
                <w:sz w:val="19"/>
                <w:szCs w:val="19"/>
              </w:rPr>
            </w:pPr>
            <w:r w:rsidRPr="00917A06">
              <w:rPr>
                <w:sz w:val="19"/>
                <w:szCs w:val="19"/>
              </w:rPr>
              <w:t>Applicable to AEMO, service providers and shippers</w:t>
            </w:r>
          </w:p>
        </w:tc>
        <w:tc>
          <w:tcPr>
            <w:tcW w:w="7029" w:type="dxa"/>
            <w:tcBorders>
              <w:bottom w:val="single" w:sz="4" w:space="0" w:color="auto"/>
            </w:tcBorders>
            <w:shd w:val="clear" w:color="auto" w:fill="E1E2E7" w:themeFill="background2"/>
          </w:tcPr>
          <w:p w14:paraId="476733DD" w14:textId="77777777" w:rsidR="00917A06" w:rsidRPr="00917A06" w:rsidRDefault="00917A06" w:rsidP="006357C9">
            <w:pPr>
              <w:spacing w:before="40" w:after="40"/>
              <w:rPr>
                <w:sz w:val="19"/>
                <w:szCs w:val="19"/>
              </w:rPr>
            </w:pPr>
            <w:r w:rsidRPr="00917A06">
              <w:rPr>
                <w:sz w:val="19"/>
                <w:szCs w:val="19"/>
              </w:rPr>
              <w:t>Procedures setting out the detailed information requirements including the content, timing and form of information to be exchanged between service providers and AEMO. The procedures may also deal with any detail required for the conduct of day-ahead auctions not covered in the NGR.</w:t>
            </w:r>
          </w:p>
          <w:p w14:paraId="5D3D8498" w14:textId="77777777" w:rsidR="00917A06" w:rsidRPr="00917A06" w:rsidRDefault="00917A06" w:rsidP="006357C9">
            <w:pPr>
              <w:spacing w:before="40" w:after="40"/>
              <w:rPr>
                <w:sz w:val="19"/>
                <w:szCs w:val="19"/>
              </w:rPr>
            </w:pPr>
            <w:r w:rsidRPr="00917A06">
              <w:rPr>
                <w:sz w:val="19"/>
                <w:szCs w:val="19"/>
              </w:rPr>
              <w:t xml:space="preserve">The GMRG proposes that this would be incorporated in Secondary Capacity and Auction Procedures. </w:t>
            </w:r>
          </w:p>
          <w:p w14:paraId="1C14ADDD" w14:textId="77777777" w:rsidR="00917A06" w:rsidRPr="00917A06" w:rsidRDefault="00917A06" w:rsidP="006357C9">
            <w:pPr>
              <w:spacing w:before="40" w:after="40"/>
              <w:rPr>
                <w:sz w:val="19"/>
                <w:szCs w:val="19"/>
              </w:rPr>
            </w:pPr>
            <w:r w:rsidRPr="00917A06">
              <w:rPr>
                <w:sz w:val="19"/>
                <w:szCs w:val="19"/>
              </w:rPr>
              <w:t xml:space="preserve">Note that in </w:t>
            </w:r>
            <w:r w:rsidRPr="00917A06">
              <w:rPr>
                <w:i/>
                <w:sz w:val="19"/>
                <w:szCs w:val="19"/>
              </w:rPr>
              <w:t xml:space="preserve">Standardisation Related Reforms and the Capacity Trading Platform </w:t>
            </w:r>
            <w:r w:rsidRPr="00917A06">
              <w:rPr>
                <w:sz w:val="19"/>
                <w:szCs w:val="19"/>
              </w:rPr>
              <w:t>consultation paper that was published in September, these procedures were referred to as capacity transfer procedures. The GMRG now expects the scope of these procedures to be broader and include, amongst other things, procedures relevant to the conduct of the auction, secondary trade reporting requirements and the capacity transfer procedures between AEMO and service providers.</w:t>
            </w:r>
          </w:p>
        </w:tc>
      </w:tr>
      <w:tr w:rsidR="00917A06" w:rsidRPr="00917A06" w14:paraId="4A109002" w14:textId="77777777" w:rsidTr="006357C9">
        <w:trPr>
          <w:cnfStyle w:val="000000010000" w:firstRow="0" w:lastRow="0" w:firstColumn="0" w:lastColumn="0" w:oddVBand="0" w:evenVBand="0" w:oddHBand="0" w:evenHBand="1" w:firstRowFirstColumn="0" w:firstRowLastColumn="0" w:lastRowFirstColumn="0" w:lastRowLastColumn="0"/>
        </w:trPr>
        <w:tc>
          <w:tcPr>
            <w:tcW w:w="8931" w:type="dxa"/>
            <w:gridSpan w:val="2"/>
            <w:shd w:val="clear" w:color="auto" w:fill="65697F" w:themeFill="background2" w:themeFillShade="80"/>
          </w:tcPr>
          <w:p w14:paraId="2A459276" w14:textId="77777777" w:rsidR="00917A06" w:rsidRPr="00917A06" w:rsidRDefault="00917A06" w:rsidP="008F2E35">
            <w:pPr>
              <w:jc w:val="center"/>
              <w:rPr>
                <w:b/>
                <w:color w:val="FFFFFF" w:themeColor="background1"/>
                <w:sz w:val="19"/>
                <w:szCs w:val="19"/>
              </w:rPr>
            </w:pPr>
            <w:r w:rsidRPr="00917A06">
              <w:rPr>
                <w:b/>
                <w:color w:val="FFFFFF" w:themeColor="background1"/>
                <w:sz w:val="19"/>
                <w:szCs w:val="19"/>
              </w:rPr>
              <w:t>Auction Agreement</w:t>
            </w:r>
          </w:p>
        </w:tc>
      </w:tr>
      <w:tr w:rsidR="00917A06" w:rsidRPr="00917A06" w14:paraId="399DEDDE" w14:textId="77777777" w:rsidTr="006357C9">
        <w:tc>
          <w:tcPr>
            <w:tcW w:w="0" w:type="auto"/>
          </w:tcPr>
          <w:p w14:paraId="78718014" w14:textId="77777777" w:rsidR="00917A06" w:rsidRPr="00917A06" w:rsidRDefault="00917A06" w:rsidP="006357C9">
            <w:pPr>
              <w:spacing w:before="40" w:after="40"/>
              <w:rPr>
                <w:sz w:val="19"/>
                <w:szCs w:val="19"/>
              </w:rPr>
            </w:pPr>
            <w:r w:rsidRPr="00917A06">
              <w:rPr>
                <w:sz w:val="19"/>
                <w:szCs w:val="19"/>
              </w:rPr>
              <w:t xml:space="preserve">Auction Agreement </w:t>
            </w:r>
          </w:p>
        </w:tc>
        <w:tc>
          <w:tcPr>
            <w:tcW w:w="7029" w:type="dxa"/>
          </w:tcPr>
          <w:p w14:paraId="354B79ED" w14:textId="77777777" w:rsidR="00917A06" w:rsidRPr="00917A06" w:rsidRDefault="00917A06" w:rsidP="006357C9">
            <w:pPr>
              <w:spacing w:before="40" w:after="40"/>
              <w:rPr>
                <w:sz w:val="19"/>
                <w:szCs w:val="19"/>
              </w:rPr>
            </w:pPr>
            <w:r w:rsidRPr="00917A06">
              <w:rPr>
                <w:sz w:val="19"/>
                <w:szCs w:val="19"/>
              </w:rPr>
              <w:t>Shippers will sign a short form agreement which will incorporate by reference the main body of the Auction Agreement dealing with:</w:t>
            </w:r>
          </w:p>
          <w:p w14:paraId="2B9139EA" w14:textId="77777777" w:rsidR="00917A06" w:rsidRPr="00917A06" w:rsidRDefault="00917A06" w:rsidP="006357C9">
            <w:pPr>
              <w:pStyle w:val="TableBullet1"/>
              <w:spacing w:before="40" w:after="40"/>
              <w:rPr>
                <w:sz w:val="19"/>
                <w:szCs w:val="19"/>
                <w:lang w:eastAsia="fr-CA"/>
              </w:rPr>
            </w:pPr>
            <w:r w:rsidRPr="00917A06">
              <w:rPr>
                <w:sz w:val="19"/>
                <w:szCs w:val="19"/>
                <w:lang w:eastAsia="fr-CA"/>
              </w:rPr>
              <w:t>eligibility to enter into an Auction Agreement and remain a party, such as being a body corporate and not currently in external administration or similar;</w:t>
            </w:r>
          </w:p>
          <w:p w14:paraId="7D677E0D" w14:textId="77777777" w:rsidR="00917A06" w:rsidRPr="00917A06" w:rsidRDefault="00917A06" w:rsidP="006357C9">
            <w:pPr>
              <w:pStyle w:val="TableBullet1"/>
              <w:spacing w:before="40" w:after="40"/>
              <w:rPr>
                <w:sz w:val="19"/>
                <w:szCs w:val="19"/>
              </w:rPr>
            </w:pPr>
            <w:r w:rsidRPr="00917A06">
              <w:rPr>
                <w:sz w:val="19"/>
                <w:szCs w:val="19"/>
              </w:rPr>
              <w:t>the role of AEMO in auctions and the responsibility of the shipper to put in place the operational GTAs it will need to use any capacity purchased;</w:t>
            </w:r>
          </w:p>
          <w:p w14:paraId="065BB3D5" w14:textId="77777777" w:rsidR="00917A06" w:rsidRPr="00917A06" w:rsidRDefault="00917A06" w:rsidP="006357C9">
            <w:pPr>
              <w:pStyle w:val="TableBullet1"/>
              <w:spacing w:before="40" w:after="40"/>
              <w:rPr>
                <w:i/>
                <w:sz w:val="19"/>
                <w:szCs w:val="19"/>
              </w:rPr>
            </w:pPr>
            <w:r w:rsidRPr="00917A06">
              <w:rPr>
                <w:sz w:val="19"/>
                <w:szCs w:val="19"/>
              </w:rPr>
              <w:t>arrangements for access to the auction platform such as identification of authorised users;</w:t>
            </w:r>
          </w:p>
          <w:p w14:paraId="070EB6A4" w14:textId="77777777" w:rsidR="00917A06" w:rsidRPr="00917A06" w:rsidRDefault="00917A06" w:rsidP="006357C9">
            <w:pPr>
              <w:pStyle w:val="TableBullet1"/>
              <w:spacing w:before="40" w:after="40"/>
              <w:rPr>
                <w:i/>
                <w:sz w:val="19"/>
                <w:szCs w:val="19"/>
              </w:rPr>
            </w:pPr>
            <w:r w:rsidRPr="00917A06">
              <w:rPr>
                <w:sz w:val="19"/>
                <w:szCs w:val="19"/>
              </w:rPr>
              <w:t>conditions for participation in individual auctions such as requirements to provide payment security, acceptable forms of payment security and when credit support can be called;</w:t>
            </w:r>
          </w:p>
          <w:p w14:paraId="5A817743" w14:textId="77777777" w:rsidR="00917A06" w:rsidRPr="00917A06" w:rsidRDefault="00917A06" w:rsidP="006357C9">
            <w:pPr>
              <w:pStyle w:val="TableBullet1"/>
              <w:spacing w:before="40" w:after="40"/>
              <w:rPr>
                <w:i/>
                <w:sz w:val="19"/>
                <w:szCs w:val="19"/>
              </w:rPr>
            </w:pPr>
            <w:r w:rsidRPr="00917A06">
              <w:rPr>
                <w:sz w:val="19"/>
                <w:szCs w:val="19"/>
              </w:rPr>
              <w:t>the conduct of auctions by AEMO in accordance with the principles in the NGR and the shipper's acceptance of auctions results;</w:t>
            </w:r>
          </w:p>
          <w:p w14:paraId="33C91C55" w14:textId="77777777" w:rsidR="00917A06" w:rsidRPr="00917A06" w:rsidRDefault="00917A06" w:rsidP="006357C9">
            <w:pPr>
              <w:pStyle w:val="TableBullet1"/>
              <w:spacing w:before="40" w:after="40"/>
              <w:rPr>
                <w:i/>
                <w:sz w:val="19"/>
                <w:szCs w:val="19"/>
              </w:rPr>
            </w:pPr>
            <w:r w:rsidRPr="00917A06">
              <w:rPr>
                <w:sz w:val="19"/>
                <w:szCs w:val="19"/>
              </w:rPr>
              <w:t>publication by AEMO of the auction results;</w:t>
            </w:r>
          </w:p>
          <w:p w14:paraId="4550BE4C" w14:textId="77777777" w:rsidR="00917A06" w:rsidRPr="00917A06" w:rsidRDefault="00917A06" w:rsidP="006357C9">
            <w:pPr>
              <w:pStyle w:val="TableBullet1"/>
              <w:spacing w:before="40" w:after="40"/>
              <w:rPr>
                <w:i/>
                <w:sz w:val="19"/>
                <w:szCs w:val="19"/>
              </w:rPr>
            </w:pPr>
            <w:r w:rsidRPr="00917A06">
              <w:rPr>
                <w:sz w:val="19"/>
                <w:szCs w:val="19"/>
              </w:rPr>
              <w:t>circumstances in which AEMO can suspend a shipper from participation in auctions and terminate the Auction Agreement, which are expected to be similar to those that apply in the GSH;</w:t>
            </w:r>
          </w:p>
          <w:p w14:paraId="45A14625" w14:textId="77777777" w:rsidR="00917A06" w:rsidRPr="00917A06" w:rsidRDefault="00917A06" w:rsidP="006357C9">
            <w:pPr>
              <w:pStyle w:val="TableBullet1"/>
              <w:spacing w:before="40" w:after="40"/>
              <w:rPr>
                <w:sz w:val="19"/>
                <w:szCs w:val="19"/>
              </w:rPr>
            </w:pPr>
            <w:r w:rsidRPr="00917A06">
              <w:rPr>
                <w:sz w:val="19"/>
                <w:szCs w:val="19"/>
              </w:rPr>
              <w:t>the obligation to pay participant fees (if these are to be paid by shippers);</w:t>
            </w:r>
          </w:p>
          <w:p w14:paraId="570CDFCB" w14:textId="77777777" w:rsidR="00917A06" w:rsidRPr="00917A06" w:rsidRDefault="00917A06" w:rsidP="006357C9">
            <w:pPr>
              <w:pStyle w:val="TableBullet1"/>
              <w:spacing w:before="40" w:after="40"/>
              <w:rPr>
                <w:i/>
                <w:sz w:val="19"/>
                <w:szCs w:val="19"/>
              </w:rPr>
            </w:pPr>
            <w:r w:rsidRPr="00917A06">
              <w:rPr>
                <w:sz w:val="19"/>
                <w:szCs w:val="19"/>
              </w:rPr>
              <w:t>payment and settlement arrangements;</w:t>
            </w:r>
          </w:p>
          <w:p w14:paraId="23F24D3C" w14:textId="77777777" w:rsidR="00917A06" w:rsidRPr="00917A06" w:rsidRDefault="00917A06" w:rsidP="006357C9">
            <w:pPr>
              <w:pStyle w:val="TableBullet1"/>
              <w:spacing w:before="40" w:after="40"/>
              <w:rPr>
                <w:i/>
                <w:sz w:val="19"/>
                <w:szCs w:val="19"/>
              </w:rPr>
            </w:pPr>
            <w:r w:rsidRPr="00917A06">
              <w:rPr>
                <w:sz w:val="19"/>
                <w:szCs w:val="19"/>
              </w:rPr>
              <w:t>contractual matters such as warranties and representations and limitations and exclusions of liability; and</w:t>
            </w:r>
          </w:p>
          <w:p w14:paraId="2189AC26" w14:textId="77777777" w:rsidR="00917A06" w:rsidRPr="00917A06" w:rsidRDefault="00917A06" w:rsidP="006357C9">
            <w:pPr>
              <w:pStyle w:val="TableBullet1"/>
              <w:spacing w:before="40" w:after="40"/>
              <w:rPr>
                <w:sz w:val="19"/>
                <w:szCs w:val="19"/>
              </w:rPr>
            </w:pPr>
            <w:proofErr w:type="gramStart"/>
            <w:r w:rsidRPr="00917A06">
              <w:rPr>
                <w:sz w:val="19"/>
                <w:szCs w:val="19"/>
              </w:rPr>
              <w:t>the</w:t>
            </w:r>
            <w:proofErr w:type="gramEnd"/>
            <w:r w:rsidRPr="00917A06">
              <w:rPr>
                <w:sz w:val="19"/>
                <w:szCs w:val="19"/>
              </w:rPr>
              <w:t xml:space="preserve"> arrangements under which AEMO can amend the Auction Agreement terms.</w:t>
            </w:r>
          </w:p>
        </w:tc>
      </w:tr>
      <w:tr w:rsidR="00917A06" w:rsidRPr="00917A06" w14:paraId="06AF8426" w14:textId="77777777" w:rsidTr="006357C9">
        <w:trPr>
          <w:cnfStyle w:val="000000010000" w:firstRow="0" w:lastRow="0" w:firstColumn="0" w:lastColumn="0" w:oddVBand="0" w:evenVBand="0" w:oddHBand="0" w:evenHBand="1" w:firstRowFirstColumn="0" w:firstRowLastColumn="0" w:lastRowFirstColumn="0" w:lastRowLastColumn="0"/>
        </w:trPr>
        <w:tc>
          <w:tcPr>
            <w:tcW w:w="0" w:type="auto"/>
          </w:tcPr>
          <w:p w14:paraId="7ABB4319" w14:textId="77777777" w:rsidR="00917A06" w:rsidRPr="00917A06" w:rsidRDefault="00917A06" w:rsidP="00201CBA">
            <w:pPr>
              <w:spacing w:after="0"/>
              <w:rPr>
                <w:sz w:val="19"/>
                <w:szCs w:val="19"/>
              </w:rPr>
            </w:pPr>
            <w:r w:rsidRPr="00917A06">
              <w:rPr>
                <w:sz w:val="19"/>
                <w:szCs w:val="19"/>
              </w:rPr>
              <w:t>Operational GTA (shippers and service providers)</w:t>
            </w:r>
          </w:p>
        </w:tc>
        <w:tc>
          <w:tcPr>
            <w:tcW w:w="7029" w:type="dxa"/>
          </w:tcPr>
          <w:p w14:paraId="7D0A1408" w14:textId="09938C91" w:rsidR="00917A06" w:rsidRPr="00917A06" w:rsidRDefault="00917A06" w:rsidP="00201CBA">
            <w:pPr>
              <w:spacing w:before="40" w:after="0"/>
              <w:rPr>
                <w:sz w:val="19"/>
                <w:szCs w:val="19"/>
              </w:rPr>
            </w:pPr>
            <w:r w:rsidRPr="00917A06">
              <w:rPr>
                <w:sz w:val="19"/>
                <w:szCs w:val="19"/>
              </w:rPr>
              <w:t>The day-ahead auction platform agreement will assume that capacity bought in the auctions is used on the terms of an operational GTA.</w:t>
            </w:r>
            <w:r w:rsidRPr="00917A06">
              <w:rPr>
                <w:rStyle w:val="FootnoteReference"/>
                <w:sz w:val="19"/>
                <w:szCs w:val="19"/>
              </w:rPr>
              <w:t xml:space="preserve"> </w:t>
            </w:r>
            <w:r w:rsidRPr="00917A06">
              <w:rPr>
                <w:rStyle w:val="FootnoteReference"/>
                <w:sz w:val="19"/>
                <w:szCs w:val="19"/>
              </w:rPr>
              <w:footnoteReference w:id="94"/>
            </w:r>
            <w:r w:rsidR="006B7AC6">
              <w:rPr>
                <w:sz w:val="19"/>
                <w:szCs w:val="19"/>
              </w:rPr>
              <w:t xml:space="preserve"> </w:t>
            </w:r>
          </w:p>
        </w:tc>
      </w:tr>
    </w:tbl>
    <w:tbl>
      <w:tblPr>
        <w:tblStyle w:val="PullOutBoxTable"/>
        <w:tblW w:w="5000" w:type="pct"/>
        <w:shd w:val="clear" w:color="auto" w:fill="B7E7FF"/>
        <w:tblLook w:val="0620" w:firstRow="1" w:lastRow="0" w:firstColumn="0" w:lastColumn="0" w:noHBand="1" w:noVBand="1"/>
        <w:tblCaption w:val="Table 7.1: Proposed legal and governance framework for auction: Key changes"/>
        <w:tblDescription w:val="Proposed legal and governance framework for auction: Key changes"/>
      </w:tblPr>
      <w:tblGrid>
        <w:gridCol w:w="8788"/>
      </w:tblGrid>
      <w:tr w:rsidR="0035688B" w:rsidRPr="004D73D8" w14:paraId="1B302524" w14:textId="77777777" w:rsidTr="003974E4">
        <w:trPr>
          <w:tblHeader/>
        </w:trPr>
        <w:tc>
          <w:tcPr>
            <w:tcW w:w="5000" w:type="pct"/>
            <w:shd w:val="clear" w:color="auto" w:fill="auto"/>
          </w:tcPr>
          <w:p w14:paraId="56266CFE" w14:textId="109B858A" w:rsidR="0035688B" w:rsidRPr="00C46A11" w:rsidRDefault="00201CBA" w:rsidP="00201CBA">
            <w:pPr>
              <w:pStyle w:val="ListNumber"/>
              <w:keepNext/>
              <w:numPr>
                <w:ilvl w:val="0"/>
                <w:numId w:val="0"/>
              </w:numPr>
              <w:spacing w:before="0" w:after="0"/>
              <w:ind w:left="360" w:hanging="360"/>
              <w:rPr>
                <w:rFonts w:eastAsiaTheme="majorEastAsia"/>
                <w:sz w:val="21"/>
                <w:szCs w:val="21"/>
              </w:rPr>
            </w:pPr>
            <w:r>
              <w:rPr>
                <w:b/>
              </w:rPr>
              <w:t xml:space="preserve">Box </w:t>
            </w:r>
            <w:r>
              <w:rPr>
                <w:b/>
              </w:rPr>
              <w:fldChar w:fldCharType="begin"/>
            </w:r>
            <w:r>
              <w:rPr>
                <w:b/>
              </w:rPr>
              <w:instrText xml:space="preserve"> STYLEREF 1 \s </w:instrText>
            </w:r>
            <w:r>
              <w:rPr>
                <w:b/>
              </w:rPr>
              <w:fldChar w:fldCharType="separate"/>
            </w:r>
            <w:r>
              <w:rPr>
                <w:b/>
                <w:noProof/>
              </w:rPr>
              <w:t>7</w:t>
            </w:r>
            <w:r>
              <w:rPr>
                <w:b/>
              </w:rPr>
              <w:fldChar w:fldCharType="end"/>
            </w:r>
            <w:r>
              <w:rPr>
                <w:b/>
              </w:rPr>
              <w:t>.</w:t>
            </w:r>
            <w:r>
              <w:rPr>
                <w:b/>
              </w:rPr>
              <w:fldChar w:fldCharType="begin"/>
            </w:r>
            <w:r>
              <w:rPr>
                <w:b/>
              </w:rPr>
              <w:instrText xml:space="preserve"> SEQ Box \* ARABIC \s 1 </w:instrText>
            </w:r>
            <w:r>
              <w:rPr>
                <w:b/>
              </w:rPr>
              <w:fldChar w:fldCharType="separate"/>
            </w:r>
            <w:r>
              <w:rPr>
                <w:b/>
                <w:noProof/>
              </w:rPr>
              <w:t>1</w:t>
            </w:r>
            <w:r>
              <w:rPr>
                <w:b/>
              </w:rPr>
              <w:fldChar w:fldCharType="end"/>
            </w:r>
            <w:r>
              <w:rPr>
                <w:b/>
              </w:rPr>
              <w:t>: Questions on governance arrangements</w:t>
            </w:r>
          </w:p>
        </w:tc>
      </w:tr>
      <w:tr w:rsidR="00201CBA" w:rsidRPr="004D73D8" w14:paraId="0A3F257B" w14:textId="77777777" w:rsidTr="003974E4">
        <w:tc>
          <w:tcPr>
            <w:tcW w:w="5000" w:type="pct"/>
            <w:shd w:val="clear" w:color="auto" w:fill="B7E7FF"/>
          </w:tcPr>
          <w:p w14:paraId="3D1FDBC7" w14:textId="34985946" w:rsidR="00201CBA" w:rsidRDefault="00201CBA" w:rsidP="00201CBA">
            <w:pPr>
              <w:pStyle w:val="ListNumber"/>
              <w:keepNext/>
              <w:numPr>
                <w:ilvl w:val="0"/>
                <w:numId w:val="20"/>
              </w:numPr>
              <w:spacing w:before="0" w:after="0"/>
              <w:ind w:left="357" w:hanging="357"/>
              <w:rPr>
                <w:rFonts w:eastAsiaTheme="majorEastAsia"/>
                <w:sz w:val="21"/>
                <w:szCs w:val="21"/>
              </w:rPr>
            </w:pPr>
            <w:r>
              <w:rPr>
                <w:rFonts w:eastAsiaTheme="majorEastAsia"/>
                <w:sz w:val="21"/>
                <w:szCs w:val="21"/>
              </w:rPr>
              <w:t xml:space="preserve">Are there any other changes that you think will be required to the legal and governance framework to give effect to the day-ahead auction that have not been identified in </w:t>
            </w:r>
            <w:r>
              <w:fldChar w:fldCharType="begin"/>
            </w:r>
            <w:r>
              <w:rPr>
                <w:rFonts w:eastAsiaTheme="majorEastAsia"/>
                <w:sz w:val="21"/>
                <w:szCs w:val="21"/>
              </w:rPr>
              <w:instrText xml:space="preserve"> REF _Ref495159792 \h </w:instrText>
            </w:r>
            <w:r>
              <w:fldChar w:fldCharType="separate"/>
            </w:r>
            <w:r>
              <w:t xml:space="preserve">Table </w:t>
            </w:r>
            <w:r>
              <w:rPr>
                <w:noProof/>
              </w:rPr>
              <w:t>7</w:t>
            </w:r>
            <w:r>
              <w:t>.</w:t>
            </w:r>
            <w:r>
              <w:rPr>
                <w:noProof/>
              </w:rPr>
              <w:t>1</w:t>
            </w:r>
            <w:r>
              <w:fldChar w:fldCharType="end"/>
            </w:r>
            <w:r>
              <w:rPr>
                <w:rFonts w:eastAsiaTheme="majorEastAsia"/>
                <w:sz w:val="21"/>
                <w:szCs w:val="21"/>
              </w:rPr>
              <w:t>?</w:t>
            </w:r>
          </w:p>
        </w:tc>
      </w:tr>
    </w:tbl>
    <w:p w14:paraId="7C9AD188" w14:textId="5171A6B3" w:rsidR="008C28EE" w:rsidRDefault="008C28EE" w:rsidP="00201CBA">
      <w:pPr>
        <w:pStyle w:val="ListNumber"/>
        <w:numPr>
          <w:ilvl w:val="0"/>
          <w:numId w:val="0"/>
        </w:numPr>
        <w:spacing w:before="0" w:after="0"/>
      </w:pPr>
      <w:r>
        <w:br w:type="page"/>
      </w:r>
    </w:p>
    <w:p w14:paraId="39A4308E" w14:textId="565A1BAA" w:rsidR="008C28EE" w:rsidRDefault="008C28EE" w:rsidP="008C28EE">
      <w:pPr>
        <w:pStyle w:val="ExecSummHeading1"/>
        <w:spacing w:after="0"/>
      </w:pPr>
      <w:bookmarkStart w:id="150" w:name="_Toc495351658"/>
      <w:bookmarkStart w:id="151" w:name="_Hlk494796161"/>
      <w:r w:rsidRPr="00D9222C">
        <w:t xml:space="preserve">Part B: </w:t>
      </w:r>
      <w:r w:rsidR="003416C5" w:rsidRPr="00D9222C">
        <w:t>Reporting Framework</w:t>
      </w:r>
      <w:r w:rsidR="00A15EFC" w:rsidRPr="00D9222C">
        <w:t xml:space="preserve"> for Secondary Trades</w:t>
      </w:r>
      <w:bookmarkEnd w:id="150"/>
    </w:p>
    <w:p w14:paraId="22D1D89D" w14:textId="06485CCA" w:rsidR="00E264D6" w:rsidRDefault="00E264D6" w:rsidP="00B30D46">
      <w:pPr>
        <w:pStyle w:val="BodyText"/>
        <w:spacing w:before="120" w:after="200"/>
        <w:rPr>
          <w:rFonts w:asciiTheme="majorHAnsi" w:hAnsiTheme="majorHAnsi" w:cstheme="majorHAnsi"/>
          <w:color w:val="000000"/>
        </w:rPr>
      </w:pPr>
      <w:r w:rsidRPr="00E264D6">
        <w:rPr>
          <w:rFonts w:asciiTheme="majorHAnsi" w:hAnsiTheme="majorHAnsi" w:cstheme="majorHAnsi"/>
        </w:rPr>
        <w:t xml:space="preserve">In the </w:t>
      </w:r>
      <w:r w:rsidRPr="00E264D6">
        <w:rPr>
          <w:rFonts w:asciiTheme="majorHAnsi" w:hAnsiTheme="majorHAnsi" w:cstheme="majorHAnsi"/>
          <w:i/>
        </w:rPr>
        <w:t xml:space="preserve">East Coast Review, </w:t>
      </w:r>
      <w:r w:rsidRPr="00E264D6">
        <w:rPr>
          <w:rFonts w:asciiTheme="majorHAnsi" w:hAnsiTheme="majorHAnsi" w:cstheme="majorHAnsi"/>
        </w:rPr>
        <w:t xml:space="preserve">the AEMC noted that </w:t>
      </w:r>
      <w:r w:rsidRPr="00E264D6">
        <w:rPr>
          <w:rFonts w:asciiTheme="majorHAnsi" w:hAnsiTheme="majorHAnsi" w:cstheme="majorHAnsi"/>
          <w:color w:val="000000"/>
        </w:rPr>
        <w:t>shippers currently have no way to determine whether secondary capacity is being provided on a non-discriminatory basis, or if the prices they are offered are reasonable because the prices and other terms on which secondary capacity trades are struck are currently confidential.</w:t>
      </w:r>
      <w:r>
        <w:rPr>
          <w:rStyle w:val="FootnoteReference"/>
          <w:rFonts w:asciiTheme="majorHAnsi" w:hAnsiTheme="majorHAnsi" w:cstheme="majorHAnsi"/>
          <w:color w:val="000000"/>
        </w:rPr>
        <w:footnoteReference w:id="95"/>
      </w:r>
      <w:r w:rsidRPr="00E264D6">
        <w:rPr>
          <w:rFonts w:asciiTheme="majorHAnsi" w:hAnsiTheme="majorHAnsi" w:cstheme="majorHAnsi"/>
          <w:color w:val="000000"/>
        </w:rPr>
        <w:t xml:space="preserve"> To address this information gap, the AEMC recommended that information on the prices </w:t>
      </w:r>
      <w:r>
        <w:rPr>
          <w:rFonts w:asciiTheme="majorHAnsi" w:hAnsiTheme="majorHAnsi" w:cstheme="majorHAnsi"/>
          <w:color w:val="000000"/>
        </w:rPr>
        <w:t xml:space="preserve">struck in all secondary trades be published, along with information on the key </w:t>
      </w:r>
      <w:r w:rsidRPr="00E264D6">
        <w:rPr>
          <w:rFonts w:asciiTheme="majorHAnsi" w:hAnsiTheme="majorHAnsi" w:cstheme="majorHAnsi"/>
          <w:color w:val="000000"/>
        </w:rPr>
        <w:t xml:space="preserve">terms </w:t>
      </w:r>
      <w:r>
        <w:rPr>
          <w:rFonts w:asciiTheme="majorHAnsi" w:hAnsiTheme="majorHAnsi" w:cstheme="majorHAnsi"/>
          <w:color w:val="000000"/>
        </w:rPr>
        <w:t xml:space="preserve">and conditions </w:t>
      </w:r>
      <w:r w:rsidRPr="00E264D6">
        <w:rPr>
          <w:rFonts w:asciiTheme="majorHAnsi" w:hAnsiTheme="majorHAnsi" w:cstheme="majorHAnsi"/>
          <w:color w:val="000000"/>
        </w:rPr>
        <w:t xml:space="preserve">that may have affected </w:t>
      </w:r>
      <w:r>
        <w:rPr>
          <w:rFonts w:asciiTheme="majorHAnsi" w:hAnsiTheme="majorHAnsi" w:cstheme="majorHAnsi"/>
          <w:color w:val="000000"/>
        </w:rPr>
        <w:t xml:space="preserve">the </w:t>
      </w:r>
      <w:r w:rsidRPr="00E264D6">
        <w:rPr>
          <w:rFonts w:asciiTheme="majorHAnsi" w:hAnsiTheme="majorHAnsi" w:cstheme="majorHAnsi"/>
          <w:color w:val="000000"/>
        </w:rPr>
        <w:t>prices in those trades.</w:t>
      </w:r>
      <w:r>
        <w:rPr>
          <w:rStyle w:val="FootnoteReference"/>
          <w:rFonts w:asciiTheme="majorHAnsi" w:hAnsiTheme="majorHAnsi" w:cstheme="majorHAnsi"/>
          <w:color w:val="000000"/>
        </w:rPr>
        <w:footnoteReference w:id="96"/>
      </w:r>
      <w:r w:rsidRPr="00E264D6">
        <w:rPr>
          <w:rFonts w:asciiTheme="majorHAnsi" w:hAnsiTheme="majorHAnsi" w:cstheme="majorHAnsi"/>
          <w:color w:val="000000"/>
        </w:rPr>
        <w:t xml:space="preserve"> </w:t>
      </w:r>
    </w:p>
    <w:p w14:paraId="3EFF3DDE" w14:textId="77777777" w:rsidR="00E264D6" w:rsidRPr="00E264D6" w:rsidRDefault="00E264D6" w:rsidP="008245BB">
      <w:pPr>
        <w:pStyle w:val="BodyText"/>
        <w:spacing w:before="40" w:after="80" w:line="252" w:lineRule="auto"/>
      </w:pPr>
      <w:r w:rsidRPr="00E264D6">
        <w:t xml:space="preserve">In doing so, the AEMC noted that greater transparency in this area would: </w:t>
      </w:r>
    </w:p>
    <w:p w14:paraId="0CDDFEDC" w14:textId="40B3A336" w:rsidR="00E264D6" w:rsidRPr="00E264D6" w:rsidRDefault="00E264D6" w:rsidP="008245BB">
      <w:pPr>
        <w:pStyle w:val="ListBullet"/>
        <w:spacing w:before="40" w:after="80" w:line="252" w:lineRule="auto"/>
        <w:rPr>
          <w:rFonts w:asciiTheme="majorHAnsi" w:hAnsiTheme="majorHAnsi" w:cstheme="majorHAnsi"/>
        </w:rPr>
      </w:pPr>
      <w:r w:rsidRPr="00E264D6">
        <w:rPr>
          <w:rFonts w:asciiTheme="majorHAnsi" w:hAnsiTheme="majorHAnsi" w:cstheme="majorHAnsi"/>
        </w:rPr>
        <w:t>instil a greater level of confidence in the secondary market and foster the development of a more liquid secondary capacity market;</w:t>
      </w:r>
    </w:p>
    <w:p w14:paraId="3B86E58F" w14:textId="11CC9C79" w:rsidR="00E264D6" w:rsidRPr="00E264D6" w:rsidRDefault="00E264D6" w:rsidP="008245BB">
      <w:pPr>
        <w:pStyle w:val="ListBullet"/>
        <w:spacing w:before="40" w:after="80" w:line="252" w:lineRule="auto"/>
        <w:rPr>
          <w:rFonts w:asciiTheme="majorHAnsi" w:hAnsiTheme="majorHAnsi" w:cstheme="majorHAnsi"/>
        </w:rPr>
      </w:pPr>
      <w:r w:rsidRPr="00E264D6">
        <w:rPr>
          <w:rFonts w:asciiTheme="majorHAnsi" w:hAnsiTheme="majorHAnsi" w:cstheme="majorHAnsi"/>
        </w:rPr>
        <w:t>aid the price discovery process for secondary capacity trades and</w:t>
      </w:r>
      <w:r w:rsidR="00B30D46">
        <w:rPr>
          <w:rFonts w:asciiTheme="majorHAnsi" w:hAnsiTheme="majorHAnsi" w:cstheme="majorHAnsi"/>
        </w:rPr>
        <w:t>,</w:t>
      </w:r>
      <w:r w:rsidRPr="00E264D6">
        <w:rPr>
          <w:rFonts w:asciiTheme="majorHAnsi" w:hAnsiTheme="majorHAnsi" w:cstheme="majorHAnsi"/>
        </w:rPr>
        <w:t xml:space="preserve"> </w:t>
      </w:r>
      <w:r w:rsidR="00B30D46">
        <w:rPr>
          <w:rFonts w:asciiTheme="majorHAnsi" w:hAnsiTheme="majorHAnsi" w:cstheme="majorHAnsi"/>
        </w:rPr>
        <w:t xml:space="preserve">in </w:t>
      </w:r>
      <w:r w:rsidRPr="00E264D6">
        <w:rPr>
          <w:rFonts w:asciiTheme="majorHAnsi" w:hAnsiTheme="majorHAnsi" w:cstheme="majorHAnsi"/>
        </w:rPr>
        <w:t xml:space="preserve">so doing, reduce search costs and expedite the transaction process; </w:t>
      </w:r>
    </w:p>
    <w:p w14:paraId="41217C29" w14:textId="5EB6411E" w:rsidR="00E264D6" w:rsidRPr="00E264D6" w:rsidRDefault="00E264D6" w:rsidP="008245BB">
      <w:pPr>
        <w:pStyle w:val="ListBullet"/>
        <w:spacing w:before="40" w:after="80" w:line="252" w:lineRule="auto"/>
        <w:rPr>
          <w:rFonts w:asciiTheme="majorHAnsi" w:hAnsiTheme="majorHAnsi" w:cstheme="majorHAnsi"/>
        </w:rPr>
      </w:pPr>
      <w:r w:rsidRPr="00E264D6">
        <w:rPr>
          <w:rFonts w:asciiTheme="majorHAnsi" w:hAnsiTheme="majorHAnsi" w:cstheme="majorHAnsi"/>
        </w:rPr>
        <w:t xml:space="preserve">provide for a more efficient allocation and use of capacity because shippers would be able to </w:t>
      </w:r>
      <w:r w:rsidR="0065529C">
        <w:rPr>
          <w:rFonts w:asciiTheme="majorHAnsi" w:hAnsiTheme="majorHAnsi" w:cstheme="majorHAnsi"/>
        </w:rPr>
        <w:t xml:space="preserve">more </w:t>
      </w:r>
      <w:r w:rsidRPr="00E264D6">
        <w:rPr>
          <w:rFonts w:asciiTheme="majorHAnsi" w:hAnsiTheme="majorHAnsi" w:cstheme="majorHAnsi"/>
        </w:rPr>
        <w:t xml:space="preserve">readily assess the market value of capacity and make informed decisions; and </w:t>
      </w:r>
    </w:p>
    <w:p w14:paraId="3CA5093C" w14:textId="45B4C8DA" w:rsidR="00E264D6" w:rsidRPr="00E264D6" w:rsidRDefault="00E264D6" w:rsidP="008245BB">
      <w:pPr>
        <w:pStyle w:val="ListBullet"/>
        <w:spacing w:line="252" w:lineRule="auto"/>
        <w:rPr>
          <w:rFonts w:asciiTheme="majorHAnsi" w:hAnsiTheme="majorHAnsi" w:cstheme="majorHAnsi"/>
        </w:rPr>
      </w:pPr>
      <w:proofErr w:type="gramStart"/>
      <w:r w:rsidRPr="00E264D6">
        <w:rPr>
          <w:rFonts w:asciiTheme="majorHAnsi" w:hAnsiTheme="majorHAnsi" w:cstheme="majorHAnsi"/>
        </w:rPr>
        <w:t>enable</w:t>
      </w:r>
      <w:proofErr w:type="gramEnd"/>
      <w:r w:rsidRPr="00E264D6">
        <w:rPr>
          <w:rFonts w:asciiTheme="majorHAnsi" w:hAnsiTheme="majorHAnsi" w:cstheme="majorHAnsi"/>
        </w:rPr>
        <w:t xml:space="preserve"> shippers to engage in more effective negotiations and provide them with the confidence that access is being provided on a non-discriminatory basis</w:t>
      </w:r>
      <w:r>
        <w:rPr>
          <w:rFonts w:asciiTheme="majorHAnsi" w:hAnsiTheme="majorHAnsi" w:cstheme="majorHAnsi"/>
        </w:rPr>
        <w:t>.</w:t>
      </w:r>
    </w:p>
    <w:p w14:paraId="2C703CE3" w14:textId="158A953B" w:rsidR="00E264D6" w:rsidRDefault="00E264D6" w:rsidP="00B30D46">
      <w:pPr>
        <w:pStyle w:val="BodyText"/>
        <w:spacing w:before="120"/>
      </w:pPr>
      <w:r>
        <w:t xml:space="preserve">Table B.1 provides </w:t>
      </w:r>
      <w:r w:rsidR="008245BB">
        <w:t xml:space="preserve">a summary of </w:t>
      </w:r>
      <w:r>
        <w:t xml:space="preserve">the AEMC’s recommendations, which were </w:t>
      </w:r>
      <w:r w:rsidR="007A4888">
        <w:t xml:space="preserve">all </w:t>
      </w:r>
      <w:r>
        <w:t xml:space="preserve">classified as </w:t>
      </w:r>
      <w:r w:rsidRPr="007A4888">
        <w:rPr>
          <w:b/>
        </w:rPr>
        <w:t>required</w:t>
      </w:r>
      <w:r>
        <w:t xml:space="preserve"> outcomes. </w:t>
      </w:r>
    </w:p>
    <w:p w14:paraId="088C4A2C" w14:textId="0AFE354E" w:rsidR="00D9222C" w:rsidRPr="00D451FB" w:rsidRDefault="00D9222C" w:rsidP="00D9222C">
      <w:pPr>
        <w:pStyle w:val="Caption"/>
        <w:tabs>
          <w:tab w:val="left" w:pos="1134"/>
        </w:tabs>
        <w:spacing w:before="200" w:after="0"/>
        <w:ind w:left="1134" w:hanging="1134"/>
      </w:pPr>
      <w:r>
        <w:t>Table B.1: AEMC’s Recommendations: Reporting framework</w:t>
      </w:r>
      <w:r w:rsidR="00B30D46">
        <w:t xml:space="preserve"> for secondary trades</w:t>
      </w:r>
    </w:p>
    <w:tbl>
      <w:tblPr>
        <w:tblStyle w:val="TableGrid"/>
        <w:tblW w:w="4920" w:type="pct"/>
        <w:tblLayout w:type="fixed"/>
        <w:tblLook w:val="0480" w:firstRow="0" w:lastRow="0" w:firstColumn="1" w:lastColumn="0" w:noHBand="0" w:noVBand="1"/>
        <w:tblCaption w:val="Table B.1: AEMC’s Recommendations: Reporting framework for secondary trades"/>
        <w:tblDescription w:val="AEMC’s Recommendations: Reporting framework for secondary trades"/>
      </w:tblPr>
      <w:tblGrid>
        <w:gridCol w:w="8647"/>
      </w:tblGrid>
      <w:tr w:rsidR="00D9222C" w:rsidRPr="00722010" w14:paraId="4B7B4B84" w14:textId="77777777" w:rsidTr="00201CBA">
        <w:trPr>
          <w:cnfStyle w:val="000000010000" w:firstRow="0" w:lastRow="0" w:firstColumn="0" w:lastColumn="0" w:oddVBand="0" w:evenVBand="0" w:oddHBand="0" w:evenHBand="1" w:firstRowFirstColumn="0" w:firstRowLastColumn="0" w:lastRowFirstColumn="0" w:lastRowLastColumn="0"/>
          <w:tblHeader/>
        </w:trPr>
        <w:tc>
          <w:tcPr>
            <w:tcW w:w="8647" w:type="dxa"/>
            <w:tcBorders>
              <w:bottom w:val="single" w:sz="4" w:space="0" w:color="auto"/>
            </w:tcBorders>
            <w:shd w:val="clear" w:color="auto" w:fill="0099CC"/>
          </w:tcPr>
          <w:p w14:paraId="0906230C" w14:textId="77777777" w:rsidR="00D9222C" w:rsidRPr="00722010" w:rsidRDefault="00D9222C" w:rsidP="008245BB">
            <w:pPr>
              <w:pStyle w:val="TableBodyText"/>
              <w:keepNext/>
              <w:spacing w:before="20" w:after="20" w:line="240" w:lineRule="auto"/>
              <w:jc w:val="center"/>
              <w:rPr>
                <w:b/>
                <w:color w:val="FFFFFF" w:themeColor="background1"/>
                <w:sz w:val="20"/>
                <w:szCs w:val="20"/>
              </w:rPr>
            </w:pPr>
            <w:r w:rsidRPr="00722010">
              <w:rPr>
                <w:b/>
                <w:color w:val="FFFFFF" w:themeColor="background1"/>
                <w:sz w:val="20"/>
                <w:szCs w:val="20"/>
              </w:rPr>
              <w:t>Required Outcomes</w:t>
            </w:r>
          </w:p>
        </w:tc>
      </w:tr>
      <w:tr w:rsidR="00D9222C" w:rsidRPr="00481BD7" w14:paraId="4E245F40" w14:textId="77777777" w:rsidTr="00296C56">
        <w:tc>
          <w:tcPr>
            <w:tcW w:w="8647" w:type="dxa"/>
            <w:tcBorders>
              <w:bottom w:val="single" w:sz="4" w:space="0" w:color="auto"/>
            </w:tcBorders>
            <w:shd w:val="clear" w:color="auto" w:fill="auto"/>
          </w:tcPr>
          <w:p w14:paraId="540CDDB8" w14:textId="77777777" w:rsidR="00D9222C" w:rsidRPr="00481BD7" w:rsidRDefault="00D9222C" w:rsidP="008245BB">
            <w:pPr>
              <w:pStyle w:val="TableBullet1"/>
              <w:spacing w:before="40" w:after="40" w:line="240" w:lineRule="auto"/>
              <w:rPr>
                <w:sz w:val="20"/>
                <w:szCs w:val="20"/>
              </w:rPr>
            </w:pPr>
            <w:r w:rsidRPr="00481BD7">
              <w:rPr>
                <w:sz w:val="20"/>
                <w:szCs w:val="20"/>
              </w:rPr>
              <w:t xml:space="preserve">Publication of information on all secondary trades of pipeline capacity and hub services. </w:t>
            </w:r>
          </w:p>
          <w:p w14:paraId="0CA2C2B9" w14:textId="77777777" w:rsidR="00D9222C" w:rsidRPr="00481BD7" w:rsidRDefault="00D9222C" w:rsidP="008245BB">
            <w:pPr>
              <w:pStyle w:val="TableBullet1"/>
              <w:spacing w:before="40" w:after="40" w:line="240" w:lineRule="auto"/>
              <w:rPr>
                <w:sz w:val="20"/>
                <w:szCs w:val="20"/>
              </w:rPr>
            </w:pPr>
            <w:r w:rsidRPr="00481BD7">
              <w:rPr>
                <w:sz w:val="20"/>
                <w:szCs w:val="20"/>
              </w:rPr>
              <w:t xml:space="preserve">The information to be published is the price of the trade and any other information that might reasonably influence that price, taking into account measures to protect anonymity. </w:t>
            </w:r>
          </w:p>
          <w:p w14:paraId="5B14F5BE" w14:textId="772789BC" w:rsidR="00D9222C" w:rsidRPr="00481BD7" w:rsidRDefault="00D9222C" w:rsidP="008245BB">
            <w:pPr>
              <w:pStyle w:val="TableBullet1"/>
              <w:keepNext/>
              <w:spacing w:before="20" w:after="20" w:line="240" w:lineRule="auto"/>
              <w:rPr>
                <w:sz w:val="20"/>
                <w:szCs w:val="20"/>
              </w:rPr>
            </w:pPr>
            <w:r w:rsidRPr="00481BD7">
              <w:rPr>
                <w:sz w:val="20"/>
                <w:szCs w:val="20"/>
              </w:rPr>
              <w:t>Publication should occur at or shortly after the time the transaction is entered into</w:t>
            </w:r>
            <w:r w:rsidR="000D1849">
              <w:rPr>
                <w:sz w:val="20"/>
                <w:szCs w:val="20"/>
              </w:rPr>
              <w:t>.</w:t>
            </w:r>
          </w:p>
        </w:tc>
      </w:tr>
    </w:tbl>
    <w:p w14:paraId="507AB0AE" w14:textId="77520B74" w:rsidR="00E264D6" w:rsidRDefault="00E264D6" w:rsidP="008245BB">
      <w:pPr>
        <w:pStyle w:val="BodyText"/>
        <w:spacing w:after="200"/>
      </w:pPr>
      <w:r w:rsidRPr="00D9222C">
        <w:t xml:space="preserve">Elaborating </w:t>
      </w:r>
      <w:r w:rsidR="00D9222C">
        <w:t xml:space="preserve">further </w:t>
      </w:r>
      <w:r w:rsidRPr="00D9222C">
        <w:t>on these recommendations, the AEMC noted that t</w:t>
      </w:r>
      <w:r w:rsidRPr="00E264D6">
        <w:t xml:space="preserve">here is a </w:t>
      </w:r>
      <w:r w:rsidR="00D9222C" w:rsidRPr="00D9222C">
        <w:t xml:space="preserve">clear </w:t>
      </w:r>
      <w:r w:rsidRPr="00E264D6">
        <w:t>trade-off between</w:t>
      </w:r>
      <w:r w:rsidR="00D9222C">
        <w:t xml:space="preserve"> </w:t>
      </w:r>
      <w:r w:rsidRPr="00D9222C">
        <w:rPr>
          <w:rFonts w:asciiTheme="majorHAnsi" w:hAnsiTheme="majorHAnsi" w:cstheme="majorHAnsi"/>
        </w:rPr>
        <w:t xml:space="preserve">the benefits of </w:t>
      </w:r>
      <w:r w:rsidR="00D9222C" w:rsidRPr="00D9222C">
        <w:rPr>
          <w:rFonts w:asciiTheme="majorHAnsi" w:hAnsiTheme="majorHAnsi" w:cstheme="majorHAnsi"/>
        </w:rPr>
        <w:t xml:space="preserve">wide </w:t>
      </w:r>
      <w:r w:rsidRPr="00D9222C">
        <w:rPr>
          <w:rFonts w:asciiTheme="majorHAnsi" w:hAnsiTheme="majorHAnsi" w:cstheme="majorHAnsi"/>
        </w:rPr>
        <w:t xml:space="preserve">information provision and </w:t>
      </w:r>
      <w:r w:rsidR="00D9222C" w:rsidRPr="00D9222C">
        <w:rPr>
          <w:rFonts w:asciiTheme="majorHAnsi" w:hAnsiTheme="majorHAnsi" w:cstheme="majorHAnsi"/>
        </w:rPr>
        <w:t>the direct and indirect cost of providing the information</w:t>
      </w:r>
      <w:r w:rsidR="00D9222C">
        <w:rPr>
          <w:rFonts w:asciiTheme="majorHAnsi" w:hAnsiTheme="majorHAnsi" w:cstheme="majorHAnsi"/>
        </w:rPr>
        <w:t xml:space="preserve"> (</w:t>
      </w:r>
      <w:r w:rsidR="00D9222C" w:rsidRPr="00D9222C">
        <w:rPr>
          <w:rFonts w:asciiTheme="majorHAnsi" w:hAnsiTheme="majorHAnsi" w:cstheme="majorHAnsi"/>
        </w:rPr>
        <w:t xml:space="preserve">which includes any adverse effects that the revelation of </w:t>
      </w:r>
      <w:r w:rsidRPr="00D9222C">
        <w:rPr>
          <w:rFonts w:asciiTheme="majorHAnsi" w:hAnsiTheme="majorHAnsi" w:cstheme="majorHAnsi"/>
        </w:rPr>
        <w:t>counterparties’ commercial-in-confidence information</w:t>
      </w:r>
      <w:r w:rsidR="00D9222C" w:rsidRPr="00D9222C">
        <w:rPr>
          <w:rFonts w:asciiTheme="majorHAnsi" w:hAnsiTheme="majorHAnsi" w:cstheme="majorHAnsi"/>
        </w:rPr>
        <w:t xml:space="preserve"> may have on market participants</w:t>
      </w:r>
      <w:r w:rsidR="00D9222C">
        <w:rPr>
          <w:rFonts w:asciiTheme="majorHAnsi" w:hAnsiTheme="majorHAnsi" w:cstheme="majorHAnsi"/>
        </w:rPr>
        <w:t>)</w:t>
      </w:r>
      <w:r w:rsidRPr="00D9222C">
        <w:rPr>
          <w:rFonts w:asciiTheme="majorHAnsi" w:hAnsiTheme="majorHAnsi" w:cstheme="majorHAnsi"/>
        </w:rPr>
        <w:t xml:space="preserve">. </w:t>
      </w:r>
      <w:r w:rsidR="00D9222C">
        <w:rPr>
          <w:rFonts w:cs="Book Antiqua"/>
          <w:color w:val="000000"/>
        </w:rPr>
        <w:t xml:space="preserve">The AEMC therefore recommended that the </w:t>
      </w:r>
      <w:r w:rsidRPr="00E264D6">
        <w:t>G</w:t>
      </w:r>
      <w:r w:rsidR="00D9222C">
        <w:t>M</w:t>
      </w:r>
      <w:r w:rsidRPr="00E264D6">
        <w:t xml:space="preserve">RG have regard to these </w:t>
      </w:r>
      <w:r w:rsidR="00D9222C">
        <w:t xml:space="preserve">trade-offs when developing its final </w:t>
      </w:r>
      <w:r w:rsidRPr="00E264D6">
        <w:t>recommendations</w:t>
      </w:r>
      <w:r w:rsidR="00D9222C">
        <w:t xml:space="preserve"> on the reporting framework for secondary capacity</w:t>
      </w:r>
      <w:r w:rsidRPr="00E264D6">
        <w:t>.</w:t>
      </w:r>
    </w:p>
    <w:p w14:paraId="5A8804DF" w14:textId="6BF35FB5" w:rsidR="00481BD7" w:rsidRDefault="00D9222C" w:rsidP="00B30D46">
      <w:pPr>
        <w:pStyle w:val="BodyText"/>
        <w:spacing w:before="120"/>
      </w:pPr>
      <w:r>
        <w:t>The remainder of this part of the consultation paper focuses on:</w:t>
      </w:r>
    </w:p>
    <w:p w14:paraId="5968C7D2" w14:textId="3CF758D7" w:rsidR="00D9222C" w:rsidRPr="006D73DB" w:rsidRDefault="00D9222C" w:rsidP="008245BB">
      <w:pPr>
        <w:pStyle w:val="ListBullet"/>
        <w:spacing w:line="252" w:lineRule="auto"/>
      </w:pPr>
      <w:r>
        <w:t xml:space="preserve">the </w:t>
      </w:r>
      <w:r w:rsidR="008245BB">
        <w:t>reporting requirements that could apply to secondary capacity trades, including the types of trades and information to be reported, who will have the obligation to report information and where it will be published</w:t>
      </w:r>
      <w:r w:rsidRPr="006D73DB">
        <w:t>;</w:t>
      </w:r>
      <w:r>
        <w:t xml:space="preserve"> and</w:t>
      </w:r>
    </w:p>
    <w:p w14:paraId="4F612956" w14:textId="77777777" w:rsidR="007A4888" w:rsidRDefault="00D9222C" w:rsidP="008245BB">
      <w:pPr>
        <w:pStyle w:val="ListBullet"/>
        <w:spacing w:line="252" w:lineRule="auto"/>
      </w:pPr>
      <w:proofErr w:type="gramStart"/>
      <w:r>
        <w:t>the</w:t>
      </w:r>
      <w:proofErr w:type="gramEnd"/>
      <w:r>
        <w:t xml:space="preserve"> governance arrangements required to give effect to the reporting framework. </w:t>
      </w:r>
      <w:bookmarkStart w:id="152" w:name="_Toc489464932"/>
    </w:p>
    <w:p w14:paraId="3B55AA7E" w14:textId="3908A3FB" w:rsidR="00133C38" w:rsidRDefault="00133C38" w:rsidP="00B30D46">
      <w:pPr>
        <w:pStyle w:val="ListBullet"/>
        <w:numPr>
          <w:ilvl w:val="0"/>
          <w:numId w:val="0"/>
        </w:numPr>
        <w:spacing w:after="0"/>
      </w:pPr>
      <w:r>
        <w:t>It also sets out the GMRG’s preliminary views on these issues. As noted in Chapter 1, the inclusion of the GMRG’s preliminary view in this consultation paper is intended to facilitate consultation and elicit feedback from stakeholders. It should not therefore be interpreted as a concluded position of the GMRG.</w:t>
      </w:r>
    </w:p>
    <w:p w14:paraId="59E5B41D" w14:textId="7FB32894" w:rsidR="009C10FD" w:rsidRDefault="008245BB" w:rsidP="00B30D46">
      <w:pPr>
        <w:pStyle w:val="ListBullet"/>
        <w:numPr>
          <w:ilvl w:val="0"/>
          <w:numId w:val="0"/>
        </w:numPr>
        <w:spacing w:after="0"/>
      </w:pPr>
      <w:r>
        <w:t>I</w:t>
      </w:r>
      <w:r w:rsidR="00B30D46">
        <w:t xml:space="preserve">n keeping with the AEMC’s recommendations, the discussion in this part of the consultation paper focuses on </w:t>
      </w:r>
      <w:r>
        <w:t xml:space="preserve">the reporting of </w:t>
      </w:r>
      <w:r w:rsidR="007A4888">
        <w:t>secondary capacity trades conducted through the exchange and bilateral trades</w:t>
      </w:r>
      <w:r w:rsidR="00B30D46">
        <w:t xml:space="preserve">. </w:t>
      </w:r>
      <w:r w:rsidR="007A4888">
        <w:t xml:space="preserve">The reporting framework that </w:t>
      </w:r>
      <w:r w:rsidR="00B30D46">
        <w:t xml:space="preserve">is expected to </w:t>
      </w:r>
      <w:r w:rsidR="007A4888">
        <w:t xml:space="preserve">apply to the day-ahead auction is outlined in section </w:t>
      </w:r>
      <w:r w:rsidR="007A4888">
        <w:fldChar w:fldCharType="begin"/>
      </w:r>
      <w:r w:rsidR="007A4888">
        <w:instrText xml:space="preserve"> REF _Ref494425366 \r \h </w:instrText>
      </w:r>
      <w:r w:rsidR="007A4888">
        <w:fldChar w:fldCharType="separate"/>
      </w:r>
      <w:r w:rsidR="00272B32">
        <w:t>4.8</w:t>
      </w:r>
      <w:r w:rsidR="007A4888">
        <w:fldChar w:fldCharType="end"/>
      </w:r>
      <w:r w:rsidR="007A4888">
        <w:t xml:space="preserve"> and Chapter </w:t>
      </w:r>
      <w:r w:rsidR="007A4888">
        <w:fldChar w:fldCharType="begin"/>
      </w:r>
      <w:r w:rsidR="007A4888">
        <w:instrText xml:space="preserve"> REF _Ref494425370 \r \h </w:instrText>
      </w:r>
      <w:r w:rsidR="007A4888">
        <w:fldChar w:fldCharType="separate"/>
      </w:r>
      <w:r w:rsidR="00272B32">
        <w:t>7</w:t>
      </w:r>
      <w:r w:rsidR="007A4888">
        <w:fldChar w:fldCharType="end"/>
      </w:r>
      <w:r w:rsidR="007A4888">
        <w:t xml:space="preserve">. </w:t>
      </w:r>
      <w:r w:rsidR="009C10FD">
        <w:br w:type="page"/>
      </w:r>
    </w:p>
    <w:p w14:paraId="7B27D2AD" w14:textId="5F3605CD" w:rsidR="00C34E9D" w:rsidRDefault="00296C56" w:rsidP="00F65A13">
      <w:pPr>
        <w:pStyle w:val="Heading1"/>
      </w:pPr>
      <w:bookmarkStart w:id="153" w:name="_Toc495351659"/>
      <w:r>
        <w:t xml:space="preserve">Reporting </w:t>
      </w:r>
      <w:bookmarkEnd w:id="152"/>
      <w:r w:rsidR="008245BB">
        <w:t>Requirements</w:t>
      </w:r>
      <w:r w:rsidR="00A60A3D">
        <w:t xml:space="preserve"> for Secondary Trades</w:t>
      </w:r>
      <w:bookmarkEnd w:id="153"/>
    </w:p>
    <w:p w14:paraId="7678A839" w14:textId="379AAAA7" w:rsidR="00EA187C" w:rsidRDefault="00EA187C" w:rsidP="009C10FD">
      <w:pPr>
        <w:pStyle w:val="BodyText"/>
      </w:pPr>
      <w:r>
        <w:t xml:space="preserve">To </w:t>
      </w:r>
      <w:r w:rsidR="008245BB">
        <w:t xml:space="preserve">increase the transparency surrounding </w:t>
      </w:r>
      <w:r>
        <w:t>secondary capacity trades</w:t>
      </w:r>
      <w:r w:rsidR="00F20E58">
        <w:t xml:space="preserve"> and the market’s confidence in the secondary market</w:t>
      </w:r>
      <w:r w:rsidR="008245BB">
        <w:t xml:space="preserve">, the </w:t>
      </w:r>
      <w:r>
        <w:t xml:space="preserve">AEMC recommended that information on the prices and other key terms struck in </w:t>
      </w:r>
      <w:r w:rsidRPr="00EA187C">
        <w:rPr>
          <w:b/>
        </w:rPr>
        <w:t>all</w:t>
      </w:r>
      <w:r>
        <w:t xml:space="preserve"> secondary trades of pipeline and compression capacity be published at the time the trade is entered into, or shortly thereafter. </w:t>
      </w:r>
    </w:p>
    <w:p w14:paraId="40A07D83" w14:textId="3FB6F03D" w:rsidR="009E57F5" w:rsidRDefault="009E57F5" w:rsidP="009E57F5">
      <w:pPr>
        <w:pStyle w:val="BodyText"/>
        <w:rPr>
          <w:rFonts w:asciiTheme="majorHAnsi" w:eastAsiaTheme="majorEastAsia" w:hAnsiTheme="majorHAnsi" w:cstheme="majorBidi"/>
        </w:rPr>
      </w:pPr>
      <w:r>
        <w:rPr>
          <w:rFonts w:asciiTheme="majorHAnsi" w:eastAsiaTheme="majorEastAsia" w:hAnsiTheme="majorHAnsi" w:cstheme="majorBidi"/>
        </w:rPr>
        <w:t>These recommendations have been considered by the Standardisation project team</w:t>
      </w:r>
      <w:r w:rsidR="00A556D8">
        <w:rPr>
          <w:rFonts w:asciiTheme="majorHAnsi" w:eastAsiaTheme="majorEastAsia" w:hAnsiTheme="majorHAnsi" w:cstheme="majorBidi"/>
        </w:rPr>
        <w:t xml:space="preserve"> and the GMRG</w:t>
      </w:r>
      <w:r>
        <w:rPr>
          <w:rFonts w:asciiTheme="majorHAnsi" w:eastAsiaTheme="majorEastAsia" w:hAnsiTheme="majorHAnsi" w:cstheme="majorBidi"/>
        </w:rPr>
        <w:t xml:space="preserve">. In doing so, </w:t>
      </w:r>
      <w:r w:rsidR="00A556D8">
        <w:rPr>
          <w:rFonts w:asciiTheme="majorHAnsi" w:eastAsiaTheme="majorEastAsia" w:hAnsiTheme="majorHAnsi" w:cstheme="majorBidi"/>
        </w:rPr>
        <w:t>consideration has been given to</w:t>
      </w:r>
      <w:r>
        <w:rPr>
          <w:rFonts w:asciiTheme="majorHAnsi" w:eastAsiaTheme="majorEastAsia" w:hAnsiTheme="majorHAnsi" w:cstheme="majorBidi"/>
        </w:rPr>
        <w:t>:</w:t>
      </w:r>
    </w:p>
    <w:p w14:paraId="67FBF390" w14:textId="7A582FA0" w:rsidR="009E57F5" w:rsidRDefault="009E57F5" w:rsidP="009E57F5">
      <w:pPr>
        <w:pStyle w:val="ListBullet"/>
        <w:rPr>
          <w:rFonts w:eastAsiaTheme="majorEastAsia"/>
        </w:rPr>
      </w:pPr>
      <w:r>
        <w:rPr>
          <w:rFonts w:eastAsiaTheme="majorEastAsia"/>
        </w:rPr>
        <w:t xml:space="preserve">the types of </w:t>
      </w:r>
      <w:r w:rsidR="00214ECB">
        <w:rPr>
          <w:rFonts w:eastAsiaTheme="majorEastAsia"/>
        </w:rPr>
        <w:t>trades</w:t>
      </w:r>
      <w:r>
        <w:rPr>
          <w:rFonts w:eastAsiaTheme="majorEastAsia"/>
        </w:rPr>
        <w:t xml:space="preserve"> </w:t>
      </w:r>
      <w:r w:rsidR="00F20E58">
        <w:rPr>
          <w:rFonts w:eastAsiaTheme="majorEastAsia"/>
        </w:rPr>
        <w:t xml:space="preserve">to </w:t>
      </w:r>
      <w:r>
        <w:rPr>
          <w:rFonts w:eastAsiaTheme="majorEastAsia"/>
        </w:rPr>
        <w:t xml:space="preserve">be </w:t>
      </w:r>
      <w:r w:rsidR="00214ECB">
        <w:rPr>
          <w:rFonts w:eastAsiaTheme="majorEastAsia"/>
        </w:rPr>
        <w:t>reported</w:t>
      </w:r>
      <w:r>
        <w:rPr>
          <w:rFonts w:eastAsiaTheme="majorEastAsia"/>
        </w:rPr>
        <w:t>;</w:t>
      </w:r>
    </w:p>
    <w:p w14:paraId="01F8DC2D" w14:textId="0F82C71E" w:rsidR="00214ECB" w:rsidRDefault="009E57F5" w:rsidP="009E57F5">
      <w:pPr>
        <w:pStyle w:val="ListBullet"/>
        <w:rPr>
          <w:rFonts w:eastAsiaTheme="majorEastAsia"/>
        </w:rPr>
      </w:pPr>
      <w:r>
        <w:rPr>
          <w:rFonts w:eastAsiaTheme="majorEastAsia"/>
        </w:rPr>
        <w:t xml:space="preserve">the </w:t>
      </w:r>
      <w:r w:rsidR="00214ECB">
        <w:rPr>
          <w:rFonts w:eastAsiaTheme="majorEastAsia"/>
        </w:rPr>
        <w:t xml:space="preserve">information </w:t>
      </w:r>
      <w:r w:rsidR="00F20E58">
        <w:rPr>
          <w:rFonts w:eastAsiaTheme="majorEastAsia"/>
        </w:rPr>
        <w:t xml:space="preserve">to </w:t>
      </w:r>
      <w:r w:rsidR="00214ECB">
        <w:rPr>
          <w:rFonts w:eastAsiaTheme="majorEastAsia"/>
        </w:rPr>
        <w:t>be reported</w:t>
      </w:r>
      <w:r>
        <w:rPr>
          <w:rFonts w:eastAsiaTheme="majorEastAsia"/>
        </w:rPr>
        <w:t>;</w:t>
      </w:r>
      <w:r w:rsidR="00214ECB">
        <w:rPr>
          <w:rFonts w:eastAsiaTheme="majorEastAsia"/>
        </w:rPr>
        <w:t xml:space="preserve"> </w:t>
      </w:r>
    </w:p>
    <w:p w14:paraId="09E1AB29" w14:textId="3C26786C" w:rsidR="009E57F5" w:rsidRDefault="00214ECB" w:rsidP="00BE4D52">
      <w:pPr>
        <w:pStyle w:val="ListBullet"/>
        <w:rPr>
          <w:rFonts w:eastAsiaTheme="majorEastAsia"/>
        </w:rPr>
      </w:pPr>
      <w:r>
        <w:rPr>
          <w:rFonts w:eastAsiaTheme="majorEastAsia"/>
        </w:rPr>
        <w:t xml:space="preserve">who should have the obligation to report </w:t>
      </w:r>
      <w:r w:rsidR="00BE4D52">
        <w:rPr>
          <w:rFonts w:eastAsiaTheme="majorEastAsia"/>
        </w:rPr>
        <w:t>trades and when this information should be reported;</w:t>
      </w:r>
      <w:r w:rsidR="00851485">
        <w:rPr>
          <w:rFonts w:eastAsiaTheme="majorEastAsia"/>
        </w:rPr>
        <w:t xml:space="preserve"> and</w:t>
      </w:r>
    </w:p>
    <w:p w14:paraId="134FD6B4" w14:textId="3720FCE8" w:rsidR="00851485" w:rsidRPr="00851485" w:rsidRDefault="00851485" w:rsidP="00851485">
      <w:pPr>
        <w:pStyle w:val="ListBullet"/>
        <w:rPr>
          <w:rFonts w:eastAsiaTheme="majorEastAsia"/>
        </w:rPr>
      </w:pPr>
      <w:proofErr w:type="gramStart"/>
      <w:r>
        <w:rPr>
          <w:rFonts w:eastAsiaTheme="majorEastAsia"/>
        </w:rPr>
        <w:t>where</w:t>
      </w:r>
      <w:proofErr w:type="gramEnd"/>
      <w:r>
        <w:rPr>
          <w:rFonts w:eastAsiaTheme="majorEastAsia"/>
        </w:rPr>
        <w:t xml:space="preserve"> the information </w:t>
      </w:r>
      <w:r w:rsidR="00F20E58">
        <w:rPr>
          <w:rFonts w:eastAsiaTheme="majorEastAsia"/>
        </w:rPr>
        <w:t xml:space="preserve">is </w:t>
      </w:r>
      <w:r>
        <w:rPr>
          <w:rFonts w:eastAsiaTheme="majorEastAsia"/>
        </w:rPr>
        <w:t>published.</w:t>
      </w:r>
    </w:p>
    <w:p w14:paraId="6495E993" w14:textId="3BB9B3B2" w:rsidR="00EF3550" w:rsidRDefault="00EF3550" w:rsidP="00EF3550">
      <w:pPr>
        <w:pStyle w:val="BodyText"/>
      </w:pPr>
      <w:r>
        <w:t xml:space="preserve">Further detail on the position the Standardisation project team reached on each of these issues and the GMRG’s preliminary views is provided in the remainder of this chapter. </w:t>
      </w:r>
      <w:r w:rsidR="006C7061">
        <w:t xml:space="preserve">As noted previously, </w:t>
      </w:r>
      <w:r>
        <w:t xml:space="preserve">the </w:t>
      </w:r>
      <w:r w:rsidR="006C7061">
        <w:t xml:space="preserve">AEMC’s </w:t>
      </w:r>
      <w:r>
        <w:rPr>
          <w:i/>
        </w:rPr>
        <w:t xml:space="preserve">East Coast Review </w:t>
      </w:r>
      <w:r>
        <w:t>related specifically to the East Coast market and, while relevant, no decision has yet been made on the extent to which this reporting framework will apply in Western Australia or the Northern Territory.</w:t>
      </w:r>
    </w:p>
    <w:p w14:paraId="120B9EA4" w14:textId="7DC6EED6" w:rsidR="00296C56" w:rsidRPr="00F74083" w:rsidRDefault="00296C56" w:rsidP="00707D68">
      <w:pPr>
        <w:pStyle w:val="Heading2"/>
      </w:pPr>
      <w:bookmarkStart w:id="154" w:name="_Toc495351660"/>
      <w:r w:rsidRPr="00F74083">
        <w:t>Types of trades to be reported</w:t>
      </w:r>
      <w:bookmarkEnd w:id="154"/>
    </w:p>
    <w:p w14:paraId="53C580C0" w14:textId="48FAEFFF" w:rsidR="00EA187C" w:rsidRDefault="00EA187C" w:rsidP="00EA187C">
      <w:pPr>
        <w:pStyle w:val="BodyText"/>
      </w:pPr>
      <w:r>
        <w:t xml:space="preserve">In the </w:t>
      </w:r>
      <w:r w:rsidRPr="00EA187C">
        <w:rPr>
          <w:i/>
        </w:rPr>
        <w:t>East Coast Review</w:t>
      </w:r>
      <w:r>
        <w:t xml:space="preserve">, the AEMC recommended that </w:t>
      </w:r>
      <w:r w:rsidR="003F0ED1">
        <w:t xml:space="preserve">information on all </w:t>
      </w:r>
      <w:r>
        <w:t xml:space="preserve">secondary trades of capacity be </w:t>
      </w:r>
      <w:r w:rsidR="003F0ED1">
        <w:t>published</w:t>
      </w:r>
      <w:r>
        <w:t xml:space="preserve">, irrespective of how the trade is executed (i.e. bilaterally or through the capacity trading platform) and </w:t>
      </w:r>
      <w:r w:rsidR="003F0ED1">
        <w:t>whether it involves a standardised or bespoke product</w:t>
      </w:r>
      <w:r>
        <w:t xml:space="preserve">. </w:t>
      </w:r>
      <w:r w:rsidR="003F0ED1">
        <w:t xml:space="preserve">While some stakeholders questioned the value of reporting bilateral and bespoke trades, </w:t>
      </w:r>
      <w:r>
        <w:t xml:space="preserve">the AEMC </w:t>
      </w:r>
      <w:r w:rsidR="003F0ED1">
        <w:t xml:space="preserve">was of the view </w:t>
      </w:r>
      <w:r>
        <w:t xml:space="preserve">that </w:t>
      </w:r>
      <w:r w:rsidR="003F0ED1">
        <w:t xml:space="preserve">excluding these trades </w:t>
      </w:r>
      <w:r>
        <w:t>from the reporting framework</w:t>
      </w:r>
      <w:r w:rsidR="003F0ED1">
        <w:t xml:space="preserve"> </w:t>
      </w:r>
      <w:r>
        <w:t xml:space="preserve">could distort trading decisions and undermine the development of the capacity trading platform </w:t>
      </w:r>
      <w:r w:rsidR="003F0ED1">
        <w:t xml:space="preserve">(i.e. </w:t>
      </w:r>
      <w:r>
        <w:t xml:space="preserve">because </w:t>
      </w:r>
      <w:r w:rsidR="003F0ED1">
        <w:t xml:space="preserve">it would encourage parties to </w:t>
      </w:r>
      <w:r>
        <w:t>enter into trades outside the trading platform</w:t>
      </w:r>
      <w:r w:rsidR="003F0ED1">
        <w:t>)</w:t>
      </w:r>
      <w:r>
        <w:t>.</w:t>
      </w:r>
      <w:r w:rsidR="003F0ED1">
        <w:t xml:space="preserve"> This recommendation was therefore classified as a required outcome.</w:t>
      </w:r>
      <w:r w:rsidR="003D40C5">
        <w:rPr>
          <w:rStyle w:val="FootnoteReference"/>
        </w:rPr>
        <w:footnoteReference w:id="97"/>
      </w:r>
      <w:r w:rsidR="003F0ED1">
        <w:t xml:space="preserve"> </w:t>
      </w:r>
    </w:p>
    <w:p w14:paraId="59D11EB7" w14:textId="7AA21415" w:rsidR="0098404C" w:rsidRDefault="00B54E43" w:rsidP="00EA187C">
      <w:pPr>
        <w:pStyle w:val="BodyText"/>
      </w:pPr>
      <w:r>
        <w:t xml:space="preserve">This recommendation was discussed in some detail by the Standardisation project team, which noted that there are a number of ways </w:t>
      </w:r>
      <w:r w:rsidR="0098404C">
        <w:t xml:space="preserve">that a primary </w:t>
      </w:r>
      <w:r>
        <w:t xml:space="preserve">capacity </w:t>
      </w:r>
      <w:r w:rsidR="0098404C">
        <w:t xml:space="preserve">holder’s </w:t>
      </w:r>
      <w:r w:rsidR="00840ACB">
        <w:t xml:space="preserve">capacity </w:t>
      </w:r>
      <w:r>
        <w:t xml:space="preserve">can be </w:t>
      </w:r>
      <w:r w:rsidR="0098404C">
        <w:t xml:space="preserve">used </w:t>
      </w:r>
      <w:r w:rsidR="00840ACB">
        <w:t xml:space="preserve">(directly or indirectly) </w:t>
      </w:r>
      <w:r w:rsidR="0098404C">
        <w:t>by other market participants</w:t>
      </w:r>
      <w:r w:rsidR="003D40C5">
        <w:t xml:space="preserve"> that </w:t>
      </w:r>
      <w:r>
        <w:t>do not necessarily involve a secondary capacity trade, including</w:t>
      </w:r>
      <w:r w:rsidR="0098404C">
        <w:t xml:space="preserve">: </w:t>
      </w:r>
    </w:p>
    <w:p w14:paraId="7431C565" w14:textId="19EFAB0B" w:rsidR="0098404C" w:rsidRDefault="0098404C" w:rsidP="00187EB2">
      <w:pPr>
        <w:pStyle w:val="BodyText"/>
        <w:numPr>
          <w:ilvl w:val="0"/>
          <w:numId w:val="34"/>
        </w:numPr>
        <w:spacing w:before="120"/>
        <w:ind w:left="357" w:hanging="357"/>
      </w:pPr>
      <w:r>
        <w:t>d</w:t>
      </w:r>
      <w:r w:rsidR="00B54E43">
        <w:t xml:space="preserve">elivered gas </w:t>
      </w:r>
      <w:r>
        <w:t>supply agreements</w:t>
      </w:r>
      <w:r w:rsidR="00D61C4C">
        <w:t xml:space="preserve"> (including retail contracts)</w:t>
      </w:r>
      <w:r>
        <w:t>;</w:t>
      </w:r>
    </w:p>
    <w:p w14:paraId="1A8189BF" w14:textId="7ADA94D7" w:rsidR="00D61C4C" w:rsidRDefault="00D61C4C" w:rsidP="00187EB2">
      <w:pPr>
        <w:pStyle w:val="BodyText"/>
        <w:numPr>
          <w:ilvl w:val="0"/>
          <w:numId w:val="34"/>
        </w:numPr>
        <w:spacing w:before="120"/>
        <w:ind w:left="357" w:hanging="357"/>
      </w:pPr>
      <w:r>
        <w:t>gas purchases from an STTM;</w:t>
      </w:r>
    </w:p>
    <w:p w14:paraId="1D487513" w14:textId="77777777" w:rsidR="0098404C" w:rsidRDefault="0098404C" w:rsidP="00187EB2">
      <w:pPr>
        <w:pStyle w:val="BodyText"/>
        <w:numPr>
          <w:ilvl w:val="0"/>
          <w:numId w:val="34"/>
        </w:numPr>
        <w:spacing w:before="120"/>
        <w:ind w:left="357" w:hanging="357"/>
      </w:pPr>
      <w:r>
        <w:t>locational swaps;</w:t>
      </w:r>
    </w:p>
    <w:p w14:paraId="04C036E9" w14:textId="7CAD17B4" w:rsidR="0098404C" w:rsidRDefault="0098404C" w:rsidP="00187EB2">
      <w:pPr>
        <w:pStyle w:val="BodyText"/>
        <w:numPr>
          <w:ilvl w:val="0"/>
          <w:numId w:val="34"/>
        </w:numPr>
        <w:spacing w:before="120"/>
        <w:ind w:left="357" w:hanging="357"/>
      </w:pPr>
      <w:r>
        <w:t xml:space="preserve">sub-haulage agreements; </w:t>
      </w:r>
      <w:r w:rsidR="00D97D65">
        <w:t>and</w:t>
      </w:r>
    </w:p>
    <w:p w14:paraId="2E49D9C7" w14:textId="376A8B6E" w:rsidR="0098404C" w:rsidRDefault="0098404C" w:rsidP="00187EB2">
      <w:pPr>
        <w:pStyle w:val="BodyText"/>
        <w:numPr>
          <w:ilvl w:val="0"/>
          <w:numId w:val="34"/>
        </w:numPr>
        <w:spacing w:before="120"/>
        <w:ind w:left="357" w:hanging="357"/>
      </w:pPr>
      <w:proofErr w:type="spellStart"/>
      <w:proofErr w:type="gramStart"/>
      <w:r>
        <w:t>novations</w:t>
      </w:r>
      <w:proofErr w:type="spellEnd"/>
      <w:proofErr w:type="gramEnd"/>
      <w:r>
        <w:t xml:space="preserve"> of primary capacity. </w:t>
      </w:r>
    </w:p>
    <w:p w14:paraId="53BEFE3F" w14:textId="2A5C9872" w:rsidR="00D61C4C" w:rsidRDefault="00D61C4C" w:rsidP="00EA187C">
      <w:pPr>
        <w:pStyle w:val="BodyText"/>
      </w:pPr>
      <w:r>
        <w:t>While t</w:t>
      </w:r>
      <w:r w:rsidR="0098404C">
        <w:t>he project team agreed</w:t>
      </w:r>
      <w:r>
        <w:t xml:space="preserve"> </w:t>
      </w:r>
      <w:r w:rsidR="0098404C">
        <w:t xml:space="preserve">that </w:t>
      </w:r>
      <w:r w:rsidR="003D40C5">
        <w:t xml:space="preserve">reporting these </w:t>
      </w:r>
      <w:r w:rsidR="0098404C">
        <w:t xml:space="preserve">types of trade went beyond the scope of what the AEMC </w:t>
      </w:r>
      <w:r>
        <w:t xml:space="preserve">intended, they noted that if </w:t>
      </w:r>
      <w:r w:rsidR="0065529C">
        <w:t xml:space="preserve">market bodies or policy makers </w:t>
      </w:r>
      <w:r w:rsidR="001E6A9C">
        <w:t xml:space="preserve">wanted to determine the extent to which secondary capacity is being released, focusing purely on secondary capacity trades would underestimate </w:t>
      </w:r>
      <w:r>
        <w:t xml:space="preserve">the </w:t>
      </w:r>
      <w:r w:rsidR="001E6A9C">
        <w:t xml:space="preserve">true </w:t>
      </w:r>
      <w:r>
        <w:t>level of trade.</w:t>
      </w:r>
    </w:p>
    <w:p w14:paraId="762CE025" w14:textId="11E4E54E" w:rsidR="00840ACB" w:rsidRDefault="00D61C4C" w:rsidP="00EA187C">
      <w:pPr>
        <w:pStyle w:val="BodyText"/>
      </w:pPr>
      <w:r>
        <w:t xml:space="preserve">Having agreed </w:t>
      </w:r>
      <w:r w:rsidR="00840ACB">
        <w:t>that the reporting framework should only apply to secondary trades of capacity</w:t>
      </w:r>
      <w:r>
        <w:t>, t</w:t>
      </w:r>
      <w:r w:rsidR="00840ACB">
        <w:t xml:space="preserve">he project team </w:t>
      </w:r>
      <w:r w:rsidR="006C7061">
        <w:t xml:space="preserve">noted that from a compliance perspective it would be important to clearly define the </w:t>
      </w:r>
      <w:r w:rsidR="00840ACB">
        <w:t xml:space="preserve">types of trades </w:t>
      </w:r>
      <w:r w:rsidR="006C7061">
        <w:t xml:space="preserve">to </w:t>
      </w:r>
      <w:r w:rsidR="00840ACB">
        <w:t>be subject to the reporting framework</w:t>
      </w:r>
      <w:r>
        <w:t xml:space="preserve">. The trades that the project team thought should be reported included </w:t>
      </w:r>
      <w:r w:rsidR="00840ACB">
        <w:t xml:space="preserve">all exchange </w:t>
      </w:r>
      <w:r w:rsidR="0043720A">
        <w:t xml:space="preserve">based </w:t>
      </w:r>
      <w:r w:rsidR="00840ACB">
        <w:t xml:space="preserve">capacity </w:t>
      </w:r>
      <w:r w:rsidR="0043720A">
        <w:t xml:space="preserve">traded </w:t>
      </w:r>
      <w:r w:rsidR="00840ACB">
        <w:t xml:space="preserve">products </w:t>
      </w:r>
      <w:r w:rsidR="0043720A">
        <w:t xml:space="preserve">(screen and pre-matched products) </w:t>
      </w:r>
      <w:r w:rsidR="00840ACB">
        <w:t>available for sale on the capacity trading platform and the following bilaterally traded products</w:t>
      </w:r>
      <w:r w:rsidR="00245DAA">
        <w:t xml:space="preserve"> (conducted using either a bare transfer or an operational transfer</w:t>
      </w:r>
      <w:r>
        <w:t xml:space="preserve"> (see section </w:t>
      </w:r>
      <w:r>
        <w:fldChar w:fldCharType="begin"/>
      </w:r>
      <w:r>
        <w:instrText xml:space="preserve"> REF _Ref494815269 \r \h </w:instrText>
      </w:r>
      <w:r>
        <w:fldChar w:fldCharType="separate"/>
      </w:r>
      <w:r w:rsidR="00272B32">
        <w:t>2.2</w:t>
      </w:r>
      <w:r>
        <w:fldChar w:fldCharType="end"/>
      </w:r>
      <w:r w:rsidR="00245DAA">
        <w:t>)</w:t>
      </w:r>
      <w:r w:rsidR="00840ACB">
        <w:t>:</w:t>
      </w:r>
    </w:p>
    <w:p w14:paraId="2367CB0C" w14:textId="24000B47" w:rsidR="00840ACB" w:rsidRDefault="00840ACB" w:rsidP="00840ACB">
      <w:pPr>
        <w:pStyle w:val="ListBullet"/>
      </w:pPr>
      <w:r>
        <w:t>forward haul services;</w:t>
      </w:r>
    </w:p>
    <w:p w14:paraId="20B6F01F" w14:textId="560A5D72" w:rsidR="00840ACB" w:rsidRDefault="00840ACB" w:rsidP="00840ACB">
      <w:pPr>
        <w:pStyle w:val="ListBullet"/>
      </w:pPr>
      <w:r>
        <w:t>backhaul services;</w:t>
      </w:r>
    </w:p>
    <w:p w14:paraId="14263CE5" w14:textId="66BAE546" w:rsidR="00840ACB" w:rsidRDefault="00840ACB" w:rsidP="00840ACB">
      <w:pPr>
        <w:pStyle w:val="ListBullet"/>
      </w:pPr>
      <w:r>
        <w:t>park services or park and loan services; and</w:t>
      </w:r>
    </w:p>
    <w:p w14:paraId="1BA37E6D" w14:textId="2BB79F9C" w:rsidR="00840ACB" w:rsidRDefault="00840ACB" w:rsidP="00840ACB">
      <w:pPr>
        <w:pStyle w:val="ListBullet"/>
      </w:pPr>
      <w:proofErr w:type="gramStart"/>
      <w:r>
        <w:t>compression</w:t>
      </w:r>
      <w:proofErr w:type="gramEnd"/>
      <w:r>
        <w:t xml:space="preserve"> services.</w:t>
      </w:r>
    </w:p>
    <w:p w14:paraId="4965EB8E" w14:textId="471371AF" w:rsidR="00201CBA" w:rsidRDefault="00D97D65" w:rsidP="00EA187C">
      <w:pPr>
        <w:pStyle w:val="BodyText"/>
      </w:pPr>
      <w:r w:rsidRPr="00245DAA">
        <w:t>The GMRG agrees with the project team that the reporting framework is only intended to apply to secondary capacity trades and does not therefore extend to the types of trades listed in (a)-(</w:t>
      </w:r>
      <w:r w:rsidR="006C7061">
        <w:t>e</w:t>
      </w:r>
      <w:r w:rsidRPr="00245DAA">
        <w:t>) above.</w:t>
      </w:r>
      <w:r w:rsidR="006C7061">
        <w:rPr>
          <w:rStyle w:val="FootnoteReference"/>
        </w:rPr>
        <w:footnoteReference w:id="98"/>
      </w:r>
      <w:r w:rsidRPr="00245DAA">
        <w:t xml:space="preserve"> The GMRG also </w:t>
      </w:r>
      <w:r w:rsidR="003D40C5">
        <w:t xml:space="preserve">agrees with the project team that </w:t>
      </w:r>
      <w:r w:rsidRPr="00245DAA">
        <w:t xml:space="preserve">there would be merit in defining the types of trades that are to be reported to avoid any unnecessary confusion about the nature of the reporting obligation. While the GMRG </w:t>
      </w:r>
      <w:r w:rsidR="00245DAA" w:rsidRPr="00245DAA">
        <w:t xml:space="preserve">thinks </w:t>
      </w:r>
      <w:r w:rsidRPr="00245DAA">
        <w:t xml:space="preserve">the list the project team </w:t>
      </w:r>
      <w:r w:rsidR="00245DAA" w:rsidRPr="00245DAA">
        <w:t>developed is a good starting point, it is interested in hearing other stakeholders’ views on whether other types of secondary capacity trades should be reported, noting that one of the overarching objectives of the reporting framework is to aid the price discovery process.</w:t>
      </w:r>
      <w:r w:rsidR="006C7061">
        <w:t xml:space="preserve"> It is also worth noting in this context that the governance arrangements that will apply to the reporting framework will enable changes to be made to the types of trades to be reported over time, so the list can adapt to change. </w:t>
      </w:r>
    </w:p>
    <w:p w14:paraId="4FFD22E3" w14:textId="77777777" w:rsidR="00201CBA" w:rsidRDefault="00201CBA">
      <w:r>
        <w:br w:type="page"/>
      </w:r>
    </w:p>
    <w:tbl>
      <w:tblPr>
        <w:tblStyle w:val="PullOutBoxTable"/>
        <w:tblW w:w="5000" w:type="pct"/>
        <w:shd w:val="clear" w:color="auto" w:fill="B7E7FF"/>
        <w:tblLook w:val="0600" w:firstRow="0" w:lastRow="0" w:firstColumn="0" w:lastColumn="0" w:noHBand="1" w:noVBand="1"/>
        <w:tblCaption w:val="Box 8.1: Questions on the types of trades to be reported"/>
        <w:tblDescription w:val="Questions on the types of trades to be reported"/>
      </w:tblPr>
      <w:tblGrid>
        <w:gridCol w:w="8788"/>
      </w:tblGrid>
      <w:tr w:rsidR="003F0ED1" w:rsidRPr="004D73D8" w14:paraId="02064139" w14:textId="77777777" w:rsidTr="00201CBA">
        <w:trPr>
          <w:tblHeader/>
        </w:trPr>
        <w:tc>
          <w:tcPr>
            <w:tcW w:w="5000" w:type="pct"/>
            <w:shd w:val="clear" w:color="auto" w:fill="auto"/>
          </w:tcPr>
          <w:p w14:paraId="0DE414FF" w14:textId="233C6D39" w:rsidR="00245DAA" w:rsidRPr="00FA2DB5" w:rsidRDefault="00201CBA" w:rsidP="00201CBA">
            <w:pPr>
              <w:pStyle w:val="ListBullet2"/>
              <w:numPr>
                <w:ilvl w:val="0"/>
                <w:numId w:val="0"/>
              </w:numPr>
              <w:spacing w:after="0"/>
              <w:rPr>
                <w:rFonts w:eastAsiaTheme="majorEastAsia"/>
              </w:rPr>
            </w:pPr>
            <w:r>
              <w:rPr>
                <w:b/>
              </w:rPr>
              <w:t xml:space="preserve">Box </w:t>
            </w:r>
            <w:r>
              <w:rPr>
                <w:b/>
              </w:rPr>
              <w:fldChar w:fldCharType="begin"/>
            </w:r>
            <w:r>
              <w:rPr>
                <w:b/>
              </w:rPr>
              <w:instrText xml:space="preserve"> STYLEREF 1 \s </w:instrText>
            </w:r>
            <w:r>
              <w:rPr>
                <w:b/>
              </w:rPr>
              <w:fldChar w:fldCharType="separate"/>
            </w:r>
            <w:r>
              <w:rPr>
                <w:b/>
                <w:noProof/>
              </w:rPr>
              <w:t>8</w:t>
            </w:r>
            <w:r>
              <w:rPr>
                <w:b/>
              </w:rPr>
              <w:fldChar w:fldCharType="end"/>
            </w:r>
            <w:r>
              <w:rPr>
                <w:b/>
              </w:rPr>
              <w:t>.</w:t>
            </w:r>
            <w:r>
              <w:rPr>
                <w:b/>
              </w:rPr>
              <w:fldChar w:fldCharType="begin"/>
            </w:r>
            <w:r>
              <w:rPr>
                <w:b/>
              </w:rPr>
              <w:instrText xml:space="preserve"> SEQ Box \* ARABIC \s 1 </w:instrText>
            </w:r>
            <w:r>
              <w:rPr>
                <w:b/>
              </w:rPr>
              <w:fldChar w:fldCharType="separate"/>
            </w:r>
            <w:r>
              <w:rPr>
                <w:b/>
                <w:noProof/>
              </w:rPr>
              <w:t>1</w:t>
            </w:r>
            <w:r>
              <w:rPr>
                <w:b/>
              </w:rPr>
              <w:fldChar w:fldCharType="end"/>
            </w:r>
            <w:r>
              <w:rPr>
                <w:b/>
              </w:rPr>
              <w:t>: Questions on the types of trades to be reported</w:t>
            </w:r>
          </w:p>
        </w:tc>
      </w:tr>
      <w:tr w:rsidR="00201CBA" w:rsidRPr="004D73D8" w14:paraId="62DBC3B3" w14:textId="77777777" w:rsidTr="003F0ED1">
        <w:tc>
          <w:tcPr>
            <w:tcW w:w="5000" w:type="pct"/>
            <w:shd w:val="clear" w:color="auto" w:fill="B7E7FF"/>
          </w:tcPr>
          <w:p w14:paraId="7A0F596E" w14:textId="77777777" w:rsidR="00201CBA" w:rsidRDefault="00201CBA" w:rsidP="00201CBA">
            <w:pPr>
              <w:pStyle w:val="ListNumber"/>
              <w:keepNext/>
              <w:numPr>
                <w:ilvl w:val="0"/>
                <w:numId w:val="20"/>
              </w:numPr>
              <w:ind w:left="357" w:hanging="357"/>
              <w:rPr>
                <w:rFonts w:eastAsiaTheme="majorEastAsia"/>
                <w:sz w:val="21"/>
                <w:szCs w:val="21"/>
              </w:rPr>
            </w:pPr>
            <w:r>
              <w:rPr>
                <w:rFonts w:eastAsiaTheme="majorEastAsia"/>
                <w:sz w:val="21"/>
                <w:szCs w:val="21"/>
              </w:rPr>
              <w:t xml:space="preserve">Do you agree with the proposal to specify that the reporting framework will apply to the following types of secondary trades: </w:t>
            </w:r>
          </w:p>
          <w:p w14:paraId="39E6B8F6" w14:textId="77777777" w:rsidR="00201CBA" w:rsidRPr="00245DAA" w:rsidRDefault="00201CBA" w:rsidP="00201CBA">
            <w:pPr>
              <w:pStyle w:val="ListBullet2"/>
              <w:rPr>
                <w:rFonts w:eastAsiaTheme="majorEastAsia"/>
                <w:sz w:val="21"/>
                <w:szCs w:val="21"/>
              </w:rPr>
            </w:pPr>
            <w:r w:rsidRPr="00245DAA">
              <w:rPr>
                <w:rFonts w:eastAsiaTheme="majorEastAsia"/>
                <w:sz w:val="21"/>
                <w:szCs w:val="21"/>
              </w:rPr>
              <w:t>all exchange traded products listed on the capacity trading platform</w:t>
            </w:r>
            <w:r>
              <w:rPr>
                <w:rFonts w:eastAsiaTheme="majorEastAsia"/>
                <w:sz w:val="21"/>
                <w:szCs w:val="21"/>
              </w:rPr>
              <w:t>; and</w:t>
            </w:r>
            <w:r w:rsidRPr="00245DAA">
              <w:rPr>
                <w:rFonts w:eastAsiaTheme="majorEastAsia"/>
                <w:sz w:val="21"/>
                <w:szCs w:val="21"/>
              </w:rPr>
              <w:t xml:space="preserve"> </w:t>
            </w:r>
          </w:p>
          <w:p w14:paraId="635293B3" w14:textId="77777777" w:rsidR="00201CBA" w:rsidRPr="00245DAA" w:rsidRDefault="00201CBA" w:rsidP="00201CBA">
            <w:pPr>
              <w:pStyle w:val="ListBullet2"/>
              <w:rPr>
                <w:rFonts w:eastAsiaTheme="majorEastAsia"/>
              </w:rPr>
            </w:pPr>
            <w:proofErr w:type="gramStart"/>
            <w:r w:rsidRPr="00245DAA">
              <w:rPr>
                <w:rFonts w:eastAsiaTheme="majorEastAsia"/>
                <w:sz w:val="21"/>
                <w:szCs w:val="21"/>
              </w:rPr>
              <w:t>bilateral</w:t>
            </w:r>
            <w:proofErr w:type="gramEnd"/>
            <w:r w:rsidRPr="00245DAA">
              <w:rPr>
                <w:rFonts w:eastAsiaTheme="majorEastAsia"/>
                <w:sz w:val="21"/>
                <w:szCs w:val="21"/>
              </w:rPr>
              <w:t xml:space="preserve"> trades involving forward haul, backhaul, park, park and loan, and/or compression services</w:t>
            </w:r>
            <w:r>
              <w:rPr>
                <w:rFonts w:eastAsiaTheme="majorEastAsia"/>
                <w:sz w:val="21"/>
                <w:szCs w:val="21"/>
              </w:rPr>
              <w:t xml:space="preserve"> that are given effect through either a bare transfer or an operational transfer</w:t>
            </w:r>
            <w:r w:rsidRPr="00245DAA">
              <w:rPr>
                <w:rFonts w:eastAsiaTheme="majorEastAsia"/>
                <w:sz w:val="21"/>
                <w:szCs w:val="21"/>
              </w:rPr>
              <w:t>?</w:t>
            </w:r>
          </w:p>
          <w:p w14:paraId="6814039E" w14:textId="71F92E2A" w:rsidR="00201CBA" w:rsidRDefault="00201CBA" w:rsidP="00201CBA">
            <w:pPr>
              <w:pStyle w:val="ListNumber"/>
              <w:keepNext/>
              <w:numPr>
                <w:ilvl w:val="0"/>
                <w:numId w:val="0"/>
              </w:numPr>
              <w:ind w:left="357"/>
              <w:rPr>
                <w:rFonts w:eastAsiaTheme="majorEastAsia"/>
                <w:sz w:val="21"/>
                <w:szCs w:val="21"/>
              </w:rPr>
            </w:pPr>
            <w:r>
              <w:rPr>
                <w:rFonts w:eastAsiaTheme="majorEastAsia"/>
                <w:sz w:val="21"/>
                <w:szCs w:val="21"/>
              </w:rPr>
              <w:t>Or do you think that there are other types of secondary capacity trades that should be reported?</w:t>
            </w:r>
          </w:p>
        </w:tc>
      </w:tr>
    </w:tbl>
    <w:p w14:paraId="3F0FBE77" w14:textId="70D685C2" w:rsidR="00296C56" w:rsidRPr="00F74083" w:rsidRDefault="00296C56" w:rsidP="00707D68">
      <w:pPr>
        <w:pStyle w:val="Heading2"/>
      </w:pPr>
      <w:bookmarkStart w:id="155" w:name="_Toc495351661"/>
      <w:r w:rsidRPr="00F74083">
        <w:t>Information to be reported</w:t>
      </w:r>
      <w:bookmarkEnd w:id="155"/>
    </w:p>
    <w:p w14:paraId="02E7F204" w14:textId="0D5FFCF6" w:rsidR="003F0ED1" w:rsidRPr="003F0ED1" w:rsidRDefault="003F0ED1" w:rsidP="006C7061">
      <w:pPr>
        <w:pStyle w:val="BodyText"/>
        <w:spacing w:before="60" w:after="60"/>
        <w:rPr>
          <w:rFonts w:asciiTheme="majorHAnsi" w:hAnsiTheme="majorHAnsi" w:cstheme="majorHAnsi"/>
          <w:color w:val="000000"/>
        </w:rPr>
      </w:pPr>
      <w:r w:rsidRPr="003F0ED1">
        <w:rPr>
          <w:rFonts w:asciiTheme="majorHAnsi" w:hAnsiTheme="majorHAnsi" w:cstheme="majorHAnsi"/>
        </w:rPr>
        <w:t>In addition to specifying the types of trades that should be reported, the AEMC recommended that the reporting framework</w:t>
      </w:r>
      <w:r w:rsidR="008245BB">
        <w:rPr>
          <w:rFonts w:asciiTheme="majorHAnsi" w:hAnsiTheme="majorHAnsi" w:cstheme="majorHAnsi"/>
        </w:rPr>
        <w:t xml:space="preserve"> for secondary capacity trades </w:t>
      </w:r>
      <w:r w:rsidRPr="003F0ED1">
        <w:rPr>
          <w:rFonts w:asciiTheme="majorHAnsi" w:hAnsiTheme="majorHAnsi" w:cstheme="majorHAnsi"/>
        </w:rPr>
        <w:t xml:space="preserve">require information on the prices </w:t>
      </w:r>
      <w:r>
        <w:rPr>
          <w:rFonts w:asciiTheme="majorHAnsi" w:hAnsiTheme="majorHAnsi" w:cstheme="majorHAnsi"/>
          <w:color w:val="000000"/>
        </w:rPr>
        <w:t>struck</w:t>
      </w:r>
      <w:r w:rsidRPr="003F0ED1">
        <w:rPr>
          <w:rFonts w:asciiTheme="majorHAnsi" w:hAnsiTheme="majorHAnsi" w:cstheme="majorHAnsi"/>
          <w:color w:val="000000"/>
        </w:rPr>
        <w:t xml:space="preserve"> in secondary trades to be reported along with the following contract terms:</w:t>
      </w:r>
      <w:r w:rsidR="009E57F5">
        <w:rPr>
          <w:rStyle w:val="FootnoteReference"/>
          <w:rFonts w:asciiTheme="majorHAnsi" w:hAnsiTheme="majorHAnsi" w:cstheme="majorHAnsi"/>
          <w:color w:val="000000"/>
        </w:rPr>
        <w:footnoteReference w:id="99"/>
      </w:r>
      <w:r w:rsidRPr="003F0ED1">
        <w:rPr>
          <w:rFonts w:asciiTheme="majorHAnsi" w:hAnsiTheme="majorHAnsi" w:cstheme="majorHAnsi"/>
          <w:color w:val="000000"/>
        </w:rPr>
        <w:t xml:space="preserve"> </w:t>
      </w:r>
    </w:p>
    <w:p w14:paraId="205BE692" w14:textId="77777777" w:rsidR="00572016" w:rsidRPr="003F0ED1" w:rsidRDefault="00572016" w:rsidP="00187EB2">
      <w:pPr>
        <w:pStyle w:val="BodyText"/>
        <w:numPr>
          <w:ilvl w:val="2"/>
          <w:numId w:val="24"/>
        </w:numPr>
        <w:tabs>
          <w:tab w:val="clear" w:pos="2268"/>
          <w:tab w:val="clear" w:pos="4536"/>
          <w:tab w:val="clear" w:pos="6804"/>
          <w:tab w:val="clear" w:pos="9638"/>
        </w:tabs>
        <w:spacing w:before="60" w:after="60"/>
        <w:ind w:left="357" w:hanging="357"/>
      </w:pPr>
      <w:r w:rsidRPr="003F0ED1">
        <w:t xml:space="preserve">when the contract was entered into and the duration of the contract; </w:t>
      </w:r>
    </w:p>
    <w:p w14:paraId="173C3B6D" w14:textId="7EDD20F2" w:rsidR="003F0ED1" w:rsidRPr="003F0ED1" w:rsidRDefault="003F0ED1" w:rsidP="00187EB2">
      <w:pPr>
        <w:pStyle w:val="BodyText"/>
        <w:numPr>
          <w:ilvl w:val="2"/>
          <w:numId w:val="24"/>
        </w:numPr>
        <w:tabs>
          <w:tab w:val="clear" w:pos="2268"/>
          <w:tab w:val="clear" w:pos="4536"/>
          <w:tab w:val="clear" w:pos="6804"/>
          <w:tab w:val="clear" w:pos="9638"/>
        </w:tabs>
        <w:spacing w:before="60" w:after="60"/>
        <w:ind w:left="357" w:hanging="357"/>
      </w:pPr>
      <w:r w:rsidRPr="003F0ED1">
        <w:t xml:space="preserve">the pipeline or compressor facility that will be used to provide the service; </w:t>
      </w:r>
    </w:p>
    <w:p w14:paraId="7CC0925F" w14:textId="453E8037" w:rsidR="003F0ED1" w:rsidRPr="003F0ED1" w:rsidRDefault="003F0ED1" w:rsidP="00187EB2">
      <w:pPr>
        <w:pStyle w:val="BodyText"/>
        <w:numPr>
          <w:ilvl w:val="2"/>
          <w:numId w:val="24"/>
        </w:numPr>
        <w:tabs>
          <w:tab w:val="clear" w:pos="2268"/>
          <w:tab w:val="clear" w:pos="4536"/>
          <w:tab w:val="clear" w:pos="6804"/>
          <w:tab w:val="clear" w:pos="9638"/>
        </w:tabs>
        <w:spacing w:before="60" w:after="60"/>
        <w:ind w:left="357" w:hanging="357"/>
      </w:pPr>
      <w:r w:rsidRPr="003F0ED1">
        <w:t xml:space="preserve">the type of service and the firmness and priority of that service; </w:t>
      </w:r>
    </w:p>
    <w:p w14:paraId="0CC382B7" w14:textId="184CED7F" w:rsidR="003F0ED1" w:rsidRPr="003F0ED1" w:rsidRDefault="003F0ED1" w:rsidP="00187EB2">
      <w:pPr>
        <w:pStyle w:val="BodyText"/>
        <w:numPr>
          <w:ilvl w:val="2"/>
          <w:numId w:val="24"/>
        </w:numPr>
        <w:tabs>
          <w:tab w:val="clear" w:pos="2268"/>
          <w:tab w:val="clear" w:pos="4536"/>
          <w:tab w:val="clear" w:pos="6804"/>
          <w:tab w:val="clear" w:pos="9638"/>
        </w:tabs>
        <w:spacing w:before="60" w:after="60"/>
        <w:ind w:left="357" w:hanging="357"/>
      </w:pPr>
      <w:r w:rsidRPr="003F0ED1">
        <w:t xml:space="preserve">the </w:t>
      </w:r>
      <w:r w:rsidR="007856BC">
        <w:t xml:space="preserve">MDQ and MHQ </w:t>
      </w:r>
      <w:r w:rsidRPr="003F0ED1">
        <w:t xml:space="preserve">the shipper can nominate; </w:t>
      </w:r>
    </w:p>
    <w:p w14:paraId="437A5F94" w14:textId="2AEA64BB" w:rsidR="003F0ED1" w:rsidRPr="009E57F5" w:rsidRDefault="003F0ED1" w:rsidP="00187EB2">
      <w:pPr>
        <w:pStyle w:val="BodyText"/>
        <w:numPr>
          <w:ilvl w:val="2"/>
          <w:numId w:val="24"/>
        </w:numPr>
        <w:tabs>
          <w:tab w:val="clear" w:pos="2268"/>
          <w:tab w:val="clear" w:pos="4536"/>
          <w:tab w:val="clear" w:pos="6804"/>
          <w:tab w:val="clear" w:pos="9638"/>
        </w:tabs>
        <w:spacing w:before="60" w:after="60"/>
        <w:ind w:left="357" w:hanging="357"/>
      </w:pPr>
      <w:r w:rsidRPr="003F0ED1">
        <w:t xml:space="preserve">the direction of the service and the receipt and delivery points between which gas will be transported, aggregated to a level sufficient to protect the anonymity of </w:t>
      </w:r>
      <w:r w:rsidR="007856BC">
        <w:t>parties</w:t>
      </w:r>
      <w:r w:rsidRPr="009E57F5">
        <w:t xml:space="preserve">; </w:t>
      </w:r>
    </w:p>
    <w:p w14:paraId="545B1011" w14:textId="0482C2F5" w:rsidR="00EF7C02" w:rsidRDefault="003F0ED1" w:rsidP="00187EB2">
      <w:pPr>
        <w:pStyle w:val="BodyText"/>
        <w:numPr>
          <w:ilvl w:val="2"/>
          <w:numId w:val="24"/>
        </w:numPr>
        <w:tabs>
          <w:tab w:val="clear" w:pos="2268"/>
          <w:tab w:val="clear" w:pos="4536"/>
          <w:tab w:val="clear" w:pos="6804"/>
          <w:tab w:val="clear" w:pos="9638"/>
        </w:tabs>
        <w:spacing w:before="60" w:after="60"/>
        <w:ind w:left="357" w:hanging="357"/>
      </w:pPr>
      <w:r w:rsidRPr="009E57F5">
        <w:t>any additional flexibility the shipper may have, or restrictions it may be subject to</w:t>
      </w:r>
      <w:r w:rsidR="00EF7C02">
        <w:t>; and</w:t>
      </w:r>
    </w:p>
    <w:p w14:paraId="45607296" w14:textId="3E901449" w:rsidR="003F0ED1" w:rsidRPr="009E57F5" w:rsidRDefault="003F0ED1" w:rsidP="00187EB2">
      <w:pPr>
        <w:pStyle w:val="BodyText"/>
        <w:numPr>
          <w:ilvl w:val="2"/>
          <w:numId w:val="24"/>
        </w:numPr>
        <w:tabs>
          <w:tab w:val="clear" w:pos="2268"/>
          <w:tab w:val="clear" w:pos="4536"/>
          <w:tab w:val="clear" w:pos="6804"/>
          <w:tab w:val="clear" w:pos="9638"/>
        </w:tabs>
        <w:spacing w:before="120"/>
        <w:ind w:left="357" w:hanging="357"/>
      </w:pPr>
      <w:proofErr w:type="gramStart"/>
      <w:r w:rsidRPr="009E57F5">
        <w:t>where</w:t>
      </w:r>
      <w:proofErr w:type="gramEnd"/>
      <w:r w:rsidRPr="009E57F5">
        <w:t xml:space="preserve"> relevant, any variations from standardised operational, prudential and other contractual terms that could affect the price.</w:t>
      </w:r>
    </w:p>
    <w:p w14:paraId="125884D5" w14:textId="2E24074A" w:rsidR="003F0ED1" w:rsidRDefault="003F0ED1" w:rsidP="00CB3BA4">
      <w:pPr>
        <w:pStyle w:val="BodyText"/>
      </w:pPr>
      <w:r w:rsidRPr="009E57F5">
        <w:t xml:space="preserve">The AEMC </w:t>
      </w:r>
      <w:r w:rsidR="009E57F5" w:rsidRPr="009E57F5">
        <w:t xml:space="preserve">also recommended that the GMRG consider </w:t>
      </w:r>
      <w:r w:rsidRPr="009E57F5">
        <w:t xml:space="preserve">whether any </w:t>
      </w:r>
      <w:r w:rsidR="009E57F5" w:rsidRPr="009E57F5">
        <w:t xml:space="preserve">further </w:t>
      </w:r>
      <w:r w:rsidRPr="009E57F5">
        <w:t xml:space="preserve">measures are required to protect the anonymity of </w:t>
      </w:r>
      <w:r w:rsidR="009E57F5" w:rsidRPr="009E57F5">
        <w:t xml:space="preserve">counterparties and, in doing so, to </w:t>
      </w:r>
      <w:r w:rsidR="00425188" w:rsidRPr="009E57F5">
        <w:t>consider</w:t>
      </w:r>
      <w:r w:rsidRPr="009E57F5">
        <w:t xml:space="preserve"> the relative benefits of information provision and anonymity</w:t>
      </w:r>
      <w:r w:rsidR="009E57F5" w:rsidRPr="009E57F5">
        <w:t>.</w:t>
      </w:r>
      <w:r w:rsidR="009E57F5" w:rsidRPr="009E57F5">
        <w:rPr>
          <w:rStyle w:val="FootnoteReference"/>
        </w:rPr>
        <w:footnoteReference w:id="100"/>
      </w:r>
    </w:p>
    <w:p w14:paraId="0A4649DA" w14:textId="0298A1E5" w:rsidR="007856BC" w:rsidRDefault="00487007" w:rsidP="00487007">
      <w:pPr>
        <w:pStyle w:val="BodyText"/>
      </w:pPr>
      <w:r>
        <w:t xml:space="preserve">In a similar manner to the types of trades to be reported, the Standardisation project team </w:t>
      </w:r>
      <w:r w:rsidR="003D40C5">
        <w:t>was</w:t>
      </w:r>
      <w:r>
        <w:t xml:space="preserve"> asked </w:t>
      </w:r>
      <w:r w:rsidR="003D40C5">
        <w:t xml:space="preserve">its </w:t>
      </w:r>
      <w:r>
        <w:t xml:space="preserve">view on the type of information that should be reported for exchange traded capacity products and bilateral </w:t>
      </w:r>
      <w:r w:rsidR="003D40C5">
        <w:t xml:space="preserve">capacity </w:t>
      </w:r>
      <w:r>
        <w:t xml:space="preserve">trades. The project team’s view on this issue is summarised in </w:t>
      </w:r>
      <w:r w:rsidR="008A298A">
        <w:fldChar w:fldCharType="begin"/>
      </w:r>
      <w:r w:rsidR="008A298A">
        <w:instrText xml:space="preserve"> REF _Ref494461640 \h </w:instrText>
      </w:r>
      <w:r w:rsidR="008A298A">
        <w:fldChar w:fldCharType="separate"/>
      </w:r>
      <w:r w:rsidR="00272B32">
        <w:t xml:space="preserve">Table </w:t>
      </w:r>
      <w:r w:rsidR="00272B32">
        <w:rPr>
          <w:noProof/>
        </w:rPr>
        <w:t>8</w:t>
      </w:r>
      <w:r w:rsidR="00272B32">
        <w:t>.</w:t>
      </w:r>
      <w:r w:rsidR="00272B32">
        <w:rPr>
          <w:noProof/>
        </w:rPr>
        <w:t>1</w:t>
      </w:r>
      <w:r w:rsidR="008A298A">
        <w:fldChar w:fldCharType="end"/>
      </w:r>
      <w:r w:rsidR="007856BC">
        <w:t>.</w:t>
      </w:r>
      <w:r w:rsidR="00C23EF6">
        <w:t xml:space="preserve"> </w:t>
      </w:r>
    </w:p>
    <w:p w14:paraId="2667786B" w14:textId="1A3CC57E" w:rsidR="008A298A" w:rsidRDefault="008A298A" w:rsidP="006C7061">
      <w:pPr>
        <w:pStyle w:val="Caption"/>
        <w:spacing w:before="120" w:after="0"/>
      </w:pPr>
      <w:bookmarkStart w:id="156" w:name="_Ref494461640"/>
      <w:r>
        <w:t xml:space="preserve">Table </w:t>
      </w:r>
      <w:r w:rsidR="00115A93">
        <w:fldChar w:fldCharType="begin"/>
      </w:r>
      <w:r w:rsidR="00115A93">
        <w:instrText xml:space="preserve"> STYLEREF 1 \s </w:instrText>
      </w:r>
      <w:r w:rsidR="00115A93">
        <w:fldChar w:fldCharType="separate"/>
      </w:r>
      <w:r w:rsidR="00272B32">
        <w:rPr>
          <w:noProof/>
        </w:rPr>
        <w:t>8</w:t>
      </w:r>
      <w:r w:rsidR="00115A93">
        <w:rPr>
          <w:noProof/>
        </w:rPr>
        <w:fldChar w:fldCharType="end"/>
      </w:r>
      <w:r w:rsidR="009A057E">
        <w:t>.</w:t>
      </w:r>
      <w:r w:rsidR="00115A93">
        <w:fldChar w:fldCharType="begin"/>
      </w:r>
      <w:r w:rsidR="00115A93">
        <w:instrText xml:space="preserve"> SEQ Table \* ARABIC \s 1 </w:instrText>
      </w:r>
      <w:r w:rsidR="00115A93">
        <w:fldChar w:fldCharType="separate"/>
      </w:r>
      <w:r w:rsidR="00272B32">
        <w:rPr>
          <w:noProof/>
        </w:rPr>
        <w:t>1</w:t>
      </w:r>
      <w:r w:rsidR="00115A93">
        <w:rPr>
          <w:noProof/>
        </w:rPr>
        <w:fldChar w:fldCharType="end"/>
      </w:r>
      <w:bookmarkEnd w:id="156"/>
      <w:r>
        <w:t xml:space="preserve">: </w:t>
      </w:r>
      <w:r w:rsidR="00EF7C02">
        <w:t xml:space="preserve">Standardisation project team’s view on </w:t>
      </w:r>
      <w:r w:rsidR="00E3255D">
        <w:t>i</w:t>
      </w:r>
      <w:r>
        <w:t>nformation to be reported</w:t>
      </w:r>
    </w:p>
    <w:tbl>
      <w:tblPr>
        <w:tblStyle w:val="TableGrid"/>
        <w:tblW w:w="8931" w:type="dxa"/>
        <w:tblLook w:val="04A0" w:firstRow="1" w:lastRow="0" w:firstColumn="1" w:lastColumn="0" w:noHBand="0" w:noVBand="1"/>
        <w:tblCaption w:val="Table 8.1: Standardisation project team’s view on information to be reported"/>
        <w:tblDescription w:val="Standardisation project team’s view on information to be reported"/>
      </w:tblPr>
      <w:tblGrid>
        <w:gridCol w:w="3686"/>
        <w:gridCol w:w="3118"/>
        <w:gridCol w:w="2127"/>
      </w:tblGrid>
      <w:tr w:rsidR="007856BC" w:rsidRPr="006C7061" w14:paraId="5015E084" w14:textId="77777777" w:rsidTr="00201CBA">
        <w:trPr>
          <w:cnfStyle w:val="100000000000" w:firstRow="1" w:lastRow="0" w:firstColumn="0" w:lastColumn="0" w:oddVBand="0" w:evenVBand="0" w:oddHBand="0" w:evenHBand="0" w:firstRowFirstColumn="0" w:firstRowLastColumn="0" w:lastRowFirstColumn="0" w:lastRowLastColumn="0"/>
          <w:tblHeader/>
        </w:trPr>
        <w:tc>
          <w:tcPr>
            <w:tcW w:w="3686" w:type="dxa"/>
            <w:shd w:val="clear" w:color="auto" w:fill="0099CC"/>
            <w:vAlign w:val="bottom"/>
          </w:tcPr>
          <w:p w14:paraId="65FE0FD1" w14:textId="44F04FF7" w:rsidR="007856BC" w:rsidRPr="006C7061" w:rsidRDefault="00572016" w:rsidP="006C7061">
            <w:pPr>
              <w:pStyle w:val="BodyText"/>
              <w:keepNext/>
              <w:spacing w:before="40" w:after="0" w:line="240" w:lineRule="auto"/>
              <w:rPr>
                <w:sz w:val="17"/>
                <w:szCs w:val="17"/>
              </w:rPr>
            </w:pPr>
            <w:r w:rsidRPr="006C7061">
              <w:rPr>
                <w:sz w:val="17"/>
                <w:szCs w:val="17"/>
              </w:rPr>
              <w:t>Information</w:t>
            </w:r>
          </w:p>
        </w:tc>
        <w:tc>
          <w:tcPr>
            <w:tcW w:w="3118" w:type="dxa"/>
            <w:shd w:val="clear" w:color="auto" w:fill="0099CC"/>
            <w:vAlign w:val="bottom"/>
          </w:tcPr>
          <w:p w14:paraId="5EB1BE75" w14:textId="5576D3FF" w:rsidR="007856BC" w:rsidRPr="006C7061" w:rsidRDefault="00487007" w:rsidP="006C7061">
            <w:pPr>
              <w:pStyle w:val="BodyText"/>
              <w:keepNext/>
              <w:spacing w:before="40" w:after="0" w:line="240" w:lineRule="auto"/>
              <w:jc w:val="center"/>
              <w:rPr>
                <w:sz w:val="17"/>
                <w:szCs w:val="17"/>
              </w:rPr>
            </w:pPr>
            <w:r w:rsidRPr="006C7061">
              <w:rPr>
                <w:sz w:val="17"/>
                <w:szCs w:val="17"/>
              </w:rPr>
              <w:t>E</w:t>
            </w:r>
            <w:r w:rsidR="007856BC" w:rsidRPr="006C7061">
              <w:rPr>
                <w:sz w:val="17"/>
                <w:szCs w:val="17"/>
              </w:rPr>
              <w:t>xchange traded products</w:t>
            </w:r>
          </w:p>
        </w:tc>
        <w:tc>
          <w:tcPr>
            <w:tcW w:w="2127" w:type="dxa"/>
            <w:shd w:val="clear" w:color="auto" w:fill="0099CC"/>
            <w:vAlign w:val="bottom"/>
          </w:tcPr>
          <w:p w14:paraId="63E4802B" w14:textId="0E9B70C8" w:rsidR="007856BC" w:rsidRPr="006C7061" w:rsidRDefault="007856BC" w:rsidP="006C7061">
            <w:pPr>
              <w:pStyle w:val="BodyText"/>
              <w:keepNext/>
              <w:spacing w:before="40" w:after="0" w:line="240" w:lineRule="auto"/>
              <w:jc w:val="center"/>
              <w:rPr>
                <w:sz w:val="17"/>
                <w:szCs w:val="17"/>
              </w:rPr>
            </w:pPr>
            <w:r w:rsidRPr="006C7061">
              <w:rPr>
                <w:sz w:val="17"/>
                <w:szCs w:val="17"/>
              </w:rPr>
              <w:t>Bilateral trades</w:t>
            </w:r>
          </w:p>
        </w:tc>
      </w:tr>
      <w:tr w:rsidR="00572016" w:rsidRPr="006C7061" w14:paraId="6BC24367" w14:textId="77777777" w:rsidTr="006C7061">
        <w:tc>
          <w:tcPr>
            <w:tcW w:w="3686" w:type="dxa"/>
            <w:vAlign w:val="center"/>
          </w:tcPr>
          <w:p w14:paraId="6EAE0EE5" w14:textId="261A8568" w:rsidR="00572016" w:rsidRPr="006C7061" w:rsidRDefault="00572016" w:rsidP="006C7061">
            <w:pPr>
              <w:pStyle w:val="BodyText"/>
              <w:keepNext/>
              <w:spacing w:before="40" w:after="40" w:line="240" w:lineRule="auto"/>
              <w:rPr>
                <w:sz w:val="17"/>
                <w:szCs w:val="17"/>
              </w:rPr>
            </w:pPr>
            <w:r w:rsidRPr="006C7061">
              <w:rPr>
                <w:sz w:val="17"/>
                <w:szCs w:val="17"/>
              </w:rPr>
              <w:t>Date of trade</w:t>
            </w:r>
            <w:r w:rsidR="00EF7C02" w:rsidRPr="006C7061">
              <w:rPr>
                <w:sz w:val="17"/>
                <w:szCs w:val="17"/>
              </w:rPr>
              <w:t xml:space="preserve"> and duration of contract</w:t>
            </w:r>
          </w:p>
        </w:tc>
        <w:tc>
          <w:tcPr>
            <w:tcW w:w="3118" w:type="dxa"/>
            <w:vAlign w:val="center"/>
          </w:tcPr>
          <w:p w14:paraId="267E4C6C" w14:textId="46002FDD" w:rsidR="00572016" w:rsidRPr="006C7061" w:rsidRDefault="00572016" w:rsidP="006C7061">
            <w:pPr>
              <w:pStyle w:val="BodyText"/>
              <w:keepNext/>
              <w:spacing w:before="40" w:after="40" w:line="240" w:lineRule="auto"/>
              <w:jc w:val="center"/>
              <w:rPr>
                <w:sz w:val="17"/>
                <w:szCs w:val="17"/>
              </w:rPr>
            </w:pPr>
            <w:r w:rsidRPr="006C7061">
              <w:rPr>
                <w:sz w:val="17"/>
                <w:szCs w:val="17"/>
              </w:rPr>
              <w:sym w:font="Wingdings" w:char="F0FC"/>
            </w:r>
          </w:p>
        </w:tc>
        <w:tc>
          <w:tcPr>
            <w:tcW w:w="2127" w:type="dxa"/>
            <w:vAlign w:val="center"/>
          </w:tcPr>
          <w:p w14:paraId="56468DFF" w14:textId="16F9FD18" w:rsidR="00572016" w:rsidRPr="006C7061" w:rsidRDefault="00572016" w:rsidP="006C7061">
            <w:pPr>
              <w:pStyle w:val="BodyText"/>
              <w:keepNext/>
              <w:spacing w:before="40" w:after="40" w:line="240" w:lineRule="auto"/>
              <w:jc w:val="center"/>
              <w:rPr>
                <w:sz w:val="17"/>
                <w:szCs w:val="17"/>
              </w:rPr>
            </w:pPr>
            <w:r w:rsidRPr="006C7061">
              <w:rPr>
                <w:sz w:val="17"/>
                <w:szCs w:val="17"/>
              </w:rPr>
              <w:sym w:font="Wingdings" w:char="F0FC"/>
            </w:r>
          </w:p>
        </w:tc>
      </w:tr>
      <w:tr w:rsidR="00572016" w:rsidRPr="006C7061" w14:paraId="0AD6E403" w14:textId="77777777" w:rsidTr="006C7061">
        <w:trPr>
          <w:cnfStyle w:val="000000010000" w:firstRow="0" w:lastRow="0" w:firstColumn="0" w:lastColumn="0" w:oddVBand="0" w:evenVBand="0" w:oddHBand="0" w:evenHBand="1" w:firstRowFirstColumn="0" w:firstRowLastColumn="0" w:lastRowFirstColumn="0" w:lastRowLastColumn="0"/>
        </w:trPr>
        <w:tc>
          <w:tcPr>
            <w:tcW w:w="3686" w:type="dxa"/>
            <w:vAlign w:val="center"/>
          </w:tcPr>
          <w:p w14:paraId="17F71D9D" w14:textId="3624C95D" w:rsidR="00572016" w:rsidRPr="006C7061" w:rsidRDefault="00572016" w:rsidP="006C7061">
            <w:pPr>
              <w:pStyle w:val="BodyText"/>
              <w:keepNext/>
              <w:spacing w:before="40" w:after="40" w:line="240" w:lineRule="auto"/>
              <w:rPr>
                <w:sz w:val="17"/>
                <w:szCs w:val="17"/>
              </w:rPr>
            </w:pPr>
            <w:r w:rsidRPr="006C7061">
              <w:rPr>
                <w:sz w:val="17"/>
                <w:szCs w:val="17"/>
              </w:rPr>
              <w:t xml:space="preserve">Pipeline or compression facility </w:t>
            </w:r>
          </w:p>
        </w:tc>
        <w:tc>
          <w:tcPr>
            <w:tcW w:w="3118" w:type="dxa"/>
            <w:vAlign w:val="center"/>
          </w:tcPr>
          <w:p w14:paraId="7E37BC77" w14:textId="787AD023" w:rsidR="00572016" w:rsidRPr="006C7061" w:rsidRDefault="00572016" w:rsidP="006C7061">
            <w:pPr>
              <w:pStyle w:val="BodyText"/>
              <w:keepNext/>
              <w:spacing w:before="40" w:after="40" w:line="240" w:lineRule="auto"/>
              <w:jc w:val="center"/>
              <w:rPr>
                <w:sz w:val="17"/>
                <w:szCs w:val="17"/>
              </w:rPr>
            </w:pPr>
            <w:r w:rsidRPr="006C7061">
              <w:rPr>
                <w:sz w:val="17"/>
                <w:szCs w:val="17"/>
              </w:rPr>
              <w:sym w:font="Wingdings" w:char="F0FC"/>
            </w:r>
          </w:p>
        </w:tc>
        <w:tc>
          <w:tcPr>
            <w:tcW w:w="2127" w:type="dxa"/>
            <w:vAlign w:val="center"/>
          </w:tcPr>
          <w:p w14:paraId="3B46166B" w14:textId="3BF06774" w:rsidR="00572016" w:rsidRPr="006C7061" w:rsidRDefault="00572016" w:rsidP="006C7061">
            <w:pPr>
              <w:pStyle w:val="BodyText"/>
              <w:keepNext/>
              <w:spacing w:before="40" w:after="40" w:line="240" w:lineRule="auto"/>
              <w:jc w:val="center"/>
              <w:rPr>
                <w:sz w:val="17"/>
                <w:szCs w:val="17"/>
              </w:rPr>
            </w:pPr>
            <w:r w:rsidRPr="006C7061">
              <w:rPr>
                <w:sz w:val="17"/>
                <w:szCs w:val="17"/>
              </w:rPr>
              <w:sym w:font="Wingdings" w:char="F0FC"/>
            </w:r>
          </w:p>
        </w:tc>
      </w:tr>
      <w:tr w:rsidR="00572016" w:rsidRPr="006C7061" w14:paraId="1392E165" w14:textId="77777777" w:rsidTr="006C7061">
        <w:tc>
          <w:tcPr>
            <w:tcW w:w="3686" w:type="dxa"/>
            <w:vAlign w:val="center"/>
          </w:tcPr>
          <w:p w14:paraId="70F5F219" w14:textId="5496BDED" w:rsidR="00572016" w:rsidRPr="006C7061" w:rsidRDefault="00EF7C02" w:rsidP="006C7061">
            <w:pPr>
              <w:pStyle w:val="BodyText"/>
              <w:keepNext/>
              <w:spacing w:before="40" w:after="40" w:line="240" w:lineRule="auto"/>
              <w:rPr>
                <w:sz w:val="17"/>
                <w:szCs w:val="17"/>
              </w:rPr>
            </w:pPr>
            <w:r w:rsidRPr="006C7061">
              <w:rPr>
                <w:sz w:val="17"/>
                <w:szCs w:val="17"/>
              </w:rPr>
              <w:t>S</w:t>
            </w:r>
            <w:r w:rsidR="00572016" w:rsidRPr="006C7061">
              <w:rPr>
                <w:sz w:val="17"/>
                <w:szCs w:val="17"/>
              </w:rPr>
              <w:t xml:space="preserve">ervice </w:t>
            </w:r>
            <w:r w:rsidRPr="006C7061">
              <w:rPr>
                <w:sz w:val="17"/>
                <w:szCs w:val="17"/>
              </w:rPr>
              <w:t xml:space="preserve">type </w:t>
            </w:r>
            <w:r w:rsidR="00572016" w:rsidRPr="006C7061">
              <w:rPr>
                <w:sz w:val="17"/>
                <w:szCs w:val="17"/>
              </w:rPr>
              <w:t>(i.e. forward haul, backhaul, park and loan, compression), firmness</w:t>
            </w:r>
            <w:r w:rsidRPr="006C7061">
              <w:rPr>
                <w:sz w:val="17"/>
                <w:szCs w:val="17"/>
              </w:rPr>
              <w:t>, service</w:t>
            </w:r>
            <w:r w:rsidR="00572016" w:rsidRPr="006C7061">
              <w:rPr>
                <w:sz w:val="17"/>
                <w:szCs w:val="17"/>
              </w:rPr>
              <w:t xml:space="preserve"> priority </w:t>
            </w:r>
          </w:p>
        </w:tc>
        <w:tc>
          <w:tcPr>
            <w:tcW w:w="3118" w:type="dxa"/>
            <w:vAlign w:val="center"/>
          </w:tcPr>
          <w:p w14:paraId="26558CF7" w14:textId="1A8FCAB9" w:rsidR="00572016" w:rsidRPr="006C7061" w:rsidRDefault="00572016" w:rsidP="006C7061">
            <w:pPr>
              <w:pStyle w:val="BodyText"/>
              <w:keepNext/>
              <w:spacing w:before="40" w:after="40" w:line="240" w:lineRule="auto"/>
              <w:jc w:val="center"/>
              <w:rPr>
                <w:sz w:val="17"/>
                <w:szCs w:val="17"/>
              </w:rPr>
            </w:pPr>
            <w:r w:rsidRPr="006C7061">
              <w:rPr>
                <w:sz w:val="17"/>
                <w:szCs w:val="17"/>
              </w:rPr>
              <w:sym w:font="Wingdings" w:char="F0FC"/>
            </w:r>
          </w:p>
        </w:tc>
        <w:tc>
          <w:tcPr>
            <w:tcW w:w="2127" w:type="dxa"/>
            <w:vAlign w:val="center"/>
          </w:tcPr>
          <w:p w14:paraId="3B0D9827" w14:textId="10BD9826" w:rsidR="00572016" w:rsidRPr="006C7061" w:rsidRDefault="00572016" w:rsidP="006C7061">
            <w:pPr>
              <w:pStyle w:val="BodyText"/>
              <w:keepNext/>
              <w:spacing w:before="40" w:after="40" w:line="240" w:lineRule="auto"/>
              <w:jc w:val="center"/>
              <w:rPr>
                <w:sz w:val="17"/>
                <w:szCs w:val="17"/>
              </w:rPr>
            </w:pPr>
            <w:r w:rsidRPr="006C7061">
              <w:rPr>
                <w:sz w:val="17"/>
                <w:szCs w:val="17"/>
              </w:rPr>
              <w:sym w:font="Wingdings" w:char="F0FC"/>
            </w:r>
          </w:p>
        </w:tc>
      </w:tr>
      <w:tr w:rsidR="00572016" w:rsidRPr="006C7061" w14:paraId="0B18B865" w14:textId="77777777" w:rsidTr="006C7061">
        <w:trPr>
          <w:cnfStyle w:val="000000010000" w:firstRow="0" w:lastRow="0" w:firstColumn="0" w:lastColumn="0" w:oddVBand="0" w:evenVBand="0" w:oddHBand="0" w:evenHBand="1" w:firstRowFirstColumn="0" w:firstRowLastColumn="0" w:lastRowFirstColumn="0" w:lastRowLastColumn="0"/>
        </w:trPr>
        <w:tc>
          <w:tcPr>
            <w:tcW w:w="3686" w:type="dxa"/>
            <w:vAlign w:val="center"/>
          </w:tcPr>
          <w:p w14:paraId="0E4FEA43" w14:textId="31348C78" w:rsidR="00572016" w:rsidRPr="006C7061" w:rsidRDefault="00572016" w:rsidP="006C7061">
            <w:pPr>
              <w:pStyle w:val="BodyText"/>
              <w:keepNext/>
              <w:spacing w:before="40" w:after="40" w:line="240" w:lineRule="auto"/>
              <w:rPr>
                <w:sz w:val="17"/>
                <w:szCs w:val="17"/>
              </w:rPr>
            </w:pPr>
            <w:r w:rsidRPr="006C7061">
              <w:rPr>
                <w:sz w:val="17"/>
                <w:szCs w:val="17"/>
              </w:rPr>
              <w:t>Direction of service and zones between which gas is transported</w:t>
            </w:r>
          </w:p>
        </w:tc>
        <w:tc>
          <w:tcPr>
            <w:tcW w:w="3118" w:type="dxa"/>
            <w:vAlign w:val="center"/>
          </w:tcPr>
          <w:p w14:paraId="2ADAD625" w14:textId="307D73C9" w:rsidR="00572016" w:rsidRPr="006C7061" w:rsidRDefault="00572016" w:rsidP="006C7061">
            <w:pPr>
              <w:pStyle w:val="BodyText"/>
              <w:keepNext/>
              <w:spacing w:before="40" w:after="40" w:line="240" w:lineRule="auto"/>
              <w:jc w:val="center"/>
              <w:rPr>
                <w:sz w:val="17"/>
                <w:szCs w:val="17"/>
              </w:rPr>
            </w:pPr>
            <w:r w:rsidRPr="006C7061">
              <w:rPr>
                <w:sz w:val="17"/>
                <w:szCs w:val="17"/>
              </w:rPr>
              <w:sym w:font="Wingdings" w:char="F0FC"/>
            </w:r>
            <w:r w:rsidR="00E25777" w:rsidRPr="006C7061">
              <w:rPr>
                <w:sz w:val="17"/>
                <w:szCs w:val="17"/>
              </w:rPr>
              <w:br/>
              <w:t xml:space="preserve">Pipeline zones to be used for reporting </w:t>
            </w:r>
          </w:p>
        </w:tc>
        <w:tc>
          <w:tcPr>
            <w:tcW w:w="2127" w:type="dxa"/>
            <w:vAlign w:val="center"/>
          </w:tcPr>
          <w:p w14:paraId="2856200F" w14:textId="3CC4B703" w:rsidR="00572016" w:rsidRPr="006C7061" w:rsidRDefault="00572016" w:rsidP="006C7061">
            <w:pPr>
              <w:pStyle w:val="BodyText"/>
              <w:keepNext/>
              <w:spacing w:before="40" w:after="40" w:line="240" w:lineRule="auto"/>
              <w:jc w:val="center"/>
              <w:rPr>
                <w:sz w:val="17"/>
                <w:szCs w:val="17"/>
              </w:rPr>
            </w:pPr>
            <w:r w:rsidRPr="006C7061">
              <w:rPr>
                <w:sz w:val="17"/>
                <w:szCs w:val="17"/>
              </w:rPr>
              <w:sym w:font="Wingdings" w:char="F0FC"/>
            </w:r>
            <w:r w:rsidR="00E25777" w:rsidRPr="006C7061">
              <w:rPr>
                <w:sz w:val="17"/>
                <w:szCs w:val="17"/>
              </w:rPr>
              <w:br/>
              <w:t>Pipeline zones to be used for reporting</w:t>
            </w:r>
          </w:p>
        </w:tc>
      </w:tr>
      <w:tr w:rsidR="00572016" w:rsidRPr="006C7061" w14:paraId="48A054C5" w14:textId="77777777" w:rsidTr="006C7061">
        <w:tc>
          <w:tcPr>
            <w:tcW w:w="3686" w:type="dxa"/>
            <w:vAlign w:val="center"/>
          </w:tcPr>
          <w:p w14:paraId="7A98F3BC" w14:textId="7014EFFA" w:rsidR="00572016" w:rsidRPr="006C7061" w:rsidRDefault="00572016" w:rsidP="006C7061">
            <w:pPr>
              <w:pStyle w:val="BodyText"/>
              <w:keepNext/>
              <w:spacing w:before="40" w:after="40" w:line="240" w:lineRule="auto"/>
              <w:rPr>
                <w:sz w:val="17"/>
                <w:szCs w:val="17"/>
              </w:rPr>
            </w:pPr>
            <w:r w:rsidRPr="006C7061">
              <w:rPr>
                <w:sz w:val="17"/>
                <w:szCs w:val="17"/>
              </w:rPr>
              <w:t>Price</w:t>
            </w:r>
            <w:r w:rsidR="008A298A" w:rsidRPr="006C7061">
              <w:rPr>
                <w:sz w:val="17"/>
                <w:szCs w:val="17"/>
              </w:rPr>
              <w:t xml:space="preserve"> (ex GST) </w:t>
            </w:r>
          </w:p>
        </w:tc>
        <w:tc>
          <w:tcPr>
            <w:tcW w:w="3118" w:type="dxa"/>
            <w:vAlign w:val="center"/>
          </w:tcPr>
          <w:p w14:paraId="58CB7F90" w14:textId="35723861" w:rsidR="00572016" w:rsidRPr="006C7061" w:rsidRDefault="00572016" w:rsidP="006C7061">
            <w:pPr>
              <w:pStyle w:val="BodyText"/>
              <w:keepNext/>
              <w:spacing w:before="40" w:after="40" w:line="240" w:lineRule="auto"/>
              <w:jc w:val="center"/>
              <w:rPr>
                <w:sz w:val="17"/>
                <w:szCs w:val="17"/>
              </w:rPr>
            </w:pPr>
            <w:r w:rsidRPr="006C7061">
              <w:rPr>
                <w:sz w:val="17"/>
                <w:szCs w:val="17"/>
              </w:rPr>
              <w:sym w:font="Wingdings" w:char="F0FC"/>
            </w:r>
          </w:p>
        </w:tc>
        <w:tc>
          <w:tcPr>
            <w:tcW w:w="2127" w:type="dxa"/>
            <w:vAlign w:val="center"/>
          </w:tcPr>
          <w:p w14:paraId="11E9925A" w14:textId="0791B519" w:rsidR="00572016" w:rsidRPr="006C7061" w:rsidRDefault="00572016" w:rsidP="006C7061">
            <w:pPr>
              <w:pStyle w:val="BodyText"/>
              <w:keepNext/>
              <w:spacing w:before="40" w:after="40" w:line="240" w:lineRule="auto"/>
              <w:jc w:val="center"/>
              <w:rPr>
                <w:sz w:val="17"/>
                <w:szCs w:val="17"/>
              </w:rPr>
            </w:pPr>
            <w:r w:rsidRPr="006C7061">
              <w:rPr>
                <w:sz w:val="17"/>
                <w:szCs w:val="17"/>
              </w:rPr>
              <w:sym w:font="Wingdings" w:char="F0FC"/>
            </w:r>
            <w:r w:rsidR="008A298A" w:rsidRPr="006C7061">
              <w:rPr>
                <w:sz w:val="17"/>
                <w:szCs w:val="17"/>
              </w:rPr>
              <w:br/>
            </w:r>
            <w:r w:rsidR="00EF7C02" w:rsidRPr="006C7061">
              <w:rPr>
                <w:sz w:val="17"/>
                <w:szCs w:val="17"/>
              </w:rPr>
              <w:t>I</w:t>
            </w:r>
            <w:r w:rsidR="008A298A" w:rsidRPr="006C7061">
              <w:rPr>
                <w:sz w:val="17"/>
                <w:szCs w:val="17"/>
              </w:rPr>
              <w:t>ncluding details of price structure</w:t>
            </w:r>
            <w:r w:rsidR="00EF7C02" w:rsidRPr="006C7061">
              <w:rPr>
                <w:sz w:val="17"/>
                <w:szCs w:val="17"/>
              </w:rPr>
              <w:t xml:space="preserve"> and </w:t>
            </w:r>
            <w:r w:rsidR="008A298A" w:rsidRPr="006C7061">
              <w:rPr>
                <w:sz w:val="17"/>
                <w:szCs w:val="17"/>
              </w:rPr>
              <w:t>price escalation mechanism</w:t>
            </w:r>
            <w:r w:rsidR="002948EB" w:rsidRPr="006C7061">
              <w:rPr>
                <w:sz w:val="17"/>
                <w:szCs w:val="17"/>
              </w:rPr>
              <w:t>**</w:t>
            </w:r>
            <w:r w:rsidR="008A298A" w:rsidRPr="006C7061">
              <w:rPr>
                <w:sz w:val="17"/>
                <w:szCs w:val="17"/>
              </w:rPr>
              <w:t xml:space="preserve"> </w:t>
            </w:r>
          </w:p>
        </w:tc>
      </w:tr>
      <w:tr w:rsidR="00572016" w:rsidRPr="006C7061" w14:paraId="2E6B68E6" w14:textId="77777777" w:rsidTr="006C7061">
        <w:trPr>
          <w:cnfStyle w:val="000000010000" w:firstRow="0" w:lastRow="0" w:firstColumn="0" w:lastColumn="0" w:oddVBand="0" w:evenVBand="0" w:oddHBand="0" w:evenHBand="1" w:firstRowFirstColumn="0" w:firstRowLastColumn="0" w:lastRowFirstColumn="0" w:lastRowLastColumn="0"/>
        </w:trPr>
        <w:tc>
          <w:tcPr>
            <w:tcW w:w="3686" w:type="dxa"/>
            <w:vAlign w:val="center"/>
          </w:tcPr>
          <w:p w14:paraId="04DD8F46" w14:textId="1AFDC3DE" w:rsidR="00572016" w:rsidRPr="006C7061" w:rsidRDefault="00572016" w:rsidP="006C7061">
            <w:pPr>
              <w:pStyle w:val="BodyText"/>
              <w:spacing w:before="40" w:after="40" w:line="240" w:lineRule="auto"/>
              <w:rPr>
                <w:sz w:val="17"/>
                <w:szCs w:val="17"/>
              </w:rPr>
            </w:pPr>
            <w:r w:rsidRPr="006C7061">
              <w:rPr>
                <w:sz w:val="17"/>
                <w:szCs w:val="17"/>
              </w:rPr>
              <w:t>MDQ and MHQ</w:t>
            </w:r>
          </w:p>
        </w:tc>
        <w:tc>
          <w:tcPr>
            <w:tcW w:w="3118" w:type="dxa"/>
            <w:vAlign w:val="center"/>
          </w:tcPr>
          <w:p w14:paraId="42CE3105" w14:textId="79E9BCB9" w:rsidR="00572016" w:rsidRPr="006C7061" w:rsidRDefault="00572016" w:rsidP="006C7061">
            <w:pPr>
              <w:pStyle w:val="BodyText"/>
              <w:spacing w:before="40" w:after="40" w:line="240" w:lineRule="auto"/>
              <w:jc w:val="center"/>
              <w:rPr>
                <w:sz w:val="17"/>
                <w:szCs w:val="17"/>
              </w:rPr>
            </w:pPr>
            <w:r w:rsidRPr="006C7061">
              <w:rPr>
                <w:sz w:val="17"/>
                <w:szCs w:val="17"/>
              </w:rPr>
              <w:sym w:font="Wingdings" w:char="F0FC"/>
            </w:r>
          </w:p>
        </w:tc>
        <w:tc>
          <w:tcPr>
            <w:tcW w:w="2127" w:type="dxa"/>
            <w:vAlign w:val="center"/>
          </w:tcPr>
          <w:p w14:paraId="7B3B5651" w14:textId="2C308E5B" w:rsidR="00572016" w:rsidRPr="006C7061" w:rsidRDefault="00572016" w:rsidP="006C7061">
            <w:pPr>
              <w:pStyle w:val="BodyText"/>
              <w:spacing w:before="40" w:after="40" w:line="240" w:lineRule="auto"/>
              <w:jc w:val="center"/>
              <w:rPr>
                <w:sz w:val="17"/>
                <w:szCs w:val="17"/>
              </w:rPr>
            </w:pPr>
            <w:r w:rsidRPr="006C7061">
              <w:rPr>
                <w:sz w:val="17"/>
                <w:szCs w:val="17"/>
              </w:rPr>
              <w:sym w:font="Wingdings" w:char="F0FC"/>
            </w:r>
          </w:p>
        </w:tc>
      </w:tr>
      <w:tr w:rsidR="007856BC" w:rsidRPr="006C7061" w14:paraId="59D864EE" w14:textId="77777777" w:rsidTr="006C7061">
        <w:tc>
          <w:tcPr>
            <w:tcW w:w="3686" w:type="dxa"/>
            <w:vAlign w:val="center"/>
          </w:tcPr>
          <w:p w14:paraId="69A4029D" w14:textId="7F613445" w:rsidR="007856BC" w:rsidRPr="006C7061" w:rsidRDefault="00EF7C02" w:rsidP="006C7061">
            <w:pPr>
              <w:pStyle w:val="BodyText"/>
              <w:spacing w:before="40" w:after="40" w:line="240" w:lineRule="auto"/>
              <w:rPr>
                <w:sz w:val="17"/>
                <w:szCs w:val="17"/>
              </w:rPr>
            </w:pPr>
            <w:r w:rsidRPr="006C7061">
              <w:rPr>
                <w:sz w:val="17"/>
                <w:szCs w:val="17"/>
              </w:rPr>
              <w:t>Type</w:t>
            </w:r>
            <w:r w:rsidR="00572016" w:rsidRPr="006C7061">
              <w:rPr>
                <w:sz w:val="17"/>
                <w:szCs w:val="17"/>
              </w:rPr>
              <w:t xml:space="preserve"> of trade</w:t>
            </w:r>
            <w:r w:rsidR="00E93310" w:rsidRPr="006C7061">
              <w:rPr>
                <w:sz w:val="17"/>
                <w:szCs w:val="17"/>
              </w:rPr>
              <w:t xml:space="preserve"> and how it is given effect</w:t>
            </w:r>
          </w:p>
        </w:tc>
        <w:tc>
          <w:tcPr>
            <w:tcW w:w="3118" w:type="dxa"/>
            <w:vAlign w:val="center"/>
          </w:tcPr>
          <w:p w14:paraId="540530AD" w14:textId="05A6D82A" w:rsidR="007856BC" w:rsidRPr="006C7061" w:rsidRDefault="00C23EF6" w:rsidP="006C7061">
            <w:pPr>
              <w:pStyle w:val="BodyText"/>
              <w:spacing w:before="40" w:after="40" w:line="240" w:lineRule="auto"/>
              <w:rPr>
                <w:sz w:val="17"/>
                <w:szCs w:val="17"/>
              </w:rPr>
            </w:pPr>
            <w:r w:rsidRPr="006C7061">
              <w:rPr>
                <w:sz w:val="17"/>
                <w:szCs w:val="17"/>
              </w:rPr>
              <w:t>Distinguish between s</w:t>
            </w:r>
            <w:r w:rsidR="00572016" w:rsidRPr="006C7061">
              <w:rPr>
                <w:sz w:val="17"/>
                <w:szCs w:val="17"/>
              </w:rPr>
              <w:t xml:space="preserve">creen </w:t>
            </w:r>
            <w:r w:rsidR="00EF7C02" w:rsidRPr="006C7061">
              <w:rPr>
                <w:sz w:val="17"/>
                <w:szCs w:val="17"/>
              </w:rPr>
              <w:t xml:space="preserve">and </w:t>
            </w:r>
            <w:r w:rsidR="00572016" w:rsidRPr="006C7061">
              <w:rPr>
                <w:sz w:val="17"/>
                <w:szCs w:val="17"/>
              </w:rPr>
              <w:t>pre-matched trade</w:t>
            </w:r>
            <w:r w:rsidR="00EF7C02" w:rsidRPr="006C7061">
              <w:rPr>
                <w:sz w:val="17"/>
                <w:szCs w:val="17"/>
              </w:rPr>
              <w:t xml:space="preserve">s </w:t>
            </w:r>
            <w:r w:rsidR="00E93310" w:rsidRPr="006C7061">
              <w:rPr>
                <w:sz w:val="17"/>
                <w:szCs w:val="17"/>
              </w:rPr>
              <w:t>and p</w:t>
            </w:r>
            <w:r w:rsidR="00EF7C02" w:rsidRPr="006C7061">
              <w:rPr>
                <w:sz w:val="17"/>
                <w:szCs w:val="17"/>
              </w:rPr>
              <w:t xml:space="preserve">otentially between trades </w:t>
            </w:r>
            <w:r w:rsidR="002948EB" w:rsidRPr="006C7061">
              <w:rPr>
                <w:sz w:val="17"/>
                <w:szCs w:val="17"/>
              </w:rPr>
              <w:t xml:space="preserve">where the buyer </w:t>
            </w:r>
            <w:r w:rsidR="006C7061">
              <w:rPr>
                <w:sz w:val="17"/>
                <w:szCs w:val="17"/>
              </w:rPr>
              <w:t xml:space="preserve">uses </w:t>
            </w:r>
            <w:r w:rsidR="002948EB" w:rsidRPr="006C7061">
              <w:rPr>
                <w:sz w:val="17"/>
                <w:szCs w:val="17"/>
              </w:rPr>
              <w:t xml:space="preserve">an </w:t>
            </w:r>
            <w:r w:rsidR="00EF7C02" w:rsidRPr="006C7061">
              <w:rPr>
                <w:sz w:val="17"/>
                <w:szCs w:val="17"/>
              </w:rPr>
              <w:t>operational or primary GTA</w:t>
            </w:r>
            <w:r w:rsidR="002948EB" w:rsidRPr="006C7061">
              <w:rPr>
                <w:rStyle w:val="FootnoteReference"/>
                <w:sz w:val="17"/>
                <w:szCs w:val="17"/>
              </w:rPr>
              <w:footnoteReference w:id="101"/>
            </w:r>
            <w:r w:rsidR="00EF7C02" w:rsidRPr="006C7061">
              <w:rPr>
                <w:sz w:val="17"/>
                <w:szCs w:val="17"/>
              </w:rPr>
              <w:t xml:space="preserve"> </w:t>
            </w:r>
          </w:p>
        </w:tc>
        <w:tc>
          <w:tcPr>
            <w:tcW w:w="2127" w:type="dxa"/>
            <w:vAlign w:val="center"/>
          </w:tcPr>
          <w:p w14:paraId="66294F69" w14:textId="7045B56A" w:rsidR="007856BC" w:rsidRPr="006C7061" w:rsidRDefault="00C23EF6" w:rsidP="006C7061">
            <w:pPr>
              <w:pStyle w:val="BodyText"/>
              <w:spacing w:before="40" w:after="40" w:line="240" w:lineRule="auto"/>
              <w:rPr>
                <w:sz w:val="17"/>
                <w:szCs w:val="17"/>
              </w:rPr>
            </w:pPr>
            <w:r w:rsidRPr="006C7061">
              <w:rPr>
                <w:sz w:val="17"/>
                <w:szCs w:val="17"/>
              </w:rPr>
              <w:t xml:space="preserve">Distinguish between </w:t>
            </w:r>
            <w:r w:rsidR="002948EB" w:rsidRPr="006C7061">
              <w:rPr>
                <w:sz w:val="17"/>
                <w:szCs w:val="17"/>
              </w:rPr>
              <w:t xml:space="preserve">trades where the buyer will utilise an </w:t>
            </w:r>
            <w:r w:rsidRPr="006C7061">
              <w:rPr>
                <w:sz w:val="17"/>
                <w:szCs w:val="17"/>
              </w:rPr>
              <w:t>o</w:t>
            </w:r>
            <w:r w:rsidR="00572016" w:rsidRPr="006C7061">
              <w:rPr>
                <w:sz w:val="17"/>
                <w:szCs w:val="17"/>
              </w:rPr>
              <w:t xml:space="preserve">perational </w:t>
            </w:r>
            <w:r w:rsidR="002948EB" w:rsidRPr="006C7061">
              <w:rPr>
                <w:sz w:val="17"/>
                <w:szCs w:val="17"/>
              </w:rPr>
              <w:t xml:space="preserve">GTA </w:t>
            </w:r>
            <w:r w:rsidR="00572016" w:rsidRPr="006C7061">
              <w:rPr>
                <w:sz w:val="17"/>
                <w:szCs w:val="17"/>
              </w:rPr>
              <w:t xml:space="preserve">or </w:t>
            </w:r>
            <w:r w:rsidR="002948EB" w:rsidRPr="006C7061">
              <w:rPr>
                <w:sz w:val="17"/>
                <w:szCs w:val="17"/>
              </w:rPr>
              <w:t xml:space="preserve">a </w:t>
            </w:r>
            <w:r w:rsidR="00572016" w:rsidRPr="006C7061">
              <w:rPr>
                <w:sz w:val="17"/>
                <w:szCs w:val="17"/>
              </w:rPr>
              <w:t>bare transfer</w:t>
            </w:r>
          </w:p>
        </w:tc>
      </w:tr>
      <w:tr w:rsidR="00EF7C02" w:rsidRPr="006C7061" w14:paraId="2CEB882B" w14:textId="77777777" w:rsidTr="006C7061">
        <w:trPr>
          <w:cnfStyle w:val="000000010000" w:firstRow="0" w:lastRow="0" w:firstColumn="0" w:lastColumn="0" w:oddVBand="0" w:evenVBand="0" w:oddHBand="0" w:evenHBand="1" w:firstRowFirstColumn="0" w:firstRowLastColumn="0" w:lastRowFirstColumn="0" w:lastRowLastColumn="0"/>
          <w:trHeight w:val="469"/>
        </w:trPr>
        <w:tc>
          <w:tcPr>
            <w:tcW w:w="3686" w:type="dxa"/>
            <w:tcBorders>
              <w:bottom w:val="single" w:sz="4" w:space="0" w:color="auto"/>
            </w:tcBorders>
            <w:vAlign w:val="center"/>
          </w:tcPr>
          <w:p w14:paraId="74938BEA" w14:textId="7706061F" w:rsidR="00EF7C02" w:rsidRPr="006C7061" w:rsidRDefault="00EF7C02" w:rsidP="006C7061">
            <w:pPr>
              <w:pStyle w:val="BodyText"/>
              <w:spacing w:before="40" w:after="40" w:line="240" w:lineRule="auto"/>
              <w:rPr>
                <w:sz w:val="17"/>
                <w:szCs w:val="17"/>
              </w:rPr>
            </w:pPr>
            <w:r w:rsidRPr="006C7061">
              <w:rPr>
                <w:sz w:val="17"/>
                <w:szCs w:val="17"/>
              </w:rPr>
              <w:t xml:space="preserve">Any additional flexibility </w:t>
            </w:r>
            <w:r w:rsidR="00E3255D" w:rsidRPr="006C7061">
              <w:rPr>
                <w:sz w:val="17"/>
                <w:szCs w:val="17"/>
              </w:rPr>
              <w:t xml:space="preserve">provided to </w:t>
            </w:r>
            <w:r w:rsidRPr="006C7061">
              <w:rPr>
                <w:sz w:val="17"/>
                <w:szCs w:val="17"/>
              </w:rPr>
              <w:t>the shipper, or restrictions it is subject to</w:t>
            </w:r>
          </w:p>
        </w:tc>
        <w:tc>
          <w:tcPr>
            <w:tcW w:w="3118" w:type="dxa"/>
            <w:tcBorders>
              <w:bottom w:val="single" w:sz="4" w:space="0" w:color="auto"/>
            </w:tcBorders>
            <w:vAlign w:val="center"/>
          </w:tcPr>
          <w:p w14:paraId="5B6B9514" w14:textId="20DBC20E" w:rsidR="00EF7C02" w:rsidRPr="006C7061" w:rsidRDefault="00EF7C02" w:rsidP="006C7061">
            <w:pPr>
              <w:pStyle w:val="BodyText"/>
              <w:spacing w:before="40" w:after="40" w:line="240" w:lineRule="auto"/>
              <w:jc w:val="center"/>
              <w:rPr>
                <w:sz w:val="17"/>
                <w:szCs w:val="17"/>
              </w:rPr>
            </w:pPr>
            <w:r w:rsidRPr="006C7061">
              <w:rPr>
                <w:sz w:val="17"/>
                <w:szCs w:val="17"/>
              </w:rPr>
              <w:sym w:font="Wingdings" w:char="F0FB"/>
            </w:r>
          </w:p>
        </w:tc>
        <w:tc>
          <w:tcPr>
            <w:tcW w:w="2127" w:type="dxa"/>
            <w:tcBorders>
              <w:bottom w:val="single" w:sz="4" w:space="0" w:color="auto"/>
            </w:tcBorders>
            <w:vAlign w:val="center"/>
          </w:tcPr>
          <w:p w14:paraId="494310E2" w14:textId="7214CDFF" w:rsidR="00EF7C02" w:rsidRPr="006C7061" w:rsidRDefault="00EF7C02" w:rsidP="006C7061">
            <w:pPr>
              <w:pStyle w:val="BodyText"/>
              <w:spacing w:before="40" w:after="40" w:line="240" w:lineRule="auto"/>
              <w:jc w:val="center"/>
              <w:rPr>
                <w:sz w:val="17"/>
                <w:szCs w:val="17"/>
              </w:rPr>
            </w:pPr>
            <w:r w:rsidRPr="006C7061">
              <w:rPr>
                <w:sz w:val="17"/>
                <w:szCs w:val="17"/>
              </w:rPr>
              <w:sym w:font="Wingdings" w:char="F0FB"/>
            </w:r>
          </w:p>
        </w:tc>
      </w:tr>
      <w:tr w:rsidR="00EF7C02" w14:paraId="7CB6DE9D" w14:textId="77777777" w:rsidTr="006C7061">
        <w:trPr>
          <w:trHeight w:val="468"/>
        </w:trPr>
        <w:tc>
          <w:tcPr>
            <w:tcW w:w="3686" w:type="dxa"/>
            <w:shd w:val="clear" w:color="auto" w:fill="FFFFFF" w:themeFill="background1"/>
            <w:vAlign w:val="center"/>
          </w:tcPr>
          <w:p w14:paraId="794FC874" w14:textId="1E656661" w:rsidR="00EF7C02" w:rsidRDefault="00EF7C02" w:rsidP="00EF7C02">
            <w:pPr>
              <w:pStyle w:val="BodyText"/>
              <w:spacing w:before="40" w:after="40"/>
            </w:pPr>
            <w:r>
              <w:t>V</w:t>
            </w:r>
            <w:r w:rsidRPr="009E57F5">
              <w:t xml:space="preserve">ariations from standardised operational, </w:t>
            </w:r>
            <w:r>
              <w:t xml:space="preserve">prudential and other </w:t>
            </w:r>
            <w:r w:rsidRPr="009E57F5">
              <w:t>terms that affect price</w:t>
            </w:r>
          </w:p>
        </w:tc>
        <w:tc>
          <w:tcPr>
            <w:tcW w:w="3118" w:type="dxa"/>
            <w:shd w:val="clear" w:color="auto" w:fill="FFFFFF" w:themeFill="background1"/>
            <w:vAlign w:val="center"/>
          </w:tcPr>
          <w:p w14:paraId="04CA05B4" w14:textId="409A88EF" w:rsidR="00EF7C02" w:rsidRDefault="00EF7C02" w:rsidP="00EF7C02">
            <w:pPr>
              <w:pStyle w:val="BodyText"/>
              <w:spacing w:before="40" w:after="40"/>
              <w:jc w:val="center"/>
            </w:pPr>
            <w:r>
              <w:sym w:font="Wingdings" w:char="F0FB"/>
            </w:r>
          </w:p>
        </w:tc>
        <w:tc>
          <w:tcPr>
            <w:tcW w:w="2127" w:type="dxa"/>
            <w:shd w:val="clear" w:color="auto" w:fill="FFFFFF" w:themeFill="background1"/>
            <w:vAlign w:val="center"/>
          </w:tcPr>
          <w:p w14:paraId="55496BBC" w14:textId="03841703" w:rsidR="00EF7C02" w:rsidRDefault="00EF7C02" w:rsidP="00EF7C02">
            <w:pPr>
              <w:pStyle w:val="BodyText"/>
              <w:spacing w:before="40" w:after="40"/>
              <w:jc w:val="center"/>
            </w:pPr>
            <w:r>
              <w:sym w:font="Wingdings" w:char="F0FB"/>
            </w:r>
          </w:p>
        </w:tc>
      </w:tr>
    </w:tbl>
    <w:p w14:paraId="63EF18CA" w14:textId="705F6F8F" w:rsidR="00F45408" w:rsidRPr="00F45408" w:rsidRDefault="00F45408" w:rsidP="006C7061">
      <w:pPr>
        <w:pStyle w:val="BodyText"/>
        <w:spacing w:before="0" w:after="40" w:line="240" w:lineRule="auto"/>
        <w:rPr>
          <w:sz w:val="16"/>
          <w:szCs w:val="16"/>
        </w:rPr>
      </w:pPr>
      <w:r w:rsidRPr="00F45408">
        <w:rPr>
          <w:sz w:val="16"/>
          <w:szCs w:val="16"/>
        </w:rPr>
        <w:t xml:space="preserve">* It was noted that information </w:t>
      </w:r>
      <w:r w:rsidR="002948EB">
        <w:rPr>
          <w:sz w:val="16"/>
          <w:szCs w:val="16"/>
        </w:rPr>
        <w:t xml:space="preserve">on whether the buyer is utilising an operational or a primary GTA </w:t>
      </w:r>
      <w:r w:rsidRPr="00F45408">
        <w:rPr>
          <w:sz w:val="16"/>
          <w:szCs w:val="16"/>
        </w:rPr>
        <w:t xml:space="preserve">may be difficult to collect unless it is a standing entry for trading participants on the </w:t>
      </w:r>
      <w:r w:rsidR="00840ACB">
        <w:rPr>
          <w:sz w:val="16"/>
          <w:szCs w:val="16"/>
        </w:rPr>
        <w:t>capacity trading platform</w:t>
      </w:r>
      <w:r w:rsidRPr="00F45408">
        <w:rPr>
          <w:sz w:val="16"/>
          <w:szCs w:val="16"/>
        </w:rPr>
        <w:t xml:space="preserve">, which is an option that is being considered in the design of the capacity trading platform. </w:t>
      </w:r>
      <w:r w:rsidR="002948EB">
        <w:rPr>
          <w:sz w:val="16"/>
          <w:szCs w:val="16"/>
        </w:rPr>
        <w:br/>
        <w:t>** Note that the provision of this type of information could be more complex than the other information types and may need to be split into multiple reporting lines.</w:t>
      </w:r>
    </w:p>
    <w:p w14:paraId="58FE5ECB" w14:textId="041A38C5" w:rsidR="00F45408" w:rsidRDefault="00487007" w:rsidP="00F45408">
      <w:pPr>
        <w:pStyle w:val="BodyText"/>
      </w:pPr>
      <w:r>
        <w:t xml:space="preserve">As this table highlights, the project team thought there would be value in reporting the majority of the information identified by the AEMC. The only exception to this was the final </w:t>
      </w:r>
      <w:r w:rsidR="00EF7C02">
        <w:t>two categories</w:t>
      </w:r>
      <w:r>
        <w:t xml:space="preserve"> of information </w:t>
      </w:r>
      <w:r w:rsidR="00E93310">
        <w:t xml:space="preserve">that </w:t>
      </w:r>
      <w:r>
        <w:t>the AEMC identified, which project team members thought would be difficult to report</w:t>
      </w:r>
      <w:r w:rsidR="006C7061">
        <w:t xml:space="preserve"> on a consistent and meaningful basis</w:t>
      </w:r>
      <w:r>
        <w:t xml:space="preserve">. </w:t>
      </w:r>
      <w:r w:rsidR="00F45408">
        <w:t>Some project team members also questioned the value of reporting this type of information</w:t>
      </w:r>
      <w:r w:rsidR="006C7061">
        <w:t xml:space="preserve">, </w:t>
      </w:r>
      <w:r w:rsidR="00F45408">
        <w:t>suggested that, at least in the initial stages, greater emphasis should be placed on reporting all the other information and that if it became clear that more needed to be reported this could be revisited.</w:t>
      </w:r>
    </w:p>
    <w:p w14:paraId="675A99FD" w14:textId="4D43D234" w:rsidR="00487007" w:rsidRDefault="00F45408" w:rsidP="00CB3BA4">
      <w:pPr>
        <w:pStyle w:val="BodyText"/>
      </w:pPr>
      <w:r>
        <w:t xml:space="preserve">While the project team had some concerns about reporting this type of information, it was </w:t>
      </w:r>
      <w:r w:rsidR="00487007">
        <w:t xml:space="preserve">noted that </w:t>
      </w:r>
      <w:r w:rsidR="00EF7C02">
        <w:t xml:space="preserve">information on the type of trade </w:t>
      </w:r>
      <w:r w:rsidR="00E93310">
        <w:t xml:space="preserve">and how it has been given effect </w:t>
      </w:r>
      <w:r w:rsidR="00487007">
        <w:t xml:space="preserve">could provide market participants with some indication of whether or not there </w:t>
      </w:r>
      <w:r w:rsidR="00E93310">
        <w:t xml:space="preserve">may be </w:t>
      </w:r>
      <w:r w:rsidR="00487007">
        <w:t xml:space="preserve">other bespoke </w:t>
      </w:r>
      <w:r w:rsidR="00E93310">
        <w:t xml:space="preserve">contract </w:t>
      </w:r>
      <w:r w:rsidR="00487007">
        <w:t xml:space="preserve">terms that may have affected the price </w:t>
      </w:r>
      <w:r w:rsidR="00E93310">
        <w:t xml:space="preserve">struck </w:t>
      </w:r>
      <w:r w:rsidR="00487007">
        <w:t>in that trade.</w:t>
      </w:r>
      <w:r w:rsidR="00EF7C02">
        <w:t xml:space="preserve"> </w:t>
      </w:r>
      <w:r>
        <w:t xml:space="preserve">For example, </w:t>
      </w:r>
      <w:r w:rsidR="00E93310">
        <w:t xml:space="preserve">if </w:t>
      </w:r>
      <w:r>
        <w:t xml:space="preserve">a </w:t>
      </w:r>
      <w:r w:rsidR="00E93310">
        <w:t xml:space="preserve">bilateral trade </w:t>
      </w:r>
      <w:r>
        <w:t>is identified as involving</w:t>
      </w:r>
      <w:r w:rsidR="00E93310">
        <w:t xml:space="preserve"> a bare transfer</w:t>
      </w:r>
      <w:r w:rsidR="001E4B7A">
        <w:t xml:space="preserve"> and the price is higher than equivalent exchange trades</w:t>
      </w:r>
      <w:r w:rsidR="00E93310">
        <w:t xml:space="preserve">, this could be an indicator the </w:t>
      </w:r>
      <w:r w:rsidR="00CA5ADA">
        <w:t xml:space="preserve">buyer </w:t>
      </w:r>
      <w:r w:rsidR="00E93310">
        <w:t xml:space="preserve">has greater flexibility </w:t>
      </w:r>
      <w:r w:rsidR="00CA5ADA">
        <w:t>and</w:t>
      </w:r>
      <w:r w:rsidR="001E4B7A">
        <w:t>/or</w:t>
      </w:r>
      <w:r w:rsidR="00CA5ADA">
        <w:t xml:space="preserve"> the operational, prudential and other terms </w:t>
      </w:r>
      <w:r w:rsidR="001E4B7A">
        <w:t xml:space="preserve">are more favourable than </w:t>
      </w:r>
      <w:r w:rsidR="00CA5ADA">
        <w:t>those in the standardised operational GTA</w:t>
      </w:r>
      <w:r w:rsidR="00E93310">
        <w:t>.</w:t>
      </w:r>
    </w:p>
    <w:p w14:paraId="5E1C4109" w14:textId="6B5CFBA4" w:rsidR="007856BC" w:rsidRPr="008A496D" w:rsidRDefault="009A410C" w:rsidP="00CB3BA4">
      <w:pPr>
        <w:pStyle w:val="BodyText"/>
      </w:pPr>
      <w:r>
        <w:t xml:space="preserve">As to </w:t>
      </w:r>
      <w:r w:rsidR="00591AFC">
        <w:t xml:space="preserve">whether any additional measures are required to protect anonymity, </w:t>
      </w:r>
      <w:r w:rsidR="00CA5ADA">
        <w:t xml:space="preserve">the project team </w:t>
      </w:r>
      <w:r w:rsidR="00591AFC">
        <w:t xml:space="preserve">noted that </w:t>
      </w:r>
      <w:r w:rsidR="001E4B7A">
        <w:t xml:space="preserve">while reporting trades on a zonal basis rather than a point-to-point basis would provide some protection, </w:t>
      </w:r>
      <w:r w:rsidR="00BE4D52">
        <w:t xml:space="preserve">it </w:t>
      </w:r>
      <w:r w:rsidR="00CA5ADA">
        <w:t xml:space="preserve">would </w:t>
      </w:r>
      <w:r w:rsidR="00BE4D52">
        <w:t>be difficult to completely protect the anonymity of parties</w:t>
      </w:r>
      <w:r w:rsidR="00CA5ADA">
        <w:t xml:space="preserve"> (</w:t>
      </w:r>
      <w:r w:rsidR="00BE4D52">
        <w:t xml:space="preserve">particularly </w:t>
      </w:r>
      <w:r w:rsidR="00CA5ADA">
        <w:t xml:space="preserve">if </w:t>
      </w:r>
      <w:r w:rsidR="00BE4D52">
        <w:t>there are only two shippers using a pipeline</w:t>
      </w:r>
      <w:r w:rsidR="00CA5ADA">
        <w:t xml:space="preserve"> </w:t>
      </w:r>
      <w:r w:rsidR="00BE4D52">
        <w:t xml:space="preserve">or </w:t>
      </w:r>
      <w:r w:rsidR="00CA5ADA">
        <w:t>zone)</w:t>
      </w:r>
      <w:r w:rsidR="001E4B7A">
        <w:t xml:space="preserve">. The project team did, however, </w:t>
      </w:r>
      <w:r w:rsidR="00CA5ADA">
        <w:t xml:space="preserve">acknowledge that the AEMC did not recommend that anonymity </w:t>
      </w:r>
      <w:r w:rsidR="001432E0">
        <w:t xml:space="preserve">should </w:t>
      </w:r>
      <w:r w:rsidR="00CA5ADA">
        <w:t>be protected at all cost</w:t>
      </w:r>
      <w:r>
        <w:t>s</w:t>
      </w:r>
      <w:r w:rsidR="00BE4D52">
        <w:t xml:space="preserve">. </w:t>
      </w:r>
      <w:r w:rsidR="00CA5ADA">
        <w:t xml:space="preserve">Rather, </w:t>
      </w:r>
      <w:r w:rsidR="0043720A">
        <w:t xml:space="preserve">the AEMC </w:t>
      </w:r>
      <w:r w:rsidR="001E4B7A">
        <w:t xml:space="preserve">recognised </w:t>
      </w:r>
      <w:r w:rsidR="00CA5ADA">
        <w:t xml:space="preserve">that </w:t>
      </w:r>
      <w:r w:rsidR="001432E0">
        <w:t xml:space="preserve">there is a trade-off between the benefits of information provision and the potential concerns surrounding the revelation of commercial-in-confidence information that must be </w:t>
      </w:r>
      <w:r w:rsidR="00CA5ADA">
        <w:t>balance</w:t>
      </w:r>
      <w:r w:rsidR="001432E0">
        <w:t>d</w:t>
      </w:r>
      <w:r w:rsidR="00CA5ADA">
        <w:t xml:space="preserve">. </w:t>
      </w:r>
      <w:r w:rsidR="001E4B7A">
        <w:t xml:space="preserve">It was </w:t>
      </w:r>
      <w:r w:rsidR="0043720A">
        <w:t xml:space="preserve">against this backdrop </w:t>
      </w:r>
      <w:r w:rsidR="001E4B7A">
        <w:t xml:space="preserve">that the </w:t>
      </w:r>
      <w:r w:rsidR="001E4B7A" w:rsidRPr="008A496D">
        <w:t>project team concluded no additional confidentiality measures were required</w:t>
      </w:r>
      <w:r w:rsidR="00BE4D52" w:rsidRPr="008A496D">
        <w:t xml:space="preserve">. </w:t>
      </w:r>
    </w:p>
    <w:p w14:paraId="6DE0CB84" w14:textId="77777777" w:rsidR="003D3EC8" w:rsidRDefault="009A410C" w:rsidP="008A496D">
      <w:pPr>
        <w:pStyle w:val="BodyText"/>
      </w:pPr>
      <w:r w:rsidRPr="008A496D">
        <w:t xml:space="preserve">The position that the project team reached on </w:t>
      </w:r>
      <w:r w:rsidR="00C6416E">
        <w:t xml:space="preserve">preserving anonymity </w:t>
      </w:r>
      <w:r w:rsidR="00E25777" w:rsidRPr="008A496D">
        <w:t xml:space="preserve">is </w:t>
      </w:r>
      <w:r w:rsidRPr="008A496D">
        <w:t xml:space="preserve">consistent with the GMRG’s </w:t>
      </w:r>
      <w:r w:rsidR="00E25777" w:rsidRPr="008A496D">
        <w:t xml:space="preserve">own view and the view expressed by the majority of stakeholders that provided feedback in the </w:t>
      </w:r>
      <w:r w:rsidR="00E25777" w:rsidRPr="008A496D">
        <w:rPr>
          <w:i/>
        </w:rPr>
        <w:t>East Coast Review.</w:t>
      </w:r>
      <w:r w:rsidR="00E25777" w:rsidRPr="008A496D">
        <w:rPr>
          <w:rStyle w:val="FootnoteReference"/>
          <w:i/>
        </w:rPr>
        <w:footnoteReference w:id="102"/>
      </w:r>
      <w:r w:rsidR="00E25777" w:rsidRPr="008A496D">
        <w:t xml:space="preserve"> The GMRG also agrees with the position the project team reached on the type of information that should be reported for exchange traded products and bilateral trades of capacity and believes </w:t>
      </w:r>
      <w:r w:rsidR="001432E0" w:rsidRPr="008A496D">
        <w:t>that it strikes the right balance</w:t>
      </w:r>
      <w:r w:rsidR="008A496D" w:rsidRPr="008A496D">
        <w:t xml:space="preserve"> between</w:t>
      </w:r>
      <w:r w:rsidR="003D3EC8">
        <w:t>:</w:t>
      </w:r>
      <w:r w:rsidR="008A496D" w:rsidRPr="008A496D">
        <w:t xml:space="preserve"> </w:t>
      </w:r>
    </w:p>
    <w:p w14:paraId="7511B416" w14:textId="597BAF18" w:rsidR="003D3EC8" w:rsidRDefault="008A496D" w:rsidP="003D3EC8">
      <w:pPr>
        <w:pStyle w:val="ListBullet"/>
      </w:pPr>
      <w:r w:rsidRPr="008A496D">
        <w:t xml:space="preserve">reducing the </w:t>
      </w:r>
      <w:r w:rsidR="00A71756" w:rsidRPr="008A496D">
        <w:t xml:space="preserve">information asymmetries </w:t>
      </w:r>
      <w:r w:rsidR="001432E0" w:rsidRPr="008A496D">
        <w:t>currently surround</w:t>
      </w:r>
      <w:r w:rsidR="003D3EC8">
        <w:t xml:space="preserve">ing </w:t>
      </w:r>
      <w:r w:rsidR="00A71756" w:rsidRPr="008A496D">
        <w:t>secondary capacity trades</w:t>
      </w:r>
      <w:r w:rsidR="003D3EC8">
        <w:t>;</w:t>
      </w:r>
      <w:r w:rsidR="00A71756" w:rsidRPr="008A496D">
        <w:t xml:space="preserve"> </w:t>
      </w:r>
      <w:r w:rsidR="001432E0" w:rsidRPr="008A496D">
        <w:t xml:space="preserve">and </w:t>
      </w:r>
    </w:p>
    <w:p w14:paraId="6983F7DE" w14:textId="77777777" w:rsidR="003D3EC8" w:rsidRDefault="008A496D" w:rsidP="003D3EC8">
      <w:pPr>
        <w:pStyle w:val="ListBullet"/>
      </w:pPr>
      <w:proofErr w:type="gramStart"/>
      <w:r w:rsidRPr="008A496D">
        <w:t>the</w:t>
      </w:r>
      <w:proofErr w:type="gramEnd"/>
      <w:r w:rsidRPr="008A496D">
        <w:t xml:space="preserve"> direct and indirect costs associated with information provision</w:t>
      </w:r>
      <w:r w:rsidR="003D3EC8">
        <w:t>.</w:t>
      </w:r>
    </w:p>
    <w:p w14:paraId="4117DA1D" w14:textId="05615312" w:rsidR="003D3EC8" w:rsidRDefault="003D3EC8" w:rsidP="003D3EC8">
      <w:pPr>
        <w:pStyle w:val="ListBullet"/>
        <w:numPr>
          <w:ilvl w:val="0"/>
          <w:numId w:val="0"/>
        </w:numPr>
      </w:pPr>
      <w:r>
        <w:t>In this regard, it is worth noting that if shippers were required to report more granular information on the flexibility or restrictions in trades and variations between standard and bespoke terms, then this would be the most expensive part of the reporting arrangements</w:t>
      </w:r>
      <w:r w:rsidR="008A496D" w:rsidRPr="008A496D">
        <w:t xml:space="preserve">. </w:t>
      </w:r>
      <w:r>
        <w:t>The benefits of reporting this information would therefore need to be clearly established.</w:t>
      </w:r>
    </w:p>
    <w:p w14:paraId="68602DF6" w14:textId="6712410C" w:rsidR="00A71756" w:rsidRDefault="004F46D1" w:rsidP="008A496D">
      <w:pPr>
        <w:pStyle w:val="BodyText"/>
      </w:pPr>
      <w:r w:rsidRPr="008A496D">
        <w:t>The GMRG</w:t>
      </w:r>
      <w:r w:rsidR="003D3EC8">
        <w:t xml:space="preserve">’s position on these issues is preliminary only at this stage. It is therefore </w:t>
      </w:r>
      <w:r w:rsidRPr="008A496D">
        <w:t>interested in hearing other stakeholders’ views on this issue and on the questions set out in the box below.</w:t>
      </w:r>
      <w:r>
        <w:t xml:space="preserve"> </w:t>
      </w:r>
    </w:p>
    <w:tbl>
      <w:tblPr>
        <w:tblStyle w:val="PullOutBoxTable"/>
        <w:tblW w:w="5000" w:type="pct"/>
        <w:shd w:val="clear" w:color="auto" w:fill="B7E7FF"/>
        <w:tblLook w:val="0620" w:firstRow="1" w:lastRow="0" w:firstColumn="0" w:lastColumn="0" w:noHBand="1" w:noVBand="1"/>
        <w:tblCaption w:val="Box 8.2: Questions on the information to be reported"/>
        <w:tblDescription w:val="Questions on the information to be reported"/>
      </w:tblPr>
      <w:tblGrid>
        <w:gridCol w:w="8788"/>
      </w:tblGrid>
      <w:tr w:rsidR="009E57F5" w:rsidRPr="001E4B7A" w14:paraId="2C170B68" w14:textId="77777777" w:rsidTr="003974E4">
        <w:trPr>
          <w:tblHeader/>
        </w:trPr>
        <w:tc>
          <w:tcPr>
            <w:tcW w:w="5000" w:type="pct"/>
            <w:shd w:val="clear" w:color="auto" w:fill="auto"/>
          </w:tcPr>
          <w:p w14:paraId="23DE8EBF" w14:textId="3914A426" w:rsidR="001E4B7A" w:rsidRPr="001E4B7A" w:rsidRDefault="00A949C5" w:rsidP="00A949C5">
            <w:pPr>
              <w:pStyle w:val="ListNumber"/>
              <w:keepNext/>
              <w:numPr>
                <w:ilvl w:val="0"/>
                <w:numId w:val="0"/>
              </w:numPr>
              <w:spacing w:before="0" w:after="0"/>
              <w:rPr>
                <w:rFonts w:eastAsiaTheme="majorEastAsia"/>
                <w:sz w:val="21"/>
                <w:szCs w:val="21"/>
              </w:rPr>
            </w:pPr>
            <w:r>
              <w:rPr>
                <w:b/>
              </w:rPr>
              <w:t xml:space="preserve">Box </w:t>
            </w:r>
            <w:r>
              <w:rPr>
                <w:b/>
              </w:rPr>
              <w:fldChar w:fldCharType="begin"/>
            </w:r>
            <w:r>
              <w:rPr>
                <w:b/>
              </w:rPr>
              <w:instrText xml:space="preserve"> STYLEREF 1 \s </w:instrText>
            </w:r>
            <w:r>
              <w:rPr>
                <w:b/>
              </w:rPr>
              <w:fldChar w:fldCharType="separate"/>
            </w:r>
            <w:r>
              <w:rPr>
                <w:b/>
                <w:noProof/>
              </w:rPr>
              <w:t>8</w:t>
            </w:r>
            <w:r>
              <w:rPr>
                <w:b/>
              </w:rPr>
              <w:fldChar w:fldCharType="end"/>
            </w:r>
            <w:r>
              <w:rPr>
                <w:b/>
              </w:rPr>
              <w:t>.</w:t>
            </w:r>
            <w:r>
              <w:rPr>
                <w:b/>
              </w:rPr>
              <w:fldChar w:fldCharType="begin"/>
            </w:r>
            <w:r>
              <w:rPr>
                <w:b/>
              </w:rPr>
              <w:instrText xml:space="preserve"> SEQ Box \* ARABIC \s 1 </w:instrText>
            </w:r>
            <w:r>
              <w:rPr>
                <w:b/>
              </w:rPr>
              <w:fldChar w:fldCharType="separate"/>
            </w:r>
            <w:r>
              <w:rPr>
                <w:b/>
                <w:noProof/>
              </w:rPr>
              <w:t>2</w:t>
            </w:r>
            <w:r>
              <w:rPr>
                <w:b/>
              </w:rPr>
              <w:fldChar w:fldCharType="end"/>
            </w:r>
            <w:r>
              <w:rPr>
                <w:b/>
              </w:rPr>
              <w:t>: Questions on the information to be reported</w:t>
            </w:r>
          </w:p>
        </w:tc>
      </w:tr>
      <w:tr w:rsidR="00201CBA" w:rsidRPr="001E4B7A" w14:paraId="15BE4EEC" w14:textId="77777777" w:rsidTr="003974E4">
        <w:tc>
          <w:tcPr>
            <w:tcW w:w="5000" w:type="pct"/>
            <w:shd w:val="clear" w:color="auto" w:fill="B7E7FF"/>
          </w:tcPr>
          <w:p w14:paraId="34B2117B" w14:textId="77777777" w:rsidR="00201CBA" w:rsidRPr="001E4B7A" w:rsidRDefault="00201CBA" w:rsidP="00201CBA">
            <w:pPr>
              <w:pStyle w:val="ListNumber"/>
              <w:keepNext/>
              <w:numPr>
                <w:ilvl w:val="0"/>
                <w:numId w:val="20"/>
              </w:numPr>
              <w:ind w:left="357" w:hanging="357"/>
              <w:rPr>
                <w:rFonts w:eastAsiaTheme="majorEastAsia"/>
                <w:sz w:val="21"/>
                <w:szCs w:val="21"/>
              </w:rPr>
            </w:pPr>
            <w:r w:rsidRPr="001E4B7A">
              <w:rPr>
                <w:rFonts w:eastAsiaTheme="majorEastAsia"/>
                <w:sz w:val="21"/>
                <w:szCs w:val="21"/>
              </w:rPr>
              <w:t>Do you agree that the information set out in Table 8.1 should be reported</w:t>
            </w:r>
            <w:r>
              <w:rPr>
                <w:rFonts w:eastAsiaTheme="majorEastAsia"/>
                <w:sz w:val="21"/>
                <w:szCs w:val="21"/>
              </w:rPr>
              <w:t xml:space="preserve"> for exchange based capacity trades and bilateral capacity trades</w:t>
            </w:r>
            <w:r w:rsidRPr="001E4B7A">
              <w:rPr>
                <w:rFonts w:eastAsiaTheme="majorEastAsia"/>
                <w:sz w:val="21"/>
                <w:szCs w:val="21"/>
              </w:rPr>
              <w:t xml:space="preserve">? Or do you think that: </w:t>
            </w:r>
          </w:p>
          <w:p w14:paraId="2E555BD3" w14:textId="77777777" w:rsidR="00201CBA" w:rsidRPr="001E4B7A" w:rsidRDefault="00201CBA" w:rsidP="00201CBA">
            <w:pPr>
              <w:pStyle w:val="ListBullet2"/>
              <w:rPr>
                <w:rFonts w:eastAsiaTheme="majorEastAsia"/>
                <w:sz w:val="21"/>
                <w:szCs w:val="21"/>
              </w:rPr>
            </w:pPr>
            <w:proofErr w:type="gramStart"/>
            <w:r w:rsidRPr="001E4B7A">
              <w:rPr>
                <w:rFonts w:eastAsiaTheme="majorEastAsia"/>
                <w:sz w:val="21"/>
                <w:szCs w:val="21"/>
              </w:rPr>
              <w:t>additional</w:t>
            </w:r>
            <w:proofErr w:type="gramEnd"/>
            <w:r w:rsidRPr="001E4B7A">
              <w:rPr>
                <w:rFonts w:eastAsiaTheme="majorEastAsia"/>
                <w:sz w:val="21"/>
                <w:szCs w:val="21"/>
              </w:rPr>
              <w:t xml:space="preserve"> information should be reported? If so, please set out what additional information you think should be reported</w:t>
            </w:r>
            <w:r>
              <w:rPr>
                <w:rFonts w:eastAsiaTheme="majorEastAsia"/>
                <w:sz w:val="21"/>
                <w:szCs w:val="21"/>
              </w:rPr>
              <w:t xml:space="preserve"> and why</w:t>
            </w:r>
            <w:r w:rsidRPr="001E4B7A">
              <w:rPr>
                <w:rFonts w:eastAsiaTheme="majorEastAsia"/>
                <w:sz w:val="21"/>
                <w:szCs w:val="21"/>
              </w:rPr>
              <w:t>.</w:t>
            </w:r>
          </w:p>
          <w:p w14:paraId="1BB073B6" w14:textId="77777777" w:rsidR="00201CBA" w:rsidRPr="001E4B7A" w:rsidRDefault="00201CBA" w:rsidP="00201CBA">
            <w:pPr>
              <w:pStyle w:val="ListBullet2"/>
              <w:rPr>
                <w:rFonts w:eastAsiaTheme="majorEastAsia"/>
                <w:sz w:val="21"/>
                <w:szCs w:val="21"/>
              </w:rPr>
            </w:pPr>
            <w:proofErr w:type="gramStart"/>
            <w:r w:rsidRPr="001E4B7A">
              <w:rPr>
                <w:rFonts w:eastAsiaTheme="majorEastAsia"/>
                <w:sz w:val="21"/>
                <w:szCs w:val="21"/>
              </w:rPr>
              <w:t>less</w:t>
            </w:r>
            <w:proofErr w:type="gramEnd"/>
            <w:r w:rsidRPr="001E4B7A">
              <w:rPr>
                <w:rFonts w:eastAsiaTheme="majorEastAsia"/>
                <w:sz w:val="21"/>
                <w:szCs w:val="21"/>
              </w:rPr>
              <w:t xml:space="preserve"> information should be reported? If so, please set out what information you don’t think should be reported</w:t>
            </w:r>
            <w:r>
              <w:rPr>
                <w:rFonts w:eastAsiaTheme="majorEastAsia"/>
                <w:sz w:val="21"/>
                <w:szCs w:val="21"/>
              </w:rPr>
              <w:t xml:space="preserve"> and why</w:t>
            </w:r>
            <w:r w:rsidRPr="001E4B7A">
              <w:rPr>
                <w:rFonts w:eastAsiaTheme="majorEastAsia"/>
                <w:sz w:val="21"/>
                <w:szCs w:val="21"/>
              </w:rPr>
              <w:t>.</w:t>
            </w:r>
          </w:p>
          <w:p w14:paraId="53022E7D" w14:textId="5B53E096" w:rsidR="00201CBA" w:rsidRPr="001E4B7A" w:rsidRDefault="00201CBA" w:rsidP="00A949C5">
            <w:pPr>
              <w:pStyle w:val="ListNumber"/>
              <w:keepNext/>
              <w:numPr>
                <w:ilvl w:val="0"/>
                <w:numId w:val="20"/>
              </w:numPr>
              <w:ind w:left="357" w:hanging="357"/>
              <w:rPr>
                <w:rFonts w:eastAsiaTheme="majorEastAsia"/>
                <w:sz w:val="21"/>
                <w:szCs w:val="21"/>
              </w:rPr>
            </w:pPr>
            <w:r w:rsidRPr="001E4B7A">
              <w:rPr>
                <w:rFonts w:eastAsiaTheme="majorEastAsia"/>
                <w:sz w:val="21"/>
                <w:szCs w:val="21"/>
              </w:rPr>
              <w:t>Do you think any additional measures are required to protect the anonymity of counterparties? If so, please explain what they are and how this would be consistent with the overarching objectives of the reporting requirements.</w:t>
            </w:r>
          </w:p>
        </w:tc>
      </w:tr>
    </w:tbl>
    <w:p w14:paraId="235010BD" w14:textId="3B3E6707" w:rsidR="00214ECB" w:rsidRPr="00C75DF9" w:rsidRDefault="00BE4D52" w:rsidP="00214ECB">
      <w:pPr>
        <w:pStyle w:val="Heading2"/>
      </w:pPr>
      <w:bookmarkStart w:id="157" w:name="_Toc495351662"/>
      <w:r w:rsidRPr="00C75DF9">
        <w:t xml:space="preserve">Reporting </w:t>
      </w:r>
      <w:r w:rsidR="00C71D92" w:rsidRPr="00C75DF9">
        <w:t>obligations</w:t>
      </w:r>
      <w:bookmarkEnd w:id="157"/>
      <w:r w:rsidR="00C71D92" w:rsidRPr="00C75DF9">
        <w:t xml:space="preserve"> </w:t>
      </w:r>
    </w:p>
    <w:p w14:paraId="205B66FD" w14:textId="277A4EC9" w:rsidR="00E3255D" w:rsidRDefault="00E3255D" w:rsidP="00E3255D">
      <w:pPr>
        <w:pStyle w:val="BodyText"/>
      </w:pPr>
      <w:r>
        <w:t>Exchange based capacity trades carried out through the capacity trading platform will be subject to a reporting framework under the Exchange Agreement. Similar to the arrangements that currently apply to commodity products traded through the GSH, reporting will be the responsibility of AEMO.</w:t>
      </w:r>
      <w:r w:rsidR="006B7AC6">
        <w:t xml:space="preserve"> </w:t>
      </w:r>
      <w:r>
        <w:t xml:space="preserve">AEMO will collect the information at the time the trade occurs and report shortly thereafter. The type of information that is published may differ from what is currently published for commodity trades. </w:t>
      </w:r>
    </w:p>
    <w:p w14:paraId="2A4B7A90" w14:textId="2AD3F858" w:rsidR="003E60AC" w:rsidRDefault="00C71D92" w:rsidP="00E544FF">
      <w:pPr>
        <w:pStyle w:val="BodyText"/>
      </w:pPr>
      <w:r>
        <w:t xml:space="preserve">The requirement </w:t>
      </w:r>
      <w:r w:rsidR="00E544FF">
        <w:t xml:space="preserve">for </w:t>
      </w:r>
      <w:r>
        <w:t>bilateral trades</w:t>
      </w:r>
      <w:r w:rsidR="00E544FF">
        <w:t xml:space="preserve"> to be reported</w:t>
      </w:r>
      <w:r>
        <w:t xml:space="preserve">, on the other hand, will require new obligations to be imposed on </w:t>
      </w:r>
      <w:r w:rsidR="00E544FF">
        <w:t xml:space="preserve">one or more of the </w:t>
      </w:r>
      <w:r w:rsidR="008A496D">
        <w:t>trading parties</w:t>
      </w:r>
      <w:r w:rsidR="00E544FF">
        <w:t xml:space="preserve">. This issue was not discussed in any detail in the AEMC’s </w:t>
      </w:r>
      <w:r w:rsidR="00E544FF">
        <w:rPr>
          <w:i/>
        </w:rPr>
        <w:t>East Coast Review</w:t>
      </w:r>
      <w:r w:rsidR="0043720A">
        <w:rPr>
          <w:i/>
        </w:rPr>
        <w:t>.</w:t>
      </w:r>
      <w:r w:rsidR="00E544FF">
        <w:rPr>
          <w:i/>
        </w:rPr>
        <w:t xml:space="preserve"> </w:t>
      </w:r>
      <w:r w:rsidR="0043720A">
        <w:t>I</w:t>
      </w:r>
      <w:r w:rsidR="003E60AC">
        <w:t>t was</w:t>
      </w:r>
      <w:r w:rsidR="0043720A">
        <w:t>, however,</w:t>
      </w:r>
      <w:r w:rsidR="003E60AC">
        <w:t xml:space="preserve"> considered by </w:t>
      </w:r>
      <w:r w:rsidR="00E544FF" w:rsidRPr="00E544FF">
        <w:t>t</w:t>
      </w:r>
      <w:r w:rsidR="00E544FF">
        <w:t>he Standardisation project team</w:t>
      </w:r>
      <w:r w:rsidR="003E60AC">
        <w:t>, which identified the following potential candidates for the reporting obligation:</w:t>
      </w:r>
    </w:p>
    <w:p w14:paraId="6FCD6085" w14:textId="2E88DE3F" w:rsidR="003E60AC" w:rsidRDefault="003E60AC" w:rsidP="003E60AC">
      <w:pPr>
        <w:pStyle w:val="ListBullet"/>
      </w:pPr>
      <w:r>
        <w:t>the seller;</w:t>
      </w:r>
    </w:p>
    <w:p w14:paraId="53C2D78D" w14:textId="6C4ACFE6" w:rsidR="003E60AC" w:rsidRDefault="003E60AC" w:rsidP="003E60AC">
      <w:pPr>
        <w:pStyle w:val="ListBullet"/>
      </w:pPr>
      <w:r>
        <w:t>the buyer; and</w:t>
      </w:r>
    </w:p>
    <w:p w14:paraId="0D169016" w14:textId="20BA1D5C" w:rsidR="003E60AC" w:rsidRDefault="003E60AC" w:rsidP="003E60AC">
      <w:pPr>
        <w:pStyle w:val="ListBullet"/>
      </w:pPr>
      <w:proofErr w:type="gramStart"/>
      <w:r>
        <w:t>the</w:t>
      </w:r>
      <w:proofErr w:type="gramEnd"/>
      <w:r>
        <w:t xml:space="preserve"> seller and buyer.</w:t>
      </w:r>
    </w:p>
    <w:p w14:paraId="066A42FD" w14:textId="665AA156" w:rsidR="00C71D92" w:rsidRDefault="003E60AC" w:rsidP="00E544FF">
      <w:pPr>
        <w:pStyle w:val="BodyText"/>
      </w:pPr>
      <w:r>
        <w:t xml:space="preserve">While there was some discussion about the latter of these options, it became clear that requiring both the buyer and seller to report the trade would </w:t>
      </w:r>
      <w:r w:rsidR="00E544FF">
        <w:t xml:space="preserve">require more work on the part of </w:t>
      </w:r>
      <w:r w:rsidR="00C6416E">
        <w:t xml:space="preserve">industry and </w:t>
      </w:r>
      <w:r w:rsidR="00E544FF">
        <w:t xml:space="preserve">AEMO and could give rise to a range of other issues. </w:t>
      </w:r>
      <w:r>
        <w:t>Of the remaining two options, the project team thought seller</w:t>
      </w:r>
      <w:r w:rsidR="003B0606">
        <w:t>s</w:t>
      </w:r>
      <w:r>
        <w:t xml:space="preserve"> </w:t>
      </w:r>
      <w:r w:rsidR="003B0606">
        <w:t xml:space="preserve">were </w:t>
      </w:r>
      <w:r>
        <w:t xml:space="preserve">the more natural candidate </w:t>
      </w:r>
      <w:r w:rsidR="003B0606">
        <w:t xml:space="preserve">for </w:t>
      </w:r>
      <w:r>
        <w:t xml:space="preserve">the reporting obligation. </w:t>
      </w:r>
    </w:p>
    <w:p w14:paraId="0A570A07" w14:textId="4205D68F" w:rsidR="00F82EEA" w:rsidRDefault="00E544FF" w:rsidP="00E544FF">
      <w:pPr>
        <w:pStyle w:val="BodyText"/>
      </w:pPr>
      <w:r>
        <w:t xml:space="preserve">The Standardisation project team also considered </w:t>
      </w:r>
      <w:r w:rsidR="00F82EEA">
        <w:t xml:space="preserve">how much time the selling party should have to report the bilateral trade once it is executed. In short, project team </w:t>
      </w:r>
      <w:r w:rsidR="003E60AC">
        <w:t xml:space="preserve">members were </w:t>
      </w:r>
      <w:r w:rsidR="00F82EEA">
        <w:t>of the view that the seller should be required to report the trade by the earlier of:</w:t>
      </w:r>
    </w:p>
    <w:p w14:paraId="1079AB1C" w14:textId="49A3C02F" w:rsidR="00F82EEA" w:rsidRDefault="004204C0" w:rsidP="00F82EEA">
      <w:pPr>
        <w:pStyle w:val="ListBullet"/>
      </w:pPr>
      <w:r>
        <w:t>three</w:t>
      </w:r>
      <w:r w:rsidR="00F82EEA">
        <w:t xml:space="preserve"> business days after the trade is executed; and</w:t>
      </w:r>
    </w:p>
    <w:p w14:paraId="210371CC" w14:textId="10D542F7" w:rsidR="00F82EEA" w:rsidRDefault="00F82EEA" w:rsidP="00F82EEA">
      <w:pPr>
        <w:pStyle w:val="ListBullet"/>
      </w:pPr>
      <w:proofErr w:type="gramStart"/>
      <w:r>
        <w:t>the</w:t>
      </w:r>
      <w:proofErr w:type="gramEnd"/>
      <w:r>
        <w:t xml:space="preserve"> day </w:t>
      </w:r>
      <w:r w:rsidR="003E60AC">
        <w:t>prior to the trade commencing (D-1)</w:t>
      </w:r>
      <w:r>
        <w:t>.</w:t>
      </w:r>
    </w:p>
    <w:p w14:paraId="52424DC4" w14:textId="6B4954EF" w:rsidR="0043720A" w:rsidRDefault="003B0606" w:rsidP="00E544FF">
      <w:pPr>
        <w:pStyle w:val="BodyText"/>
      </w:pPr>
      <w:r>
        <w:t>The GMRG has considered the views expressed by the project team on who should be subject to the reporting obligation in bilateral trades and how long they should have to report trades</w:t>
      </w:r>
      <w:r w:rsidR="006E3598">
        <w:t>.</w:t>
      </w:r>
      <w:r>
        <w:t xml:space="preserve"> </w:t>
      </w:r>
      <w:r w:rsidR="006E3598">
        <w:t>While the GMRG agrees with the position the project team reached on the first issue, the proposal to allow sellers up to three business days to report trades</w:t>
      </w:r>
      <w:r w:rsidR="0043720A">
        <w:t xml:space="preserve"> appears at odds </w:t>
      </w:r>
      <w:r w:rsidR="006E3598">
        <w:t>with the AEMC’s recommendation that trades be reported at the time they are executed, or shortly thereafter.</w:t>
      </w:r>
      <w:r w:rsidR="0043720A">
        <w:t xml:space="preserve"> </w:t>
      </w:r>
      <w:r w:rsidR="00383F0E">
        <w:t xml:space="preserve">While the GMRG understands that it may be difficult to report bilateral trades as soon as they are executed, there is a risk with longer reporting windows that parties will </w:t>
      </w:r>
      <w:r w:rsidR="001E6A9C">
        <w:t xml:space="preserve">either </w:t>
      </w:r>
      <w:r w:rsidR="00EF3550">
        <w:t xml:space="preserve">fail </w:t>
      </w:r>
      <w:r w:rsidR="00383F0E">
        <w:t>to report the information</w:t>
      </w:r>
      <w:r w:rsidR="001E6A9C">
        <w:t>, or will publish the information too late to be of any benefit to the price discovery process</w:t>
      </w:r>
      <w:r w:rsidR="00383F0E">
        <w:t xml:space="preserve">. The GMRG is therefore of the view that a shorter reporting window should be adopted. </w:t>
      </w:r>
    </w:p>
    <w:p w14:paraId="00769BE9" w14:textId="0711D5C3" w:rsidR="004334B2" w:rsidRDefault="00680F3D" w:rsidP="00E544FF">
      <w:pPr>
        <w:pStyle w:val="BodyText"/>
      </w:pPr>
      <w:r>
        <w:t xml:space="preserve">Having regard to the reporting time frames that have been adopted in Part 18 (Natural Gas Services BB) of the NGR for </w:t>
      </w:r>
      <w:r w:rsidR="00C75DF9">
        <w:t>information that is of a similar level of importance to the market</w:t>
      </w:r>
      <w:r>
        <w:t xml:space="preserve">, the </w:t>
      </w:r>
      <w:r w:rsidR="004334B2">
        <w:t xml:space="preserve">GMRG’s </w:t>
      </w:r>
      <w:r w:rsidR="00383F0E">
        <w:t>preliminary view is trades should be reported by the earlier of</w:t>
      </w:r>
      <w:r w:rsidR="004334B2">
        <w:t>:</w:t>
      </w:r>
    </w:p>
    <w:p w14:paraId="02B068EC" w14:textId="103A7E1C" w:rsidR="004334B2" w:rsidRDefault="004334B2" w:rsidP="004334B2">
      <w:pPr>
        <w:pStyle w:val="ListBullet"/>
      </w:pPr>
      <w:r>
        <w:t>one day after the trade is executed; and</w:t>
      </w:r>
    </w:p>
    <w:p w14:paraId="04CFA1D6" w14:textId="1F1EA083" w:rsidR="004204C0" w:rsidRDefault="00C75DF9" w:rsidP="004334B2">
      <w:pPr>
        <w:pStyle w:val="ListBullet"/>
      </w:pPr>
      <w:proofErr w:type="gramStart"/>
      <w:r>
        <w:t>the</w:t>
      </w:r>
      <w:proofErr w:type="gramEnd"/>
      <w:r>
        <w:t xml:space="preserve"> day prior to the trade commencing (D-1)</w:t>
      </w:r>
      <w:r w:rsidR="004334B2">
        <w:t>.</w:t>
      </w:r>
      <w:r w:rsidR="00F74083">
        <w:rPr>
          <w:rStyle w:val="FootnoteReference"/>
        </w:rPr>
        <w:footnoteReference w:id="103"/>
      </w:r>
      <w:r w:rsidR="006B7AC6">
        <w:t xml:space="preserve"> </w:t>
      </w:r>
    </w:p>
    <w:p w14:paraId="3C28B1A9" w14:textId="66213A13" w:rsidR="00C75DF9" w:rsidRDefault="00F74083" w:rsidP="00C75DF9">
      <w:pPr>
        <w:pStyle w:val="BodyText"/>
      </w:pPr>
      <w:r>
        <w:t xml:space="preserve">The GMRG is, however, interested in hearing from other stakeholders on this proposal. The GMRG is also interested in stakeholders’ views on the proposal to impose the reporting obligation on sellers in bilateral trades, which is expected to be given effect through a BB reporting obligation. </w:t>
      </w:r>
    </w:p>
    <w:p w14:paraId="482E57ED" w14:textId="1C8A08CB" w:rsidR="00917A06" w:rsidRDefault="00917A06" w:rsidP="00917A06">
      <w:pPr>
        <w:pStyle w:val="BodyText"/>
      </w:pPr>
      <w:r>
        <w:t>As a practical matter, reporting is likely to require access to AEMO's systems.</w:t>
      </w:r>
      <w:r w:rsidR="006B7AC6">
        <w:t xml:space="preserve"> </w:t>
      </w:r>
      <w:r>
        <w:t>The GRMG's preliminary view is that in the absence of a requirement for all shippers to register with AEMO, shippers should be</w:t>
      </w:r>
      <w:r w:rsidR="006357C9">
        <w:t xml:space="preserve"> able to use a reporting agent </w:t>
      </w:r>
      <w:r>
        <w:t xml:space="preserve">such that in some cases, by agreement between the parties, the buyer rather than the seller may report. </w:t>
      </w:r>
    </w:p>
    <w:tbl>
      <w:tblPr>
        <w:tblStyle w:val="PullOutBoxTable"/>
        <w:tblW w:w="5000" w:type="pct"/>
        <w:shd w:val="clear" w:color="auto" w:fill="B7E7FF"/>
        <w:tblLook w:val="0620" w:firstRow="1" w:lastRow="0" w:firstColumn="0" w:lastColumn="0" w:noHBand="1" w:noVBand="1"/>
        <w:tblCaption w:val="Box 8.3: Questions on the reporting obligation for bilateral trades"/>
        <w:tblDescription w:val="Questions on the reporting obligation for bilateral trades"/>
      </w:tblPr>
      <w:tblGrid>
        <w:gridCol w:w="8788"/>
      </w:tblGrid>
      <w:tr w:rsidR="00214ECB" w:rsidRPr="004D73D8" w14:paraId="7D5D56B5" w14:textId="77777777" w:rsidTr="003974E4">
        <w:trPr>
          <w:tblHeader/>
        </w:trPr>
        <w:tc>
          <w:tcPr>
            <w:tcW w:w="5000" w:type="pct"/>
            <w:shd w:val="clear" w:color="auto" w:fill="auto"/>
          </w:tcPr>
          <w:p w14:paraId="7C91B86E" w14:textId="466C5DC2" w:rsidR="009933D1" w:rsidRPr="00FA2DB5" w:rsidRDefault="00A949C5" w:rsidP="00A949C5">
            <w:pPr>
              <w:pStyle w:val="ListNumber"/>
              <w:keepNext/>
              <w:numPr>
                <w:ilvl w:val="0"/>
                <w:numId w:val="0"/>
              </w:numPr>
              <w:spacing w:before="0" w:after="0"/>
              <w:ind w:left="360" w:hanging="360"/>
              <w:rPr>
                <w:rFonts w:eastAsiaTheme="majorEastAsia"/>
              </w:rPr>
            </w:pPr>
            <w:r>
              <w:rPr>
                <w:b/>
              </w:rPr>
              <w:t xml:space="preserve">Box </w:t>
            </w:r>
            <w:r>
              <w:rPr>
                <w:b/>
              </w:rPr>
              <w:fldChar w:fldCharType="begin"/>
            </w:r>
            <w:r>
              <w:rPr>
                <w:b/>
              </w:rPr>
              <w:instrText xml:space="preserve"> STYLEREF 1 \s </w:instrText>
            </w:r>
            <w:r>
              <w:rPr>
                <w:b/>
              </w:rPr>
              <w:fldChar w:fldCharType="separate"/>
            </w:r>
            <w:r>
              <w:rPr>
                <w:b/>
                <w:noProof/>
              </w:rPr>
              <w:t>8</w:t>
            </w:r>
            <w:r>
              <w:rPr>
                <w:b/>
              </w:rPr>
              <w:fldChar w:fldCharType="end"/>
            </w:r>
            <w:r>
              <w:rPr>
                <w:b/>
              </w:rPr>
              <w:t>.</w:t>
            </w:r>
            <w:r>
              <w:rPr>
                <w:b/>
              </w:rPr>
              <w:fldChar w:fldCharType="begin"/>
            </w:r>
            <w:r>
              <w:rPr>
                <w:b/>
              </w:rPr>
              <w:instrText xml:space="preserve"> SEQ Box \* ARABIC \s 1 </w:instrText>
            </w:r>
            <w:r>
              <w:rPr>
                <w:b/>
              </w:rPr>
              <w:fldChar w:fldCharType="separate"/>
            </w:r>
            <w:r>
              <w:rPr>
                <w:b/>
                <w:noProof/>
              </w:rPr>
              <w:t>3</w:t>
            </w:r>
            <w:r>
              <w:rPr>
                <w:b/>
              </w:rPr>
              <w:fldChar w:fldCharType="end"/>
            </w:r>
            <w:r>
              <w:rPr>
                <w:b/>
              </w:rPr>
              <w:t>: Questions on the reporting obligation for bilateral trades</w:t>
            </w:r>
          </w:p>
        </w:tc>
      </w:tr>
      <w:tr w:rsidR="00A949C5" w:rsidRPr="004D73D8" w14:paraId="6DEB5BAC" w14:textId="77777777" w:rsidTr="003974E4">
        <w:tc>
          <w:tcPr>
            <w:tcW w:w="5000" w:type="pct"/>
            <w:shd w:val="clear" w:color="auto" w:fill="B7E7FF"/>
          </w:tcPr>
          <w:p w14:paraId="73F29D86" w14:textId="77777777" w:rsidR="00A949C5" w:rsidRDefault="00A949C5" w:rsidP="00A949C5">
            <w:pPr>
              <w:pStyle w:val="ListNumber"/>
              <w:keepNext/>
              <w:numPr>
                <w:ilvl w:val="0"/>
                <w:numId w:val="20"/>
              </w:numPr>
              <w:ind w:left="357" w:hanging="357"/>
              <w:rPr>
                <w:rFonts w:eastAsiaTheme="majorEastAsia"/>
                <w:sz w:val="21"/>
                <w:szCs w:val="21"/>
              </w:rPr>
            </w:pPr>
            <w:r>
              <w:rPr>
                <w:rFonts w:eastAsiaTheme="majorEastAsia"/>
                <w:sz w:val="21"/>
                <w:szCs w:val="21"/>
              </w:rPr>
              <w:t xml:space="preserve">Do you agree that the obligation to report bilateral trades of secondary capacity should fall on the seller? Or do you think the obligation should fall on: </w:t>
            </w:r>
          </w:p>
          <w:p w14:paraId="3D922646" w14:textId="77777777" w:rsidR="00A949C5" w:rsidRPr="009933D1" w:rsidRDefault="00A949C5" w:rsidP="00A949C5">
            <w:pPr>
              <w:pStyle w:val="ListBullet2"/>
              <w:rPr>
                <w:rFonts w:eastAsiaTheme="majorEastAsia"/>
                <w:sz w:val="21"/>
                <w:szCs w:val="21"/>
              </w:rPr>
            </w:pPr>
            <w:proofErr w:type="gramStart"/>
            <w:r w:rsidRPr="009933D1">
              <w:rPr>
                <w:rFonts w:eastAsiaTheme="majorEastAsia"/>
                <w:sz w:val="21"/>
                <w:szCs w:val="21"/>
              </w:rPr>
              <w:t>the</w:t>
            </w:r>
            <w:proofErr w:type="gramEnd"/>
            <w:r w:rsidRPr="009933D1">
              <w:rPr>
                <w:rFonts w:eastAsiaTheme="majorEastAsia"/>
                <w:sz w:val="21"/>
                <w:szCs w:val="21"/>
              </w:rPr>
              <w:t xml:space="preserve"> </w:t>
            </w:r>
            <w:r>
              <w:rPr>
                <w:rFonts w:eastAsiaTheme="majorEastAsia"/>
                <w:sz w:val="21"/>
                <w:szCs w:val="21"/>
              </w:rPr>
              <w:t>buyer</w:t>
            </w:r>
            <w:r w:rsidRPr="009933D1">
              <w:rPr>
                <w:rFonts w:eastAsiaTheme="majorEastAsia"/>
                <w:sz w:val="21"/>
                <w:szCs w:val="21"/>
              </w:rPr>
              <w:t>? If so, please explain why</w:t>
            </w:r>
            <w:r>
              <w:rPr>
                <w:rFonts w:eastAsiaTheme="majorEastAsia"/>
                <w:sz w:val="21"/>
                <w:szCs w:val="21"/>
              </w:rPr>
              <w:t>.</w:t>
            </w:r>
          </w:p>
          <w:p w14:paraId="2AD32A5E" w14:textId="77777777" w:rsidR="00A949C5" w:rsidRPr="009933D1" w:rsidRDefault="00A949C5" w:rsidP="00A949C5">
            <w:pPr>
              <w:pStyle w:val="ListBullet2"/>
              <w:rPr>
                <w:rFonts w:eastAsiaTheme="majorEastAsia"/>
              </w:rPr>
            </w:pPr>
            <w:proofErr w:type="gramStart"/>
            <w:r w:rsidRPr="009933D1">
              <w:rPr>
                <w:rFonts w:eastAsiaTheme="majorEastAsia"/>
                <w:sz w:val="21"/>
                <w:szCs w:val="21"/>
              </w:rPr>
              <w:t>both</w:t>
            </w:r>
            <w:proofErr w:type="gramEnd"/>
            <w:r w:rsidRPr="009933D1">
              <w:rPr>
                <w:rFonts w:eastAsiaTheme="majorEastAsia"/>
                <w:sz w:val="21"/>
                <w:szCs w:val="21"/>
              </w:rPr>
              <w:t xml:space="preserve"> counterparties? If so, please explain why</w:t>
            </w:r>
            <w:r>
              <w:rPr>
                <w:rFonts w:eastAsiaTheme="majorEastAsia"/>
                <w:sz w:val="21"/>
                <w:szCs w:val="21"/>
              </w:rPr>
              <w:t>.</w:t>
            </w:r>
          </w:p>
          <w:p w14:paraId="020D10F3" w14:textId="77777777" w:rsidR="00A949C5" w:rsidRPr="00C04FBA" w:rsidRDefault="00A949C5" w:rsidP="00A949C5">
            <w:pPr>
              <w:pStyle w:val="ListNumber"/>
              <w:keepNext/>
              <w:numPr>
                <w:ilvl w:val="0"/>
                <w:numId w:val="20"/>
              </w:numPr>
              <w:ind w:left="357" w:hanging="357"/>
              <w:rPr>
                <w:rFonts w:eastAsiaTheme="majorEastAsia"/>
              </w:rPr>
            </w:pPr>
            <w:r>
              <w:rPr>
                <w:rFonts w:eastAsiaTheme="majorEastAsia"/>
                <w:sz w:val="21"/>
                <w:szCs w:val="21"/>
              </w:rPr>
              <w:t xml:space="preserve">Do you agree with the proposal that bilateral trades of secondary capacity should be reported by the earlier of one day after the trade is executed or the day prior to the trade commencing? Or do you think sellers require a longer period of time to report trades? </w:t>
            </w:r>
          </w:p>
          <w:p w14:paraId="1B42D4D3" w14:textId="4A4FE19D" w:rsidR="00A949C5" w:rsidRDefault="00A949C5" w:rsidP="00A949C5">
            <w:pPr>
              <w:pStyle w:val="ListNumber"/>
              <w:keepNext/>
              <w:numPr>
                <w:ilvl w:val="0"/>
                <w:numId w:val="20"/>
              </w:numPr>
              <w:ind w:left="357" w:hanging="357"/>
              <w:rPr>
                <w:rFonts w:eastAsiaTheme="majorEastAsia"/>
                <w:sz w:val="21"/>
                <w:szCs w:val="21"/>
              </w:rPr>
            </w:pPr>
            <w:r>
              <w:rPr>
                <w:rFonts w:eastAsiaTheme="majorEastAsia"/>
                <w:sz w:val="21"/>
                <w:szCs w:val="21"/>
              </w:rPr>
              <w:t>Do you agree that shippers should be given flexibility to engage someone to report on their behalf, or should all shippers be required to gain access in their own name to the reporting systems?</w:t>
            </w:r>
          </w:p>
        </w:tc>
      </w:tr>
    </w:tbl>
    <w:p w14:paraId="120DF431" w14:textId="41E616EE" w:rsidR="00851485" w:rsidRPr="00F11F5D" w:rsidRDefault="00851485" w:rsidP="00851485">
      <w:pPr>
        <w:pStyle w:val="Heading2"/>
      </w:pPr>
      <w:bookmarkStart w:id="158" w:name="_Toc495351663"/>
      <w:r w:rsidRPr="00F11F5D">
        <w:t>Where the information should be published</w:t>
      </w:r>
      <w:bookmarkEnd w:id="158"/>
      <w:r w:rsidRPr="00F11F5D">
        <w:t xml:space="preserve"> </w:t>
      </w:r>
    </w:p>
    <w:p w14:paraId="29D7404B" w14:textId="3188E750" w:rsidR="00E3255D" w:rsidRDefault="00F11F5D" w:rsidP="001173DF">
      <w:pPr>
        <w:pStyle w:val="BodyText"/>
      </w:pPr>
      <w:r w:rsidRPr="00F11F5D">
        <w:t xml:space="preserve">The AEMC’s reporting framework recommendations did not specify where the information on secondary trades should be published. </w:t>
      </w:r>
      <w:r w:rsidR="00E3255D">
        <w:t xml:space="preserve">Apart from indicating it would be preferable to obtain all the secondary trade information from one location, the Standardisation project team did not proffer a view on </w:t>
      </w:r>
      <w:r w:rsidR="006357C9">
        <w:t>this issue</w:t>
      </w:r>
      <w:r w:rsidR="00E3255D">
        <w:t>.</w:t>
      </w:r>
    </w:p>
    <w:p w14:paraId="5935B024" w14:textId="71480407" w:rsidR="00E3255D" w:rsidRDefault="00E3255D" w:rsidP="001173DF">
      <w:pPr>
        <w:pStyle w:val="BodyText"/>
      </w:pPr>
      <w:r>
        <w:t xml:space="preserve">The GMRG’s preliminary view </w:t>
      </w:r>
      <w:r w:rsidR="00A60A3D">
        <w:t xml:space="preserve">on this issue </w:t>
      </w:r>
      <w:r>
        <w:t>is that:</w:t>
      </w:r>
    </w:p>
    <w:p w14:paraId="4BBA724F" w14:textId="188AB28A" w:rsidR="00A87FB4" w:rsidRDefault="004F7523" w:rsidP="00E3255D">
      <w:pPr>
        <w:pStyle w:val="ListBullet"/>
      </w:pPr>
      <w:r>
        <w:t>I</w:t>
      </w:r>
      <w:r w:rsidR="00F11F5D" w:rsidRPr="00F11F5D">
        <w:t xml:space="preserve">nformation on exchange based capacity trades </w:t>
      </w:r>
      <w:r w:rsidR="00E3255D">
        <w:t xml:space="preserve">should </w:t>
      </w:r>
      <w:r w:rsidR="00F11F5D" w:rsidRPr="00F11F5D">
        <w:t>be published on</w:t>
      </w:r>
      <w:r w:rsidR="001173DF">
        <w:t xml:space="preserve"> </w:t>
      </w:r>
      <w:r w:rsidR="00F11F5D" w:rsidRPr="00F11F5D">
        <w:t>the GSH</w:t>
      </w:r>
      <w:r w:rsidR="006E3598">
        <w:t xml:space="preserve"> </w:t>
      </w:r>
      <w:r w:rsidR="001173DF">
        <w:t xml:space="preserve">(as it currently is for commodity trades) </w:t>
      </w:r>
      <w:r w:rsidR="006E3598">
        <w:t xml:space="preserve">so that </w:t>
      </w:r>
      <w:r w:rsidR="00F11F5D" w:rsidRPr="00F11F5D">
        <w:t>trading participants can readily access this information</w:t>
      </w:r>
      <w:r w:rsidR="00A87FB4">
        <w:t xml:space="preserve"> when they are trading</w:t>
      </w:r>
      <w:r>
        <w:t>.</w:t>
      </w:r>
    </w:p>
    <w:p w14:paraId="5F10CBE7" w14:textId="547A6E56" w:rsidR="00E3255D" w:rsidRDefault="00E3255D" w:rsidP="00C62BFF">
      <w:pPr>
        <w:pStyle w:val="ListBullet"/>
      </w:pPr>
      <w:r>
        <w:t xml:space="preserve">AEMO </w:t>
      </w:r>
      <w:r w:rsidR="00A60A3D">
        <w:t xml:space="preserve">should </w:t>
      </w:r>
      <w:r>
        <w:t xml:space="preserve">be required to publish information about exchange based capacity trades and bilateral trades </w:t>
      </w:r>
      <w:r w:rsidR="00A60A3D">
        <w:t xml:space="preserve">on the BB </w:t>
      </w:r>
      <w:r w:rsidR="004F7523">
        <w:t xml:space="preserve">website, </w:t>
      </w:r>
      <w:r w:rsidR="00A60A3D">
        <w:t xml:space="preserve">so </w:t>
      </w:r>
      <w:r>
        <w:t xml:space="preserve">that a person wishing to access the information </w:t>
      </w:r>
      <w:r w:rsidR="00A60A3D">
        <w:t xml:space="preserve">does not need to </w:t>
      </w:r>
      <w:r>
        <w:t>become a GSH participant</w:t>
      </w:r>
      <w:r w:rsidR="00A60A3D">
        <w:t>.</w:t>
      </w:r>
      <w:r w:rsidR="00115F76">
        <w:rPr>
          <w:rStyle w:val="FootnoteReference"/>
        </w:rPr>
        <w:footnoteReference w:id="104"/>
      </w:r>
      <w:r>
        <w:t xml:space="preserve"> </w:t>
      </w:r>
      <w:r w:rsidR="00A60A3D">
        <w:t>AEMO c</w:t>
      </w:r>
      <w:r>
        <w:t xml:space="preserve">ould </w:t>
      </w:r>
      <w:r w:rsidR="00A60A3D">
        <w:t xml:space="preserve">also </w:t>
      </w:r>
      <w:r>
        <w:t xml:space="preserve">be given </w:t>
      </w:r>
      <w:r w:rsidR="001E6A9C">
        <w:t xml:space="preserve">the </w:t>
      </w:r>
      <w:r>
        <w:t xml:space="preserve">discretion in the Exchange Agreement to publish information about bilateral trades on the </w:t>
      </w:r>
      <w:r w:rsidR="00A60A3D">
        <w:t>GSH</w:t>
      </w:r>
      <w:r w:rsidR="004F7523">
        <w:t xml:space="preserve">, </w:t>
      </w:r>
      <w:r w:rsidR="00A60A3D">
        <w:t xml:space="preserve">so that </w:t>
      </w:r>
      <w:r>
        <w:t>users</w:t>
      </w:r>
      <w:r w:rsidR="00A60A3D">
        <w:t xml:space="preserve"> </w:t>
      </w:r>
      <w:r w:rsidR="004F7523">
        <w:t xml:space="preserve">of the trading platform </w:t>
      </w:r>
      <w:r w:rsidR="00A60A3D">
        <w:t>can readily access this information</w:t>
      </w:r>
      <w:r>
        <w:t>.</w:t>
      </w:r>
    </w:p>
    <w:p w14:paraId="071CA4D5" w14:textId="57883DD8" w:rsidR="003D3EC8" w:rsidRDefault="003D3EC8" w:rsidP="003D3EC8">
      <w:pPr>
        <w:pStyle w:val="ListBullet"/>
        <w:numPr>
          <w:ilvl w:val="0"/>
          <w:numId w:val="0"/>
        </w:numPr>
      </w:pPr>
      <w:r>
        <w:t xml:space="preserve">In a similar manner to </w:t>
      </w:r>
      <w:r w:rsidR="008F3C8D">
        <w:t>what occurs in other markets, the AER would also be expected to publish key data series for the secondary capacity markets.</w:t>
      </w:r>
      <w:r w:rsidR="008F3C8D">
        <w:rPr>
          <w:rStyle w:val="FootnoteReference"/>
        </w:rPr>
        <w:footnoteReference w:id="105"/>
      </w:r>
      <w:r w:rsidR="008F3C8D">
        <w:t xml:space="preserve"> The form that this would take would be a matter for the AER to determine.</w:t>
      </w:r>
    </w:p>
    <w:p w14:paraId="56C78F6E" w14:textId="485E16DC" w:rsidR="001173DF" w:rsidRDefault="00236C0A" w:rsidP="00851485">
      <w:pPr>
        <w:pStyle w:val="BodyText"/>
      </w:pPr>
      <w:r>
        <w:t xml:space="preserve">The GMRG welcomes further feedback on this </w:t>
      </w:r>
      <w:r w:rsidR="00E3255D">
        <w:t>preliminary view</w:t>
      </w:r>
      <w:r>
        <w:t xml:space="preserve">. </w:t>
      </w:r>
    </w:p>
    <w:p w14:paraId="1A63574F" w14:textId="77777777" w:rsidR="00A949C5" w:rsidRPr="00F11F5D" w:rsidRDefault="00A949C5" w:rsidP="00851485">
      <w:pPr>
        <w:pStyle w:val="BodyText"/>
      </w:pPr>
    </w:p>
    <w:tbl>
      <w:tblPr>
        <w:tblStyle w:val="PullOutBoxTable"/>
        <w:tblW w:w="5000" w:type="pct"/>
        <w:shd w:val="clear" w:color="auto" w:fill="B7E7FF"/>
        <w:tblLook w:val="0620" w:firstRow="1" w:lastRow="0" w:firstColumn="0" w:lastColumn="0" w:noHBand="1" w:noVBand="1"/>
        <w:tblCaption w:val="Box 8.4: Questions on where information should be published"/>
        <w:tblDescription w:val="Questions on where information should be published"/>
      </w:tblPr>
      <w:tblGrid>
        <w:gridCol w:w="8788"/>
      </w:tblGrid>
      <w:tr w:rsidR="00851485" w:rsidRPr="00236C0A" w14:paraId="11F6DB10" w14:textId="77777777" w:rsidTr="003974E4">
        <w:trPr>
          <w:tblHeader/>
        </w:trPr>
        <w:tc>
          <w:tcPr>
            <w:tcW w:w="5000" w:type="pct"/>
            <w:shd w:val="clear" w:color="auto" w:fill="auto"/>
          </w:tcPr>
          <w:p w14:paraId="6AAD35D3" w14:textId="5492AF7E" w:rsidR="001173DF" w:rsidRPr="00236C0A" w:rsidRDefault="00A949C5" w:rsidP="00A949C5">
            <w:pPr>
              <w:pStyle w:val="ListBullet2"/>
              <w:numPr>
                <w:ilvl w:val="0"/>
                <w:numId w:val="0"/>
              </w:numPr>
              <w:spacing w:before="0" w:after="0"/>
              <w:rPr>
                <w:rFonts w:eastAsiaTheme="majorEastAsia"/>
                <w:sz w:val="21"/>
                <w:szCs w:val="21"/>
              </w:rPr>
            </w:pPr>
            <w:r>
              <w:rPr>
                <w:b/>
              </w:rPr>
              <w:t xml:space="preserve">Box </w:t>
            </w:r>
            <w:r>
              <w:rPr>
                <w:b/>
              </w:rPr>
              <w:fldChar w:fldCharType="begin"/>
            </w:r>
            <w:r>
              <w:rPr>
                <w:b/>
              </w:rPr>
              <w:instrText xml:space="preserve"> STYLEREF 1 \s </w:instrText>
            </w:r>
            <w:r>
              <w:rPr>
                <w:b/>
              </w:rPr>
              <w:fldChar w:fldCharType="separate"/>
            </w:r>
            <w:r>
              <w:rPr>
                <w:b/>
                <w:noProof/>
              </w:rPr>
              <w:t>8</w:t>
            </w:r>
            <w:r>
              <w:rPr>
                <w:b/>
              </w:rPr>
              <w:fldChar w:fldCharType="end"/>
            </w:r>
            <w:r>
              <w:rPr>
                <w:b/>
              </w:rPr>
              <w:t>.</w:t>
            </w:r>
            <w:r>
              <w:rPr>
                <w:b/>
              </w:rPr>
              <w:fldChar w:fldCharType="begin"/>
            </w:r>
            <w:r>
              <w:rPr>
                <w:b/>
              </w:rPr>
              <w:instrText xml:space="preserve"> SEQ Box \* ARABIC \s 1 </w:instrText>
            </w:r>
            <w:r>
              <w:rPr>
                <w:b/>
              </w:rPr>
              <w:fldChar w:fldCharType="separate"/>
            </w:r>
            <w:r>
              <w:rPr>
                <w:b/>
                <w:noProof/>
              </w:rPr>
              <w:t>4</w:t>
            </w:r>
            <w:r>
              <w:rPr>
                <w:b/>
              </w:rPr>
              <w:fldChar w:fldCharType="end"/>
            </w:r>
            <w:r>
              <w:rPr>
                <w:b/>
              </w:rPr>
              <w:t>: Questions on where information should be published</w:t>
            </w:r>
          </w:p>
        </w:tc>
      </w:tr>
      <w:tr w:rsidR="00A949C5" w:rsidRPr="00236C0A" w14:paraId="36397E9A" w14:textId="77777777" w:rsidTr="003974E4">
        <w:tc>
          <w:tcPr>
            <w:tcW w:w="5000" w:type="pct"/>
            <w:shd w:val="clear" w:color="auto" w:fill="B7E7FF"/>
          </w:tcPr>
          <w:p w14:paraId="67C50C9F" w14:textId="77777777" w:rsidR="00A949C5" w:rsidRPr="00236C0A" w:rsidRDefault="00A949C5" w:rsidP="00A949C5">
            <w:pPr>
              <w:pStyle w:val="ListNumber"/>
              <w:keepNext/>
              <w:numPr>
                <w:ilvl w:val="0"/>
                <w:numId w:val="20"/>
              </w:numPr>
              <w:ind w:left="357" w:hanging="357"/>
              <w:rPr>
                <w:rFonts w:eastAsiaTheme="majorEastAsia"/>
                <w:sz w:val="21"/>
                <w:szCs w:val="21"/>
              </w:rPr>
            </w:pPr>
            <w:r w:rsidRPr="00236C0A">
              <w:rPr>
                <w:rFonts w:eastAsiaTheme="majorEastAsia"/>
                <w:sz w:val="21"/>
                <w:szCs w:val="21"/>
              </w:rPr>
              <w:t xml:space="preserve">Do you agree with the proposal to </w:t>
            </w:r>
            <w:r>
              <w:rPr>
                <w:rFonts w:eastAsiaTheme="majorEastAsia"/>
                <w:sz w:val="21"/>
                <w:szCs w:val="21"/>
              </w:rPr>
              <w:t xml:space="preserve">allow AEMO to </w:t>
            </w:r>
            <w:r w:rsidRPr="00236C0A">
              <w:rPr>
                <w:rFonts w:eastAsiaTheme="majorEastAsia"/>
                <w:sz w:val="21"/>
                <w:szCs w:val="21"/>
              </w:rPr>
              <w:t xml:space="preserve">publish information on: </w:t>
            </w:r>
          </w:p>
          <w:p w14:paraId="6F5578DA" w14:textId="77777777" w:rsidR="00A949C5" w:rsidRDefault="00A949C5" w:rsidP="00A949C5">
            <w:pPr>
              <w:pStyle w:val="ListBullet2"/>
              <w:rPr>
                <w:rFonts w:eastAsiaTheme="majorEastAsia"/>
                <w:sz w:val="21"/>
                <w:szCs w:val="21"/>
              </w:rPr>
            </w:pPr>
            <w:proofErr w:type="gramStart"/>
            <w:r w:rsidRPr="00236C0A">
              <w:rPr>
                <w:rFonts w:eastAsiaTheme="majorEastAsia"/>
                <w:sz w:val="21"/>
                <w:szCs w:val="21"/>
              </w:rPr>
              <w:t>exchange</w:t>
            </w:r>
            <w:proofErr w:type="gramEnd"/>
            <w:r w:rsidRPr="00236C0A">
              <w:rPr>
                <w:rFonts w:eastAsiaTheme="majorEastAsia"/>
                <w:sz w:val="21"/>
                <w:szCs w:val="21"/>
              </w:rPr>
              <w:t xml:space="preserve"> based trades on the GSH and the BB</w:t>
            </w:r>
            <w:r>
              <w:rPr>
                <w:rFonts w:eastAsiaTheme="majorEastAsia"/>
                <w:sz w:val="21"/>
                <w:szCs w:val="21"/>
              </w:rPr>
              <w:t xml:space="preserve"> website</w:t>
            </w:r>
            <w:r w:rsidRPr="00236C0A">
              <w:rPr>
                <w:rFonts w:eastAsiaTheme="majorEastAsia"/>
                <w:sz w:val="21"/>
                <w:szCs w:val="21"/>
              </w:rPr>
              <w:t xml:space="preserve">? </w:t>
            </w:r>
            <w:r>
              <w:rPr>
                <w:rFonts w:eastAsiaTheme="majorEastAsia"/>
                <w:sz w:val="21"/>
                <w:szCs w:val="21"/>
              </w:rPr>
              <w:t>If not, please explain why</w:t>
            </w:r>
            <w:r w:rsidRPr="00236C0A">
              <w:rPr>
                <w:rFonts w:eastAsiaTheme="majorEastAsia"/>
                <w:sz w:val="21"/>
                <w:szCs w:val="21"/>
              </w:rPr>
              <w:t>.</w:t>
            </w:r>
          </w:p>
          <w:p w14:paraId="61E8ACC9" w14:textId="3D0A3516" w:rsidR="00A949C5" w:rsidRPr="00A949C5" w:rsidRDefault="00A949C5" w:rsidP="00A949C5">
            <w:pPr>
              <w:pStyle w:val="ListBullet2"/>
              <w:rPr>
                <w:rFonts w:eastAsiaTheme="majorEastAsia"/>
                <w:sz w:val="21"/>
                <w:szCs w:val="21"/>
              </w:rPr>
            </w:pPr>
            <w:proofErr w:type="gramStart"/>
            <w:r w:rsidRPr="00A949C5">
              <w:rPr>
                <w:rFonts w:eastAsiaTheme="majorEastAsia"/>
                <w:sz w:val="21"/>
                <w:szCs w:val="21"/>
              </w:rPr>
              <w:t>bilateral</w:t>
            </w:r>
            <w:proofErr w:type="gramEnd"/>
            <w:r w:rsidRPr="00A949C5">
              <w:rPr>
                <w:rFonts w:eastAsiaTheme="majorEastAsia"/>
                <w:sz w:val="21"/>
                <w:szCs w:val="21"/>
              </w:rPr>
              <w:t xml:space="preserve"> trades on the BB website? If not, please explain why.</w:t>
            </w:r>
          </w:p>
        </w:tc>
      </w:tr>
    </w:tbl>
    <w:p w14:paraId="793DFE60" w14:textId="7402B420" w:rsidR="00F74083" w:rsidRDefault="00F74083" w:rsidP="003D3EC8">
      <w:pPr>
        <w:pStyle w:val="Heading2"/>
        <w:spacing w:after="120"/>
      </w:pPr>
      <w:bookmarkStart w:id="159" w:name="_Toc495351664"/>
      <w:r>
        <w:t>Summary of the proposed reporting requirements</w:t>
      </w:r>
      <w:bookmarkEnd w:id="159"/>
      <w:r>
        <w:t xml:space="preserve"> </w:t>
      </w:r>
    </w:p>
    <w:p w14:paraId="26C528F0" w14:textId="4A43376B" w:rsidR="00F74083" w:rsidRPr="00F74083" w:rsidRDefault="00245DAA" w:rsidP="003D3EC8">
      <w:pPr>
        <w:pStyle w:val="BodyText"/>
        <w:spacing w:before="120" w:after="0"/>
      </w:pPr>
      <w:r>
        <w:fldChar w:fldCharType="begin"/>
      </w:r>
      <w:r>
        <w:instrText xml:space="preserve"> REF _Ref494551046 \h </w:instrText>
      </w:r>
      <w:r>
        <w:fldChar w:fldCharType="separate"/>
      </w:r>
      <w:r w:rsidR="00272B32">
        <w:t xml:space="preserve">Table </w:t>
      </w:r>
      <w:r w:rsidR="00272B32">
        <w:rPr>
          <w:noProof/>
        </w:rPr>
        <w:t>8</w:t>
      </w:r>
      <w:r w:rsidR="00272B32">
        <w:t>.</w:t>
      </w:r>
      <w:r w:rsidR="00272B32">
        <w:rPr>
          <w:noProof/>
        </w:rPr>
        <w:t>2</w:t>
      </w:r>
      <w:r>
        <w:fldChar w:fldCharType="end"/>
      </w:r>
      <w:r>
        <w:t xml:space="preserve"> </w:t>
      </w:r>
      <w:r w:rsidR="00F74083">
        <w:t>provides a summary of the GMRG’s preliminary view on the reporting requirements for exchanged traded capacity products and bilateral capacity trades.</w:t>
      </w:r>
      <w:r w:rsidR="00933FF7">
        <w:t xml:space="preserve"> Table A.2 in Appendix A shows how these preliminary views compare with the AEMC’s recommendations.</w:t>
      </w:r>
    </w:p>
    <w:p w14:paraId="08C41313" w14:textId="4BF72EA1" w:rsidR="00F74083" w:rsidRPr="00F74083" w:rsidRDefault="00F74083" w:rsidP="00917A06">
      <w:pPr>
        <w:pStyle w:val="Caption"/>
        <w:spacing w:before="120" w:after="0"/>
      </w:pPr>
      <w:bookmarkStart w:id="160" w:name="_Ref494551046"/>
      <w:r>
        <w:t xml:space="preserve">Table </w:t>
      </w:r>
      <w:r w:rsidR="00115A93">
        <w:fldChar w:fldCharType="begin"/>
      </w:r>
      <w:r w:rsidR="00115A93">
        <w:instrText xml:space="preserve"> STYLEREF 1 \s </w:instrText>
      </w:r>
      <w:r w:rsidR="00115A93">
        <w:fldChar w:fldCharType="separate"/>
      </w:r>
      <w:r w:rsidR="00272B32">
        <w:rPr>
          <w:noProof/>
        </w:rPr>
        <w:t>8</w:t>
      </w:r>
      <w:r w:rsidR="00115A93">
        <w:rPr>
          <w:noProof/>
        </w:rPr>
        <w:fldChar w:fldCharType="end"/>
      </w:r>
      <w:r w:rsidR="009A057E">
        <w:t>.</w:t>
      </w:r>
      <w:r w:rsidR="00115A93">
        <w:fldChar w:fldCharType="begin"/>
      </w:r>
      <w:r w:rsidR="00115A93">
        <w:instrText xml:space="preserve"> SEQ Table \* ARABIC \s 1 </w:instrText>
      </w:r>
      <w:r w:rsidR="00115A93">
        <w:fldChar w:fldCharType="separate"/>
      </w:r>
      <w:r w:rsidR="00272B32">
        <w:rPr>
          <w:noProof/>
        </w:rPr>
        <w:t>2</w:t>
      </w:r>
      <w:r w:rsidR="00115A93">
        <w:rPr>
          <w:noProof/>
        </w:rPr>
        <w:fldChar w:fldCharType="end"/>
      </w:r>
      <w:bookmarkEnd w:id="160"/>
      <w:r>
        <w:t>: Summary of GMRG’s preliminary view on the reporting requirements</w:t>
      </w:r>
    </w:p>
    <w:tbl>
      <w:tblPr>
        <w:tblStyle w:val="TableGrid"/>
        <w:tblW w:w="5000" w:type="pct"/>
        <w:tblLook w:val="04A0" w:firstRow="1" w:lastRow="0" w:firstColumn="1" w:lastColumn="0" w:noHBand="0" w:noVBand="1"/>
        <w:tblCaption w:val="Table 8.2: Summary of GMRG’s preliminary view on the reporting requirements"/>
        <w:tblDescription w:val="Summary of GMRG’s preliminary view on the reporting requirements"/>
      </w:tblPr>
      <w:tblGrid>
        <w:gridCol w:w="2371"/>
        <w:gridCol w:w="3299"/>
        <w:gridCol w:w="3118"/>
      </w:tblGrid>
      <w:tr w:rsidR="00F74083" w:rsidRPr="002B05CA" w14:paraId="612693C4" w14:textId="77777777" w:rsidTr="00F74083">
        <w:trPr>
          <w:cnfStyle w:val="100000000000" w:firstRow="1" w:lastRow="0" w:firstColumn="0" w:lastColumn="0" w:oddVBand="0" w:evenVBand="0" w:oddHBand="0" w:evenHBand="0" w:firstRowFirstColumn="0" w:firstRowLastColumn="0" w:lastRowFirstColumn="0" w:lastRowLastColumn="0"/>
          <w:cantSplit/>
          <w:tblHeader/>
        </w:trPr>
        <w:tc>
          <w:tcPr>
            <w:tcW w:w="1349" w:type="pct"/>
            <w:shd w:val="clear" w:color="auto" w:fill="0099CC"/>
            <w:hideMark/>
          </w:tcPr>
          <w:p w14:paraId="7DA5EE9E" w14:textId="0E2272EC" w:rsidR="00F74083" w:rsidRPr="002B05CA" w:rsidRDefault="00F74083" w:rsidP="00917A06">
            <w:pPr>
              <w:pStyle w:val="TableHeading"/>
              <w:keepNext/>
              <w:spacing w:before="20" w:after="20" w:line="240" w:lineRule="auto"/>
              <w:rPr>
                <w:sz w:val="20"/>
                <w:szCs w:val="20"/>
              </w:rPr>
            </w:pPr>
          </w:p>
        </w:tc>
        <w:tc>
          <w:tcPr>
            <w:tcW w:w="1877" w:type="pct"/>
            <w:shd w:val="clear" w:color="auto" w:fill="0099CC"/>
            <w:hideMark/>
          </w:tcPr>
          <w:p w14:paraId="61C012BD" w14:textId="1F7C3A2B" w:rsidR="00F74083" w:rsidRPr="002B05CA" w:rsidRDefault="00F74083" w:rsidP="002B05CA">
            <w:pPr>
              <w:pStyle w:val="TableHeading"/>
              <w:keepNext/>
              <w:spacing w:before="20" w:after="20" w:line="240" w:lineRule="auto"/>
              <w:jc w:val="center"/>
              <w:rPr>
                <w:sz w:val="20"/>
                <w:szCs w:val="20"/>
              </w:rPr>
            </w:pPr>
            <w:r w:rsidRPr="002B05CA">
              <w:rPr>
                <w:sz w:val="20"/>
                <w:szCs w:val="20"/>
              </w:rPr>
              <w:t>Exchange traded capacity products</w:t>
            </w:r>
          </w:p>
        </w:tc>
        <w:tc>
          <w:tcPr>
            <w:tcW w:w="1774" w:type="pct"/>
            <w:shd w:val="clear" w:color="auto" w:fill="0099CC"/>
            <w:hideMark/>
          </w:tcPr>
          <w:p w14:paraId="209BD9DE" w14:textId="0639BB25" w:rsidR="00F74083" w:rsidRPr="002B05CA" w:rsidRDefault="00F74083" w:rsidP="002B05CA">
            <w:pPr>
              <w:pStyle w:val="TableHeading"/>
              <w:keepNext/>
              <w:spacing w:before="20" w:after="20" w:line="240" w:lineRule="auto"/>
              <w:jc w:val="center"/>
              <w:rPr>
                <w:sz w:val="20"/>
                <w:szCs w:val="20"/>
              </w:rPr>
            </w:pPr>
            <w:r w:rsidRPr="002B05CA">
              <w:rPr>
                <w:sz w:val="20"/>
                <w:szCs w:val="20"/>
              </w:rPr>
              <w:t>Bilateral capacity trades</w:t>
            </w:r>
          </w:p>
        </w:tc>
      </w:tr>
      <w:tr w:rsidR="00F74083" w:rsidRPr="002B05CA" w14:paraId="128B6A5D" w14:textId="77777777" w:rsidTr="00F74083">
        <w:trPr>
          <w:cantSplit/>
        </w:trPr>
        <w:tc>
          <w:tcPr>
            <w:tcW w:w="1349" w:type="pct"/>
          </w:tcPr>
          <w:p w14:paraId="65FA03B5" w14:textId="30FD63C8" w:rsidR="00F74083" w:rsidRPr="002B05CA" w:rsidRDefault="00F74083" w:rsidP="00917A06">
            <w:pPr>
              <w:pStyle w:val="TableBodyText"/>
              <w:keepNext/>
              <w:spacing w:before="20" w:after="20" w:line="240" w:lineRule="auto"/>
              <w:rPr>
                <w:sz w:val="20"/>
                <w:szCs w:val="20"/>
                <w:lang w:val="en-US"/>
              </w:rPr>
            </w:pPr>
            <w:r w:rsidRPr="002B05CA">
              <w:rPr>
                <w:sz w:val="20"/>
                <w:szCs w:val="20"/>
                <w:lang w:val="en-US"/>
              </w:rPr>
              <w:t>Types of trades to be reported</w:t>
            </w:r>
          </w:p>
        </w:tc>
        <w:tc>
          <w:tcPr>
            <w:tcW w:w="1877" w:type="pct"/>
          </w:tcPr>
          <w:p w14:paraId="436D32C3" w14:textId="222CCC91" w:rsidR="00F74083" w:rsidRPr="002B05CA" w:rsidRDefault="00F74083" w:rsidP="00917A06">
            <w:pPr>
              <w:pStyle w:val="TableBodyText"/>
              <w:keepNext/>
              <w:spacing w:before="20" w:after="20" w:line="240" w:lineRule="auto"/>
              <w:rPr>
                <w:iCs/>
                <w:sz w:val="20"/>
                <w:szCs w:val="20"/>
                <w:lang w:val="en-US"/>
              </w:rPr>
            </w:pPr>
            <w:r w:rsidRPr="002B05CA">
              <w:rPr>
                <w:iCs/>
                <w:sz w:val="20"/>
                <w:szCs w:val="20"/>
                <w:lang w:val="en-US"/>
              </w:rPr>
              <w:t xml:space="preserve">All screen and pre-matched trades </w:t>
            </w:r>
          </w:p>
        </w:tc>
        <w:tc>
          <w:tcPr>
            <w:tcW w:w="1774" w:type="pct"/>
          </w:tcPr>
          <w:p w14:paraId="4F412DEB" w14:textId="395510CD" w:rsidR="00F74083" w:rsidRPr="002B05CA" w:rsidRDefault="00F74083" w:rsidP="00917A06">
            <w:pPr>
              <w:pStyle w:val="TableBodyText"/>
              <w:keepNext/>
              <w:spacing w:before="20" w:after="20" w:line="240" w:lineRule="auto"/>
              <w:rPr>
                <w:iCs/>
                <w:sz w:val="20"/>
                <w:szCs w:val="20"/>
                <w:lang w:val="en-US"/>
              </w:rPr>
            </w:pPr>
            <w:r w:rsidRPr="002B05CA">
              <w:rPr>
                <w:iCs/>
                <w:sz w:val="20"/>
                <w:szCs w:val="20"/>
                <w:lang w:val="en-US"/>
              </w:rPr>
              <w:t>All secondary trades of capacity involving forward haul, backhaul, park, park and loan and/or compression services.</w:t>
            </w:r>
          </w:p>
        </w:tc>
      </w:tr>
      <w:tr w:rsidR="00F74083" w:rsidRPr="002B05CA" w14:paraId="38EE79B0" w14:textId="77777777" w:rsidTr="00F74083">
        <w:trPr>
          <w:cnfStyle w:val="000000010000" w:firstRow="0" w:lastRow="0" w:firstColumn="0" w:lastColumn="0" w:oddVBand="0" w:evenVBand="0" w:oddHBand="0" w:evenHBand="1" w:firstRowFirstColumn="0" w:firstRowLastColumn="0" w:lastRowFirstColumn="0" w:lastRowLastColumn="0"/>
          <w:cantSplit/>
        </w:trPr>
        <w:tc>
          <w:tcPr>
            <w:tcW w:w="1349" w:type="pct"/>
            <w:hideMark/>
          </w:tcPr>
          <w:p w14:paraId="1FFFABCF" w14:textId="3F0D9215" w:rsidR="00F74083" w:rsidRPr="002B05CA" w:rsidRDefault="00F74083" w:rsidP="008F3C8D">
            <w:pPr>
              <w:pStyle w:val="TableBodyText"/>
              <w:spacing w:before="20" w:after="20" w:line="240" w:lineRule="auto"/>
              <w:rPr>
                <w:sz w:val="20"/>
                <w:szCs w:val="20"/>
              </w:rPr>
            </w:pPr>
            <w:r w:rsidRPr="002B05CA">
              <w:rPr>
                <w:sz w:val="20"/>
                <w:szCs w:val="20"/>
                <w:lang w:val="en-US"/>
              </w:rPr>
              <w:t>Information to be reported</w:t>
            </w:r>
          </w:p>
        </w:tc>
        <w:tc>
          <w:tcPr>
            <w:tcW w:w="3651" w:type="pct"/>
            <w:gridSpan w:val="2"/>
          </w:tcPr>
          <w:p w14:paraId="0956E750" w14:textId="70302351" w:rsidR="00F74083" w:rsidRPr="002B05CA" w:rsidRDefault="00F74083" w:rsidP="008F3C8D">
            <w:pPr>
              <w:pStyle w:val="TableBullet1"/>
              <w:spacing w:before="20" w:after="20" w:line="240" w:lineRule="auto"/>
              <w:rPr>
                <w:sz w:val="20"/>
                <w:szCs w:val="20"/>
              </w:rPr>
            </w:pPr>
            <w:r w:rsidRPr="002B05CA">
              <w:rPr>
                <w:sz w:val="20"/>
                <w:szCs w:val="20"/>
              </w:rPr>
              <w:t xml:space="preserve">Date of trade and </w:t>
            </w:r>
            <w:r w:rsidR="00C6416E" w:rsidRPr="002B05CA">
              <w:rPr>
                <w:sz w:val="20"/>
                <w:szCs w:val="20"/>
              </w:rPr>
              <w:t>start and end dates for the trade</w:t>
            </w:r>
          </w:p>
          <w:p w14:paraId="65F4A2BB" w14:textId="77777777" w:rsidR="00F74083" w:rsidRPr="002B05CA" w:rsidRDefault="00F74083" w:rsidP="008F3C8D">
            <w:pPr>
              <w:pStyle w:val="TableBullet1"/>
              <w:spacing w:before="20" w:after="20" w:line="240" w:lineRule="auto"/>
              <w:rPr>
                <w:sz w:val="20"/>
                <w:szCs w:val="20"/>
              </w:rPr>
            </w:pPr>
            <w:r w:rsidRPr="002B05CA">
              <w:rPr>
                <w:sz w:val="20"/>
                <w:szCs w:val="20"/>
              </w:rPr>
              <w:t xml:space="preserve">Pipeline or compression facility </w:t>
            </w:r>
          </w:p>
          <w:p w14:paraId="7513C263" w14:textId="77777777" w:rsidR="00F74083" w:rsidRPr="002B05CA" w:rsidRDefault="00F74083" w:rsidP="008F3C8D">
            <w:pPr>
              <w:pStyle w:val="TableBullet1"/>
              <w:spacing w:before="20" w:after="20" w:line="240" w:lineRule="auto"/>
              <w:rPr>
                <w:sz w:val="20"/>
                <w:szCs w:val="20"/>
              </w:rPr>
            </w:pPr>
            <w:r w:rsidRPr="002B05CA">
              <w:rPr>
                <w:sz w:val="20"/>
                <w:szCs w:val="20"/>
              </w:rPr>
              <w:t xml:space="preserve">Service type (i.e. forward haul, backhaul, park and loan, compression), firmness, service priority </w:t>
            </w:r>
          </w:p>
          <w:p w14:paraId="121543BB" w14:textId="77777777" w:rsidR="00F74083" w:rsidRPr="002B05CA" w:rsidRDefault="00F74083" w:rsidP="008F3C8D">
            <w:pPr>
              <w:pStyle w:val="TableBullet1"/>
              <w:spacing w:before="20" w:after="20" w:line="240" w:lineRule="auto"/>
              <w:rPr>
                <w:sz w:val="20"/>
                <w:szCs w:val="20"/>
              </w:rPr>
            </w:pPr>
            <w:r w:rsidRPr="002B05CA">
              <w:rPr>
                <w:sz w:val="20"/>
                <w:szCs w:val="20"/>
              </w:rPr>
              <w:t>Direction of service and zones between which gas is transported</w:t>
            </w:r>
          </w:p>
          <w:p w14:paraId="54D428D6" w14:textId="49DE9465" w:rsidR="00F74083" w:rsidRPr="002B05CA" w:rsidRDefault="00F74083" w:rsidP="008F3C8D">
            <w:pPr>
              <w:pStyle w:val="TableBullet1"/>
              <w:spacing w:before="20" w:after="20" w:line="240" w:lineRule="auto"/>
              <w:rPr>
                <w:sz w:val="20"/>
                <w:szCs w:val="20"/>
              </w:rPr>
            </w:pPr>
            <w:r w:rsidRPr="002B05CA">
              <w:rPr>
                <w:sz w:val="20"/>
                <w:szCs w:val="20"/>
              </w:rPr>
              <w:t>Price (ex GST) (including details of the price structure and price escalation mechanism for bilateral trades)</w:t>
            </w:r>
          </w:p>
          <w:p w14:paraId="16678A98" w14:textId="77777777" w:rsidR="00F74083" w:rsidRPr="002B05CA" w:rsidRDefault="00F74083" w:rsidP="008F3C8D">
            <w:pPr>
              <w:pStyle w:val="TableBullet1"/>
              <w:spacing w:before="20" w:after="20" w:line="240" w:lineRule="auto"/>
              <w:rPr>
                <w:sz w:val="20"/>
                <w:szCs w:val="20"/>
              </w:rPr>
            </w:pPr>
            <w:r w:rsidRPr="002B05CA">
              <w:rPr>
                <w:sz w:val="20"/>
                <w:szCs w:val="20"/>
              </w:rPr>
              <w:t>MDQ and MHQ</w:t>
            </w:r>
          </w:p>
          <w:p w14:paraId="6F154558" w14:textId="773B2DDC" w:rsidR="00F74083" w:rsidRPr="002B05CA" w:rsidRDefault="00F74083" w:rsidP="008F3C8D">
            <w:pPr>
              <w:pStyle w:val="TableBullet1"/>
              <w:spacing w:before="20" w:after="20" w:line="240" w:lineRule="auto"/>
              <w:rPr>
                <w:sz w:val="20"/>
                <w:szCs w:val="20"/>
              </w:rPr>
            </w:pPr>
            <w:r w:rsidRPr="002B05CA">
              <w:rPr>
                <w:sz w:val="20"/>
                <w:szCs w:val="20"/>
              </w:rPr>
              <w:t>Type of trade and how it is given effect (e.g. exchange traded products could be classified as screen trades or pre-matched trades and further classified as being given effect through an operational GTA or primary GTA, while bilateral trades could be classified as involving a bare transfer or operational transfer)</w:t>
            </w:r>
          </w:p>
        </w:tc>
      </w:tr>
      <w:tr w:rsidR="00F74083" w:rsidRPr="002B05CA" w14:paraId="7CA77E62" w14:textId="77777777" w:rsidTr="00F74083">
        <w:trPr>
          <w:cantSplit/>
        </w:trPr>
        <w:tc>
          <w:tcPr>
            <w:tcW w:w="1349" w:type="pct"/>
            <w:hideMark/>
          </w:tcPr>
          <w:p w14:paraId="49A952F1" w14:textId="6CDD5513" w:rsidR="00F74083" w:rsidRPr="002B05CA" w:rsidRDefault="00F74083" w:rsidP="008F3C8D">
            <w:pPr>
              <w:pStyle w:val="TableBodyText"/>
              <w:spacing w:before="20" w:after="20" w:line="240" w:lineRule="auto"/>
              <w:rPr>
                <w:sz w:val="20"/>
                <w:szCs w:val="20"/>
              </w:rPr>
            </w:pPr>
            <w:r w:rsidRPr="002B05CA">
              <w:rPr>
                <w:sz w:val="20"/>
                <w:szCs w:val="20"/>
                <w:lang w:val="en-US"/>
              </w:rPr>
              <w:t>Responsibility for reporting</w:t>
            </w:r>
          </w:p>
        </w:tc>
        <w:tc>
          <w:tcPr>
            <w:tcW w:w="1877" w:type="pct"/>
            <w:hideMark/>
          </w:tcPr>
          <w:p w14:paraId="7FDFC5CF" w14:textId="77777777" w:rsidR="00F74083" w:rsidRPr="002B05CA" w:rsidRDefault="00F74083" w:rsidP="008F3C8D">
            <w:pPr>
              <w:pStyle w:val="TableBodyText"/>
              <w:spacing w:before="20" w:after="20" w:line="240" w:lineRule="auto"/>
              <w:rPr>
                <w:sz w:val="20"/>
                <w:szCs w:val="20"/>
              </w:rPr>
            </w:pPr>
            <w:r w:rsidRPr="002B05CA">
              <w:rPr>
                <w:sz w:val="20"/>
                <w:szCs w:val="20"/>
                <w:lang w:val="en-US"/>
              </w:rPr>
              <w:t>AEMO</w:t>
            </w:r>
          </w:p>
        </w:tc>
        <w:tc>
          <w:tcPr>
            <w:tcW w:w="1774" w:type="pct"/>
            <w:hideMark/>
          </w:tcPr>
          <w:p w14:paraId="46B4835F" w14:textId="4E20A06B" w:rsidR="00F74083" w:rsidRPr="002B05CA" w:rsidRDefault="00F74083" w:rsidP="008F3C8D">
            <w:pPr>
              <w:pStyle w:val="TableBodyText"/>
              <w:spacing w:before="20" w:after="20" w:line="240" w:lineRule="auto"/>
              <w:rPr>
                <w:sz w:val="20"/>
                <w:szCs w:val="20"/>
              </w:rPr>
            </w:pPr>
            <w:r w:rsidRPr="002B05CA">
              <w:rPr>
                <w:sz w:val="20"/>
                <w:szCs w:val="20"/>
                <w:lang w:val="en-US"/>
              </w:rPr>
              <w:t xml:space="preserve">Seller </w:t>
            </w:r>
          </w:p>
        </w:tc>
      </w:tr>
      <w:tr w:rsidR="00F74083" w:rsidRPr="002B05CA" w14:paraId="5261A2FC" w14:textId="77777777" w:rsidTr="00F74083">
        <w:trPr>
          <w:cnfStyle w:val="000000010000" w:firstRow="0" w:lastRow="0" w:firstColumn="0" w:lastColumn="0" w:oddVBand="0" w:evenVBand="0" w:oddHBand="0" w:evenHBand="1" w:firstRowFirstColumn="0" w:firstRowLastColumn="0" w:lastRowFirstColumn="0" w:lastRowLastColumn="0"/>
          <w:cantSplit/>
        </w:trPr>
        <w:tc>
          <w:tcPr>
            <w:tcW w:w="1349" w:type="pct"/>
            <w:hideMark/>
          </w:tcPr>
          <w:p w14:paraId="12A70498" w14:textId="77777777" w:rsidR="00F74083" w:rsidRPr="002B05CA" w:rsidRDefault="00F74083" w:rsidP="008F3C8D">
            <w:pPr>
              <w:pStyle w:val="TableBodyText"/>
              <w:spacing w:before="20" w:after="20" w:line="240" w:lineRule="auto"/>
              <w:rPr>
                <w:sz w:val="20"/>
                <w:szCs w:val="20"/>
              </w:rPr>
            </w:pPr>
            <w:r w:rsidRPr="002B05CA">
              <w:rPr>
                <w:sz w:val="20"/>
                <w:szCs w:val="20"/>
                <w:lang w:val="en-US"/>
              </w:rPr>
              <w:t>When information is published</w:t>
            </w:r>
          </w:p>
        </w:tc>
        <w:tc>
          <w:tcPr>
            <w:tcW w:w="1877" w:type="pct"/>
            <w:hideMark/>
          </w:tcPr>
          <w:p w14:paraId="2C67E63B" w14:textId="77777777" w:rsidR="00F74083" w:rsidRPr="002B05CA" w:rsidRDefault="00F74083" w:rsidP="008F3C8D">
            <w:pPr>
              <w:pStyle w:val="TableBodyText"/>
              <w:spacing w:before="20" w:after="20" w:line="240" w:lineRule="auto"/>
              <w:rPr>
                <w:sz w:val="20"/>
                <w:szCs w:val="20"/>
              </w:rPr>
            </w:pPr>
            <w:r w:rsidRPr="002B05CA">
              <w:rPr>
                <w:sz w:val="20"/>
                <w:szCs w:val="20"/>
                <w:lang w:val="en-US"/>
              </w:rPr>
              <w:t>As soon as practicable after trade</w:t>
            </w:r>
          </w:p>
        </w:tc>
        <w:tc>
          <w:tcPr>
            <w:tcW w:w="1774" w:type="pct"/>
            <w:hideMark/>
          </w:tcPr>
          <w:p w14:paraId="42142EBC" w14:textId="4A1A10E0" w:rsidR="00F74083" w:rsidRPr="002B05CA" w:rsidRDefault="00F74083" w:rsidP="008F3C8D">
            <w:pPr>
              <w:pStyle w:val="TableBodyText"/>
              <w:spacing w:before="20" w:after="20" w:line="240" w:lineRule="auto"/>
              <w:rPr>
                <w:sz w:val="20"/>
                <w:szCs w:val="20"/>
              </w:rPr>
            </w:pPr>
            <w:r w:rsidRPr="002B05CA">
              <w:rPr>
                <w:sz w:val="20"/>
                <w:szCs w:val="20"/>
              </w:rPr>
              <w:t>The earlier of:</w:t>
            </w:r>
          </w:p>
          <w:p w14:paraId="1B51A775" w14:textId="77777777" w:rsidR="00F74083" w:rsidRPr="002B05CA" w:rsidRDefault="00F74083" w:rsidP="006357C9">
            <w:pPr>
              <w:pStyle w:val="TableBullet1"/>
            </w:pPr>
            <w:r w:rsidRPr="002B05CA">
              <w:t>one day after the trade is executed; and</w:t>
            </w:r>
          </w:p>
          <w:p w14:paraId="28F822F4" w14:textId="523F3ABD" w:rsidR="00F74083" w:rsidRPr="002B05CA" w:rsidRDefault="00F74083" w:rsidP="006357C9">
            <w:pPr>
              <w:pStyle w:val="TableBullet1"/>
            </w:pPr>
            <w:proofErr w:type="gramStart"/>
            <w:r w:rsidRPr="002B05CA">
              <w:t>the</w:t>
            </w:r>
            <w:proofErr w:type="gramEnd"/>
            <w:r w:rsidRPr="002B05CA">
              <w:t xml:space="preserve"> day prior to the trade commencing (D-1).</w:t>
            </w:r>
            <w:r w:rsidR="006B7AC6">
              <w:t xml:space="preserve"> </w:t>
            </w:r>
          </w:p>
        </w:tc>
      </w:tr>
      <w:tr w:rsidR="00F74083" w:rsidRPr="002B05CA" w14:paraId="5E3D6FE7" w14:textId="77777777" w:rsidTr="00F74083">
        <w:trPr>
          <w:cantSplit/>
        </w:trPr>
        <w:tc>
          <w:tcPr>
            <w:tcW w:w="1349" w:type="pct"/>
            <w:hideMark/>
          </w:tcPr>
          <w:p w14:paraId="1ADAD4C2" w14:textId="77777777" w:rsidR="00F74083" w:rsidRPr="002B05CA" w:rsidRDefault="00F74083" w:rsidP="008F3C8D">
            <w:pPr>
              <w:pStyle w:val="TableBodyText"/>
              <w:spacing w:before="20" w:after="20" w:line="240" w:lineRule="auto"/>
              <w:rPr>
                <w:sz w:val="20"/>
                <w:szCs w:val="20"/>
              </w:rPr>
            </w:pPr>
            <w:r w:rsidRPr="002B05CA">
              <w:rPr>
                <w:sz w:val="20"/>
                <w:szCs w:val="20"/>
                <w:lang w:val="en-US"/>
              </w:rPr>
              <w:t>Where information is published</w:t>
            </w:r>
          </w:p>
        </w:tc>
        <w:tc>
          <w:tcPr>
            <w:tcW w:w="1877" w:type="pct"/>
            <w:hideMark/>
          </w:tcPr>
          <w:p w14:paraId="5820E66D" w14:textId="0E81E948" w:rsidR="00F74083" w:rsidRPr="002B05CA" w:rsidRDefault="00F74083" w:rsidP="008F3C8D">
            <w:pPr>
              <w:pStyle w:val="TableBodyText"/>
              <w:spacing w:before="20" w:after="20" w:line="240" w:lineRule="auto"/>
              <w:rPr>
                <w:sz w:val="20"/>
                <w:szCs w:val="20"/>
              </w:rPr>
            </w:pPr>
            <w:r w:rsidRPr="002B05CA">
              <w:rPr>
                <w:sz w:val="20"/>
                <w:szCs w:val="20"/>
              </w:rPr>
              <w:t>GSH and BB</w:t>
            </w:r>
            <w:r w:rsidR="004F7523" w:rsidRPr="002B05CA">
              <w:rPr>
                <w:sz w:val="20"/>
                <w:szCs w:val="20"/>
              </w:rPr>
              <w:t xml:space="preserve"> website</w:t>
            </w:r>
          </w:p>
        </w:tc>
        <w:tc>
          <w:tcPr>
            <w:tcW w:w="1774" w:type="pct"/>
            <w:hideMark/>
          </w:tcPr>
          <w:p w14:paraId="0134B62C" w14:textId="5126EC48" w:rsidR="00F74083" w:rsidRPr="002B05CA" w:rsidRDefault="00A60A3D" w:rsidP="008F3C8D">
            <w:pPr>
              <w:pStyle w:val="TableBodyText"/>
              <w:spacing w:before="20" w:after="20" w:line="240" w:lineRule="auto"/>
              <w:rPr>
                <w:sz w:val="20"/>
                <w:szCs w:val="20"/>
              </w:rPr>
            </w:pPr>
            <w:r w:rsidRPr="002B05CA">
              <w:rPr>
                <w:sz w:val="20"/>
                <w:szCs w:val="20"/>
                <w:lang w:val="en-US"/>
              </w:rPr>
              <w:t xml:space="preserve">GSH and </w:t>
            </w:r>
            <w:r w:rsidR="00F74083" w:rsidRPr="002B05CA">
              <w:rPr>
                <w:sz w:val="20"/>
                <w:szCs w:val="20"/>
                <w:lang w:val="en-US"/>
              </w:rPr>
              <w:t>BB</w:t>
            </w:r>
            <w:r w:rsidR="004F7523" w:rsidRPr="002B05CA">
              <w:rPr>
                <w:sz w:val="20"/>
                <w:szCs w:val="20"/>
                <w:lang w:val="en-US"/>
              </w:rPr>
              <w:t xml:space="preserve"> website</w:t>
            </w:r>
          </w:p>
        </w:tc>
      </w:tr>
    </w:tbl>
    <w:p w14:paraId="135C5D6E" w14:textId="29E32C82" w:rsidR="00F65A13" w:rsidRPr="008F3C8D" w:rsidRDefault="00F65A13" w:rsidP="008F3C8D">
      <w:pPr>
        <w:pStyle w:val="BodyText"/>
        <w:spacing w:before="0" w:after="0" w:line="240" w:lineRule="auto"/>
        <w:rPr>
          <w:sz w:val="2"/>
          <w:szCs w:val="2"/>
        </w:rPr>
      </w:pPr>
      <w:bookmarkStart w:id="161" w:name="_Toc489464933"/>
      <w:r w:rsidRPr="008F3C8D">
        <w:rPr>
          <w:sz w:val="2"/>
          <w:szCs w:val="2"/>
        </w:rPr>
        <w:br w:type="page"/>
      </w:r>
    </w:p>
    <w:p w14:paraId="5A98F6DD" w14:textId="1F315F53" w:rsidR="00C34E9D" w:rsidRDefault="009C10FD" w:rsidP="00F65A13">
      <w:pPr>
        <w:pStyle w:val="Heading1"/>
      </w:pPr>
      <w:bookmarkStart w:id="162" w:name="_Toc495351665"/>
      <w:r>
        <w:t xml:space="preserve">Governance </w:t>
      </w:r>
      <w:bookmarkEnd w:id="161"/>
      <w:r>
        <w:t>Arrangements</w:t>
      </w:r>
      <w:r w:rsidR="00C46A11">
        <w:t xml:space="preserve"> for </w:t>
      </w:r>
      <w:r w:rsidR="00A60A3D">
        <w:t xml:space="preserve">the </w:t>
      </w:r>
      <w:r w:rsidR="00C46A11">
        <w:t>Reporting Framework</w:t>
      </w:r>
      <w:r w:rsidR="00A60A3D">
        <w:t xml:space="preserve"> for Secondary Trades</w:t>
      </w:r>
      <w:bookmarkEnd w:id="162"/>
    </w:p>
    <w:p w14:paraId="165A0DEF" w14:textId="72F63F42" w:rsidR="00A60A3D" w:rsidRDefault="00A60A3D" w:rsidP="00A60A3D">
      <w:pPr>
        <w:pStyle w:val="BodyText"/>
      </w:pPr>
      <w:r>
        <w:t>To give effect to the reporting framework for secondary capacity trades</w:t>
      </w:r>
      <w:r w:rsidR="003D3EC8">
        <w:t xml:space="preserve"> outlined in the preceding chapter</w:t>
      </w:r>
      <w:r>
        <w:t>, a number of changes will need to be made to the NG</w:t>
      </w:r>
      <w:r w:rsidR="00C6416E">
        <w:t xml:space="preserve">L, NGR and Exchange Agreement. </w:t>
      </w:r>
      <w:r>
        <w:fldChar w:fldCharType="begin"/>
      </w:r>
      <w:r>
        <w:instrText xml:space="preserve"> REF _Ref491918646 \h </w:instrText>
      </w:r>
      <w:r>
        <w:fldChar w:fldCharType="separate"/>
      </w:r>
      <w:r w:rsidR="00272B32" w:rsidRPr="004F7523">
        <w:t xml:space="preserve">Table </w:t>
      </w:r>
      <w:r w:rsidR="00272B32">
        <w:rPr>
          <w:noProof/>
        </w:rPr>
        <w:t>9</w:t>
      </w:r>
      <w:r w:rsidR="00272B32">
        <w:t>.</w:t>
      </w:r>
      <w:r w:rsidR="00272B32">
        <w:rPr>
          <w:noProof/>
        </w:rPr>
        <w:t>1</w:t>
      </w:r>
      <w:r>
        <w:fldChar w:fldCharType="end"/>
      </w:r>
      <w:r>
        <w:t xml:space="preserve"> sets out the GMRG’s preliminary view on the </w:t>
      </w:r>
      <w:r w:rsidR="00C62BFF">
        <w:t xml:space="preserve">changes that are </w:t>
      </w:r>
      <w:r>
        <w:t xml:space="preserve">likely to be required to give effect to the reporting framework. </w:t>
      </w:r>
    </w:p>
    <w:p w14:paraId="17D55415" w14:textId="4F9B1EDD" w:rsidR="00A60A3D" w:rsidRDefault="00A60A3D" w:rsidP="00A60A3D">
      <w:pPr>
        <w:pStyle w:val="Caption"/>
        <w:spacing w:after="0"/>
        <w:rPr>
          <w:rStyle w:val="Bold"/>
          <w:b/>
        </w:rPr>
      </w:pPr>
      <w:bookmarkStart w:id="163" w:name="_Ref491918646"/>
      <w:r w:rsidRPr="004F7523">
        <w:t xml:space="preserve">Table </w:t>
      </w:r>
      <w:r w:rsidR="00115A93">
        <w:fldChar w:fldCharType="begin"/>
      </w:r>
      <w:r w:rsidR="00115A93">
        <w:instrText xml:space="preserve"> STYLEREF 1 \s </w:instrText>
      </w:r>
      <w:r w:rsidR="00115A93">
        <w:fldChar w:fldCharType="separate"/>
      </w:r>
      <w:r w:rsidR="00272B32">
        <w:rPr>
          <w:noProof/>
        </w:rPr>
        <w:t>9</w:t>
      </w:r>
      <w:r w:rsidR="00115A93">
        <w:rPr>
          <w:noProof/>
        </w:rPr>
        <w:fldChar w:fldCharType="end"/>
      </w:r>
      <w:r w:rsidR="009A057E">
        <w:t>.</w:t>
      </w:r>
      <w:r w:rsidR="00115A93">
        <w:fldChar w:fldCharType="begin"/>
      </w:r>
      <w:r w:rsidR="00115A93">
        <w:instrText xml:space="preserve"> SEQ Table \* ARABIC \s 1 </w:instrText>
      </w:r>
      <w:r w:rsidR="00115A93">
        <w:fldChar w:fldCharType="separate"/>
      </w:r>
      <w:r w:rsidR="00272B32">
        <w:rPr>
          <w:noProof/>
        </w:rPr>
        <w:t>1</w:t>
      </w:r>
      <w:r w:rsidR="00115A93">
        <w:rPr>
          <w:noProof/>
        </w:rPr>
        <w:fldChar w:fldCharType="end"/>
      </w:r>
      <w:bookmarkEnd w:id="163"/>
      <w:r w:rsidRPr="004F7523">
        <w:t xml:space="preserve">: </w:t>
      </w:r>
      <w:r w:rsidRPr="004F7523">
        <w:rPr>
          <w:rStyle w:val="Bold"/>
          <w:b/>
        </w:rPr>
        <w:t>Governance arrangements for reporting framework</w:t>
      </w:r>
    </w:p>
    <w:tbl>
      <w:tblPr>
        <w:tblStyle w:val="TableGrid"/>
        <w:tblW w:w="4920" w:type="pct"/>
        <w:tblLook w:val="0420" w:firstRow="1" w:lastRow="0" w:firstColumn="0" w:lastColumn="0" w:noHBand="0" w:noVBand="1"/>
        <w:tblCaption w:val="Table 9.1: Governance arrangements for reporting framework"/>
        <w:tblDescription w:val="Governance arrangements for reporting framework"/>
      </w:tblPr>
      <w:tblGrid>
        <w:gridCol w:w="1209"/>
        <w:gridCol w:w="7438"/>
      </w:tblGrid>
      <w:tr w:rsidR="006357C9" w:rsidRPr="004F7523" w14:paraId="737C2D0B" w14:textId="77777777" w:rsidTr="006357C9">
        <w:trPr>
          <w:cnfStyle w:val="100000000000" w:firstRow="1" w:lastRow="0" w:firstColumn="0" w:lastColumn="0" w:oddVBand="0" w:evenVBand="0" w:oddHBand="0" w:evenHBand="0" w:firstRowFirstColumn="0" w:firstRowLastColumn="0" w:lastRowFirstColumn="0" w:lastRowLastColumn="0"/>
          <w:tblHeader/>
        </w:trPr>
        <w:tc>
          <w:tcPr>
            <w:tcW w:w="699" w:type="pct"/>
            <w:shd w:val="clear" w:color="auto" w:fill="0099CC"/>
          </w:tcPr>
          <w:p w14:paraId="3C31956C" w14:textId="77777777" w:rsidR="006357C9" w:rsidRPr="004F7523" w:rsidRDefault="006357C9" w:rsidP="008F2E35">
            <w:pPr>
              <w:pStyle w:val="TableHeading"/>
              <w:spacing w:before="80" w:after="80"/>
              <w:rPr>
                <w:szCs w:val="18"/>
              </w:rPr>
            </w:pPr>
            <w:r w:rsidRPr="004F7523">
              <w:rPr>
                <w:szCs w:val="18"/>
              </w:rPr>
              <w:t>Instrument</w:t>
            </w:r>
          </w:p>
        </w:tc>
        <w:tc>
          <w:tcPr>
            <w:tcW w:w="4301" w:type="pct"/>
            <w:shd w:val="clear" w:color="auto" w:fill="0099CC"/>
          </w:tcPr>
          <w:p w14:paraId="4E7ED9F3" w14:textId="77777777" w:rsidR="006357C9" w:rsidRPr="004F7523" w:rsidRDefault="006357C9" w:rsidP="008F2E35">
            <w:pPr>
              <w:pStyle w:val="TableHeading"/>
              <w:spacing w:before="80" w:after="80"/>
              <w:rPr>
                <w:szCs w:val="18"/>
              </w:rPr>
            </w:pPr>
            <w:r w:rsidRPr="004F7523">
              <w:rPr>
                <w:szCs w:val="18"/>
              </w:rPr>
              <w:t>Summary</w:t>
            </w:r>
          </w:p>
        </w:tc>
      </w:tr>
      <w:tr w:rsidR="006357C9" w:rsidRPr="004F7523" w14:paraId="22CBD577" w14:textId="77777777" w:rsidTr="006357C9">
        <w:tc>
          <w:tcPr>
            <w:tcW w:w="699" w:type="pct"/>
          </w:tcPr>
          <w:p w14:paraId="7DD9032B" w14:textId="77777777" w:rsidR="006357C9" w:rsidRPr="004F7523" w:rsidRDefault="006357C9" w:rsidP="008F2E35">
            <w:pPr>
              <w:pStyle w:val="TableBodyText"/>
              <w:spacing w:before="80" w:after="80"/>
              <w:rPr>
                <w:szCs w:val="18"/>
              </w:rPr>
            </w:pPr>
            <w:r w:rsidRPr="004F7523">
              <w:rPr>
                <w:szCs w:val="18"/>
              </w:rPr>
              <w:t>NGL</w:t>
            </w:r>
          </w:p>
        </w:tc>
        <w:tc>
          <w:tcPr>
            <w:tcW w:w="4301" w:type="pct"/>
          </w:tcPr>
          <w:p w14:paraId="143E7F33" w14:textId="77777777" w:rsidR="006357C9" w:rsidRPr="004F7523" w:rsidRDefault="006357C9" w:rsidP="008F2E35">
            <w:pPr>
              <w:pStyle w:val="TableBodyText"/>
              <w:spacing w:before="80" w:after="80"/>
              <w:rPr>
                <w:szCs w:val="18"/>
              </w:rPr>
            </w:pPr>
            <w:r w:rsidRPr="004F7523">
              <w:rPr>
                <w:szCs w:val="18"/>
              </w:rPr>
              <w:t xml:space="preserve">To the extent not already covered by the NGL, the NGL will require shippers to give secondary trade information to AEMO and will permit AEMO to publish it, in each case in accordance with the NGR and applicable procedures. </w:t>
            </w:r>
          </w:p>
          <w:p w14:paraId="3CA28A37" w14:textId="77777777" w:rsidR="006357C9" w:rsidRPr="004F7523" w:rsidRDefault="006357C9" w:rsidP="008F2E35">
            <w:pPr>
              <w:pStyle w:val="TableBullet1"/>
              <w:numPr>
                <w:ilvl w:val="0"/>
                <w:numId w:val="0"/>
              </w:numPr>
              <w:spacing w:before="80" w:after="80"/>
              <w:ind w:left="85"/>
              <w:rPr>
                <w:szCs w:val="18"/>
              </w:rPr>
            </w:pPr>
            <w:r w:rsidRPr="004F7523">
              <w:rPr>
                <w:szCs w:val="18"/>
              </w:rPr>
              <w:t xml:space="preserve">The NGR will provide that a shipper does not incur any civil monetary liability for complying with its reporting obligations. </w:t>
            </w:r>
          </w:p>
          <w:p w14:paraId="429D2CC8" w14:textId="77777777" w:rsidR="006357C9" w:rsidRPr="004F7523" w:rsidRDefault="006357C9" w:rsidP="008F2E35">
            <w:pPr>
              <w:pStyle w:val="TableBullet1"/>
              <w:numPr>
                <w:ilvl w:val="0"/>
                <w:numId w:val="0"/>
              </w:numPr>
              <w:spacing w:before="80" w:after="80"/>
              <w:ind w:left="85"/>
              <w:rPr>
                <w:szCs w:val="18"/>
              </w:rPr>
            </w:pPr>
            <w:r w:rsidRPr="004F7523">
              <w:rPr>
                <w:szCs w:val="18"/>
              </w:rPr>
              <w:t>The AER will be responsible for monitoring and enforcing compliance using its existing powers in the NGL.</w:t>
            </w:r>
          </w:p>
        </w:tc>
      </w:tr>
      <w:tr w:rsidR="006357C9" w:rsidRPr="004F7523" w14:paraId="441B7A49" w14:textId="77777777" w:rsidTr="006357C9">
        <w:trPr>
          <w:cnfStyle w:val="000000010000" w:firstRow="0" w:lastRow="0" w:firstColumn="0" w:lastColumn="0" w:oddVBand="0" w:evenVBand="0" w:oddHBand="0" w:evenHBand="1" w:firstRowFirstColumn="0" w:firstRowLastColumn="0" w:lastRowFirstColumn="0" w:lastRowLastColumn="0"/>
        </w:trPr>
        <w:tc>
          <w:tcPr>
            <w:tcW w:w="699" w:type="pct"/>
          </w:tcPr>
          <w:p w14:paraId="00C903C9" w14:textId="77777777" w:rsidR="006357C9" w:rsidRPr="004F7523" w:rsidRDefault="006357C9" w:rsidP="008F2E35">
            <w:pPr>
              <w:pStyle w:val="TableBodyText"/>
              <w:spacing w:before="80" w:after="80"/>
              <w:rPr>
                <w:szCs w:val="18"/>
              </w:rPr>
            </w:pPr>
            <w:r w:rsidRPr="004F7523">
              <w:rPr>
                <w:szCs w:val="18"/>
              </w:rPr>
              <w:t>NGR</w:t>
            </w:r>
          </w:p>
        </w:tc>
        <w:tc>
          <w:tcPr>
            <w:tcW w:w="4301" w:type="pct"/>
          </w:tcPr>
          <w:p w14:paraId="16E19EF1" w14:textId="7071A522" w:rsidR="006357C9" w:rsidRPr="004F7523" w:rsidRDefault="006357C9" w:rsidP="008F2E35">
            <w:pPr>
              <w:pStyle w:val="TableBullet1"/>
              <w:numPr>
                <w:ilvl w:val="0"/>
                <w:numId w:val="0"/>
              </w:numPr>
              <w:spacing w:before="80" w:after="80"/>
              <w:ind w:left="85"/>
              <w:rPr>
                <w:szCs w:val="18"/>
              </w:rPr>
            </w:pPr>
            <w:r w:rsidRPr="004F7523">
              <w:rPr>
                <w:szCs w:val="18"/>
              </w:rPr>
              <w:t xml:space="preserve">The NGR will provide a framework for shippers to </w:t>
            </w:r>
            <w:r>
              <w:rPr>
                <w:szCs w:val="18"/>
              </w:rPr>
              <w:t>gain access to the reporting system, for example through a registration process</w:t>
            </w:r>
            <w:r w:rsidRPr="004F7523">
              <w:rPr>
                <w:szCs w:val="18"/>
              </w:rPr>
              <w:t>.</w:t>
            </w:r>
            <w:r>
              <w:rPr>
                <w:szCs w:val="18"/>
              </w:rPr>
              <w:t xml:space="preserve"> </w:t>
            </w:r>
          </w:p>
          <w:p w14:paraId="689B4629" w14:textId="77777777" w:rsidR="006357C9" w:rsidRPr="004F7523" w:rsidRDefault="006357C9" w:rsidP="008F2E35">
            <w:pPr>
              <w:pStyle w:val="TableBullet1"/>
              <w:numPr>
                <w:ilvl w:val="0"/>
                <w:numId w:val="0"/>
              </w:numPr>
              <w:spacing w:before="80" w:after="80"/>
              <w:ind w:left="85"/>
              <w:rPr>
                <w:szCs w:val="18"/>
              </w:rPr>
            </w:pPr>
            <w:r w:rsidRPr="004F7523">
              <w:rPr>
                <w:szCs w:val="18"/>
              </w:rPr>
              <w:t xml:space="preserve">The NGR will set out the obligation of shippers to report information about </w:t>
            </w:r>
            <w:r>
              <w:rPr>
                <w:szCs w:val="18"/>
              </w:rPr>
              <w:t xml:space="preserve">bilateral </w:t>
            </w:r>
            <w:r w:rsidRPr="004F7523">
              <w:rPr>
                <w:szCs w:val="18"/>
              </w:rPr>
              <w:t>secondary capacity trades to AEMO, including the categories of information that must be reported and timing. This will be a civil penalty provision.</w:t>
            </w:r>
          </w:p>
          <w:p w14:paraId="27DF7F18" w14:textId="77777777" w:rsidR="006357C9" w:rsidRPr="004F7523" w:rsidRDefault="006357C9" w:rsidP="008F2E35">
            <w:pPr>
              <w:pStyle w:val="TableBullet1"/>
              <w:numPr>
                <w:ilvl w:val="0"/>
                <w:numId w:val="0"/>
              </w:numPr>
              <w:spacing w:before="80" w:after="80"/>
              <w:ind w:left="85"/>
              <w:rPr>
                <w:szCs w:val="18"/>
              </w:rPr>
            </w:pPr>
            <w:r w:rsidRPr="004F7523">
              <w:rPr>
                <w:szCs w:val="18"/>
              </w:rPr>
              <w:t xml:space="preserve">The NGR will require AEMO to report information about secondary trades covering exchange based trading and reported bilateral trades on the BB website and will also be permitted to publish it on the GSH. </w:t>
            </w:r>
          </w:p>
        </w:tc>
      </w:tr>
      <w:tr w:rsidR="006357C9" w:rsidRPr="00C62BFF" w14:paraId="48B69700" w14:textId="77777777" w:rsidTr="006357C9">
        <w:tblPrEx>
          <w:tblLook w:val="04A0" w:firstRow="1" w:lastRow="0" w:firstColumn="1" w:lastColumn="0" w:noHBand="0" w:noVBand="1"/>
        </w:tblPrEx>
        <w:tc>
          <w:tcPr>
            <w:tcW w:w="699" w:type="pct"/>
          </w:tcPr>
          <w:p w14:paraId="6D2F0FB1" w14:textId="77777777" w:rsidR="006357C9" w:rsidRPr="004F7523" w:rsidRDefault="006357C9" w:rsidP="008F2E35">
            <w:pPr>
              <w:pStyle w:val="TableBodyText"/>
              <w:spacing w:before="80" w:after="80"/>
              <w:rPr>
                <w:szCs w:val="18"/>
              </w:rPr>
            </w:pPr>
            <w:r w:rsidRPr="004F7523">
              <w:rPr>
                <w:szCs w:val="18"/>
              </w:rPr>
              <w:t>Exchange Agreement</w:t>
            </w:r>
          </w:p>
        </w:tc>
        <w:tc>
          <w:tcPr>
            <w:tcW w:w="4301" w:type="pct"/>
          </w:tcPr>
          <w:p w14:paraId="7FE9D5A8" w14:textId="77777777" w:rsidR="006357C9" w:rsidRPr="00C62BFF" w:rsidRDefault="006357C9" w:rsidP="008F2E35">
            <w:pPr>
              <w:pStyle w:val="TableBullet1"/>
              <w:numPr>
                <w:ilvl w:val="0"/>
                <w:numId w:val="0"/>
              </w:numPr>
              <w:spacing w:before="80" w:after="80"/>
              <w:ind w:left="85"/>
              <w:rPr>
                <w:szCs w:val="18"/>
              </w:rPr>
            </w:pPr>
            <w:r w:rsidRPr="004F7523">
              <w:rPr>
                <w:szCs w:val="18"/>
              </w:rPr>
              <w:t>The Exchange Agreement will specify the information to be reported by AEMO about secondary trades both on the platform and the BB website, which should be consistent with the categories set out in the NGR.</w:t>
            </w:r>
            <w:r w:rsidRPr="00C62BFF">
              <w:rPr>
                <w:szCs w:val="18"/>
              </w:rPr>
              <w:t xml:space="preserve"> </w:t>
            </w:r>
          </w:p>
        </w:tc>
      </w:tr>
      <w:tr w:rsidR="006357C9" w:rsidRPr="00C62BFF" w14:paraId="7D9AFFDA" w14:textId="77777777" w:rsidTr="006357C9">
        <w:tblPrEx>
          <w:tblLook w:val="04A0" w:firstRow="1" w:lastRow="0" w:firstColumn="1" w:lastColumn="0" w:noHBand="0" w:noVBand="1"/>
        </w:tblPrEx>
        <w:trPr>
          <w:cnfStyle w:val="000000010000" w:firstRow="0" w:lastRow="0" w:firstColumn="0" w:lastColumn="0" w:oddVBand="0" w:evenVBand="0" w:oddHBand="0" w:evenHBand="1" w:firstRowFirstColumn="0" w:firstRowLastColumn="0" w:lastRowFirstColumn="0" w:lastRowLastColumn="0"/>
        </w:trPr>
        <w:tc>
          <w:tcPr>
            <w:tcW w:w="699" w:type="pct"/>
          </w:tcPr>
          <w:p w14:paraId="1FCBB657" w14:textId="77777777" w:rsidR="006357C9" w:rsidRPr="00C62BFF" w:rsidRDefault="006357C9" w:rsidP="008F2E35">
            <w:pPr>
              <w:pStyle w:val="TableBodyText"/>
              <w:spacing w:before="80" w:after="80"/>
              <w:rPr>
                <w:szCs w:val="18"/>
              </w:rPr>
            </w:pPr>
            <w:r w:rsidRPr="00C62BFF">
              <w:rPr>
                <w:szCs w:val="18"/>
              </w:rPr>
              <w:t>Procedures</w:t>
            </w:r>
          </w:p>
        </w:tc>
        <w:tc>
          <w:tcPr>
            <w:tcW w:w="4301" w:type="pct"/>
          </w:tcPr>
          <w:p w14:paraId="6E318A7E" w14:textId="77777777" w:rsidR="006357C9" w:rsidRPr="00C62BFF" w:rsidRDefault="006357C9" w:rsidP="008F2E35">
            <w:pPr>
              <w:pStyle w:val="BodyText"/>
              <w:spacing w:before="80" w:after="80"/>
              <w:rPr>
                <w:szCs w:val="18"/>
              </w:rPr>
            </w:pPr>
            <w:r w:rsidRPr="00C62BFF">
              <w:rPr>
                <w:szCs w:val="18"/>
              </w:rPr>
              <w:t xml:space="preserve">As outlined in section 7.2, the GMRG proposes that AEMO be given </w:t>
            </w:r>
            <w:r>
              <w:rPr>
                <w:szCs w:val="18"/>
              </w:rPr>
              <w:t xml:space="preserve">the </w:t>
            </w:r>
            <w:r w:rsidRPr="00C62BFF">
              <w:rPr>
                <w:szCs w:val="18"/>
              </w:rPr>
              <w:t xml:space="preserve">power to publish </w:t>
            </w:r>
            <w:r>
              <w:rPr>
                <w:szCs w:val="18"/>
              </w:rPr>
              <w:t>Secondary C</w:t>
            </w:r>
            <w:r w:rsidRPr="00C62BFF">
              <w:rPr>
                <w:szCs w:val="18"/>
              </w:rPr>
              <w:t xml:space="preserve">apacity </w:t>
            </w:r>
            <w:r>
              <w:rPr>
                <w:szCs w:val="18"/>
              </w:rPr>
              <w:t>and Auction P</w:t>
            </w:r>
            <w:r w:rsidRPr="00C62BFF">
              <w:rPr>
                <w:szCs w:val="18"/>
              </w:rPr>
              <w:t>rocedures</w:t>
            </w:r>
            <w:r>
              <w:rPr>
                <w:szCs w:val="18"/>
              </w:rPr>
              <w:t>, t</w:t>
            </w:r>
            <w:r w:rsidRPr="00C62BFF">
              <w:rPr>
                <w:szCs w:val="18"/>
              </w:rPr>
              <w:t xml:space="preserve">he scope of </w:t>
            </w:r>
            <w:r>
              <w:rPr>
                <w:szCs w:val="18"/>
              </w:rPr>
              <w:t xml:space="preserve">which will </w:t>
            </w:r>
            <w:r w:rsidRPr="00C62BFF">
              <w:rPr>
                <w:szCs w:val="18"/>
              </w:rPr>
              <w:t>extend to procedures relevant to secondary trade reporting</w:t>
            </w:r>
            <w:r>
              <w:rPr>
                <w:szCs w:val="18"/>
              </w:rPr>
              <w:t>,</w:t>
            </w:r>
            <w:r w:rsidRPr="00C62BFF">
              <w:rPr>
                <w:szCs w:val="18"/>
              </w:rPr>
              <w:t xml:space="preserve"> including details about the form in which information is to be reported to AEMO.</w:t>
            </w:r>
          </w:p>
        </w:tc>
      </w:tr>
    </w:tbl>
    <w:p w14:paraId="2601BE4F" w14:textId="30C2377B" w:rsidR="00A60A3D" w:rsidRDefault="00A60A3D" w:rsidP="00A60A3D">
      <w:pPr>
        <w:pStyle w:val="BodyText"/>
      </w:pPr>
      <w:r>
        <w:t xml:space="preserve">The GMRG is interested in whether stakeholders think that any other changes will need to be made to the NGR, Exchange Agreement or any other instruments to give effect to the new reporting framework and the questions set out in </w:t>
      </w:r>
      <w:r w:rsidRPr="00C46A11">
        <w:fldChar w:fldCharType="begin"/>
      </w:r>
      <w:r w:rsidRPr="00C46A11">
        <w:instrText xml:space="preserve"> REF _Ref493350553 \h  \* MERGEFORMAT </w:instrText>
      </w:r>
      <w:r w:rsidRPr="00C46A11">
        <w:fldChar w:fldCharType="separate"/>
      </w:r>
      <w:r w:rsidR="00272B32" w:rsidRPr="00272B32">
        <w:t xml:space="preserve">Box </w:t>
      </w:r>
      <w:r w:rsidR="00272B32" w:rsidRPr="00272B32">
        <w:rPr>
          <w:noProof/>
        </w:rPr>
        <w:t>9.1</w:t>
      </w:r>
      <w:r w:rsidRPr="00C46A11">
        <w:fldChar w:fldCharType="end"/>
      </w:r>
      <w:r w:rsidRPr="00C46A11">
        <w:t>.</w:t>
      </w:r>
    </w:p>
    <w:tbl>
      <w:tblPr>
        <w:tblStyle w:val="PullOutBoxTable"/>
        <w:tblW w:w="5000" w:type="pct"/>
        <w:shd w:val="clear" w:color="auto" w:fill="B7E7FF"/>
        <w:tblLook w:val="0620" w:firstRow="1" w:lastRow="0" w:firstColumn="0" w:lastColumn="0" w:noHBand="1" w:noVBand="1"/>
        <w:tblCaption w:val="Box 9.1: Questions on governance arrangements"/>
        <w:tblDescription w:val="Questions on governance arrangements"/>
      </w:tblPr>
      <w:tblGrid>
        <w:gridCol w:w="8788"/>
      </w:tblGrid>
      <w:tr w:rsidR="00A60A3D" w:rsidRPr="004D73D8" w14:paraId="593C2B39" w14:textId="77777777" w:rsidTr="003974E4">
        <w:trPr>
          <w:tblHeader/>
        </w:trPr>
        <w:tc>
          <w:tcPr>
            <w:tcW w:w="5000" w:type="pct"/>
            <w:shd w:val="clear" w:color="auto" w:fill="auto"/>
          </w:tcPr>
          <w:p w14:paraId="7AEFB693" w14:textId="4FF0F8EF" w:rsidR="00A60A3D" w:rsidRPr="00C46A11" w:rsidRDefault="00A949C5" w:rsidP="00A949C5">
            <w:pPr>
              <w:pStyle w:val="ListNumber"/>
              <w:keepNext/>
              <w:numPr>
                <w:ilvl w:val="0"/>
                <w:numId w:val="0"/>
              </w:numPr>
              <w:spacing w:before="0" w:after="0"/>
              <w:rPr>
                <w:rFonts w:eastAsiaTheme="majorEastAsia"/>
                <w:sz w:val="21"/>
                <w:szCs w:val="21"/>
              </w:rPr>
            </w:pPr>
            <w:bookmarkStart w:id="164" w:name="_Ref493350553"/>
            <w:bookmarkStart w:id="165" w:name="_Hlk492108020"/>
            <w:r>
              <w:rPr>
                <w:b/>
              </w:rPr>
              <w:t xml:space="preserve">Box </w:t>
            </w:r>
            <w:r>
              <w:rPr>
                <w:b/>
              </w:rPr>
              <w:fldChar w:fldCharType="begin"/>
            </w:r>
            <w:r>
              <w:rPr>
                <w:b/>
              </w:rPr>
              <w:instrText xml:space="preserve"> STYLEREF 1 \s </w:instrText>
            </w:r>
            <w:r>
              <w:rPr>
                <w:b/>
              </w:rPr>
              <w:fldChar w:fldCharType="separate"/>
            </w:r>
            <w:r>
              <w:rPr>
                <w:b/>
                <w:noProof/>
              </w:rPr>
              <w:t>9</w:t>
            </w:r>
            <w:r>
              <w:rPr>
                <w:b/>
              </w:rPr>
              <w:fldChar w:fldCharType="end"/>
            </w:r>
            <w:r>
              <w:rPr>
                <w:b/>
              </w:rPr>
              <w:t>.</w:t>
            </w:r>
            <w:r>
              <w:rPr>
                <w:b/>
              </w:rPr>
              <w:fldChar w:fldCharType="begin"/>
            </w:r>
            <w:r>
              <w:rPr>
                <w:b/>
              </w:rPr>
              <w:instrText xml:space="preserve"> SEQ Box \* ARABIC \s 1 </w:instrText>
            </w:r>
            <w:r>
              <w:rPr>
                <w:b/>
              </w:rPr>
              <w:fldChar w:fldCharType="separate"/>
            </w:r>
            <w:r>
              <w:rPr>
                <w:b/>
                <w:noProof/>
              </w:rPr>
              <w:t>1</w:t>
            </w:r>
            <w:r>
              <w:rPr>
                <w:b/>
              </w:rPr>
              <w:fldChar w:fldCharType="end"/>
            </w:r>
            <w:bookmarkEnd w:id="164"/>
            <w:r>
              <w:rPr>
                <w:b/>
              </w:rPr>
              <w:t>: Questions on governance arrangements</w:t>
            </w:r>
          </w:p>
        </w:tc>
      </w:tr>
      <w:tr w:rsidR="00A949C5" w:rsidRPr="004D73D8" w14:paraId="10C1A6D8" w14:textId="77777777" w:rsidTr="003974E4">
        <w:tc>
          <w:tcPr>
            <w:tcW w:w="5000" w:type="pct"/>
            <w:shd w:val="clear" w:color="auto" w:fill="B7E7FF"/>
          </w:tcPr>
          <w:p w14:paraId="692D7A81" w14:textId="1A08839F" w:rsidR="00A949C5" w:rsidRDefault="00A949C5" w:rsidP="00842D68">
            <w:pPr>
              <w:pStyle w:val="ListNumber"/>
              <w:keepNext/>
              <w:numPr>
                <w:ilvl w:val="0"/>
                <w:numId w:val="20"/>
              </w:numPr>
              <w:ind w:left="357" w:hanging="357"/>
              <w:rPr>
                <w:rFonts w:eastAsiaTheme="majorEastAsia"/>
                <w:sz w:val="21"/>
                <w:szCs w:val="21"/>
              </w:rPr>
            </w:pPr>
            <w:r>
              <w:rPr>
                <w:rFonts w:eastAsiaTheme="majorEastAsia"/>
                <w:sz w:val="21"/>
                <w:szCs w:val="21"/>
              </w:rPr>
              <w:t xml:space="preserve">Are there any other changes that you think will be required to the governance arrangements that have not been identified in </w:t>
            </w:r>
            <w:r>
              <w:fldChar w:fldCharType="begin"/>
            </w:r>
            <w:r>
              <w:instrText xml:space="preserve"> REF _Ref491918646 \h </w:instrText>
            </w:r>
            <w:r>
              <w:fldChar w:fldCharType="separate"/>
            </w:r>
            <w:r w:rsidRPr="004F7523">
              <w:t xml:space="preserve">Table </w:t>
            </w:r>
            <w:r>
              <w:rPr>
                <w:noProof/>
              </w:rPr>
              <w:t>9</w:t>
            </w:r>
            <w:r>
              <w:t>.</w:t>
            </w:r>
            <w:r>
              <w:rPr>
                <w:noProof/>
              </w:rPr>
              <w:t>1</w:t>
            </w:r>
            <w:r>
              <w:fldChar w:fldCharType="end"/>
            </w:r>
            <w:r>
              <w:rPr>
                <w:rFonts w:eastAsiaTheme="majorEastAsia"/>
                <w:sz w:val="21"/>
                <w:szCs w:val="21"/>
              </w:rPr>
              <w:t>?</w:t>
            </w:r>
          </w:p>
        </w:tc>
      </w:tr>
      <w:bookmarkEnd w:id="151"/>
      <w:bookmarkEnd w:id="165"/>
    </w:tbl>
    <w:p w14:paraId="259793B1" w14:textId="77777777" w:rsidR="00D97D65" w:rsidRPr="006720D8" w:rsidRDefault="00D97D65" w:rsidP="00C02BE5">
      <w:pPr>
        <w:pStyle w:val="ListNumber"/>
        <w:numPr>
          <w:ilvl w:val="0"/>
          <w:numId w:val="0"/>
        </w:numPr>
        <w:ind w:left="360" w:hanging="360"/>
      </w:pPr>
    </w:p>
    <w:p w14:paraId="1E5D355D" w14:textId="77777777" w:rsidR="002405F1" w:rsidRDefault="002405F1" w:rsidP="002405F1">
      <w:pPr>
        <w:pStyle w:val="BodyText"/>
        <w:tabs>
          <w:tab w:val="clear" w:pos="2268"/>
          <w:tab w:val="left" w:pos="1843"/>
        </w:tabs>
        <w:spacing w:before="60"/>
        <w:sectPr w:rsidR="002405F1" w:rsidSect="00CF1252">
          <w:headerReference w:type="default" r:id="rId48"/>
          <w:footerReference w:type="default" r:id="rId49"/>
          <w:pgSz w:w="11907" w:h="16839" w:code="9"/>
          <w:pgMar w:top="1361" w:right="1418" w:bottom="992" w:left="1701" w:header="567" w:footer="397" w:gutter="0"/>
          <w:cols w:space="708"/>
          <w:docGrid w:linePitch="360"/>
        </w:sectPr>
      </w:pPr>
    </w:p>
    <w:p w14:paraId="78D4E049" w14:textId="002539E8" w:rsidR="002F7DBC" w:rsidRPr="00332ADB" w:rsidRDefault="006B5193" w:rsidP="007D7FFC">
      <w:pPr>
        <w:pStyle w:val="Heading9"/>
      </w:pPr>
      <w:bookmarkStart w:id="166" w:name="_Ref489697920"/>
      <w:bookmarkStart w:id="167" w:name="_Hlk481810546"/>
      <w:r>
        <w:t>AEMC Recommendations</w:t>
      </w:r>
      <w:bookmarkEnd w:id="166"/>
      <w:r>
        <w:t xml:space="preserve"> </w:t>
      </w:r>
      <w:r w:rsidR="00BA1563">
        <w:t xml:space="preserve">and Consistency of the GMRG’s Preliminary View with these Recommendations </w:t>
      </w:r>
    </w:p>
    <w:p w14:paraId="19AD56DE" w14:textId="2F32DF97" w:rsidR="002405F1" w:rsidRPr="006D15EC" w:rsidRDefault="007A505F" w:rsidP="002405F1">
      <w:pPr>
        <w:pStyle w:val="BodyText"/>
        <w:spacing w:line="252" w:lineRule="auto"/>
        <w:rPr>
          <w:rFonts w:cs="Arial"/>
        </w:rPr>
      </w:pPr>
      <w:r>
        <w:rPr>
          <w:rFonts w:cs="Arial"/>
        </w:rPr>
        <w:t>Table A.1</w:t>
      </w:r>
      <w:r w:rsidR="002405F1">
        <w:rPr>
          <w:rFonts w:cs="Arial"/>
        </w:rPr>
        <w:t xml:space="preserve"> </w:t>
      </w:r>
      <w:r w:rsidR="002405F1" w:rsidRPr="006D15EC">
        <w:rPr>
          <w:rFonts w:cs="Arial"/>
        </w:rPr>
        <w:t xml:space="preserve">contains a summary of the recommendations contained in the AEMC’s </w:t>
      </w:r>
      <w:r>
        <w:rPr>
          <w:rFonts w:cs="Arial"/>
          <w:i/>
        </w:rPr>
        <w:t xml:space="preserve">East Coast Review, </w:t>
      </w:r>
      <w:r w:rsidR="002405F1" w:rsidRPr="006D15EC">
        <w:rPr>
          <w:rFonts w:cs="Arial"/>
        </w:rPr>
        <w:t>which have been categorised by the AEMC as follows:</w:t>
      </w:r>
    </w:p>
    <w:p w14:paraId="29EA505A" w14:textId="77777777" w:rsidR="002405F1" w:rsidRPr="006D15EC" w:rsidRDefault="002405F1" w:rsidP="001068FB">
      <w:pPr>
        <w:pStyle w:val="ListBullet"/>
        <w:numPr>
          <w:ilvl w:val="0"/>
          <w:numId w:val="23"/>
        </w:numPr>
        <w:spacing w:line="252" w:lineRule="auto"/>
        <w:rPr>
          <w:rFonts w:cs="Arial"/>
        </w:rPr>
      </w:pPr>
      <w:r w:rsidRPr="006D15EC">
        <w:rPr>
          <w:rFonts w:cs="Arial"/>
          <w:b/>
          <w:bCs/>
        </w:rPr>
        <w:t xml:space="preserve">required outcomes </w:t>
      </w:r>
      <w:r w:rsidRPr="006D15EC">
        <w:rPr>
          <w:rFonts w:cs="Arial"/>
        </w:rPr>
        <w:t>– these recommendations were described by the AEMC as outcomes that must be progressed by the GMRG and are necessary to the implementation of the reforms;</w:t>
      </w:r>
    </w:p>
    <w:p w14:paraId="1D194E09" w14:textId="77777777" w:rsidR="002405F1" w:rsidRPr="006D15EC" w:rsidRDefault="002405F1" w:rsidP="001068FB">
      <w:pPr>
        <w:pStyle w:val="ListBullet"/>
        <w:numPr>
          <w:ilvl w:val="0"/>
          <w:numId w:val="23"/>
        </w:numPr>
        <w:spacing w:line="252" w:lineRule="auto"/>
        <w:rPr>
          <w:rFonts w:cs="Arial"/>
        </w:rPr>
      </w:pPr>
      <w:r w:rsidRPr="006D15EC">
        <w:rPr>
          <w:rFonts w:cs="Arial"/>
          <w:b/>
          <w:bCs/>
        </w:rPr>
        <w:t xml:space="preserve">preferred outcomes </w:t>
      </w:r>
      <w:r w:rsidRPr="006D15EC">
        <w:rPr>
          <w:rFonts w:cs="Arial"/>
        </w:rPr>
        <w:t>– these recommendations were described by the AEMC as outcomes that should be pursued by the GMRG unless it is clear there are greater benefits in alternative approaches; and</w:t>
      </w:r>
    </w:p>
    <w:p w14:paraId="6ED371BA" w14:textId="48A28DE5" w:rsidR="002405F1" w:rsidRDefault="002405F1" w:rsidP="001068FB">
      <w:pPr>
        <w:pStyle w:val="ListBullet"/>
        <w:numPr>
          <w:ilvl w:val="0"/>
          <w:numId w:val="23"/>
        </w:numPr>
        <w:spacing w:line="252" w:lineRule="auto"/>
        <w:rPr>
          <w:rFonts w:cs="Arial"/>
        </w:rPr>
      </w:pPr>
      <w:proofErr w:type="gramStart"/>
      <w:r w:rsidRPr="006D15EC">
        <w:rPr>
          <w:rFonts w:cs="Arial"/>
          <w:b/>
          <w:bCs/>
        </w:rPr>
        <w:t>suggested</w:t>
      </w:r>
      <w:proofErr w:type="gramEnd"/>
      <w:r w:rsidRPr="006D15EC">
        <w:rPr>
          <w:rFonts w:cs="Arial"/>
          <w:b/>
          <w:bCs/>
        </w:rPr>
        <w:t xml:space="preserve"> outcomes</w:t>
      </w:r>
      <w:r w:rsidRPr="006D15EC">
        <w:rPr>
          <w:rFonts w:cs="Arial"/>
        </w:rPr>
        <w:t xml:space="preserve"> – these recommendations were described by the AEMC as outcomes that have in-principle benefits but need to be considered further by the GMRG.</w:t>
      </w:r>
      <w:r>
        <w:rPr>
          <w:rFonts w:cs="Arial"/>
        </w:rPr>
        <w:t xml:space="preserve"> </w:t>
      </w:r>
    </w:p>
    <w:p w14:paraId="1F2A5B31" w14:textId="1FECF564" w:rsidR="007A505F" w:rsidRPr="007A505F" w:rsidRDefault="007A505F" w:rsidP="007A505F">
      <w:pPr>
        <w:pStyle w:val="ListBullet"/>
        <w:numPr>
          <w:ilvl w:val="0"/>
          <w:numId w:val="0"/>
        </w:numPr>
        <w:spacing w:line="252" w:lineRule="auto"/>
        <w:rPr>
          <w:rFonts w:cs="Arial"/>
        </w:rPr>
      </w:pPr>
      <w:r w:rsidRPr="007A505F">
        <w:rPr>
          <w:rFonts w:cs="Arial"/>
          <w:bCs/>
        </w:rPr>
        <w:t>Table A</w:t>
      </w:r>
      <w:r w:rsidRPr="007A505F">
        <w:rPr>
          <w:rFonts w:cs="Arial"/>
        </w:rPr>
        <w:t>.2 sets out the extent to which the GMRG’s preliminary views on the day-ahead auction and reporting framework are consistent with the AEMC’s recommendations.</w:t>
      </w:r>
    </w:p>
    <w:p w14:paraId="7837D21E" w14:textId="47F03FC2" w:rsidR="002405F1" w:rsidRPr="00974249" w:rsidRDefault="007A505F" w:rsidP="002405F1">
      <w:pPr>
        <w:pStyle w:val="ListBullet"/>
        <w:numPr>
          <w:ilvl w:val="0"/>
          <w:numId w:val="0"/>
        </w:numPr>
        <w:spacing w:before="0" w:after="0"/>
        <w:ind w:left="357" w:hanging="357"/>
        <w:rPr>
          <w:rFonts w:cs="Arial"/>
          <w:b/>
          <w:bCs/>
          <w:sz w:val="24"/>
          <w:szCs w:val="24"/>
        </w:rPr>
      </w:pPr>
      <w:r>
        <w:rPr>
          <w:rFonts w:cs="Arial"/>
          <w:b/>
          <w:bCs/>
          <w:sz w:val="24"/>
          <w:szCs w:val="24"/>
        </w:rPr>
        <w:t xml:space="preserve">Table A.1: AEMC </w:t>
      </w:r>
      <w:r w:rsidR="002405F1" w:rsidRPr="00974249">
        <w:rPr>
          <w:rFonts w:cs="Arial"/>
          <w:b/>
          <w:bCs/>
          <w:sz w:val="24"/>
          <w:szCs w:val="24"/>
        </w:rPr>
        <w:t>Recommendations</w:t>
      </w:r>
    </w:p>
    <w:tbl>
      <w:tblPr>
        <w:tblW w:w="13609"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4400"/>
        <w:gridCol w:w="4683"/>
        <w:gridCol w:w="2688"/>
      </w:tblGrid>
      <w:tr w:rsidR="002405F1" w:rsidRPr="00947034" w14:paraId="5EE476E9" w14:textId="77777777" w:rsidTr="00863FDD">
        <w:trPr>
          <w:trHeight w:val="93"/>
          <w:tblHeader/>
        </w:trPr>
        <w:tc>
          <w:tcPr>
            <w:tcW w:w="1838" w:type="dxa"/>
            <w:tcBorders>
              <w:bottom w:val="single" w:sz="4" w:space="0" w:color="auto"/>
            </w:tcBorders>
            <w:shd w:val="clear" w:color="auto" w:fill="0099CC"/>
          </w:tcPr>
          <w:p w14:paraId="1084C9A1" w14:textId="77777777" w:rsidR="002405F1" w:rsidRPr="00947034" w:rsidRDefault="002405F1" w:rsidP="0055571A">
            <w:pPr>
              <w:pStyle w:val="Default"/>
              <w:spacing w:before="40" w:after="40"/>
              <w:rPr>
                <w:color w:val="FFFFFF" w:themeColor="background1"/>
                <w:sz w:val="17"/>
                <w:szCs w:val="17"/>
              </w:rPr>
            </w:pPr>
            <w:r w:rsidRPr="00947034">
              <w:rPr>
                <w:b/>
                <w:bCs/>
                <w:color w:val="FFFFFF" w:themeColor="background1"/>
                <w:sz w:val="17"/>
                <w:szCs w:val="17"/>
              </w:rPr>
              <w:t xml:space="preserve">Recommendation </w:t>
            </w:r>
          </w:p>
        </w:tc>
        <w:tc>
          <w:tcPr>
            <w:tcW w:w="4400" w:type="dxa"/>
            <w:tcBorders>
              <w:bottom w:val="single" w:sz="4" w:space="0" w:color="auto"/>
            </w:tcBorders>
            <w:shd w:val="clear" w:color="auto" w:fill="0099CC"/>
          </w:tcPr>
          <w:p w14:paraId="5137DB5C" w14:textId="77777777" w:rsidR="002405F1" w:rsidRPr="00947034" w:rsidRDefault="002405F1" w:rsidP="0055571A">
            <w:pPr>
              <w:pStyle w:val="Default"/>
              <w:spacing w:before="40" w:after="40"/>
              <w:rPr>
                <w:color w:val="FFFFFF" w:themeColor="background1"/>
                <w:sz w:val="17"/>
                <w:szCs w:val="17"/>
              </w:rPr>
            </w:pPr>
            <w:r w:rsidRPr="00947034">
              <w:rPr>
                <w:b/>
                <w:bCs/>
                <w:color w:val="FFFFFF" w:themeColor="background1"/>
                <w:sz w:val="17"/>
                <w:szCs w:val="17"/>
              </w:rPr>
              <w:t xml:space="preserve">Required outcomes </w:t>
            </w:r>
          </w:p>
        </w:tc>
        <w:tc>
          <w:tcPr>
            <w:tcW w:w="4683" w:type="dxa"/>
            <w:tcBorders>
              <w:bottom w:val="single" w:sz="4" w:space="0" w:color="auto"/>
            </w:tcBorders>
            <w:shd w:val="clear" w:color="auto" w:fill="0099CC"/>
          </w:tcPr>
          <w:p w14:paraId="66E74943" w14:textId="77777777" w:rsidR="002405F1" w:rsidRPr="00947034" w:rsidRDefault="002405F1" w:rsidP="0055571A">
            <w:pPr>
              <w:pStyle w:val="Default"/>
              <w:spacing w:before="40" w:after="40"/>
              <w:rPr>
                <w:color w:val="FFFFFF" w:themeColor="background1"/>
                <w:sz w:val="17"/>
                <w:szCs w:val="17"/>
              </w:rPr>
            </w:pPr>
            <w:r w:rsidRPr="00947034">
              <w:rPr>
                <w:b/>
                <w:bCs/>
                <w:color w:val="FFFFFF" w:themeColor="background1"/>
                <w:sz w:val="17"/>
                <w:szCs w:val="17"/>
              </w:rPr>
              <w:t xml:space="preserve">Preferred outcomes </w:t>
            </w:r>
          </w:p>
        </w:tc>
        <w:tc>
          <w:tcPr>
            <w:tcW w:w="2688" w:type="dxa"/>
            <w:tcBorders>
              <w:bottom w:val="single" w:sz="4" w:space="0" w:color="auto"/>
            </w:tcBorders>
            <w:shd w:val="clear" w:color="auto" w:fill="0099CC"/>
          </w:tcPr>
          <w:p w14:paraId="51F27E4F" w14:textId="77777777" w:rsidR="002405F1" w:rsidRPr="00947034" w:rsidRDefault="002405F1" w:rsidP="0055571A">
            <w:pPr>
              <w:pStyle w:val="Default"/>
              <w:spacing w:before="40" w:after="40"/>
              <w:rPr>
                <w:color w:val="FFFFFF" w:themeColor="background1"/>
                <w:sz w:val="17"/>
                <w:szCs w:val="17"/>
              </w:rPr>
            </w:pPr>
            <w:r w:rsidRPr="00947034">
              <w:rPr>
                <w:b/>
                <w:bCs/>
                <w:color w:val="FFFFFF" w:themeColor="background1"/>
                <w:sz w:val="17"/>
                <w:szCs w:val="17"/>
              </w:rPr>
              <w:t xml:space="preserve">Suggested outcomes </w:t>
            </w:r>
          </w:p>
        </w:tc>
      </w:tr>
      <w:tr w:rsidR="00863FDD" w:rsidRPr="00947034" w14:paraId="5654C404" w14:textId="77777777" w:rsidTr="00863FDD">
        <w:trPr>
          <w:trHeight w:val="2292"/>
        </w:trPr>
        <w:tc>
          <w:tcPr>
            <w:tcW w:w="1838" w:type="dxa"/>
            <w:tcBorders>
              <w:bottom w:val="single" w:sz="4" w:space="0" w:color="auto"/>
            </w:tcBorders>
            <w:shd w:val="clear" w:color="auto" w:fill="E1E2E7" w:themeFill="background2"/>
          </w:tcPr>
          <w:p w14:paraId="7DB2BD28" w14:textId="77777777" w:rsidR="00863FDD" w:rsidRPr="00947034" w:rsidRDefault="00863FDD" w:rsidP="00E7309F">
            <w:pPr>
              <w:pStyle w:val="Default"/>
              <w:spacing w:before="40" w:after="40"/>
              <w:rPr>
                <w:b/>
                <w:bCs/>
                <w:sz w:val="17"/>
                <w:szCs w:val="17"/>
              </w:rPr>
            </w:pPr>
            <w:r w:rsidRPr="00947034">
              <w:rPr>
                <w:b/>
                <w:bCs/>
                <w:sz w:val="17"/>
                <w:szCs w:val="17"/>
              </w:rPr>
              <w:t xml:space="preserve">Standardisation of key primary and secondary capacity contractual terms </w:t>
            </w:r>
          </w:p>
        </w:tc>
        <w:tc>
          <w:tcPr>
            <w:tcW w:w="4400" w:type="dxa"/>
            <w:tcBorders>
              <w:bottom w:val="single" w:sz="4" w:space="0" w:color="auto"/>
            </w:tcBorders>
            <w:shd w:val="clear" w:color="auto" w:fill="E1E2E7" w:themeFill="background2"/>
          </w:tcPr>
          <w:p w14:paraId="4D0F92AE" w14:textId="77777777" w:rsidR="00863FDD" w:rsidRPr="00947034" w:rsidRDefault="00863FDD" w:rsidP="00E7309F">
            <w:pPr>
              <w:pStyle w:val="TableBullet1"/>
              <w:spacing w:before="40" w:after="40" w:line="240" w:lineRule="auto"/>
              <w:rPr>
                <w:sz w:val="17"/>
                <w:szCs w:val="17"/>
              </w:rPr>
            </w:pPr>
            <w:r w:rsidRPr="00947034">
              <w:rPr>
                <w:sz w:val="17"/>
                <w:szCs w:val="17"/>
              </w:rPr>
              <w:t xml:space="preserve">Standardisation of key primary and secondary capacity contractual terms for pipeline and for hub </w:t>
            </w:r>
            <w:r w:rsidR="00C76541" w:rsidRPr="00947034">
              <w:rPr>
                <w:sz w:val="17"/>
                <w:szCs w:val="17"/>
              </w:rPr>
              <w:t xml:space="preserve">(compression) </w:t>
            </w:r>
            <w:r w:rsidRPr="00947034">
              <w:rPr>
                <w:sz w:val="17"/>
                <w:szCs w:val="17"/>
              </w:rPr>
              <w:t xml:space="preserve">services. </w:t>
            </w:r>
          </w:p>
          <w:p w14:paraId="697AED75" w14:textId="77777777" w:rsidR="00863FDD" w:rsidRPr="00947034" w:rsidRDefault="00863FDD" w:rsidP="00E7309F">
            <w:pPr>
              <w:pStyle w:val="TableBullet1"/>
              <w:spacing w:before="40" w:after="40" w:line="240" w:lineRule="auto"/>
              <w:rPr>
                <w:sz w:val="17"/>
                <w:szCs w:val="17"/>
              </w:rPr>
            </w:pPr>
            <w:r w:rsidRPr="00947034">
              <w:rPr>
                <w:sz w:val="17"/>
                <w:szCs w:val="17"/>
              </w:rPr>
              <w:t xml:space="preserve">Where possible and appropriate apply across the eastern Australian gas market. </w:t>
            </w:r>
          </w:p>
          <w:p w14:paraId="2BF48FF3" w14:textId="77777777" w:rsidR="00863FDD" w:rsidRPr="00947034" w:rsidRDefault="00863FDD" w:rsidP="00E7309F">
            <w:pPr>
              <w:pStyle w:val="TableBullet1"/>
              <w:spacing w:before="40" w:after="40" w:line="240" w:lineRule="auto"/>
              <w:rPr>
                <w:sz w:val="17"/>
                <w:szCs w:val="17"/>
              </w:rPr>
            </w:pPr>
            <w:r w:rsidRPr="00947034">
              <w:rPr>
                <w:sz w:val="17"/>
                <w:szCs w:val="17"/>
              </w:rPr>
              <w:t xml:space="preserve">Standards to be developed are for key operational, prudential and other contractual provisions in GTAs, CTAs and Operational GTAs, and provisions in contracts used for exchange based trading on the capacity trading platform. </w:t>
            </w:r>
          </w:p>
          <w:p w14:paraId="60432D13" w14:textId="77777777" w:rsidR="00863FDD" w:rsidRPr="00947034" w:rsidRDefault="00863FDD" w:rsidP="00E7309F">
            <w:pPr>
              <w:pStyle w:val="TableBullet1"/>
              <w:spacing w:before="40" w:after="40" w:line="240" w:lineRule="auto"/>
              <w:rPr>
                <w:sz w:val="17"/>
                <w:szCs w:val="17"/>
              </w:rPr>
            </w:pPr>
            <w:r w:rsidRPr="00947034">
              <w:rPr>
                <w:sz w:val="17"/>
                <w:szCs w:val="17"/>
              </w:rPr>
              <w:t xml:space="preserve">Counterparties to existing contracts should not be materially disadvantaged through the standardisation process </w:t>
            </w:r>
          </w:p>
        </w:tc>
        <w:tc>
          <w:tcPr>
            <w:tcW w:w="4683" w:type="dxa"/>
            <w:tcBorders>
              <w:bottom w:val="single" w:sz="4" w:space="0" w:color="auto"/>
            </w:tcBorders>
            <w:shd w:val="clear" w:color="auto" w:fill="E1E2E7" w:themeFill="background2"/>
          </w:tcPr>
          <w:p w14:paraId="0C251CE7" w14:textId="77777777" w:rsidR="00863FDD" w:rsidRPr="00947034" w:rsidRDefault="00863FDD" w:rsidP="00E7309F">
            <w:pPr>
              <w:pStyle w:val="TableBullet1"/>
              <w:spacing w:before="40" w:after="40" w:line="240" w:lineRule="auto"/>
              <w:rPr>
                <w:sz w:val="17"/>
                <w:szCs w:val="17"/>
              </w:rPr>
            </w:pPr>
            <w:r w:rsidRPr="00947034">
              <w:rPr>
                <w:sz w:val="17"/>
                <w:szCs w:val="17"/>
              </w:rPr>
              <w:t xml:space="preserve">Shippers provided greater flexibility to change their receipt and delivery points </w:t>
            </w:r>
          </w:p>
        </w:tc>
        <w:tc>
          <w:tcPr>
            <w:tcW w:w="2688" w:type="dxa"/>
            <w:tcBorders>
              <w:bottom w:val="single" w:sz="4" w:space="0" w:color="auto"/>
            </w:tcBorders>
            <w:shd w:val="clear" w:color="auto" w:fill="E1E2E7" w:themeFill="background2"/>
          </w:tcPr>
          <w:p w14:paraId="06D28C15" w14:textId="77777777" w:rsidR="00863FDD" w:rsidRPr="00947034" w:rsidRDefault="00863FDD" w:rsidP="00E7309F">
            <w:pPr>
              <w:pStyle w:val="Default"/>
              <w:spacing w:before="40" w:after="40"/>
              <w:rPr>
                <w:sz w:val="17"/>
                <w:szCs w:val="17"/>
              </w:rPr>
            </w:pPr>
            <w:proofErr w:type="spellStart"/>
            <w:r w:rsidRPr="00947034">
              <w:rPr>
                <w:sz w:val="17"/>
                <w:szCs w:val="17"/>
              </w:rPr>
              <w:t>n.a</w:t>
            </w:r>
            <w:proofErr w:type="spellEnd"/>
            <w:r w:rsidRPr="00947034">
              <w:rPr>
                <w:sz w:val="17"/>
                <w:szCs w:val="17"/>
              </w:rPr>
              <w:t>.</w:t>
            </w:r>
          </w:p>
        </w:tc>
      </w:tr>
      <w:tr w:rsidR="00863FDD" w:rsidRPr="00947034" w14:paraId="7D52F868" w14:textId="77777777" w:rsidTr="00E52016">
        <w:trPr>
          <w:trHeight w:val="3209"/>
        </w:trPr>
        <w:tc>
          <w:tcPr>
            <w:tcW w:w="1838" w:type="dxa"/>
            <w:tcBorders>
              <w:bottom w:val="single" w:sz="4" w:space="0" w:color="auto"/>
            </w:tcBorders>
            <w:shd w:val="clear" w:color="auto" w:fill="auto"/>
          </w:tcPr>
          <w:p w14:paraId="0CF0A4BF" w14:textId="77777777" w:rsidR="00863FDD" w:rsidRPr="00947034" w:rsidRDefault="00863FDD" w:rsidP="00E7309F">
            <w:pPr>
              <w:pStyle w:val="Default"/>
              <w:spacing w:before="40" w:after="40"/>
              <w:rPr>
                <w:sz w:val="17"/>
                <w:szCs w:val="17"/>
              </w:rPr>
            </w:pPr>
            <w:r w:rsidRPr="00947034">
              <w:rPr>
                <w:b/>
                <w:bCs/>
                <w:sz w:val="17"/>
                <w:szCs w:val="17"/>
              </w:rPr>
              <w:t xml:space="preserve">Auction for contracted but un-nominated capacity </w:t>
            </w:r>
          </w:p>
        </w:tc>
        <w:tc>
          <w:tcPr>
            <w:tcW w:w="4400" w:type="dxa"/>
            <w:tcBorders>
              <w:bottom w:val="single" w:sz="4" w:space="0" w:color="auto"/>
            </w:tcBorders>
            <w:shd w:val="clear" w:color="auto" w:fill="auto"/>
          </w:tcPr>
          <w:p w14:paraId="06ECFE52" w14:textId="77777777" w:rsidR="00863FDD" w:rsidRPr="00947034" w:rsidRDefault="00863FDD" w:rsidP="00E7309F">
            <w:pPr>
              <w:pStyle w:val="TableBullet1"/>
              <w:spacing w:before="40" w:after="40" w:line="240" w:lineRule="auto"/>
              <w:rPr>
                <w:sz w:val="17"/>
                <w:szCs w:val="17"/>
              </w:rPr>
            </w:pPr>
            <w:r w:rsidRPr="00947034">
              <w:rPr>
                <w:sz w:val="17"/>
                <w:szCs w:val="17"/>
              </w:rPr>
              <w:t xml:space="preserve">A daily, day-ahead capacity auction for contracted but un-nominated pipeline capacity and hub </w:t>
            </w:r>
            <w:r w:rsidR="00C76541" w:rsidRPr="00947034">
              <w:rPr>
                <w:sz w:val="17"/>
                <w:szCs w:val="17"/>
              </w:rPr>
              <w:t xml:space="preserve">(compression) </w:t>
            </w:r>
            <w:r w:rsidRPr="00947034">
              <w:rPr>
                <w:sz w:val="17"/>
                <w:szCs w:val="17"/>
              </w:rPr>
              <w:t xml:space="preserve">services. </w:t>
            </w:r>
          </w:p>
          <w:p w14:paraId="4CE5357A" w14:textId="77777777" w:rsidR="00863FDD" w:rsidRPr="00947034" w:rsidRDefault="00863FDD" w:rsidP="00E7309F">
            <w:pPr>
              <w:pStyle w:val="TableBullet1"/>
              <w:spacing w:before="40" w:after="40" w:line="240" w:lineRule="auto"/>
              <w:rPr>
                <w:sz w:val="17"/>
                <w:szCs w:val="17"/>
              </w:rPr>
            </w:pPr>
            <w:r w:rsidRPr="00947034">
              <w:rPr>
                <w:sz w:val="17"/>
                <w:szCs w:val="17"/>
              </w:rPr>
              <w:t xml:space="preserve">Auction happens shortly after nomination cut-off time. </w:t>
            </w:r>
          </w:p>
          <w:p w14:paraId="1041712D" w14:textId="77777777" w:rsidR="00863FDD" w:rsidRPr="00947034" w:rsidRDefault="00863FDD" w:rsidP="00E7309F">
            <w:pPr>
              <w:pStyle w:val="TableBullet1"/>
              <w:spacing w:before="40" w:after="40" w:line="240" w:lineRule="auto"/>
              <w:rPr>
                <w:sz w:val="17"/>
                <w:szCs w:val="17"/>
              </w:rPr>
            </w:pPr>
            <w:r w:rsidRPr="00947034">
              <w:rPr>
                <w:sz w:val="17"/>
                <w:szCs w:val="17"/>
              </w:rPr>
              <w:t xml:space="preserve">Reserve price of zero dollars, with compressor fuel provided by shippers in-kind. </w:t>
            </w:r>
          </w:p>
          <w:p w14:paraId="399F7562" w14:textId="77777777" w:rsidR="00863FDD" w:rsidRPr="00947034" w:rsidRDefault="00863FDD" w:rsidP="00E7309F">
            <w:pPr>
              <w:pStyle w:val="TableBullet1"/>
              <w:spacing w:before="40" w:after="40" w:line="240" w:lineRule="auto"/>
              <w:rPr>
                <w:sz w:val="17"/>
                <w:szCs w:val="17"/>
              </w:rPr>
            </w:pPr>
            <w:r w:rsidRPr="00947034">
              <w:rPr>
                <w:sz w:val="17"/>
                <w:szCs w:val="17"/>
              </w:rPr>
              <w:t xml:space="preserve">At least all contracted but un-nominated capacity placed for sale through auction. </w:t>
            </w:r>
          </w:p>
          <w:p w14:paraId="3567069F" w14:textId="77777777" w:rsidR="00863FDD" w:rsidRPr="00947034" w:rsidRDefault="00863FDD" w:rsidP="00E7309F">
            <w:pPr>
              <w:pStyle w:val="TableBullet1"/>
              <w:spacing w:before="40" w:after="40" w:line="240" w:lineRule="auto"/>
              <w:rPr>
                <w:sz w:val="17"/>
                <w:szCs w:val="17"/>
              </w:rPr>
            </w:pPr>
            <w:r w:rsidRPr="00947034">
              <w:rPr>
                <w:sz w:val="17"/>
                <w:szCs w:val="17"/>
              </w:rPr>
              <w:t xml:space="preserve">Accommodate nominations or renominations by incumbent shippers after the auction is conducted. </w:t>
            </w:r>
          </w:p>
        </w:tc>
        <w:tc>
          <w:tcPr>
            <w:tcW w:w="4683" w:type="dxa"/>
            <w:tcBorders>
              <w:bottom w:val="single" w:sz="4" w:space="0" w:color="auto"/>
            </w:tcBorders>
            <w:shd w:val="clear" w:color="auto" w:fill="auto"/>
          </w:tcPr>
          <w:p w14:paraId="4C75C951" w14:textId="77777777" w:rsidR="00863FDD" w:rsidRPr="00947034" w:rsidRDefault="00863FDD" w:rsidP="00E7309F">
            <w:pPr>
              <w:pStyle w:val="TableBullet1"/>
              <w:spacing w:before="40" w:after="40" w:line="240" w:lineRule="auto"/>
              <w:rPr>
                <w:sz w:val="17"/>
                <w:szCs w:val="17"/>
              </w:rPr>
            </w:pPr>
            <w:r w:rsidRPr="00947034">
              <w:rPr>
                <w:sz w:val="17"/>
                <w:szCs w:val="17"/>
              </w:rPr>
              <w:t xml:space="preserve">Combinatorial auction where multiple buyers and sellers can simultaneously coordinate trades, managing the complementarities between different pipeline segments. </w:t>
            </w:r>
          </w:p>
          <w:p w14:paraId="5DB9142C" w14:textId="77777777" w:rsidR="00863FDD" w:rsidRPr="00947034" w:rsidRDefault="00863FDD" w:rsidP="00E7309F">
            <w:pPr>
              <w:pStyle w:val="TableBullet1"/>
              <w:spacing w:before="40" w:after="40" w:line="240" w:lineRule="auto"/>
              <w:rPr>
                <w:sz w:val="17"/>
                <w:szCs w:val="17"/>
              </w:rPr>
            </w:pPr>
            <w:r w:rsidRPr="00947034">
              <w:rPr>
                <w:sz w:val="17"/>
                <w:szCs w:val="17"/>
              </w:rPr>
              <w:t xml:space="preserve">Single round auction to reduce complexity and opportunities for anti-competitive behaviour between participants. </w:t>
            </w:r>
          </w:p>
          <w:p w14:paraId="2047BD78" w14:textId="77777777" w:rsidR="00863FDD" w:rsidRPr="00947034" w:rsidRDefault="00863FDD" w:rsidP="00E7309F">
            <w:pPr>
              <w:pStyle w:val="TableBullet1"/>
              <w:spacing w:before="40" w:after="40" w:line="240" w:lineRule="auto"/>
              <w:rPr>
                <w:sz w:val="17"/>
                <w:szCs w:val="17"/>
              </w:rPr>
            </w:pPr>
            <w:r w:rsidRPr="00947034">
              <w:rPr>
                <w:sz w:val="17"/>
                <w:szCs w:val="17"/>
              </w:rPr>
              <w:t xml:space="preserve">Bidders pay the value of their winning bids ("first-price" rule) to reduce complexity. </w:t>
            </w:r>
          </w:p>
          <w:p w14:paraId="7B3C6421" w14:textId="77777777" w:rsidR="00863FDD" w:rsidRPr="00947034" w:rsidRDefault="00863FDD" w:rsidP="00E7309F">
            <w:pPr>
              <w:pStyle w:val="TableBullet1"/>
              <w:spacing w:before="40" w:after="40" w:line="240" w:lineRule="auto"/>
              <w:rPr>
                <w:sz w:val="17"/>
                <w:szCs w:val="17"/>
              </w:rPr>
            </w:pPr>
            <w:r w:rsidRPr="00947034">
              <w:rPr>
                <w:sz w:val="17"/>
                <w:szCs w:val="17"/>
              </w:rPr>
              <w:t xml:space="preserve">Algorithm determines the winning combination of bids by maximising profit (constrained by requirement that at least all contracted but un-nominated capacity is put on sale in auction). </w:t>
            </w:r>
          </w:p>
          <w:p w14:paraId="56DA4763" w14:textId="1D6D78E2" w:rsidR="00863FDD" w:rsidRPr="00947034" w:rsidRDefault="00863FDD" w:rsidP="00E7309F">
            <w:pPr>
              <w:pStyle w:val="TableBullet1"/>
              <w:spacing w:before="40" w:after="40" w:line="240" w:lineRule="auto"/>
              <w:rPr>
                <w:sz w:val="17"/>
                <w:szCs w:val="17"/>
              </w:rPr>
            </w:pPr>
            <w:r w:rsidRPr="00947034">
              <w:rPr>
                <w:sz w:val="17"/>
                <w:szCs w:val="17"/>
              </w:rPr>
              <w:t>Capacity purchased in the auction curtailed before (</w:t>
            </w:r>
            <w:r w:rsidR="00817F19" w:rsidRPr="00947034">
              <w:rPr>
                <w:sz w:val="17"/>
                <w:szCs w:val="17"/>
              </w:rPr>
              <w:t>i.e.</w:t>
            </w:r>
            <w:r w:rsidRPr="00947034">
              <w:rPr>
                <w:sz w:val="17"/>
                <w:szCs w:val="17"/>
              </w:rPr>
              <w:t xml:space="preserve">, earlier than) firm capacity. </w:t>
            </w:r>
          </w:p>
          <w:p w14:paraId="0EF1957B" w14:textId="77777777" w:rsidR="00863FDD" w:rsidRPr="00947034" w:rsidRDefault="00863FDD" w:rsidP="00E7309F">
            <w:pPr>
              <w:pStyle w:val="TableBullet1"/>
              <w:spacing w:before="40" w:after="40" w:line="240" w:lineRule="auto"/>
              <w:rPr>
                <w:sz w:val="17"/>
                <w:szCs w:val="17"/>
              </w:rPr>
            </w:pPr>
            <w:r w:rsidRPr="00947034">
              <w:rPr>
                <w:sz w:val="17"/>
                <w:szCs w:val="17"/>
              </w:rPr>
              <w:t xml:space="preserve">Single auction across the east coast market, in order to optimise allocation across as many products as possible. </w:t>
            </w:r>
          </w:p>
          <w:p w14:paraId="65005477" w14:textId="77777777" w:rsidR="00863FDD" w:rsidRPr="00947034" w:rsidRDefault="00863FDD" w:rsidP="00E7309F">
            <w:pPr>
              <w:pStyle w:val="TableBullet1"/>
              <w:spacing w:before="40" w:after="40" w:line="240" w:lineRule="auto"/>
              <w:rPr>
                <w:sz w:val="17"/>
                <w:szCs w:val="17"/>
              </w:rPr>
            </w:pPr>
            <w:r w:rsidRPr="00947034">
              <w:rPr>
                <w:sz w:val="17"/>
                <w:szCs w:val="17"/>
              </w:rPr>
              <w:t xml:space="preserve">Exemption from the auction for pipelines serving a single user. </w:t>
            </w:r>
          </w:p>
        </w:tc>
        <w:tc>
          <w:tcPr>
            <w:tcW w:w="2688" w:type="dxa"/>
            <w:tcBorders>
              <w:bottom w:val="single" w:sz="4" w:space="0" w:color="auto"/>
            </w:tcBorders>
            <w:shd w:val="clear" w:color="auto" w:fill="auto"/>
          </w:tcPr>
          <w:p w14:paraId="58B54FB1" w14:textId="77777777" w:rsidR="00863FDD" w:rsidRPr="00947034" w:rsidRDefault="00863FDD" w:rsidP="00E7309F">
            <w:pPr>
              <w:pStyle w:val="TableBullet1"/>
              <w:spacing w:before="40" w:after="40" w:line="240" w:lineRule="auto"/>
              <w:rPr>
                <w:sz w:val="17"/>
                <w:szCs w:val="17"/>
              </w:rPr>
            </w:pPr>
            <w:r w:rsidRPr="00947034">
              <w:rPr>
                <w:sz w:val="17"/>
                <w:szCs w:val="17"/>
              </w:rPr>
              <w:t xml:space="preserve">As available rights in current GTAs to be phased out to avoid them competing with rights allocated in the auction. </w:t>
            </w:r>
          </w:p>
          <w:p w14:paraId="3EBF19CF" w14:textId="77777777" w:rsidR="00863FDD" w:rsidRPr="00947034" w:rsidRDefault="00863FDD" w:rsidP="00E7309F">
            <w:pPr>
              <w:pStyle w:val="TableBullet1"/>
              <w:spacing w:before="40" w:after="40" w:line="240" w:lineRule="auto"/>
              <w:rPr>
                <w:sz w:val="17"/>
                <w:szCs w:val="17"/>
              </w:rPr>
            </w:pPr>
            <w:r w:rsidRPr="00947034">
              <w:rPr>
                <w:sz w:val="17"/>
                <w:szCs w:val="17"/>
              </w:rPr>
              <w:t xml:space="preserve">Exempting on a case-by-case basis pipelines that are not fully contracted from needing to conduct the auction. </w:t>
            </w:r>
          </w:p>
          <w:p w14:paraId="444DF23D" w14:textId="77777777" w:rsidR="00863FDD" w:rsidRPr="00947034" w:rsidRDefault="00863FDD" w:rsidP="00E7309F">
            <w:pPr>
              <w:pStyle w:val="TableBullet1"/>
              <w:spacing w:before="40" w:after="40" w:line="240" w:lineRule="auto"/>
              <w:rPr>
                <w:sz w:val="17"/>
                <w:szCs w:val="17"/>
              </w:rPr>
            </w:pPr>
            <w:r w:rsidRPr="00947034">
              <w:rPr>
                <w:sz w:val="17"/>
                <w:szCs w:val="17"/>
              </w:rPr>
              <w:t xml:space="preserve">The auction to be run by the same institution(s) which run the capacity trading platform. </w:t>
            </w:r>
          </w:p>
        </w:tc>
      </w:tr>
      <w:tr w:rsidR="00E52016" w:rsidRPr="00947034" w14:paraId="0485F5DF" w14:textId="77777777" w:rsidTr="00E52016">
        <w:trPr>
          <w:trHeight w:val="576"/>
        </w:trPr>
        <w:tc>
          <w:tcPr>
            <w:tcW w:w="1838" w:type="dxa"/>
            <w:tcBorders>
              <w:bottom w:val="single" w:sz="4" w:space="0" w:color="auto"/>
            </w:tcBorders>
            <w:shd w:val="clear" w:color="auto" w:fill="E1E2E7" w:themeFill="background2"/>
          </w:tcPr>
          <w:p w14:paraId="73109D59" w14:textId="77777777" w:rsidR="00E52016" w:rsidRPr="00947034" w:rsidRDefault="00E52016" w:rsidP="00A057CA">
            <w:pPr>
              <w:pStyle w:val="Default"/>
              <w:spacing w:before="40" w:after="40"/>
              <w:rPr>
                <w:b/>
                <w:bCs/>
                <w:sz w:val="17"/>
                <w:szCs w:val="17"/>
              </w:rPr>
            </w:pPr>
            <w:r w:rsidRPr="00947034">
              <w:rPr>
                <w:b/>
                <w:bCs/>
                <w:sz w:val="17"/>
                <w:szCs w:val="17"/>
              </w:rPr>
              <w:t xml:space="preserve">Capacity trading platform(s) </w:t>
            </w:r>
          </w:p>
        </w:tc>
        <w:tc>
          <w:tcPr>
            <w:tcW w:w="4400" w:type="dxa"/>
            <w:tcBorders>
              <w:bottom w:val="single" w:sz="4" w:space="0" w:color="auto"/>
            </w:tcBorders>
            <w:shd w:val="clear" w:color="auto" w:fill="E1E2E7" w:themeFill="background2"/>
          </w:tcPr>
          <w:p w14:paraId="5F714B01" w14:textId="77777777" w:rsidR="00E52016" w:rsidRPr="00947034" w:rsidRDefault="00E52016" w:rsidP="00A057CA">
            <w:pPr>
              <w:pStyle w:val="TableBullet1"/>
              <w:spacing w:before="40" w:after="40" w:line="240" w:lineRule="auto"/>
              <w:rPr>
                <w:sz w:val="17"/>
                <w:szCs w:val="17"/>
              </w:rPr>
            </w:pPr>
            <w:r w:rsidRPr="00947034">
              <w:rPr>
                <w:sz w:val="17"/>
                <w:szCs w:val="17"/>
              </w:rPr>
              <w:t xml:space="preserve">Creation of capacity trading platform(s) which include electronic anonymous exchange based trading for commonly traded products in addition to a capacity listing service typical on current capacity trading platforms. </w:t>
            </w:r>
          </w:p>
          <w:p w14:paraId="18573FF4" w14:textId="77777777" w:rsidR="00E52016" w:rsidRPr="00947034" w:rsidRDefault="00E52016" w:rsidP="00A057CA">
            <w:pPr>
              <w:pStyle w:val="TableBullet1"/>
              <w:spacing w:before="40" w:after="40" w:line="240" w:lineRule="auto"/>
              <w:rPr>
                <w:sz w:val="17"/>
                <w:szCs w:val="17"/>
              </w:rPr>
            </w:pPr>
            <w:r w:rsidRPr="00947034">
              <w:rPr>
                <w:sz w:val="17"/>
                <w:szCs w:val="17"/>
              </w:rPr>
              <w:t xml:space="preserve">Trades carried out through trading platform to be given effect through an operational transfer. </w:t>
            </w:r>
          </w:p>
          <w:p w14:paraId="663D3E44" w14:textId="77777777" w:rsidR="00E52016" w:rsidRPr="00947034" w:rsidRDefault="00E52016" w:rsidP="00A057CA">
            <w:pPr>
              <w:pStyle w:val="TableBullet1"/>
              <w:spacing w:before="40" w:after="40" w:line="240" w:lineRule="auto"/>
              <w:rPr>
                <w:sz w:val="17"/>
                <w:szCs w:val="17"/>
              </w:rPr>
            </w:pPr>
            <w:r w:rsidRPr="00947034">
              <w:rPr>
                <w:sz w:val="17"/>
                <w:szCs w:val="17"/>
              </w:rPr>
              <w:t xml:space="preserve">Bare transfers will be allowed but the seller will be required to offer the buyer the option to use an operational transfer. </w:t>
            </w:r>
          </w:p>
        </w:tc>
        <w:tc>
          <w:tcPr>
            <w:tcW w:w="4683" w:type="dxa"/>
            <w:tcBorders>
              <w:bottom w:val="single" w:sz="4" w:space="0" w:color="auto"/>
            </w:tcBorders>
            <w:shd w:val="clear" w:color="auto" w:fill="E1E2E7" w:themeFill="background2"/>
          </w:tcPr>
          <w:p w14:paraId="568AB39C" w14:textId="77777777" w:rsidR="00E52016" w:rsidRPr="00947034" w:rsidRDefault="00E52016" w:rsidP="00A057CA">
            <w:pPr>
              <w:pStyle w:val="TableBullet1"/>
              <w:spacing w:before="40" w:after="40" w:line="240" w:lineRule="auto"/>
              <w:rPr>
                <w:sz w:val="17"/>
                <w:szCs w:val="17"/>
              </w:rPr>
            </w:pPr>
            <w:r w:rsidRPr="00947034">
              <w:rPr>
                <w:sz w:val="17"/>
                <w:szCs w:val="17"/>
              </w:rPr>
              <w:t xml:space="preserve">Single capacity trading platform operating across the east coast. </w:t>
            </w:r>
          </w:p>
          <w:p w14:paraId="221939A5" w14:textId="2242AF61" w:rsidR="00E52016" w:rsidRPr="00947034" w:rsidRDefault="00E52016" w:rsidP="00A057CA">
            <w:pPr>
              <w:pStyle w:val="TableBullet1"/>
              <w:spacing w:before="40" w:after="40" w:line="240" w:lineRule="auto"/>
              <w:rPr>
                <w:sz w:val="17"/>
                <w:szCs w:val="17"/>
              </w:rPr>
            </w:pPr>
            <w:r w:rsidRPr="00947034">
              <w:rPr>
                <w:sz w:val="17"/>
                <w:szCs w:val="17"/>
              </w:rPr>
              <w:t>As many services as possible capable of being traded on the platform (</w:t>
            </w:r>
            <w:r w:rsidR="00817F19" w:rsidRPr="00947034">
              <w:rPr>
                <w:sz w:val="17"/>
                <w:szCs w:val="17"/>
              </w:rPr>
              <w:t>e.g.</w:t>
            </w:r>
            <w:r w:rsidRPr="00947034">
              <w:rPr>
                <w:sz w:val="17"/>
                <w:szCs w:val="17"/>
              </w:rPr>
              <w:t xml:space="preserve">, transportation services, hub </w:t>
            </w:r>
            <w:r w:rsidR="00C76541" w:rsidRPr="00947034">
              <w:rPr>
                <w:sz w:val="17"/>
                <w:szCs w:val="17"/>
              </w:rPr>
              <w:t xml:space="preserve">(compression) </w:t>
            </w:r>
            <w:r w:rsidRPr="00947034">
              <w:rPr>
                <w:sz w:val="17"/>
                <w:szCs w:val="17"/>
              </w:rPr>
              <w:t xml:space="preserve">services and pipeline storage services), recognising the need to avoid unnecessary complexities. </w:t>
            </w:r>
          </w:p>
          <w:p w14:paraId="3CC53DD7" w14:textId="77777777" w:rsidR="00E52016" w:rsidRPr="00947034" w:rsidRDefault="00E52016" w:rsidP="00A057CA">
            <w:pPr>
              <w:pStyle w:val="TableBullet1"/>
              <w:spacing w:before="40" w:after="40" w:line="240" w:lineRule="auto"/>
              <w:rPr>
                <w:sz w:val="17"/>
                <w:szCs w:val="17"/>
              </w:rPr>
            </w:pPr>
            <w:r w:rsidRPr="00947034">
              <w:rPr>
                <w:sz w:val="17"/>
                <w:szCs w:val="17"/>
              </w:rPr>
              <w:t xml:space="preserve">Trades conducted outside the capacity trading platform to be advertised ahead of time on the capacity trading platform listing service. </w:t>
            </w:r>
          </w:p>
        </w:tc>
        <w:tc>
          <w:tcPr>
            <w:tcW w:w="2688" w:type="dxa"/>
            <w:tcBorders>
              <w:bottom w:val="single" w:sz="4" w:space="0" w:color="auto"/>
            </w:tcBorders>
            <w:shd w:val="clear" w:color="auto" w:fill="E1E2E7" w:themeFill="background2"/>
          </w:tcPr>
          <w:p w14:paraId="75E24535" w14:textId="77777777" w:rsidR="00E52016" w:rsidRPr="00947034" w:rsidRDefault="00E52016" w:rsidP="00A057CA">
            <w:pPr>
              <w:pStyle w:val="Default"/>
              <w:spacing w:before="40" w:after="40"/>
              <w:rPr>
                <w:sz w:val="17"/>
                <w:szCs w:val="17"/>
              </w:rPr>
            </w:pPr>
            <w:proofErr w:type="spellStart"/>
            <w:r w:rsidRPr="00947034">
              <w:rPr>
                <w:sz w:val="17"/>
                <w:szCs w:val="17"/>
              </w:rPr>
              <w:t>n.a</w:t>
            </w:r>
            <w:proofErr w:type="spellEnd"/>
            <w:r w:rsidRPr="00947034">
              <w:rPr>
                <w:sz w:val="17"/>
                <w:szCs w:val="17"/>
              </w:rPr>
              <w:t>.</w:t>
            </w:r>
          </w:p>
        </w:tc>
      </w:tr>
      <w:tr w:rsidR="002405F1" w:rsidRPr="00947034" w14:paraId="43FBC114" w14:textId="77777777" w:rsidTr="00E52016">
        <w:trPr>
          <w:trHeight w:val="66"/>
        </w:trPr>
        <w:tc>
          <w:tcPr>
            <w:tcW w:w="1838" w:type="dxa"/>
            <w:shd w:val="clear" w:color="auto" w:fill="auto"/>
          </w:tcPr>
          <w:p w14:paraId="223629FB" w14:textId="77777777" w:rsidR="002405F1" w:rsidRPr="00947034" w:rsidRDefault="002405F1" w:rsidP="00A9425D">
            <w:pPr>
              <w:pStyle w:val="Default"/>
              <w:spacing w:before="40" w:after="40"/>
              <w:rPr>
                <w:b/>
                <w:bCs/>
                <w:sz w:val="17"/>
                <w:szCs w:val="17"/>
              </w:rPr>
            </w:pPr>
            <w:r w:rsidRPr="00947034">
              <w:rPr>
                <w:b/>
                <w:bCs/>
                <w:sz w:val="17"/>
                <w:szCs w:val="17"/>
              </w:rPr>
              <w:t xml:space="preserve">Publication of information on secondary capacity trades </w:t>
            </w:r>
          </w:p>
        </w:tc>
        <w:tc>
          <w:tcPr>
            <w:tcW w:w="4400" w:type="dxa"/>
            <w:shd w:val="clear" w:color="auto" w:fill="auto"/>
          </w:tcPr>
          <w:p w14:paraId="12F53DFB" w14:textId="77777777" w:rsidR="002405F1" w:rsidRPr="00947034" w:rsidRDefault="002405F1" w:rsidP="00A9425D">
            <w:pPr>
              <w:pStyle w:val="TableBullet1"/>
              <w:spacing w:before="40" w:after="40" w:line="240" w:lineRule="auto"/>
              <w:rPr>
                <w:sz w:val="17"/>
                <w:szCs w:val="17"/>
              </w:rPr>
            </w:pPr>
            <w:r w:rsidRPr="00947034">
              <w:rPr>
                <w:sz w:val="17"/>
                <w:szCs w:val="17"/>
              </w:rPr>
              <w:t xml:space="preserve">Publication of information on all secondary trades of pipeline capacity and hub </w:t>
            </w:r>
            <w:r w:rsidR="00C76541" w:rsidRPr="00947034">
              <w:rPr>
                <w:sz w:val="17"/>
                <w:szCs w:val="17"/>
              </w:rPr>
              <w:t xml:space="preserve">(compression) </w:t>
            </w:r>
            <w:r w:rsidRPr="00947034">
              <w:rPr>
                <w:sz w:val="17"/>
                <w:szCs w:val="17"/>
              </w:rPr>
              <w:t xml:space="preserve">services. </w:t>
            </w:r>
          </w:p>
          <w:p w14:paraId="655777B6" w14:textId="77777777" w:rsidR="002405F1" w:rsidRPr="00947034" w:rsidRDefault="002405F1" w:rsidP="00A9425D">
            <w:pPr>
              <w:pStyle w:val="TableBullet1"/>
              <w:spacing w:before="40" w:after="40" w:line="240" w:lineRule="auto"/>
              <w:rPr>
                <w:sz w:val="17"/>
                <w:szCs w:val="17"/>
              </w:rPr>
            </w:pPr>
            <w:r w:rsidRPr="00947034">
              <w:rPr>
                <w:sz w:val="17"/>
                <w:szCs w:val="17"/>
              </w:rPr>
              <w:t xml:space="preserve">The information to be published is the price of the trade and any other information that might reasonably influence that price, taking into account measures to protect anonymity. </w:t>
            </w:r>
          </w:p>
          <w:p w14:paraId="67985D6D" w14:textId="77777777" w:rsidR="002405F1" w:rsidRPr="00947034" w:rsidRDefault="002405F1" w:rsidP="00A9425D">
            <w:pPr>
              <w:pStyle w:val="TableBullet1"/>
              <w:spacing w:before="40" w:after="40" w:line="240" w:lineRule="auto"/>
              <w:rPr>
                <w:sz w:val="17"/>
                <w:szCs w:val="17"/>
              </w:rPr>
            </w:pPr>
            <w:r w:rsidRPr="00947034">
              <w:rPr>
                <w:sz w:val="17"/>
                <w:szCs w:val="17"/>
              </w:rPr>
              <w:t xml:space="preserve">Publication should occur at or shortly after the time the transaction is entered into </w:t>
            </w:r>
          </w:p>
        </w:tc>
        <w:tc>
          <w:tcPr>
            <w:tcW w:w="4683" w:type="dxa"/>
            <w:shd w:val="clear" w:color="auto" w:fill="auto"/>
          </w:tcPr>
          <w:p w14:paraId="5B451668" w14:textId="77777777" w:rsidR="002405F1" w:rsidRPr="00947034" w:rsidRDefault="002405F1" w:rsidP="00A9425D">
            <w:pPr>
              <w:pStyle w:val="TableBullet1"/>
              <w:numPr>
                <w:ilvl w:val="0"/>
                <w:numId w:val="0"/>
              </w:numPr>
              <w:spacing w:before="40" w:after="40" w:line="240" w:lineRule="auto"/>
              <w:ind w:left="85"/>
              <w:rPr>
                <w:sz w:val="17"/>
                <w:szCs w:val="17"/>
              </w:rPr>
            </w:pPr>
            <w:proofErr w:type="spellStart"/>
            <w:r w:rsidRPr="00947034">
              <w:rPr>
                <w:sz w:val="17"/>
                <w:szCs w:val="17"/>
              </w:rPr>
              <w:t>n.a</w:t>
            </w:r>
            <w:proofErr w:type="spellEnd"/>
            <w:r w:rsidRPr="00947034">
              <w:rPr>
                <w:sz w:val="17"/>
                <w:szCs w:val="17"/>
              </w:rPr>
              <w:t>.</w:t>
            </w:r>
          </w:p>
        </w:tc>
        <w:tc>
          <w:tcPr>
            <w:tcW w:w="2688" w:type="dxa"/>
            <w:shd w:val="clear" w:color="auto" w:fill="auto"/>
          </w:tcPr>
          <w:p w14:paraId="04797EA2" w14:textId="77777777" w:rsidR="002405F1" w:rsidRPr="00947034" w:rsidRDefault="002405F1" w:rsidP="00A9425D">
            <w:pPr>
              <w:pStyle w:val="Default"/>
              <w:spacing w:before="40" w:after="40"/>
              <w:rPr>
                <w:sz w:val="17"/>
                <w:szCs w:val="17"/>
              </w:rPr>
            </w:pPr>
            <w:proofErr w:type="spellStart"/>
            <w:r w:rsidRPr="00947034">
              <w:rPr>
                <w:sz w:val="17"/>
                <w:szCs w:val="17"/>
              </w:rPr>
              <w:t>n.a</w:t>
            </w:r>
            <w:proofErr w:type="spellEnd"/>
            <w:r w:rsidRPr="00947034">
              <w:rPr>
                <w:sz w:val="17"/>
                <w:szCs w:val="17"/>
              </w:rPr>
              <w:t>.</w:t>
            </w:r>
          </w:p>
        </w:tc>
      </w:tr>
      <w:bookmarkEnd w:id="167"/>
    </w:tbl>
    <w:p w14:paraId="2C2AE6E5" w14:textId="77777777" w:rsidR="00BB38CA" w:rsidRDefault="00BB38CA" w:rsidP="00A9425D">
      <w:pPr>
        <w:pStyle w:val="BodyText"/>
        <w:spacing w:before="0" w:after="0" w:line="240" w:lineRule="auto"/>
        <w:rPr>
          <w:rStyle w:val="BodyTextChar"/>
          <w:sz w:val="2"/>
          <w:szCs w:val="2"/>
        </w:rPr>
      </w:pPr>
    </w:p>
    <w:p w14:paraId="04E8B5BD" w14:textId="5F48C95F" w:rsidR="001719B2" w:rsidRDefault="001719B2" w:rsidP="00A9425D">
      <w:pPr>
        <w:pStyle w:val="BodyText"/>
        <w:spacing w:before="0" w:after="0" w:line="240" w:lineRule="auto"/>
        <w:rPr>
          <w:rStyle w:val="BodyTextChar"/>
          <w:sz w:val="2"/>
          <w:szCs w:val="2"/>
        </w:rPr>
      </w:pPr>
    </w:p>
    <w:p w14:paraId="06622013" w14:textId="157BDB41" w:rsidR="00BA1563" w:rsidRDefault="00BA1563" w:rsidP="00A9425D">
      <w:pPr>
        <w:pStyle w:val="BodyText"/>
        <w:spacing w:before="0" w:after="0" w:line="240" w:lineRule="auto"/>
        <w:rPr>
          <w:rStyle w:val="BodyTextChar"/>
          <w:sz w:val="2"/>
          <w:szCs w:val="2"/>
        </w:rPr>
      </w:pPr>
    </w:p>
    <w:p w14:paraId="4B971BF6" w14:textId="2CF6C332" w:rsidR="00BA1563" w:rsidRDefault="00BA1563" w:rsidP="00A9425D">
      <w:pPr>
        <w:pStyle w:val="BodyText"/>
        <w:spacing w:before="0" w:after="0" w:line="240" w:lineRule="auto"/>
        <w:rPr>
          <w:rStyle w:val="BodyTextChar"/>
          <w:sz w:val="2"/>
          <w:szCs w:val="2"/>
        </w:rPr>
      </w:pPr>
    </w:p>
    <w:p w14:paraId="11AB1F1F" w14:textId="4DE549E2" w:rsidR="00BA1563" w:rsidRDefault="00BA1563" w:rsidP="00A9425D">
      <w:pPr>
        <w:pStyle w:val="BodyText"/>
        <w:spacing w:before="0" w:after="0" w:line="240" w:lineRule="auto"/>
        <w:rPr>
          <w:rStyle w:val="BodyTextChar"/>
          <w:sz w:val="2"/>
          <w:szCs w:val="2"/>
        </w:rPr>
      </w:pPr>
    </w:p>
    <w:p w14:paraId="7B592BD7" w14:textId="37582FBB" w:rsidR="00BA1563" w:rsidRPr="00D451FB" w:rsidRDefault="00BA1563" w:rsidP="008678DE">
      <w:pPr>
        <w:pStyle w:val="Caption"/>
        <w:tabs>
          <w:tab w:val="left" w:pos="1134"/>
        </w:tabs>
        <w:spacing w:before="200" w:after="0"/>
      </w:pPr>
      <w:r>
        <w:t>Table A.</w:t>
      </w:r>
      <w:r w:rsidR="007A505F">
        <w:t>2</w:t>
      </w:r>
      <w:r>
        <w:t xml:space="preserve">: Consistency of the GMRG’s Preliminary View with the AEMC’s Recommendations </w:t>
      </w:r>
    </w:p>
    <w:tbl>
      <w:tblPr>
        <w:tblStyle w:val="TableGrid"/>
        <w:tblW w:w="5065" w:type="pct"/>
        <w:tblLayout w:type="fixed"/>
        <w:tblLook w:val="0480" w:firstRow="0" w:lastRow="0" w:firstColumn="1" w:lastColumn="0" w:noHBand="0" w:noVBand="1"/>
        <w:tblCaption w:val="Table A.2: Consistency of the GMRG’s Preliminary View with the AEMC’s Recommendations "/>
        <w:tblDescription w:val="Consistency of the GMRG’s Preliminary View with the AEMC’s Recommendations "/>
      </w:tblPr>
      <w:tblGrid>
        <w:gridCol w:w="1277"/>
        <w:gridCol w:w="6623"/>
        <w:gridCol w:w="5425"/>
      </w:tblGrid>
      <w:tr w:rsidR="00BA1563" w:rsidRPr="007B4506" w14:paraId="61637904" w14:textId="77777777" w:rsidTr="007A505F">
        <w:trPr>
          <w:cnfStyle w:val="000000010000" w:firstRow="0" w:lastRow="0" w:firstColumn="0" w:lastColumn="0" w:oddVBand="0" w:evenVBand="0" w:oddHBand="0" w:evenHBand="1" w:firstRowFirstColumn="0" w:firstRowLastColumn="0" w:lastRowFirstColumn="0" w:lastRowLastColumn="0"/>
          <w:tblHeader/>
        </w:trPr>
        <w:tc>
          <w:tcPr>
            <w:tcW w:w="7899" w:type="dxa"/>
            <w:gridSpan w:val="2"/>
            <w:tcBorders>
              <w:bottom w:val="single" w:sz="4" w:space="0" w:color="auto"/>
            </w:tcBorders>
            <w:shd w:val="clear" w:color="auto" w:fill="0099CC"/>
          </w:tcPr>
          <w:p w14:paraId="26F3CEEB" w14:textId="77777777" w:rsidR="00BA1563" w:rsidRPr="007B4506" w:rsidRDefault="00BA1563" w:rsidP="007A505F">
            <w:pPr>
              <w:pStyle w:val="TableBodyText"/>
              <w:keepNext/>
              <w:spacing w:before="20" w:after="20" w:line="21" w:lineRule="atLeast"/>
              <w:jc w:val="center"/>
              <w:rPr>
                <w:b/>
                <w:color w:val="FFFFFF" w:themeColor="background1"/>
                <w:szCs w:val="18"/>
              </w:rPr>
            </w:pPr>
            <w:r w:rsidRPr="007B4506">
              <w:rPr>
                <w:b/>
                <w:color w:val="FFFFFF" w:themeColor="background1"/>
                <w:szCs w:val="18"/>
              </w:rPr>
              <w:t>AEMC Recommendations</w:t>
            </w:r>
          </w:p>
        </w:tc>
        <w:tc>
          <w:tcPr>
            <w:tcW w:w="5425" w:type="dxa"/>
            <w:tcBorders>
              <w:bottom w:val="single" w:sz="4" w:space="0" w:color="auto"/>
            </w:tcBorders>
            <w:shd w:val="clear" w:color="auto" w:fill="0099CC"/>
          </w:tcPr>
          <w:p w14:paraId="7255D1EE" w14:textId="2450FCCF" w:rsidR="00BA1563" w:rsidRPr="007B4506" w:rsidRDefault="00BA1563" w:rsidP="007A505F">
            <w:pPr>
              <w:pStyle w:val="TableBodyText"/>
              <w:keepNext/>
              <w:spacing w:before="20" w:after="20" w:line="21" w:lineRule="atLeast"/>
              <w:jc w:val="center"/>
              <w:rPr>
                <w:b/>
                <w:color w:val="FFFFFF" w:themeColor="background1"/>
                <w:szCs w:val="18"/>
              </w:rPr>
            </w:pPr>
            <w:r w:rsidRPr="007B4506">
              <w:rPr>
                <w:b/>
                <w:color w:val="FFFFFF" w:themeColor="background1"/>
                <w:szCs w:val="18"/>
              </w:rPr>
              <w:t xml:space="preserve">Consistency of GMRG Preliminary View </w:t>
            </w:r>
          </w:p>
        </w:tc>
      </w:tr>
      <w:tr w:rsidR="00BA1563" w:rsidRPr="007B4506" w14:paraId="1F5BB5D0" w14:textId="77777777" w:rsidTr="00BA1563">
        <w:tc>
          <w:tcPr>
            <w:tcW w:w="13324" w:type="dxa"/>
            <w:gridSpan w:val="3"/>
            <w:tcBorders>
              <w:bottom w:val="single" w:sz="4" w:space="0" w:color="auto"/>
            </w:tcBorders>
            <w:shd w:val="clear" w:color="auto" w:fill="000000" w:themeFill="text1"/>
          </w:tcPr>
          <w:p w14:paraId="40267B79" w14:textId="77777777" w:rsidR="00BA1563" w:rsidRPr="007B4506" w:rsidRDefault="00BA1563" w:rsidP="007A505F">
            <w:pPr>
              <w:pStyle w:val="TableBodyText"/>
              <w:keepNext/>
              <w:spacing w:before="20" w:after="20" w:line="21" w:lineRule="atLeast"/>
              <w:jc w:val="center"/>
              <w:rPr>
                <w:b/>
                <w:color w:val="FFFFFF" w:themeColor="background1"/>
                <w:szCs w:val="18"/>
              </w:rPr>
            </w:pPr>
            <w:r>
              <w:rPr>
                <w:b/>
                <w:color w:val="FFFFFF" w:themeColor="background1"/>
                <w:szCs w:val="18"/>
              </w:rPr>
              <w:t>Day-Ahead Auction of Contracted but Un-Nominated Capacity</w:t>
            </w:r>
          </w:p>
        </w:tc>
      </w:tr>
      <w:tr w:rsidR="00BA1563" w:rsidRPr="007B4506" w14:paraId="5E8910F9" w14:textId="77777777" w:rsidTr="00BA1563">
        <w:trPr>
          <w:cnfStyle w:val="000000010000" w:firstRow="0" w:lastRow="0" w:firstColumn="0" w:lastColumn="0" w:oddVBand="0" w:evenVBand="0" w:oddHBand="0" w:evenHBand="1" w:firstRowFirstColumn="0" w:firstRowLastColumn="0" w:lastRowFirstColumn="0" w:lastRowLastColumn="0"/>
        </w:trPr>
        <w:tc>
          <w:tcPr>
            <w:tcW w:w="13324" w:type="dxa"/>
            <w:gridSpan w:val="3"/>
            <w:tcBorders>
              <w:bottom w:val="single" w:sz="4" w:space="0" w:color="auto"/>
            </w:tcBorders>
            <w:shd w:val="clear" w:color="auto" w:fill="65697F" w:themeFill="background2" w:themeFillShade="80"/>
          </w:tcPr>
          <w:p w14:paraId="1C5AB2C6" w14:textId="77777777" w:rsidR="00BA1563" w:rsidRPr="007B4506" w:rsidRDefault="00BA1563" w:rsidP="007A505F">
            <w:pPr>
              <w:pStyle w:val="TableBodyText"/>
              <w:keepNext/>
              <w:spacing w:before="20" w:after="20" w:line="21" w:lineRule="atLeast"/>
              <w:jc w:val="center"/>
              <w:rPr>
                <w:b/>
                <w:color w:val="FFFFFF" w:themeColor="background1"/>
                <w:szCs w:val="18"/>
              </w:rPr>
            </w:pPr>
            <w:r w:rsidRPr="007B4506">
              <w:rPr>
                <w:b/>
                <w:color w:val="FFFFFF" w:themeColor="background1"/>
                <w:szCs w:val="18"/>
              </w:rPr>
              <w:t>Required Outcomes</w:t>
            </w:r>
            <w:r w:rsidRPr="007B4506">
              <w:rPr>
                <w:b/>
                <w:color w:val="FFFFFF" w:themeColor="background1"/>
                <w:szCs w:val="18"/>
              </w:rPr>
              <w:br/>
            </w:r>
            <w:proofErr w:type="spellStart"/>
            <w:r w:rsidRPr="007B4506">
              <w:rPr>
                <w:color w:val="FFFFFF" w:themeColor="background1"/>
                <w:szCs w:val="18"/>
              </w:rPr>
              <w:t>Outcomes</w:t>
            </w:r>
            <w:proofErr w:type="spellEnd"/>
            <w:r w:rsidRPr="007B4506">
              <w:rPr>
                <w:color w:val="FFFFFF" w:themeColor="background1"/>
                <w:szCs w:val="18"/>
              </w:rPr>
              <w:t xml:space="preserve"> that must be progressed by the GMRG and are necessary to the implementation of the reforms</w:t>
            </w:r>
          </w:p>
        </w:tc>
      </w:tr>
      <w:tr w:rsidR="00BA1563" w:rsidRPr="007B4506" w14:paraId="2F72CCE0" w14:textId="77777777" w:rsidTr="00BA1563">
        <w:trPr>
          <w:trHeight w:val="488"/>
        </w:trPr>
        <w:tc>
          <w:tcPr>
            <w:tcW w:w="1276" w:type="dxa"/>
            <w:vMerge w:val="restart"/>
            <w:shd w:val="clear" w:color="auto" w:fill="FFFFFF" w:themeFill="background1"/>
            <w:vAlign w:val="center"/>
          </w:tcPr>
          <w:p w14:paraId="4B5CFF64" w14:textId="77777777" w:rsidR="00BA1563" w:rsidRPr="007B4506" w:rsidRDefault="00BA1563" w:rsidP="007A505F">
            <w:pPr>
              <w:pStyle w:val="TableBodyText"/>
              <w:spacing w:line="21" w:lineRule="atLeast"/>
              <w:rPr>
                <w:szCs w:val="18"/>
              </w:rPr>
            </w:pPr>
            <w:r w:rsidRPr="007B4506">
              <w:rPr>
                <w:szCs w:val="18"/>
              </w:rPr>
              <w:t>Auction design:</w:t>
            </w:r>
          </w:p>
        </w:tc>
        <w:tc>
          <w:tcPr>
            <w:tcW w:w="6618" w:type="dxa"/>
            <w:tcBorders>
              <w:bottom w:val="single" w:sz="4" w:space="0" w:color="auto"/>
            </w:tcBorders>
            <w:shd w:val="clear" w:color="auto" w:fill="FFFFFF" w:themeFill="background1"/>
          </w:tcPr>
          <w:p w14:paraId="49BE7E7D" w14:textId="77777777" w:rsidR="00BA1563" w:rsidRPr="007B4506" w:rsidRDefault="00BA1563" w:rsidP="007A505F">
            <w:pPr>
              <w:pStyle w:val="TableBullet1"/>
              <w:spacing w:line="21" w:lineRule="atLeast"/>
              <w:rPr>
                <w:szCs w:val="18"/>
              </w:rPr>
            </w:pPr>
            <w:r w:rsidRPr="007B4506">
              <w:rPr>
                <w:szCs w:val="18"/>
              </w:rPr>
              <w:t xml:space="preserve">A daily, day-ahead capacity auction for contracted but un-nominated pipeline capacity and hub (compression) services. </w:t>
            </w:r>
          </w:p>
        </w:tc>
        <w:tc>
          <w:tcPr>
            <w:tcW w:w="5425" w:type="dxa"/>
            <w:shd w:val="clear" w:color="auto" w:fill="FFFFFF" w:themeFill="background1"/>
          </w:tcPr>
          <w:p w14:paraId="2C074F1D" w14:textId="77777777" w:rsidR="00BA1563" w:rsidRPr="007B4506" w:rsidRDefault="00BA1563" w:rsidP="007A505F">
            <w:pPr>
              <w:pStyle w:val="TableBullet1"/>
              <w:numPr>
                <w:ilvl w:val="0"/>
                <w:numId w:val="0"/>
              </w:numPr>
              <w:spacing w:before="20" w:after="20" w:line="21" w:lineRule="atLeast"/>
              <w:ind w:left="312"/>
              <w:jc w:val="center"/>
              <w:rPr>
                <w:szCs w:val="18"/>
              </w:rPr>
            </w:pPr>
            <w:r w:rsidRPr="007B4506">
              <w:rPr>
                <w:szCs w:val="18"/>
              </w:rPr>
              <w:sym w:font="Wingdings" w:char="F0FC"/>
            </w:r>
          </w:p>
        </w:tc>
      </w:tr>
      <w:tr w:rsidR="00BA1563" w:rsidRPr="007B4506" w14:paraId="7BF81868" w14:textId="77777777" w:rsidTr="00BA1563">
        <w:trPr>
          <w:cnfStyle w:val="000000010000" w:firstRow="0" w:lastRow="0" w:firstColumn="0" w:lastColumn="0" w:oddVBand="0" w:evenVBand="0" w:oddHBand="0" w:evenHBand="1" w:firstRowFirstColumn="0" w:firstRowLastColumn="0" w:lastRowFirstColumn="0" w:lastRowLastColumn="0"/>
          <w:trHeight w:val="488"/>
        </w:trPr>
        <w:tc>
          <w:tcPr>
            <w:tcW w:w="1276" w:type="dxa"/>
            <w:vMerge/>
            <w:shd w:val="clear" w:color="auto" w:fill="FFFFFF" w:themeFill="background1"/>
          </w:tcPr>
          <w:p w14:paraId="622A6FD6" w14:textId="77777777" w:rsidR="00BA1563" w:rsidRPr="007B4506" w:rsidRDefault="00BA1563" w:rsidP="007A505F">
            <w:pPr>
              <w:pStyle w:val="TableBodyText"/>
              <w:spacing w:line="21" w:lineRule="atLeast"/>
              <w:rPr>
                <w:szCs w:val="18"/>
              </w:rPr>
            </w:pPr>
          </w:p>
        </w:tc>
        <w:tc>
          <w:tcPr>
            <w:tcW w:w="6618" w:type="dxa"/>
            <w:tcBorders>
              <w:bottom w:val="single" w:sz="4" w:space="0" w:color="auto"/>
            </w:tcBorders>
            <w:shd w:val="clear" w:color="auto" w:fill="FFFFFF" w:themeFill="background1"/>
          </w:tcPr>
          <w:p w14:paraId="11114301" w14:textId="77777777" w:rsidR="00BA1563" w:rsidRPr="007B4506" w:rsidRDefault="00BA1563" w:rsidP="007A505F">
            <w:pPr>
              <w:pStyle w:val="TableBullet1"/>
              <w:spacing w:line="21" w:lineRule="atLeast"/>
              <w:rPr>
                <w:szCs w:val="18"/>
              </w:rPr>
            </w:pPr>
            <w:r w:rsidRPr="007B4506">
              <w:rPr>
                <w:szCs w:val="18"/>
              </w:rPr>
              <w:t xml:space="preserve">Auction happens shortly after nomination cut-off time. </w:t>
            </w:r>
          </w:p>
        </w:tc>
        <w:tc>
          <w:tcPr>
            <w:tcW w:w="5425" w:type="dxa"/>
            <w:shd w:val="clear" w:color="auto" w:fill="FFFFFF" w:themeFill="background1"/>
          </w:tcPr>
          <w:p w14:paraId="5E44442B" w14:textId="77777777" w:rsidR="00BA1563" w:rsidRPr="007B4506" w:rsidRDefault="00BA1563" w:rsidP="007A505F">
            <w:pPr>
              <w:pStyle w:val="TableBullet1"/>
              <w:numPr>
                <w:ilvl w:val="0"/>
                <w:numId w:val="0"/>
              </w:numPr>
              <w:spacing w:before="20" w:after="20" w:line="21" w:lineRule="atLeast"/>
              <w:ind w:left="312"/>
              <w:jc w:val="center"/>
              <w:rPr>
                <w:szCs w:val="18"/>
              </w:rPr>
            </w:pPr>
            <w:r w:rsidRPr="007B4506">
              <w:rPr>
                <w:szCs w:val="18"/>
              </w:rPr>
              <w:sym w:font="Wingdings" w:char="F0FC"/>
            </w:r>
          </w:p>
        </w:tc>
      </w:tr>
      <w:tr w:rsidR="00BA1563" w:rsidRPr="007B4506" w14:paraId="64D5C7AB" w14:textId="77777777" w:rsidTr="00BA1563">
        <w:trPr>
          <w:trHeight w:val="488"/>
        </w:trPr>
        <w:tc>
          <w:tcPr>
            <w:tcW w:w="1276" w:type="dxa"/>
            <w:vMerge/>
            <w:shd w:val="clear" w:color="auto" w:fill="FFFFFF" w:themeFill="background1"/>
          </w:tcPr>
          <w:p w14:paraId="77CD5878" w14:textId="77777777" w:rsidR="00BA1563" w:rsidRPr="007B4506" w:rsidRDefault="00BA1563" w:rsidP="007A505F">
            <w:pPr>
              <w:pStyle w:val="TableBodyText"/>
              <w:spacing w:line="21" w:lineRule="atLeast"/>
              <w:rPr>
                <w:szCs w:val="18"/>
              </w:rPr>
            </w:pPr>
          </w:p>
        </w:tc>
        <w:tc>
          <w:tcPr>
            <w:tcW w:w="6618" w:type="dxa"/>
            <w:tcBorders>
              <w:bottom w:val="single" w:sz="4" w:space="0" w:color="auto"/>
            </w:tcBorders>
            <w:shd w:val="clear" w:color="auto" w:fill="FFFFFF" w:themeFill="background1"/>
          </w:tcPr>
          <w:p w14:paraId="1BC7FC31" w14:textId="77777777" w:rsidR="00BA1563" w:rsidRPr="007B4506" w:rsidRDefault="00BA1563" w:rsidP="007A505F">
            <w:pPr>
              <w:pStyle w:val="TableBullet1"/>
              <w:spacing w:line="21" w:lineRule="atLeast"/>
              <w:rPr>
                <w:szCs w:val="18"/>
              </w:rPr>
            </w:pPr>
            <w:r w:rsidRPr="007B4506">
              <w:rPr>
                <w:szCs w:val="18"/>
              </w:rPr>
              <w:t xml:space="preserve">Reserve price of zero dollars, with compressor fuel provided by shippers in-kind. </w:t>
            </w:r>
          </w:p>
        </w:tc>
        <w:tc>
          <w:tcPr>
            <w:tcW w:w="5425" w:type="dxa"/>
            <w:shd w:val="clear" w:color="auto" w:fill="FFFFFF" w:themeFill="background1"/>
          </w:tcPr>
          <w:p w14:paraId="62229C5F" w14:textId="77777777" w:rsidR="00BA1563" w:rsidRPr="007B4506" w:rsidRDefault="00BA1563" w:rsidP="007A505F">
            <w:pPr>
              <w:pStyle w:val="TableBullet1"/>
              <w:numPr>
                <w:ilvl w:val="0"/>
                <w:numId w:val="0"/>
              </w:numPr>
              <w:spacing w:before="20" w:after="20" w:line="21" w:lineRule="atLeast"/>
              <w:ind w:left="312"/>
              <w:jc w:val="center"/>
              <w:rPr>
                <w:szCs w:val="18"/>
              </w:rPr>
            </w:pPr>
            <w:r w:rsidRPr="007B4506">
              <w:rPr>
                <w:szCs w:val="18"/>
              </w:rPr>
              <w:sym w:font="Wingdings" w:char="F0FC"/>
            </w:r>
            <w:r w:rsidRPr="007B4506">
              <w:rPr>
                <w:szCs w:val="18"/>
              </w:rPr>
              <w:t xml:space="preserve"> </w:t>
            </w:r>
            <w:r w:rsidRPr="007B4506">
              <w:rPr>
                <w:szCs w:val="18"/>
              </w:rPr>
              <w:br/>
              <w:t>(</w:t>
            </w:r>
            <w:r>
              <w:rPr>
                <w:szCs w:val="18"/>
              </w:rPr>
              <w:t xml:space="preserve">Note the </w:t>
            </w:r>
            <w:r w:rsidRPr="007B4506">
              <w:rPr>
                <w:szCs w:val="18"/>
              </w:rPr>
              <w:t>proposed approach to the reserve price also recognise the potential for alternate arrangements if the service provider provides compressor fuel)</w:t>
            </w:r>
          </w:p>
        </w:tc>
      </w:tr>
      <w:tr w:rsidR="00BA1563" w:rsidRPr="007B4506" w14:paraId="32E5EB60" w14:textId="77777777" w:rsidTr="00BA1563">
        <w:trPr>
          <w:cnfStyle w:val="000000010000" w:firstRow="0" w:lastRow="0" w:firstColumn="0" w:lastColumn="0" w:oddVBand="0" w:evenVBand="0" w:oddHBand="0" w:evenHBand="1" w:firstRowFirstColumn="0" w:firstRowLastColumn="0" w:lastRowFirstColumn="0" w:lastRowLastColumn="0"/>
          <w:trHeight w:val="488"/>
        </w:trPr>
        <w:tc>
          <w:tcPr>
            <w:tcW w:w="1276" w:type="dxa"/>
            <w:vMerge/>
            <w:tcBorders>
              <w:bottom w:val="single" w:sz="4" w:space="0" w:color="auto"/>
            </w:tcBorders>
            <w:shd w:val="clear" w:color="auto" w:fill="FFFFFF" w:themeFill="background1"/>
          </w:tcPr>
          <w:p w14:paraId="7859DF2F" w14:textId="77777777" w:rsidR="00BA1563" w:rsidRPr="007B4506" w:rsidRDefault="00BA1563" w:rsidP="007A505F">
            <w:pPr>
              <w:pStyle w:val="TableBodyText"/>
              <w:spacing w:line="21" w:lineRule="atLeast"/>
              <w:rPr>
                <w:szCs w:val="18"/>
              </w:rPr>
            </w:pPr>
          </w:p>
        </w:tc>
        <w:tc>
          <w:tcPr>
            <w:tcW w:w="6618" w:type="dxa"/>
            <w:tcBorders>
              <w:bottom w:val="single" w:sz="4" w:space="0" w:color="auto"/>
            </w:tcBorders>
            <w:shd w:val="clear" w:color="auto" w:fill="FFFFFF" w:themeFill="background1"/>
          </w:tcPr>
          <w:p w14:paraId="2AD3F5C7" w14:textId="77777777" w:rsidR="00BA1563" w:rsidRPr="007B4506" w:rsidRDefault="00BA1563" w:rsidP="007A505F">
            <w:pPr>
              <w:pStyle w:val="TableBullet1"/>
              <w:spacing w:line="21" w:lineRule="atLeast"/>
              <w:rPr>
                <w:szCs w:val="18"/>
              </w:rPr>
            </w:pPr>
            <w:r w:rsidRPr="007B4506">
              <w:rPr>
                <w:szCs w:val="18"/>
              </w:rPr>
              <w:t xml:space="preserve">At least all contracted but un-nominated capacity placed for sale through auction. </w:t>
            </w:r>
          </w:p>
        </w:tc>
        <w:tc>
          <w:tcPr>
            <w:tcW w:w="5425" w:type="dxa"/>
            <w:shd w:val="clear" w:color="auto" w:fill="FFFFFF" w:themeFill="background1"/>
          </w:tcPr>
          <w:p w14:paraId="208895C2" w14:textId="77777777" w:rsidR="00BA1563" w:rsidRPr="007B4506" w:rsidRDefault="00BA1563" w:rsidP="007A505F">
            <w:pPr>
              <w:pStyle w:val="TableBullet1"/>
              <w:numPr>
                <w:ilvl w:val="0"/>
                <w:numId w:val="0"/>
              </w:numPr>
              <w:spacing w:before="20" w:after="20" w:line="21" w:lineRule="atLeast"/>
              <w:ind w:left="312"/>
              <w:jc w:val="center"/>
              <w:rPr>
                <w:szCs w:val="18"/>
              </w:rPr>
            </w:pPr>
            <w:r w:rsidRPr="007B4506">
              <w:rPr>
                <w:szCs w:val="18"/>
              </w:rPr>
              <w:sym w:font="Wingdings" w:char="F0FC"/>
            </w:r>
          </w:p>
        </w:tc>
      </w:tr>
      <w:tr w:rsidR="00BA1563" w:rsidRPr="007B4506" w14:paraId="6D83AAAB" w14:textId="77777777" w:rsidTr="00BA1563">
        <w:trPr>
          <w:trHeight w:val="488"/>
        </w:trPr>
        <w:tc>
          <w:tcPr>
            <w:tcW w:w="1276" w:type="dxa"/>
            <w:tcBorders>
              <w:bottom w:val="single" w:sz="4" w:space="0" w:color="auto"/>
            </w:tcBorders>
            <w:shd w:val="clear" w:color="auto" w:fill="FFFFFF" w:themeFill="background1"/>
          </w:tcPr>
          <w:p w14:paraId="398388AF" w14:textId="77777777" w:rsidR="00BA1563" w:rsidRPr="007B4506" w:rsidRDefault="00BA1563" w:rsidP="007A505F">
            <w:pPr>
              <w:pStyle w:val="TableBodyText"/>
              <w:spacing w:line="21" w:lineRule="atLeast"/>
              <w:rPr>
                <w:szCs w:val="18"/>
              </w:rPr>
            </w:pPr>
            <w:r w:rsidRPr="007B4506">
              <w:rPr>
                <w:szCs w:val="18"/>
              </w:rPr>
              <w:t xml:space="preserve">Product design: </w:t>
            </w:r>
          </w:p>
        </w:tc>
        <w:tc>
          <w:tcPr>
            <w:tcW w:w="6618" w:type="dxa"/>
            <w:tcBorders>
              <w:bottom w:val="single" w:sz="4" w:space="0" w:color="auto"/>
            </w:tcBorders>
            <w:shd w:val="clear" w:color="auto" w:fill="FFFFFF" w:themeFill="background1"/>
          </w:tcPr>
          <w:p w14:paraId="061F6E01" w14:textId="77777777" w:rsidR="00BA1563" w:rsidRPr="007B4506" w:rsidRDefault="00BA1563" w:rsidP="007A505F">
            <w:pPr>
              <w:pStyle w:val="TableBullet1"/>
              <w:spacing w:line="21" w:lineRule="atLeast"/>
              <w:rPr>
                <w:szCs w:val="18"/>
              </w:rPr>
            </w:pPr>
            <w:r w:rsidRPr="007B4506">
              <w:rPr>
                <w:szCs w:val="18"/>
              </w:rPr>
              <w:t>Accommodate nominations or renominations by incumbent shippers after the auction is conducted.</w:t>
            </w:r>
          </w:p>
        </w:tc>
        <w:tc>
          <w:tcPr>
            <w:tcW w:w="5425" w:type="dxa"/>
            <w:shd w:val="clear" w:color="auto" w:fill="FFFFFF" w:themeFill="background1"/>
          </w:tcPr>
          <w:p w14:paraId="7ECBDA53" w14:textId="77777777" w:rsidR="00BA1563" w:rsidRPr="007B4506" w:rsidRDefault="00BA1563" w:rsidP="007A505F">
            <w:pPr>
              <w:pStyle w:val="TableBullet1"/>
              <w:numPr>
                <w:ilvl w:val="0"/>
                <w:numId w:val="0"/>
              </w:numPr>
              <w:spacing w:before="20" w:after="20" w:line="21" w:lineRule="atLeast"/>
              <w:ind w:left="312"/>
              <w:jc w:val="center"/>
              <w:rPr>
                <w:szCs w:val="18"/>
              </w:rPr>
            </w:pPr>
            <w:r w:rsidRPr="007B4506">
              <w:rPr>
                <w:szCs w:val="18"/>
              </w:rPr>
              <w:sym w:font="Wingdings" w:char="F0FC"/>
            </w:r>
            <w:r w:rsidRPr="007B4506">
              <w:rPr>
                <w:szCs w:val="18"/>
              </w:rPr>
              <w:br/>
              <w:t>(</w:t>
            </w:r>
            <w:r>
              <w:rPr>
                <w:szCs w:val="18"/>
              </w:rPr>
              <w:t xml:space="preserve">Note </w:t>
            </w:r>
            <w:r w:rsidRPr="007B4506">
              <w:rPr>
                <w:szCs w:val="18"/>
              </w:rPr>
              <w:t>the proposed product accommodates nominations and renominations by shippers with firm capacity rights)</w:t>
            </w:r>
          </w:p>
        </w:tc>
      </w:tr>
      <w:tr w:rsidR="00BA1563" w:rsidRPr="007B4506" w14:paraId="3A7EDF01" w14:textId="77777777" w:rsidTr="00BA1563">
        <w:tblPrEx>
          <w:tblLook w:val="04A0" w:firstRow="1" w:lastRow="0" w:firstColumn="1" w:lastColumn="0" w:noHBand="0" w:noVBand="1"/>
        </w:tblPrEx>
        <w:trPr>
          <w:cnfStyle w:val="000000010000" w:firstRow="0" w:lastRow="0" w:firstColumn="0" w:lastColumn="0" w:oddVBand="0" w:evenVBand="0" w:oddHBand="0" w:evenHBand="1" w:firstRowFirstColumn="0" w:firstRowLastColumn="0" w:lastRowFirstColumn="0" w:lastRowLastColumn="0"/>
        </w:trPr>
        <w:tc>
          <w:tcPr>
            <w:tcW w:w="13324" w:type="dxa"/>
            <w:gridSpan w:val="3"/>
            <w:tcBorders>
              <w:bottom w:val="single" w:sz="4" w:space="0" w:color="auto"/>
            </w:tcBorders>
            <w:shd w:val="clear" w:color="auto" w:fill="65697F" w:themeFill="background2" w:themeFillShade="80"/>
          </w:tcPr>
          <w:p w14:paraId="6F376086" w14:textId="77777777" w:rsidR="00BA1563" w:rsidRPr="007B4506" w:rsidRDefault="00BA1563" w:rsidP="007A505F">
            <w:pPr>
              <w:pStyle w:val="TableBodyText"/>
              <w:keepNext/>
              <w:spacing w:before="20" w:after="20" w:line="21" w:lineRule="atLeast"/>
              <w:jc w:val="center"/>
              <w:rPr>
                <w:b/>
                <w:color w:val="FFFFFF" w:themeColor="background1"/>
                <w:szCs w:val="18"/>
              </w:rPr>
            </w:pPr>
            <w:r w:rsidRPr="007B4506">
              <w:rPr>
                <w:b/>
                <w:color w:val="FFFFFF" w:themeColor="background1"/>
                <w:szCs w:val="18"/>
              </w:rPr>
              <w:t>Preferred outcomes</w:t>
            </w:r>
            <w:r w:rsidRPr="007B4506">
              <w:rPr>
                <w:b/>
                <w:color w:val="FFFFFF" w:themeColor="background1"/>
                <w:szCs w:val="18"/>
              </w:rPr>
              <w:br/>
            </w:r>
            <w:proofErr w:type="spellStart"/>
            <w:r w:rsidRPr="007B4506">
              <w:rPr>
                <w:color w:val="FFFFFF" w:themeColor="background1"/>
                <w:szCs w:val="18"/>
              </w:rPr>
              <w:t>Outcomes</w:t>
            </w:r>
            <w:proofErr w:type="spellEnd"/>
            <w:r w:rsidRPr="007B4506">
              <w:rPr>
                <w:color w:val="FFFFFF" w:themeColor="background1"/>
                <w:szCs w:val="18"/>
              </w:rPr>
              <w:t xml:space="preserve"> that should be pursued by the GMRG unless it is clear there are greater benefits in alternative approaches</w:t>
            </w:r>
          </w:p>
        </w:tc>
      </w:tr>
      <w:tr w:rsidR="00BA1563" w:rsidRPr="007B4506" w14:paraId="2797D1AA" w14:textId="77777777" w:rsidTr="00BA1563">
        <w:tblPrEx>
          <w:tblLook w:val="04A0" w:firstRow="1" w:lastRow="0" w:firstColumn="1" w:lastColumn="0" w:noHBand="0" w:noVBand="1"/>
        </w:tblPrEx>
        <w:trPr>
          <w:trHeight w:val="420"/>
        </w:trPr>
        <w:tc>
          <w:tcPr>
            <w:tcW w:w="1276" w:type="dxa"/>
            <w:tcBorders>
              <w:bottom w:val="single" w:sz="4" w:space="0" w:color="auto"/>
            </w:tcBorders>
            <w:shd w:val="clear" w:color="auto" w:fill="auto"/>
          </w:tcPr>
          <w:p w14:paraId="303DF99D" w14:textId="77777777" w:rsidR="00BA1563" w:rsidRPr="007B4506" w:rsidRDefault="00BA1563" w:rsidP="007A505F">
            <w:pPr>
              <w:pStyle w:val="TableBodyText"/>
              <w:spacing w:line="21" w:lineRule="atLeast"/>
              <w:rPr>
                <w:szCs w:val="18"/>
              </w:rPr>
            </w:pPr>
            <w:r w:rsidRPr="007B4506">
              <w:rPr>
                <w:szCs w:val="18"/>
              </w:rPr>
              <w:t xml:space="preserve">Geographic scope: </w:t>
            </w:r>
          </w:p>
        </w:tc>
        <w:tc>
          <w:tcPr>
            <w:tcW w:w="6618" w:type="dxa"/>
            <w:tcBorders>
              <w:bottom w:val="single" w:sz="4" w:space="0" w:color="auto"/>
            </w:tcBorders>
            <w:shd w:val="clear" w:color="auto" w:fill="auto"/>
          </w:tcPr>
          <w:p w14:paraId="549DC41E" w14:textId="77777777" w:rsidR="00BA1563" w:rsidRPr="007B4506" w:rsidRDefault="00BA1563" w:rsidP="007A505F">
            <w:pPr>
              <w:pStyle w:val="TableBullet1"/>
              <w:spacing w:line="21" w:lineRule="atLeast"/>
              <w:rPr>
                <w:szCs w:val="18"/>
              </w:rPr>
            </w:pPr>
            <w:r w:rsidRPr="007B4506">
              <w:rPr>
                <w:szCs w:val="18"/>
              </w:rPr>
              <w:t>Single auction across the east coast market, in order to optimise allocation across as many products as possible.</w:t>
            </w:r>
          </w:p>
        </w:tc>
        <w:tc>
          <w:tcPr>
            <w:tcW w:w="5425" w:type="dxa"/>
            <w:shd w:val="clear" w:color="auto" w:fill="auto"/>
          </w:tcPr>
          <w:p w14:paraId="437982B2" w14:textId="77777777" w:rsidR="00BA1563" w:rsidRPr="007B4506" w:rsidRDefault="00BA1563" w:rsidP="007A505F">
            <w:pPr>
              <w:pStyle w:val="TableBullet1"/>
              <w:numPr>
                <w:ilvl w:val="0"/>
                <w:numId w:val="0"/>
              </w:numPr>
              <w:spacing w:before="20" w:after="20" w:line="21" w:lineRule="atLeast"/>
              <w:ind w:left="312"/>
              <w:jc w:val="center"/>
              <w:rPr>
                <w:b/>
                <w:szCs w:val="18"/>
              </w:rPr>
            </w:pPr>
            <w:r w:rsidRPr="007B4506">
              <w:rPr>
                <w:szCs w:val="18"/>
              </w:rPr>
              <w:sym w:font="Wingdings" w:char="F0FC"/>
            </w:r>
          </w:p>
        </w:tc>
      </w:tr>
      <w:tr w:rsidR="00BA1563" w:rsidRPr="007B4506" w14:paraId="582D0683" w14:textId="77777777" w:rsidTr="00BA1563">
        <w:tblPrEx>
          <w:tblLook w:val="04A0" w:firstRow="1" w:lastRow="0" w:firstColumn="1" w:lastColumn="0" w:noHBand="0" w:noVBand="1"/>
        </w:tblPrEx>
        <w:trPr>
          <w:cnfStyle w:val="000000010000" w:firstRow="0" w:lastRow="0" w:firstColumn="0" w:lastColumn="0" w:oddVBand="0" w:evenVBand="0" w:oddHBand="0" w:evenHBand="1" w:firstRowFirstColumn="0" w:firstRowLastColumn="0" w:lastRowFirstColumn="0" w:lastRowLastColumn="0"/>
          <w:trHeight w:val="415"/>
        </w:trPr>
        <w:tc>
          <w:tcPr>
            <w:tcW w:w="1276" w:type="dxa"/>
            <w:vMerge w:val="restart"/>
            <w:shd w:val="clear" w:color="auto" w:fill="auto"/>
            <w:vAlign w:val="center"/>
          </w:tcPr>
          <w:p w14:paraId="065328EC" w14:textId="77777777" w:rsidR="00BA1563" w:rsidRPr="007B4506" w:rsidRDefault="00BA1563" w:rsidP="007A505F">
            <w:pPr>
              <w:pStyle w:val="TableBodyText"/>
              <w:spacing w:line="21" w:lineRule="atLeast"/>
              <w:rPr>
                <w:szCs w:val="18"/>
              </w:rPr>
            </w:pPr>
            <w:r w:rsidRPr="007B4506">
              <w:rPr>
                <w:szCs w:val="18"/>
              </w:rPr>
              <w:t>Auction design:</w:t>
            </w:r>
          </w:p>
        </w:tc>
        <w:tc>
          <w:tcPr>
            <w:tcW w:w="6618" w:type="dxa"/>
            <w:tcBorders>
              <w:bottom w:val="single" w:sz="4" w:space="0" w:color="auto"/>
            </w:tcBorders>
            <w:shd w:val="clear" w:color="auto" w:fill="auto"/>
          </w:tcPr>
          <w:p w14:paraId="3F55A81F" w14:textId="77777777" w:rsidR="00BA1563" w:rsidRPr="007B4506" w:rsidRDefault="00BA1563" w:rsidP="007A505F">
            <w:pPr>
              <w:pStyle w:val="TableBullet1"/>
              <w:spacing w:line="21" w:lineRule="atLeast"/>
              <w:rPr>
                <w:szCs w:val="18"/>
              </w:rPr>
            </w:pPr>
            <w:r w:rsidRPr="007B4506">
              <w:rPr>
                <w:szCs w:val="18"/>
              </w:rPr>
              <w:t xml:space="preserve">Combinatorial auction where multiple buyers and sellers can simultaneously coordinate trades, managing the complementarities between different pipeline segments. </w:t>
            </w:r>
          </w:p>
        </w:tc>
        <w:tc>
          <w:tcPr>
            <w:tcW w:w="5425" w:type="dxa"/>
            <w:shd w:val="clear" w:color="auto" w:fill="auto"/>
          </w:tcPr>
          <w:p w14:paraId="541F848D" w14:textId="77777777" w:rsidR="00BA1563" w:rsidRPr="007B4506" w:rsidRDefault="00BA1563" w:rsidP="007A505F">
            <w:pPr>
              <w:pStyle w:val="TableBullet1"/>
              <w:numPr>
                <w:ilvl w:val="0"/>
                <w:numId w:val="0"/>
              </w:numPr>
              <w:spacing w:before="20" w:after="20" w:line="21" w:lineRule="atLeast"/>
              <w:ind w:left="312"/>
              <w:jc w:val="center"/>
              <w:rPr>
                <w:b/>
                <w:szCs w:val="18"/>
              </w:rPr>
            </w:pPr>
            <w:r w:rsidRPr="007B4506">
              <w:rPr>
                <w:szCs w:val="18"/>
              </w:rPr>
              <w:sym w:font="Wingdings" w:char="F0FC"/>
            </w:r>
          </w:p>
        </w:tc>
      </w:tr>
      <w:tr w:rsidR="00BA1563" w:rsidRPr="007B4506" w14:paraId="35DA3D42" w14:textId="77777777" w:rsidTr="00BA1563">
        <w:tblPrEx>
          <w:tblLook w:val="04A0" w:firstRow="1" w:lastRow="0" w:firstColumn="1" w:lastColumn="0" w:noHBand="0" w:noVBand="1"/>
        </w:tblPrEx>
        <w:trPr>
          <w:trHeight w:val="415"/>
        </w:trPr>
        <w:tc>
          <w:tcPr>
            <w:tcW w:w="1276" w:type="dxa"/>
            <w:vMerge/>
            <w:shd w:val="clear" w:color="auto" w:fill="auto"/>
          </w:tcPr>
          <w:p w14:paraId="525FC201" w14:textId="77777777" w:rsidR="00BA1563" w:rsidRPr="007B4506" w:rsidRDefault="00BA1563" w:rsidP="007A505F">
            <w:pPr>
              <w:pStyle w:val="TableBodyText"/>
              <w:spacing w:line="21" w:lineRule="atLeast"/>
              <w:rPr>
                <w:szCs w:val="18"/>
              </w:rPr>
            </w:pPr>
          </w:p>
        </w:tc>
        <w:tc>
          <w:tcPr>
            <w:tcW w:w="6618" w:type="dxa"/>
            <w:tcBorders>
              <w:bottom w:val="single" w:sz="4" w:space="0" w:color="auto"/>
            </w:tcBorders>
            <w:shd w:val="clear" w:color="auto" w:fill="auto"/>
          </w:tcPr>
          <w:p w14:paraId="3EA28837" w14:textId="77777777" w:rsidR="00BA1563" w:rsidRPr="007B4506" w:rsidRDefault="00BA1563" w:rsidP="007A505F">
            <w:pPr>
              <w:pStyle w:val="TableBullet1"/>
              <w:spacing w:line="21" w:lineRule="atLeast"/>
              <w:rPr>
                <w:szCs w:val="18"/>
              </w:rPr>
            </w:pPr>
            <w:r w:rsidRPr="007B4506">
              <w:rPr>
                <w:szCs w:val="18"/>
              </w:rPr>
              <w:t xml:space="preserve">Single round auction to reduce complexity and opportunities for anti-competitive behaviour between participants. </w:t>
            </w:r>
          </w:p>
        </w:tc>
        <w:tc>
          <w:tcPr>
            <w:tcW w:w="5425" w:type="dxa"/>
            <w:tcBorders>
              <w:bottom w:val="single" w:sz="4" w:space="0" w:color="auto"/>
            </w:tcBorders>
            <w:shd w:val="clear" w:color="auto" w:fill="auto"/>
          </w:tcPr>
          <w:p w14:paraId="7C507660" w14:textId="77777777" w:rsidR="00BA1563" w:rsidRPr="007B4506" w:rsidRDefault="00BA1563" w:rsidP="007A505F">
            <w:pPr>
              <w:pStyle w:val="TableBullet1"/>
              <w:numPr>
                <w:ilvl w:val="0"/>
                <w:numId w:val="0"/>
              </w:numPr>
              <w:spacing w:before="20" w:after="20" w:line="21" w:lineRule="atLeast"/>
              <w:ind w:left="312"/>
              <w:jc w:val="center"/>
              <w:rPr>
                <w:b/>
                <w:szCs w:val="18"/>
              </w:rPr>
            </w:pPr>
            <w:r w:rsidRPr="007B4506">
              <w:rPr>
                <w:szCs w:val="18"/>
              </w:rPr>
              <w:sym w:font="Wingdings" w:char="F0FC"/>
            </w:r>
          </w:p>
        </w:tc>
      </w:tr>
      <w:tr w:rsidR="00BA1563" w:rsidRPr="007B4506" w14:paraId="22279436" w14:textId="77777777" w:rsidTr="00BA1563">
        <w:tblPrEx>
          <w:tblLook w:val="04A0" w:firstRow="1" w:lastRow="0" w:firstColumn="1" w:lastColumn="0" w:noHBand="0" w:noVBand="1"/>
        </w:tblPrEx>
        <w:trPr>
          <w:cnfStyle w:val="000000010000" w:firstRow="0" w:lastRow="0" w:firstColumn="0" w:lastColumn="0" w:oddVBand="0" w:evenVBand="0" w:oddHBand="0" w:evenHBand="1" w:firstRowFirstColumn="0" w:firstRowLastColumn="0" w:lastRowFirstColumn="0" w:lastRowLastColumn="0"/>
          <w:trHeight w:val="415"/>
        </w:trPr>
        <w:tc>
          <w:tcPr>
            <w:tcW w:w="1276" w:type="dxa"/>
            <w:vMerge/>
            <w:shd w:val="clear" w:color="auto" w:fill="auto"/>
          </w:tcPr>
          <w:p w14:paraId="106CD489" w14:textId="77777777" w:rsidR="00BA1563" w:rsidRPr="007B4506" w:rsidRDefault="00BA1563" w:rsidP="007A505F">
            <w:pPr>
              <w:pStyle w:val="TableBodyText"/>
              <w:spacing w:line="21" w:lineRule="atLeast"/>
              <w:rPr>
                <w:szCs w:val="18"/>
              </w:rPr>
            </w:pPr>
          </w:p>
        </w:tc>
        <w:tc>
          <w:tcPr>
            <w:tcW w:w="6618" w:type="dxa"/>
            <w:tcBorders>
              <w:bottom w:val="single" w:sz="4" w:space="0" w:color="auto"/>
            </w:tcBorders>
            <w:shd w:val="clear" w:color="auto" w:fill="auto"/>
          </w:tcPr>
          <w:p w14:paraId="3A225127" w14:textId="77777777" w:rsidR="00BA1563" w:rsidRPr="007B4506" w:rsidRDefault="00BA1563" w:rsidP="007A505F">
            <w:pPr>
              <w:pStyle w:val="TableBullet1"/>
              <w:spacing w:line="21" w:lineRule="atLeast"/>
              <w:rPr>
                <w:szCs w:val="18"/>
              </w:rPr>
            </w:pPr>
            <w:r w:rsidRPr="007B4506">
              <w:rPr>
                <w:szCs w:val="18"/>
              </w:rPr>
              <w:t xml:space="preserve">Bidders pay the value of their winning bids ("first-price" rule) to reduce complexity. </w:t>
            </w:r>
          </w:p>
        </w:tc>
        <w:tc>
          <w:tcPr>
            <w:tcW w:w="5425" w:type="dxa"/>
          </w:tcPr>
          <w:p w14:paraId="519026A6" w14:textId="1960954E" w:rsidR="00BA1563" w:rsidRPr="007B4506" w:rsidRDefault="00BA1563" w:rsidP="007A505F">
            <w:pPr>
              <w:pStyle w:val="TableBullet1"/>
              <w:numPr>
                <w:ilvl w:val="0"/>
                <w:numId w:val="0"/>
              </w:numPr>
              <w:spacing w:before="20" w:after="20" w:line="21" w:lineRule="atLeast"/>
              <w:ind w:left="312"/>
              <w:jc w:val="center"/>
              <w:rPr>
                <w:b/>
                <w:szCs w:val="18"/>
              </w:rPr>
            </w:pPr>
            <w:r w:rsidRPr="007B4506">
              <w:rPr>
                <w:b/>
                <w:szCs w:val="18"/>
              </w:rPr>
              <w:sym w:font="Wingdings" w:char="F0FB"/>
            </w:r>
            <w:r w:rsidRPr="007B4506">
              <w:rPr>
                <w:b/>
                <w:szCs w:val="18"/>
              </w:rPr>
              <w:br/>
            </w:r>
            <w:r w:rsidRPr="007B4506">
              <w:rPr>
                <w:szCs w:val="18"/>
              </w:rPr>
              <w:t>Advice provided by NERA indicates that a first price rule is strategically complex for bidders and may result in inefficient outcomes. NERA therefore recommended a pay-as-cleared pricing rule. The pay-as cleared approach offers the same simplicity of participation advantages as a first price approach, but reduces strategic complexity.</w:t>
            </w:r>
          </w:p>
        </w:tc>
      </w:tr>
      <w:tr w:rsidR="00BA1563" w:rsidRPr="007B4506" w14:paraId="7A691F10" w14:textId="77777777" w:rsidTr="00BA1563">
        <w:tblPrEx>
          <w:tblLook w:val="04A0" w:firstRow="1" w:lastRow="0" w:firstColumn="1" w:lastColumn="0" w:noHBand="0" w:noVBand="1"/>
        </w:tblPrEx>
        <w:trPr>
          <w:trHeight w:val="415"/>
        </w:trPr>
        <w:tc>
          <w:tcPr>
            <w:tcW w:w="1276" w:type="dxa"/>
            <w:vMerge/>
            <w:tcBorders>
              <w:bottom w:val="single" w:sz="4" w:space="0" w:color="auto"/>
            </w:tcBorders>
            <w:shd w:val="clear" w:color="auto" w:fill="auto"/>
          </w:tcPr>
          <w:p w14:paraId="636D904A" w14:textId="77777777" w:rsidR="00BA1563" w:rsidRPr="007B4506" w:rsidRDefault="00BA1563" w:rsidP="007A505F">
            <w:pPr>
              <w:pStyle w:val="TableBodyText"/>
              <w:spacing w:line="21" w:lineRule="atLeast"/>
              <w:rPr>
                <w:szCs w:val="18"/>
              </w:rPr>
            </w:pPr>
          </w:p>
        </w:tc>
        <w:tc>
          <w:tcPr>
            <w:tcW w:w="6618" w:type="dxa"/>
            <w:tcBorders>
              <w:bottom w:val="single" w:sz="4" w:space="0" w:color="auto"/>
            </w:tcBorders>
            <w:shd w:val="clear" w:color="auto" w:fill="auto"/>
          </w:tcPr>
          <w:p w14:paraId="7D455B51" w14:textId="77777777" w:rsidR="00BA1563" w:rsidRPr="007B4506" w:rsidRDefault="00BA1563" w:rsidP="007A505F">
            <w:pPr>
              <w:pStyle w:val="TableBullet1"/>
              <w:spacing w:line="21" w:lineRule="atLeast"/>
              <w:rPr>
                <w:szCs w:val="18"/>
              </w:rPr>
            </w:pPr>
            <w:r w:rsidRPr="007B4506">
              <w:rPr>
                <w:szCs w:val="18"/>
              </w:rPr>
              <w:t xml:space="preserve">Winning combination of bids to be determined using a profit maximisation algorithm (constrained by requirement that at least all contracted but un-nominated capacity is put on sale in auction). </w:t>
            </w:r>
          </w:p>
        </w:tc>
        <w:tc>
          <w:tcPr>
            <w:tcW w:w="5425" w:type="dxa"/>
          </w:tcPr>
          <w:p w14:paraId="68CD3CF7" w14:textId="77777777" w:rsidR="00BA1563" w:rsidRPr="007B4506" w:rsidRDefault="00BA1563" w:rsidP="007A505F">
            <w:pPr>
              <w:pStyle w:val="TableBullet1"/>
              <w:numPr>
                <w:ilvl w:val="0"/>
                <w:numId w:val="0"/>
              </w:numPr>
              <w:spacing w:before="20" w:after="20" w:line="21" w:lineRule="atLeast"/>
              <w:ind w:left="312"/>
              <w:jc w:val="center"/>
              <w:rPr>
                <w:szCs w:val="18"/>
              </w:rPr>
            </w:pPr>
            <w:r w:rsidRPr="007B4506">
              <w:rPr>
                <w:szCs w:val="18"/>
              </w:rPr>
              <w:sym w:font="Wingdings" w:char="F0FC"/>
            </w:r>
          </w:p>
          <w:p w14:paraId="24A8CA64" w14:textId="77777777" w:rsidR="00BA1563" w:rsidRPr="007B4506" w:rsidRDefault="00BA1563" w:rsidP="007A505F">
            <w:pPr>
              <w:pStyle w:val="TableBullet1"/>
              <w:numPr>
                <w:ilvl w:val="0"/>
                <w:numId w:val="0"/>
              </w:numPr>
              <w:spacing w:before="20" w:after="20" w:line="21" w:lineRule="atLeast"/>
              <w:ind w:left="312"/>
              <w:jc w:val="center"/>
              <w:rPr>
                <w:b/>
                <w:szCs w:val="18"/>
              </w:rPr>
            </w:pPr>
            <w:r>
              <w:rPr>
                <w:szCs w:val="18"/>
              </w:rPr>
              <w:t>(</w:t>
            </w:r>
            <w:r w:rsidRPr="007B4506">
              <w:rPr>
                <w:szCs w:val="18"/>
              </w:rPr>
              <w:t xml:space="preserve">Note </w:t>
            </w:r>
            <w:r>
              <w:rPr>
                <w:szCs w:val="18"/>
              </w:rPr>
              <w:t xml:space="preserve">a zero </w:t>
            </w:r>
            <w:r w:rsidRPr="007B4506">
              <w:rPr>
                <w:szCs w:val="18"/>
              </w:rPr>
              <w:t xml:space="preserve">reserve price </w:t>
            </w:r>
            <w:r>
              <w:rPr>
                <w:szCs w:val="18"/>
              </w:rPr>
              <w:t xml:space="preserve">results in </w:t>
            </w:r>
            <w:r w:rsidRPr="007B4506">
              <w:rPr>
                <w:szCs w:val="18"/>
              </w:rPr>
              <w:t>the profit maximisation algorithm</w:t>
            </w:r>
            <w:r>
              <w:rPr>
                <w:szCs w:val="18"/>
              </w:rPr>
              <w:t xml:space="preserve"> reducing </w:t>
            </w:r>
            <w:r w:rsidRPr="007B4506">
              <w:rPr>
                <w:szCs w:val="18"/>
              </w:rPr>
              <w:t>to a revenue maximisation algorithm</w:t>
            </w:r>
            <w:r>
              <w:rPr>
                <w:szCs w:val="18"/>
              </w:rPr>
              <w:t>).</w:t>
            </w:r>
          </w:p>
        </w:tc>
      </w:tr>
      <w:tr w:rsidR="00BA1563" w:rsidRPr="007B4506" w14:paraId="4A810C15" w14:textId="77777777" w:rsidTr="00BA1563">
        <w:tblPrEx>
          <w:tblLook w:val="04A0" w:firstRow="1" w:lastRow="0" w:firstColumn="1" w:lastColumn="0" w:noHBand="0" w:noVBand="1"/>
        </w:tblPrEx>
        <w:trPr>
          <w:cnfStyle w:val="000000010000" w:firstRow="0" w:lastRow="0" w:firstColumn="0" w:lastColumn="0" w:oddVBand="0" w:evenVBand="0" w:oddHBand="0" w:evenHBand="1" w:firstRowFirstColumn="0" w:firstRowLastColumn="0" w:lastRowFirstColumn="0" w:lastRowLastColumn="0"/>
          <w:trHeight w:val="415"/>
        </w:trPr>
        <w:tc>
          <w:tcPr>
            <w:tcW w:w="1276" w:type="dxa"/>
            <w:tcBorders>
              <w:bottom w:val="single" w:sz="4" w:space="0" w:color="auto"/>
            </w:tcBorders>
            <w:shd w:val="clear" w:color="auto" w:fill="auto"/>
          </w:tcPr>
          <w:p w14:paraId="2DD9A69E" w14:textId="77777777" w:rsidR="00BA1563" w:rsidRPr="007B4506" w:rsidRDefault="00BA1563" w:rsidP="007A505F">
            <w:pPr>
              <w:pStyle w:val="TableBodyText"/>
              <w:spacing w:line="21" w:lineRule="atLeast"/>
              <w:rPr>
                <w:szCs w:val="18"/>
              </w:rPr>
            </w:pPr>
            <w:r w:rsidRPr="007B4506">
              <w:rPr>
                <w:szCs w:val="18"/>
              </w:rPr>
              <w:t>Product design:</w:t>
            </w:r>
          </w:p>
        </w:tc>
        <w:tc>
          <w:tcPr>
            <w:tcW w:w="6618" w:type="dxa"/>
            <w:tcBorders>
              <w:bottom w:val="single" w:sz="4" w:space="0" w:color="auto"/>
            </w:tcBorders>
            <w:shd w:val="clear" w:color="auto" w:fill="auto"/>
          </w:tcPr>
          <w:p w14:paraId="11D9D457" w14:textId="77777777" w:rsidR="00BA1563" w:rsidRPr="007B4506" w:rsidRDefault="00BA1563" w:rsidP="007A505F">
            <w:pPr>
              <w:pStyle w:val="TableBullet1"/>
              <w:spacing w:line="21" w:lineRule="atLeast"/>
              <w:rPr>
                <w:szCs w:val="18"/>
              </w:rPr>
            </w:pPr>
            <w:r w:rsidRPr="007B4506">
              <w:rPr>
                <w:szCs w:val="18"/>
              </w:rPr>
              <w:t>Capacity purchased in auction curtailed before firm capacity.</w:t>
            </w:r>
          </w:p>
        </w:tc>
        <w:tc>
          <w:tcPr>
            <w:tcW w:w="5425" w:type="dxa"/>
          </w:tcPr>
          <w:p w14:paraId="6CB3D862" w14:textId="77777777" w:rsidR="00BA1563" w:rsidRPr="007B4506" w:rsidRDefault="00BA1563" w:rsidP="007A505F">
            <w:pPr>
              <w:pStyle w:val="TableBullet1"/>
              <w:numPr>
                <w:ilvl w:val="0"/>
                <w:numId w:val="0"/>
              </w:numPr>
              <w:spacing w:before="20" w:after="20" w:line="21" w:lineRule="atLeast"/>
              <w:ind w:left="312"/>
              <w:jc w:val="center"/>
              <w:rPr>
                <w:szCs w:val="18"/>
              </w:rPr>
            </w:pPr>
            <w:r w:rsidRPr="007B4506">
              <w:rPr>
                <w:szCs w:val="18"/>
              </w:rPr>
              <w:sym w:font="Wingdings" w:char="F0FC"/>
            </w:r>
          </w:p>
        </w:tc>
      </w:tr>
      <w:tr w:rsidR="00BA1563" w:rsidRPr="007B4506" w14:paraId="6F013AB3" w14:textId="77777777" w:rsidTr="00BA1563">
        <w:tblPrEx>
          <w:tblLook w:val="04A0" w:firstRow="1" w:lastRow="0" w:firstColumn="1" w:lastColumn="0" w:noHBand="0" w:noVBand="1"/>
        </w:tblPrEx>
        <w:trPr>
          <w:trHeight w:val="415"/>
        </w:trPr>
        <w:tc>
          <w:tcPr>
            <w:tcW w:w="1276" w:type="dxa"/>
            <w:tcBorders>
              <w:bottom w:val="single" w:sz="4" w:space="0" w:color="auto"/>
            </w:tcBorders>
            <w:shd w:val="clear" w:color="auto" w:fill="auto"/>
          </w:tcPr>
          <w:p w14:paraId="53B94B6F" w14:textId="77777777" w:rsidR="00BA1563" w:rsidRPr="007B4506" w:rsidRDefault="00BA1563" w:rsidP="007A505F">
            <w:pPr>
              <w:pStyle w:val="TableBodyText"/>
              <w:spacing w:line="21" w:lineRule="atLeast"/>
              <w:rPr>
                <w:szCs w:val="18"/>
              </w:rPr>
            </w:pPr>
            <w:r w:rsidRPr="007B4506">
              <w:rPr>
                <w:szCs w:val="18"/>
              </w:rPr>
              <w:t xml:space="preserve">Exemptions: </w:t>
            </w:r>
          </w:p>
        </w:tc>
        <w:tc>
          <w:tcPr>
            <w:tcW w:w="6618" w:type="dxa"/>
            <w:tcBorders>
              <w:bottom w:val="single" w:sz="4" w:space="0" w:color="auto"/>
            </w:tcBorders>
            <w:shd w:val="clear" w:color="auto" w:fill="auto"/>
          </w:tcPr>
          <w:p w14:paraId="068FB7F2" w14:textId="77777777" w:rsidR="00BA1563" w:rsidRPr="007B4506" w:rsidRDefault="00BA1563" w:rsidP="007A505F">
            <w:pPr>
              <w:pStyle w:val="TableBullet1"/>
              <w:spacing w:line="21" w:lineRule="atLeast"/>
              <w:rPr>
                <w:szCs w:val="18"/>
              </w:rPr>
            </w:pPr>
            <w:r w:rsidRPr="007B4506">
              <w:rPr>
                <w:szCs w:val="18"/>
              </w:rPr>
              <w:t>Exemption from the auction for pipelines serving a single user.</w:t>
            </w:r>
          </w:p>
        </w:tc>
        <w:tc>
          <w:tcPr>
            <w:tcW w:w="5425" w:type="dxa"/>
          </w:tcPr>
          <w:p w14:paraId="5290717D" w14:textId="77777777" w:rsidR="00BA1563" w:rsidRPr="007B4506" w:rsidRDefault="00BA1563" w:rsidP="007A505F">
            <w:pPr>
              <w:pStyle w:val="TableBullet1"/>
              <w:numPr>
                <w:ilvl w:val="0"/>
                <w:numId w:val="0"/>
              </w:numPr>
              <w:spacing w:before="20" w:after="20" w:line="21" w:lineRule="atLeast"/>
              <w:ind w:left="312"/>
              <w:jc w:val="center"/>
              <w:rPr>
                <w:szCs w:val="18"/>
              </w:rPr>
            </w:pPr>
            <w:r w:rsidRPr="007B4506">
              <w:rPr>
                <w:szCs w:val="18"/>
              </w:rPr>
              <w:sym w:font="Wingdings" w:char="F0FC"/>
            </w:r>
          </w:p>
          <w:p w14:paraId="0A5EB98E" w14:textId="77777777" w:rsidR="00BA1563" w:rsidRPr="007B4506" w:rsidRDefault="00BA1563" w:rsidP="007A505F">
            <w:pPr>
              <w:pStyle w:val="TableBullet1"/>
              <w:numPr>
                <w:ilvl w:val="0"/>
                <w:numId w:val="0"/>
              </w:numPr>
              <w:spacing w:before="20" w:after="20" w:line="21" w:lineRule="atLeast"/>
              <w:ind w:left="312"/>
              <w:jc w:val="center"/>
              <w:rPr>
                <w:szCs w:val="18"/>
              </w:rPr>
            </w:pPr>
            <w:r>
              <w:rPr>
                <w:szCs w:val="18"/>
              </w:rPr>
              <w:t>(Note that e</w:t>
            </w:r>
            <w:r w:rsidRPr="007B4506">
              <w:rPr>
                <w:szCs w:val="18"/>
              </w:rPr>
              <w:t xml:space="preserve">xemptions </w:t>
            </w:r>
            <w:r>
              <w:rPr>
                <w:szCs w:val="18"/>
              </w:rPr>
              <w:t xml:space="preserve">have also been </w:t>
            </w:r>
            <w:r w:rsidRPr="007B4506">
              <w:rPr>
                <w:szCs w:val="18"/>
              </w:rPr>
              <w:t xml:space="preserve">also proposed for pipelines </w:t>
            </w:r>
            <w:r>
              <w:rPr>
                <w:szCs w:val="18"/>
              </w:rPr>
              <w:t xml:space="preserve">that are </w:t>
            </w:r>
            <w:r w:rsidRPr="007B4506">
              <w:rPr>
                <w:szCs w:val="18"/>
              </w:rPr>
              <w:t>not providing third-party access</w:t>
            </w:r>
            <w:r>
              <w:rPr>
                <w:szCs w:val="18"/>
              </w:rPr>
              <w:t>)</w:t>
            </w:r>
          </w:p>
        </w:tc>
      </w:tr>
      <w:tr w:rsidR="00BA1563" w:rsidRPr="007B4506" w14:paraId="353DD5E9" w14:textId="77777777" w:rsidTr="00BA1563">
        <w:tblPrEx>
          <w:tblLook w:val="04A0" w:firstRow="1" w:lastRow="0" w:firstColumn="1" w:lastColumn="0" w:noHBand="0" w:noVBand="1"/>
        </w:tblPrEx>
        <w:trPr>
          <w:cnfStyle w:val="000000010000" w:firstRow="0" w:lastRow="0" w:firstColumn="0" w:lastColumn="0" w:oddVBand="0" w:evenVBand="0" w:oddHBand="0" w:evenHBand="1" w:firstRowFirstColumn="0" w:firstRowLastColumn="0" w:lastRowFirstColumn="0" w:lastRowLastColumn="0"/>
        </w:trPr>
        <w:tc>
          <w:tcPr>
            <w:tcW w:w="13324" w:type="dxa"/>
            <w:gridSpan w:val="3"/>
            <w:tcBorders>
              <w:bottom w:val="single" w:sz="4" w:space="0" w:color="auto"/>
            </w:tcBorders>
            <w:shd w:val="clear" w:color="auto" w:fill="65697F" w:themeFill="background2" w:themeFillShade="80"/>
          </w:tcPr>
          <w:p w14:paraId="1D35D51F" w14:textId="77777777" w:rsidR="00BA1563" w:rsidRPr="007B4506" w:rsidRDefault="00BA1563" w:rsidP="007A505F">
            <w:pPr>
              <w:pStyle w:val="TableBodyText"/>
              <w:keepNext/>
              <w:spacing w:before="20" w:after="20" w:line="21" w:lineRule="atLeast"/>
              <w:jc w:val="center"/>
              <w:rPr>
                <w:b/>
                <w:color w:val="FFFFFF" w:themeColor="background1"/>
                <w:szCs w:val="18"/>
              </w:rPr>
            </w:pPr>
            <w:r w:rsidRPr="007B4506">
              <w:rPr>
                <w:b/>
                <w:color w:val="FFFFFF" w:themeColor="background1"/>
                <w:szCs w:val="18"/>
              </w:rPr>
              <w:t>Suggested outcomes</w:t>
            </w:r>
            <w:r w:rsidRPr="007B4506">
              <w:rPr>
                <w:b/>
                <w:color w:val="FFFFFF" w:themeColor="background1"/>
                <w:szCs w:val="18"/>
              </w:rPr>
              <w:br/>
            </w:r>
            <w:proofErr w:type="spellStart"/>
            <w:r w:rsidRPr="007B4506">
              <w:rPr>
                <w:color w:val="FFFFFF" w:themeColor="background1"/>
                <w:szCs w:val="18"/>
              </w:rPr>
              <w:t>Outcomes</w:t>
            </w:r>
            <w:proofErr w:type="spellEnd"/>
            <w:r w:rsidRPr="007B4506">
              <w:rPr>
                <w:color w:val="FFFFFF" w:themeColor="background1"/>
                <w:szCs w:val="18"/>
              </w:rPr>
              <w:t xml:space="preserve"> that have in-principle benefits but need to be considered further by the GMRG.</w:t>
            </w:r>
          </w:p>
        </w:tc>
      </w:tr>
      <w:tr w:rsidR="00BA1563" w:rsidRPr="007B4506" w14:paraId="0D8FF9CD" w14:textId="77777777" w:rsidTr="00BA1563">
        <w:tblPrEx>
          <w:tblLook w:val="04A0" w:firstRow="1" w:lastRow="0" w:firstColumn="1" w:lastColumn="0" w:noHBand="0" w:noVBand="1"/>
        </w:tblPrEx>
        <w:trPr>
          <w:trHeight w:val="304"/>
        </w:trPr>
        <w:tc>
          <w:tcPr>
            <w:tcW w:w="1276" w:type="dxa"/>
            <w:shd w:val="clear" w:color="auto" w:fill="auto"/>
          </w:tcPr>
          <w:p w14:paraId="204428B5" w14:textId="77777777" w:rsidR="00BA1563" w:rsidRPr="007B4506" w:rsidRDefault="00BA1563" w:rsidP="007A505F">
            <w:pPr>
              <w:pStyle w:val="TableBodyText"/>
              <w:spacing w:line="21" w:lineRule="atLeast"/>
              <w:rPr>
                <w:szCs w:val="18"/>
              </w:rPr>
            </w:pPr>
            <w:r w:rsidRPr="007B4506">
              <w:rPr>
                <w:szCs w:val="18"/>
              </w:rPr>
              <w:t xml:space="preserve">Exemptions </w:t>
            </w:r>
          </w:p>
        </w:tc>
        <w:tc>
          <w:tcPr>
            <w:tcW w:w="6618" w:type="dxa"/>
            <w:shd w:val="clear" w:color="auto" w:fill="auto"/>
          </w:tcPr>
          <w:p w14:paraId="71DA7228" w14:textId="77777777" w:rsidR="00BA1563" w:rsidRPr="007B4506" w:rsidRDefault="00BA1563" w:rsidP="007A505F">
            <w:pPr>
              <w:pStyle w:val="TableBullet1"/>
              <w:spacing w:before="20" w:after="20" w:line="21" w:lineRule="atLeast"/>
              <w:rPr>
                <w:szCs w:val="18"/>
              </w:rPr>
            </w:pPr>
            <w:r w:rsidRPr="007B4506">
              <w:rPr>
                <w:szCs w:val="18"/>
              </w:rPr>
              <w:t>Exempting on a case-by-case basis pipelines that are not fully contracted from needing to conduct the auction.</w:t>
            </w:r>
          </w:p>
        </w:tc>
        <w:tc>
          <w:tcPr>
            <w:tcW w:w="5425" w:type="dxa"/>
            <w:shd w:val="clear" w:color="auto" w:fill="E1E2E7" w:themeFill="background2"/>
          </w:tcPr>
          <w:p w14:paraId="645A5088" w14:textId="77777777" w:rsidR="00BA1563" w:rsidRDefault="00BA1563" w:rsidP="007A505F">
            <w:pPr>
              <w:pStyle w:val="TableBullet1"/>
              <w:numPr>
                <w:ilvl w:val="0"/>
                <w:numId w:val="0"/>
              </w:numPr>
              <w:spacing w:before="20" w:after="20" w:line="21" w:lineRule="atLeast"/>
              <w:ind w:left="312"/>
              <w:jc w:val="center"/>
              <w:rPr>
                <w:b/>
                <w:szCs w:val="18"/>
              </w:rPr>
            </w:pPr>
            <w:r w:rsidRPr="007B4506">
              <w:rPr>
                <w:b/>
                <w:szCs w:val="18"/>
              </w:rPr>
              <w:sym w:font="Wingdings" w:char="F0FB"/>
            </w:r>
          </w:p>
          <w:p w14:paraId="77D04FBD" w14:textId="77777777" w:rsidR="00BA1563" w:rsidRPr="00E764D0" w:rsidRDefault="00BA1563" w:rsidP="007A505F">
            <w:pPr>
              <w:pStyle w:val="BodyText"/>
              <w:spacing w:before="40" w:line="21" w:lineRule="atLeast"/>
              <w:jc w:val="center"/>
              <w:rPr>
                <w:rFonts w:eastAsiaTheme="minorEastAsia"/>
              </w:rPr>
            </w:pPr>
            <w:r>
              <w:rPr>
                <w:rFonts w:eastAsiaTheme="minorEastAsia"/>
              </w:rPr>
              <w:t>The proposed coverage of the auction will extend to all the transmission pipelines (excluding the DTS) linking major demand centres and supply sources in the east coast and contractually congested pipelines in regional areas.</w:t>
            </w:r>
          </w:p>
        </w:tc>
      </w:tr>
      <w:tr w:rsidR="00BA1563" w:rsidRPr="007B4506" w14:paraId="62D6311E" w14:textId="77777777" w:rsidTr="00BA1563">
        <w:tblPrEx>
          <w:tblLook w:val="04A0" w:firstRow="1" w:lastRow="0" w:firstColumn="1" w:lastColumn="0" w:noHBand="0" w:noVBand="1"/>
        </w:tblPrEx>
        <w:trPr>
          <w:cnfStyle w:val="000000010000" w:firstRow="0" w:lastRow="0" w:firstColumn="0" w:lastColumn="0" w:oddVBand="0" w:evenVBand="0" w:oddHBand="0" w:evenHBand="1" w:firstRowFirstColumn="0" w:firstRowLastColumn="0" w:lastRowFirstColumn="0" w:lastRowLastColumn="0"/>
          <w:trHeight w:val="303"/>
        </w:trPr>
        <w:tc>
          <w:tcPr>
            <w:tcW w:w="1276" w:type="dxa"/>
            <w:shd w:val="clear" w:color="auto" w:fill="auto"/>
          </w:tcPr>
          <w:p w14:paraId="676EF5ED" w14:textId="77777777" w:rsidR="00BA1563" w:rsidRPr="007B4506" w:rsidRDefault="00BA1563" w:rsidP="007A505F">
            <w:pPr>
              <w:pStyle w:val="TableBodyText"/>
              <w:spacing w:line="21" w:lineRule="atLeast"/>
              <w:rPr>
                <w:szCs w:val="18"/>
              </w:rPr>
            </w:pPr>
            <w:r w:rsidRPr="007B4506">
              <w:rPr>
                <w:szCs w:val="18"/>
              </w:rPr>
              <w:t>Operator of the auction:</w:t>
            </w:r>
          </w:p>
        </w:tc>
        <w:tc>
          <w:tcPr>
            <w:tcW w:w="6618" w:type="dxa"/>
            <w:shd w:val="clear" w:color="auto" w:fill="auto"/>
          </w:tcPr>
          <w:p w14:paraId="26DD77BD" w14:textId="77777777" w:rsidR="00BA1563" w:rsidRPr="007B4506" w:rsidRDefault="00BA1563" w:rsidP="007A505F">
            <w:pPr>
              <w:pStyle w:val="TableBullet1"/>
              <w:spacing w:before="20" w:after="20" w:line="21" w:lineRule="atLeast"/>
              <w:rPr>
                <w:b/>
                <w:szCs w:val="18"/>
              </w:rPr>
            </w:pPr>
            <w:r w:rsidRPr="007B4506">
              <w:rPr>
                <w:szCs w:val="18"/>
              </w:rPr>
              <w:t>The auction to be run by the same institution(s) which run the capacity trading platform.</w:t>
            </w:r>
          </w:p>
        </w:tc>
        <w:tc>
          <w:tcPr>
            <w:tcW w:w="5425" w:type="dxa"/>
            <w:tcBorders>
              <w:bottom w:val="single" w:sz="4" w:space="0" w:color="auto"/>
            </w:tcBorders>
          </w:tcPr>
          <w:p w14:paraId="1947640E" w14:textId="77777777" w:rsidR="00BA1563" w:rsidRPr="007B4506" w:rsidRDefault="00BA1563" w:rsidP="007A505F">
            <w:pPr>
              <w:pStyle w:val="TableBullet1"/>
              <w:numPr>
                <w:ilvl w:val="0"/>
                <w:numId w:val="0"/>
              </w:numPr>
              <w:spacing w:before="20" w:after="20" w:line="21" w:lineRule="atLeast"/>
              <w:ind w:left="312"/>
              <w:jc w:val="center"/>
              <w:rPr>
                <w:b/>
                <w:szCs w:val="18"/>
              </w:rPr>
            </w:pPr>
            <w:r w:rsidRPr="007B4506">
              <w:rPr>
                <w:szCs w:val="18"/>
              </w:rPr>
              <w:sym w:font="Wingdings" w:char="F0FC"/>
            </w:r>
          </w:p>
        </w:tc>
      </w:tr>
      <w:tr w:rsidR="00BA1563" w:rsidRPr="007B4506" w14:paraId="4FA99CA4" w14:textId="77777777" w:rsidTr="00BA1563">
        <w:tblPrEx>
          <w:tblLook w:val="04A0" w:firstRow="1" w:lastRow="0" w:firstColumn="1" w:lastColumn="0" w:noHBand="0" w:noVBand="1"/>
        </w:tblPrEx>
        <w:trPr>
          <w:trHeight w:val="303"/>
        </w:trPr>
        <w:tc>
          <w:tcPr>
            <w:tcW w:w="1276" w:type="dxa"/>
            <w:shd w:val="clear" w:color="auto" w:fill="auto"/>
          </w:tcPr>
          <w:p w14:paraId="4E274967" w14:textId="77777777" w:rsidR="00BA1563" w:rsidRPr="007B4506" w:rsidRDefault="00BA1563" w:rsidP="007A505F">
            <w:pPr>
              <w:pStyle w:val="TableBodyText"/>
              <w:spacing w:line="21" w:lineRule="atLeast"/>
              <w:rPr>
                <w:szCs w:val="18"/>
              </w:rPr>
            </w:pPr>
            <w:r w:rsidRPr="007B4506">
              <w:rPr>
                <w:szCs w:val="18"/>
              </w:rPr>
              <w:t>Other</w:t>
            </w:r>
          </w:p>
        </w:tc>
        <w:tc>
          <w:tcPr>
            <w:tcW w:w="6618" w:type="dxa"/>
            <w:shd w:val="clear" w:color="auto" w:fill="auto"/>
          </w:tcPr>
          <w:p w14:paraId="5437D7C6" w14:textId="77777777" w:rsidR="00BA1563" w:rsidRPr="007B4506" w:rsidRDefault="00BA1563" w:rsidP="007A505F">
            <w:pPr>
              <w:pStyle w:val="TableBullet1"/>
              <w:spacing w:before="20" w:after="20" w:line="21" w:lineRule="atLeast"/>
              <w:rPr>
                <w:b/>
                <w:szCs w:val="18"/>
              </w:rPr>
            </w:pPr>
            <w:r w:rsidRPr="007B4506">
              <w:rPr>
                <w:szCs w:val="18"/>
              </w:rPr>
              <w:t>As available rights in current GTAs to be phased out to avoid them competing with rights allocated in the auction.</w:t>
            </w:r>
            <w:r>
              <w:rPr>
                <w:szCs w:val="18"/>
              </w:rPr>
              <w:t xml:space="preserve"> If these </w:t>
            </w:r>
            <w:r>
              <w:t>rights are retained, the GMRG should consider how they should be accommodated in the auction design.</w:t>
            </w:r>
          </w:p>
        </w:tc>
        <w:tc>
          <w:tcPr>
            <w:tcW w:w="5425" w:type="dxa"/>
            <w:shd w:val="clear" w:color="auto" w:fill="E1E2E7" w:themeFill="background2"/>
          </w:tcPr>
          <w:p w14:paraId="7D5D9B38" w14:textId="77777777" w:rsidR="00BA1563" w:rsidRDefault="00BA1563" w:rsidP="007A505F">
            <w:pPr>
              <w:pStyle w:val="TableBullet1"/>
              <w:numPr>
                <w:ilvl w:val="0"/>
                <w:numId w:val="0"/>
              </w:numPr>
              <w:spacing w:before="20" w:after="20" w:line="21" w:lineRule="atLeast"/>
              <w:ind w:left="312"/>
              <w:jc w:val="center"/>
              <w:rPr>
                <w:b/>
                <w:szCs w:val="18"/>
              </w:rPr>
            </w:pPr>
            <w:r w:rsidRPr="007B4506">
              <w:rPr>
                <w:b/>
                <w:szCs w:val="18"/>
              </w:rPr>
              <w:sym w:font="Wingdings" w:char="F0FB"/>
            </w:r>
          </w:p>
          <w:p w14:paraId="0B18C0D0" w14:textId="77777777" w:rsidR="00BA1563" w:rsidRPr="007B4506" w:rsidRDefault="00BA1563" w:rsidP="007A505F">
            <w:pPr>
              <w:pStyle w:val="TableBullet1"/>
              <w:numPr>
                <w:ilvl w:val="0"/>
                <w:numId w:val="0"/>
              </w:numPr>
              <w:spacing w:before="20" w:after="20" w:line="21" w:lineRule="atLeast"/>
              <w:ind w:left="312"/>
              <w:jc w:val="center"/>
              <w:rPr>
                <w:b/>
                <w:szCs w:val="18"/>
              </w:rPr>
            </w:pPr>
            <w:r w:rsidRPr="00E764D0">
              <w:rPr>
                <w:szCs w:val="18"/>
              </w:rPr>
              <w:t xml:space="preserve">As available rights </w:t>
            </w:r>
            <w:r>
              <w:rPr>
                <w:szCs w:val="18"/>
              </w:rPr>
              <w:t xml:space="preserve">will </w:t>
            </w:r>
            <w:r w:rsidRPr="00E764D0">
              <w:rPr>
                <w:szCs w:val="18"/>
              </w:rPr>
              <w:t>be retained to allow auction winners to access any spare primary capacity that may be available on the pipeline</w:t>
            </w:r>
            <w:r>
              <w:rPr>
                <w:szCs w:val="18"/>
              </w:rPr>
              <w:t xml:space="preserve"> if a renomination results in the auctioned capacity being curtailed</w:t>
            </w:r>
            <w:r w:rsidRPr="00E764D0">
              <w:rPr>
                <w:szCs w:val="18"/>
              </w:rPr>
              <w:t>.</w:t>
            </w:r>
            <w:r>
              <w:rPr>
                <w:szCs w:val="18"/>
              </w:rPr>
              <w:t xml:space="preserve"> </w:t>
            </w:r>
            <w:r w:rsidRPr="00E764D0">
              <w:rPr>
                <w:szCs w:val="18"/>
              </w:rPr>
              <w:t xml:space="preserve">As available and interruptible rights </w:t>
            </w:r>
            <w:r>
              <w:rPr>
                <w:szCs w:val="18"/>
              </w:rPr>
              <w:t xml:space="preserve">will also </w:t>
            </w:r>
            <w:r w:rsidRPr="00E764D0">
              <w:rPr>
                <w:szCs w:val="18"/>
              </w:rPr>
              <w:t xml:space="preserve">be scheduled after the auction occurs, </w:t>
            </w:r>
            <w:r>
              <w:rPr>
                <w:szCs w:val="18"/>
              </w:rPr>
              <w:t xml:space="preserve">to ensure </w:t>
            </w:r>
            <w:r w:rsidRPr="00E764D0">
              <w:rPr>
                <w:szCs w:val="18"/>
              </w:rPr>
              <w:t>they do not compete with the auction product.</w:t>
            </w:r>
          </w:p>
        </w:tc>
      </w:tr>
      <w:tr w:rsidR="00BA1563" w:rsidRPr="007B4506" w14:paraId="2E15913A" w14:textId="77777777" w:rsidTr="00BA1563">
        <w:trPr>
          <w:cnfStyle w:val="000000010000" w:firstRow="0" w:lastRow="0" w:firstColumn="0" w:lastColumn="0" w:oddVBand="0" w:evenVBand="0" w:oddHBand="0" w:evenHBand="1" w:firstRowFirstColumn="0" w:firstRowLastColumn="0" w:lastRowFirstColumn="0" w:lastRowLastColumn="0"/>
        </w:trPr>
        <w:tc>
          <w:tcPr>
            <w:tcW w:w="13324" w:type="dxa"/>
            <w:gridSpan w:val="3"/>
            <w:tcBorders>
              <w:bottom w:val="single" w:sz="4" w:space="0" w:color="auto"/>
            </w:tcBorders>
            <w:shd w:val="clear" w:color="auto" w:fill="000000" w:themeFill="text1"/>
          </w:tcPr>
          <w:p w14:paraId="38EB1872" w14:textId="77777777" w:rsidR="00BA1563" w:rsidRPr="007B4506" w:rsidRDefault="00BA1563" w:rsidP="007A505F">
            <w:pPr>
              <w:pStyle w:val="TableBodyText"/>
              <w:keepNext/>
              <w:spacing w:before="20" w:after="20" w:line="21" w:lineRule="atLeast"/>
              <w:jc w:val="center"/>
              <w:rPr>
                <w:b/>
                <w:color w:val="FFFFFF" w:themeColor="background1"/>
                <w:szCs w:val="18"/>
              </w:rPr>
            </w:pPr>
            <w:r>
              <w:rPr>
                <w:b/>
                <w:color w:val="FFFFFF" w:themeColor="background1"/>
                <w:szCs w:val="18"/>
              </w:rPr>
              <w:t>Reporting Framework for Secondary Capacity Trades</w:t>
            </w:r>
          </w:p>
        </w:tc>
      </w:tr>
      <w:tr w:rsidR="00BA1563" w:rsidRPr="007B4506" w14:paraId="6AF1400D" w14:textId="77777777" w:rsidTr="00BA1563">
        <w:tc>
          <w:tcPr>
            <w:tcW w:w="13324" w:type="dxa"/>
            <w:gridSpan w:val="3"/>
            <w:tcBorders>
              <w:bottom w:val="single" w:sz="4" w:space="0" w:color="auto"/>
            </w:tcBorders>
            <w:shd w:val="clear" w:color="auto" w:fill="65697F" w:themeFill="background2" w:themeFillShade="80"/>
          </w:tcPr>
          <w:p w14:paraId="0C71204F" w14:textId="77777777" w:rsidR="00BA1563" w:rsidRPr="007B4506" w:rsidRDefault="00BA1563" w:rsidP="007A505F">
            <w:pPr>
              <w:pStyle w:val="TableBodyText"/>
              <w:keepNext/>
              <w:spacing w:before="20" w:after="20" w:line="21" w:lineRule="atLeast"/>
              <w:jc w:val="center"/>
              <w:rPr>
                <w:b/>
                <w:color w:val="FFFFFF" w:themeColor="background1"/>
                <w:szCs w:val="18"/>
              </w:rPr>
            </w:pPr>
            <w:r w:rsidRPr="007B4506">
              <w:rPr>
                <w:b/>
                <w:color w:val="FFFFFF" w:themeColor="background1"/>
                <w:szCs w:val="18"/>
              </w:rPr>
              <w:t>Required Outcomes</w:t>
            </w:r>
            <w:r w:rsidRPr="007B4506">
              <w:rPr>
                <w:b/>
                <w:color w:val="FFFFFF" w:themeColor="background1"/>
                <w:szCs w:val="18"/>
              </w:rPr>
              <w:br/>
            </w:r>
            <w:proofErr w:type="spellStart"/>
            <w:r w:rsidRPr="007B4506">
              <w:rPr>
                <w:color w:val="FFFFFF" w:themeColor="background1"/>
                <w:szCs w:val="18"/>
              </w:rPr>
              <w:t>Outcomes</w:t>
            </w:r>
            <w:proofErr w:type="spellEnd"/>
            <w:r w:rsidRPr="007B4506">
              <w:rPr>
                <w:color w:val="FFFFFF" w:themeColor="background1"/>
                <w:szCs w:val="18"/>
              </w:rPr>
              <w:t xml:space="preserve"> that must be progressed by the GMRG and are necessary to the implementation of the reforms</w:t>
            </w:r>
          </w:p>
        </w:tc>
      </w:tr>
      <w:tr w:rsidR="00BA1563" w:rsidRPr="007B4506" w14:paraId="77FE716D" w14:textId="77777777" w:rsidTr="00BA1563">
        <w:trPr>
          <w:cnfStyle w:val="000000010000" w:firstRow="0" w:lastRow="0" w:firstColumn="0" w:lastColumn="0" w:oddVBand="0" w:evenVBand="0" w:oddHBand="0" w:evenHBand="1" w:firstRowFirstColumn="0" w:firstRowLastColumn="0" w:lastRowFirstColumn="0" w:lastRowLastColumn="0"/>
          <w:trHeight w:val="488"/>
        </w:trPr>
        <w:tc>
          <w:tcPr>
            <w:tcW w:w="7899" w:type="dxa"/>
            <w:gridSpan w:val="2"/>
            <w:shd w:val="clear" w:color="auto" w:fill="FFFFFF" w:themeFill="background1"/>
            <w:vAlign w:val="center"/>
          </w:tcPr>
          <w:p w14:paraId="44332C42" w14:textId="77777777" w:rsidR="00BA1563" w:rsidRPr="004814C4" w:rsidRDefault="00BA1563" w:rsidP="007A505F">
            <w:pPr>
              <w:pStyle w:val="TableBullet1"/>
              <w:spacing w:line="21" w:lineRule="atLeast"/>
            </w:pPr>
            <w:r w:rsidRPr="004814C4">
              <w:t xml:space="preserve">Publication of information on all secondary trades of pipeline capacity and hub services. </w:t>
            </w:r>
          </w:p>
        </w:tc>
        <w:tc>
          <w:tcPr>
            <w:tcW w:w="5425" w:type="dxa"/>
            <w:shd w:val="clear" w:color="auto" w:fill="FFFFFF" w:themeFill="background1"/>
          </w:tcPr>
          <w:p w14:paraId="7A35AB6D" w14:textId="77777777" w:rsidR="00BA1563" w:rsidRPr="007B4506" w:rsidRDefault="00BA1563" w:rsidP="007A505F">
            <w:pPr>
              <w:pStyle w:val="TableBullet1"/>
              <w:numPr>
                <w:ilvl w:val="0"/>
                <w:numId w:val="0"/>
              </w:numPr>
              <w:spacing w:before="20" w:after="20" w:line="21" w:lineRule="atLeast"/>
              <w:ind w:left="312"/>
              <w:jc w:val="center"/>
              <w:rPr>
                <w:szCs w:val="18"/>
              </w:rPr>
            </w:pPr>
            <w:r w:rsidRPr="007B4506">
              <w:rPr>
                <w:szCs w:val="18"/>
              </w:rPr>
              <w:sym w:font="Wingdings" w:char="F0FC"/>
            </w:r>
          </w:p>
        </w:tc>
      </w:tr>
      <w:tr w:rsidR="00BA1563" w:rsidRPr="007B4506" w14:paraId="22824635" w14:textId="77777777" w:rsidTr="00BA1563">
        <w:trPr>
          <w:trHeight w:val="488"/>
        </w:trPr>
        <w:tc>
          <w:tcPr>
            <w:tcW w:w="7899" w:type="dxa"/>
            <w:gridSpan w:val="2"/>
            <w:shd w:val="clear" w:color="auto" w:fill="FFFFFF" w:themeFill="background1"/>
          </w:tcPr>
          <w:p w14:paraId="7752541C" w14:textId="77777777" w:rsidR="00BA1563" w:rsidRPr="004814C4" w:rsidRDefault="00BA1563" w:rsidP="007A505F">
            <w:pPr>
              <w:pStyle w:val="TableBullet1"/>
              <w:spacing w:line="21" w:lineRule="atLeast"/>
            </w:pPr>
            <w:r w:rsidRPr="004814C4">
              <w:t xml:space="preserve">The information to be published is the price of the trade and any other information that might reasonably influence that price, taking into account measures to protect anonymity. </w:t>
            </w:r>
          </w:p>
        </w:tc>
        <w:tc>
          <w:tcPr>
            <w:tcW w:w="5425" w:type="dxa"/>
            <w:shd w:val="clear" w:color="auto" w:fill="FFFFFF" w:themeFill="background1"/>
          </w:tcPr>
          <w:p w14:paraId="2C71BD92" w14:textId="77777777" w:rsidR="00BA1563" w:rsidRPr="007B4506" w:rsidRDefault="00BA1563" w:rsidP="007A505F">
            <w:pPr>
              <w:pStyle w:val="TableBullet1"/>
              <w:numPr>
                <w:ilvl w:val="0"/>
                <w:numId w:val="0"/>
              </w:numPr>
              <w:spacing w:before="20" w:after="20" w:line="21" w:lineRule="atLeast"/>
              <w:ind w:left="312"/>
              <w:jc w:val="center"/>
              <w:rPr>
                <w:szCs w:val="18"/>
              </w:rPr>
            </w:pPr>
            <w:r w:rsidRPr="007B4506">
              <w:rPr>
                <w:szCs w:val="18"/>
              </w:rPr>
              <w:sym w:font="Wingdings" w:char="F0FC"/>
            </w:r>
          </w:p>
        </w:tc>
      </w:tr>
      <w:tr w:rsidR="00BA1563" w:rsidRPr="007B4506" w14:paraId="2527E6C7" w14:textId="77777777" w:rsidTr="00BA1563">
        <w:trPr>
          <w:cnfStyle w:val="000000010000" w:firstRow="0" w:lastRow="0" w:firstColumn="0" w:lastColumn="0" w:oddVBand="0" w:evenVBand="0" w:oddHBand="0" w:evenHBand="1" w:firstRowFirstColumn="0" w:firstRowLastColumn="0" w:lastRowFirstColumn="0" w:lastRowLastColumn="0"/>
          <w:trHeight w:val="488"/>
        </w:trPr>
        <w:tc>
          <w:tcPr>
            <w:tcW w:w="7899" w:type="dxa"/>
            <w:gridSpan w:val="2"/>
            <w:shd w:val="clear" w:color="auto" w:fill="FFFFFF" w:themeFill="background1"/>
          </w:tcPr>
          <w:p w14:paraId="7ACC339F" w14:textId="77777777" w:rsidR="00BA1563" w:rsidRDefault="00BA1563" w:rsidP="007A505F">
            <w:pPr>
              <w:pStyle w:val="TableBullet1"/>
              <w:spacing w:line="21" w:lineRule="atLeast"/>
            </w:pPr>
            <w:r w:rsidRPr="004814C4">
              <w:t>Publication should occur at or shortly after the time the transaction is entered into.</w:t>
            </w:r>
          </w:p>
        </w:tc>
        <w:tc>
          <w:tcPr>
            <w:tcW w:w="5425" w:type="dxa"/>
            <w:shd w:val="clear" w:color="auto" w:fill="FFFFFF" w:themeFill="background1"/>
          </w:tcPr>
          <w:p w14:paraId="06E548D6" w14:textId="77777777" w:rsidR="00BA1563" w:rsidRPr="007B4506" w:rsidRDefault="00BA1563" w:rsidP="007A505F">
            <w:pPr>
              <w:pStyle w:val="TableBullet1"/>
              <w:numPr>
                <w:ilvl w:val="0"/>
                <w:numId w:val="0"/>
              </w:numPr>
              <w:spacing w:before="20" w:after="20" w:line="21" w:lineRule="atLeast"/>
              <w:ind w:left="312"/>
              <w:jc w:val="center"/>
              <w:rPr>
                <w:szCs w:val="18"/>
              </w:rPr>
            </w:pPr>
            <w:r w:rsidRPr="007B4506">
              <w:rPr>
                <w:szCs w:val="18"/>
              </w:rPr>
              <w:sym w:font="Wingdings" w:char="F0FC"/>
            </w:r>
            <w:r w:rsidRPr="007B4506">
              <w:rPr>
                <w:szCs w:val="18"/>
              </w:rPr>
              <w:t xml:space="preserve"> </w:t>
            </w:r>
          </w:p>
        </w:tc>
      </w:tr>
    </w:tbl>
    <w:p w14:paraId="705038F7" w14:textId="77777777" w:rsidR="00BA1563" w:rsidRDefault="00BA1563" w:rsidP="00A9425D">
      <w:pPr>
        <w:pStyle w:val="BodyText"/>
        <w:spacing w:before="0" w:after="0" w:line="240" w:lineRule="auto"/>
        <w:rPr>
          <w:rStyle w:val="BodyTextChar"/>
          <w:sz w:val="2"/>
          <w:szCs w:val="2"/>
        </w:rPr>
      </w:pPr>
    </w:p>
    <w:p w14:paraId="6E90BF44" w14:textId="77777777" w:rsidR="001719B2" w:rsidRDefault="001719B2" w:rsidP="00A9425D">
      <w:pPr>
        <w:pStyle w:val="BodyText"/>
        <w:spacing w:before="0" w:after="0" w:line="240" w:lineRule="auto"/>
        <w:rPr>
          <w:rStyle w:val="BodyTextChar"/>
          <w:sz w:val="2"/>
          <w:szCs w:val="2"/>
        </w:rPr>
        <w:sectPr w:rsidR="001719B2" w:rsidSect="00CF1252">
          <w:headerReference w:type="default" r:id="rId50"/>
          <w:pgSz w:w="16839" w:h="11907" w:orient="landscape" w:code="9"/>
          <w:pgMar w:top="-1701" w:right="1417" w:bottom="851" w:left="2268" w:header="567" w:footer="397" w:gutter="0"/>
          <w:cols w:space="708"/>
          <w:docGrid w:linePitch="360"/>
        </w:sectPr>
      </w:pPr>
    </w:p>
    <w:p w14:paraId="420688F7" w14:textId="77777777" w:rsidR="001719B2" w:rsidRDefault="001719B2" w:rsidP="001719B2">
      <w:pPr>
        <w:pStyle w:val="Heading9"/>
      </w:pPr>
      <w:bookmarkStart w:id="168" w:name="Here"/>
      <w:bookmarkEnd w:id="168"/>
      <w:r>
        <w:t xml:space="preserve">Members of the project teams and Advisory Panel </w:t>
      </w:r>
    </w:p>
    <w:p w14:paraId="0FC14FEA" w14:textId="77777777" w:rsidR="001719B2" w:rsidRDefault="001719B2" w:rsidP="001719B2">
      <w:pPr>
        <w:pStyle w:val="BodyText"/>
        <w:rPr>
          <w:lang w:eastAsia="en-US"/>
        </w:rPr>
      </w:pPr>
      <w:r>
        <w:rPr>
          <w:lang w:eastAsia="en-US"/>
        </w:rPr>
        <w:t>The tables below contain a list of the members of the Standardisation, Capacity Trading Platform and Day-Ahead Auction project teams and the Advisory Panel.</w:t>
      </w:r>
    </w:p>
    <w:p w14:paraId="062371DE" w14:textId="39138E59" w:rsidR="001719B2" w:rsidRDefault="001719B2" w:rsidP="001719B2">
      <w:pPr>
        <w:pStyle w:val="Caption"/>
      </w:pPr>
      <w:r>
        <w:t xml:space="preserve">Table </w:t>
      </w:r>
      <w:r w:rsidR="00115A93">
        <w:fldChar w:fldCharType="begin"/>
      </w:r>
      <w:r w:rsidR="00115A93">
        <w:instrText xml:space="preserve"> STYLEREF 9 \s </w:instrText>
      </w:r>
      <w:r w:rsidR="00115A93">
        <w:fldChar w:fldCharType="separate"/>
      </w:r>
      <w:r w:rsidR="00272B32">
        <w:rPr>
          <w:noProof/>
        </w:rPr>
        <w:t>B</w:t>
      </w:r>
      <w:r w:rsidR="00115A93">
        <w:rPr>
          <w:noProof/>
        </w:rPr>
        <w:fldChar w:fldCharType="end"/>
      </w:r>
      <w:r>
        <w:t>.</w:t>
      </w:r>
      <w:r w:rsidR="00115A93">
        <w:fldChar w:fldCharType="begin"/>
      </w:r>
      <w:r w:rsidR="00115A93">
        <w:instrText xml:space="preserve"> SEQ TableAppendix \* ARABIC \s 9 </w:instrText>
      </w:r>
      <w:r w:rsidR="00115A93">
        <w:fldChar w:fldCharType="separate"/>
      </w:r>
      <w:r w:rsidR="00272B32">
        <w:rPr>
          <w:noProof/>
        </w:rPr>
        <w:t>1</w:t>
      </w:r>
      <w:r w:rsidR="00115A93">
        <w:rPr>
          <w:noProof/>
        </w:rPr>
        <w:fldChar w:fldCharType="end"/>
      </w:r>
      <w:r>
        <w:t xml:space="preserve">: </w:t>
      </w:r>
      <w:r w:rsidR="000800F0">
        <w:t>Membership of Project Teams and Advisory Panel</w:t>
      </w:r>
    </w:p>
    <w:tbl>
      <w:tblPr>
        <w:tblStyle w:val="TableGrid"/>
        <w:tblW w:w="5000" w:type="pct"/>
        <w:tblLayout w:type="fixed"/>
        <w:tblLook w:val="0620" w:firstRow="1" w:lastRow="0" w:firstColumn="0" w:lastColumn="0" w:noHBand="1" w:noVBand="1"/>
        <w:tblCaption w:val="Table B.1: Membership of Project Teams and Advisory Panel"/>
        <w:tblDescription w:val="Membership of Project Teams and Advisory Panel"/>
      </w:tblPr>
      <w:tblGrid>
        <w:gridCol w:w="2929"/>
        <w:gridCol w:w="2930"/>
        <w:gridCol w:w="2930"/>
      </w:tblGrid>
      <w:tr w:rsidR="000800F0" w14:paraId="19C6E370" w14:textId="77777777" w:rsidTr="00947034">
        <w:trPr>
          <w:cnfStyle w:val="100000000000" w:firstRow="1" w:lastRow="0" w:firstColumn="0" w:lastColumn="0" w:oddVBand="0" w:evenVBand="0" w:oddHBand="0" w:evenHBand="0" w:firstRowFirstColumn="0" w:firstRowLastColumn="0" w:lastRowFirstColumn="0" w:lastRowLastColumn="0"/>
          <w:cantSplit/>
          <w:tblHeader/>
        </w:trPr>
        <w:tc>
          <w:tcPr>
            <w:tcW w:w="5000" w:type="pct"/>
            <w:gridSpan w:val="3"/>
            <w:tcBorders>
              <w:bottom w:val="single" w:sz="4" w:space="0" w:color="auto"/>
            </w:tcBorders>
            <w:shd w:val="clear" w:color="auto" w:fill="0099CC"/>
          </w:tcPr>
          <w:p w14:paraId="18D40B6C" w14:textId="77777777" w:rsidR="000800F0" w:rsidRDefault="000800F0" w:rsidP="000800F0">
            <w:pPr>
              <w:pStyle w:val="TableHeading"/>
              <w:jc w:val="center"/>
              <w:rPr>
                <w:lang w:eastAsia="fr-CA"/>
              </w:rPr>
            </w:pPr>
            <w:r>
              <w:rPr>
                <w:lang w:eastAsia="fr-CA"/>
              </w:rPr>
              <w:t>Project Team Members</w:t>
            </w:r>
          </w:p>
        </w:tc>
      </w:tr>
      <w:tr w:rsidR="001719B2" w14:paraId="6AB627C5" w14:textId="77777777" w:rsidTr="00947034">
        <w:trPr>
          <w:cnfStyle w:val="100000000000" w:firstRow="1" w:lastRow="0" w:firstColumn="0" w:lastColumn="0" w:oddVBand="0" w:evenVBand="0" w:oddHBand="0" w:evenHBand="0" w:firstRowFirstColumn="0" w:firstRowLastColumn="0" w:lastRowFirstColumn="0" w:lastRowLastColumn="0"/>
          <w:cantSplit/>
          <w:tblHeader/>
        </w:trPr>
        <w:tc>
          <w:tcPr>
            <w:tcW w:w="1666" w:type="pct"/>
            <w:shd w:val="clear" w:color="auto" w:fill="65697F" w:themeFill="background2" w:themeFillShade="80"/>
          </w:tcPr>
          <w:p w14:paraId="7E0FF1D0" w14:textId="77777777" w:rsidR="001719B2" w:rsidRDefault="001719B2" w:rsidP="001719B2">
            <w:pPr>
              <w:pStyle w:val="TableHeading"/>
              <w:rPr>
                <w:lang w:eastAsia="fr-CA"/>
              </w:rPr>
            </w:pPr>
            <w:r>
              <w:rPr>
                <w:lang w:eastAsia="fr-CA"/>
              </w:rPr>
              <w:t>Standardisation Project Team</w:t>
            </w:r>
          </w:p>
        </w:tc>
        <w:tc>
          <w:tcPr>
            <w:tcW w:w="1667" w:type="pct"/>
            <w:shd w:val="clear" w:color="auto" w:fill="65697F" w:themeFill="background2" w:themeFillShade="80"/>
          </w:tcPr>
          <w:p w14:paraId="44BCA642" w14:textId="77777777" w:rsidR="001719B2" w:rsidRDefault="001719B2" w:rsidP="001719B2">
            <w:pPr>
              <w:pStyle w:val="TableHeading"/>
              <w:rPr>
                <w:lang w:eastAsia="fr-CA"/>
              </w:rPr>
            </w:pPr>
            <w:r>
              <w:rPr>
                <w:lang w:eastAsia="fr-CA"/>
              </w:rPr>
              <w:t>Capacity Trading Platform Project Team</w:t>
            </w:r>
          </w:p>
        </w:tc>
        <w:tc>
          <w:tcPr>
            <w:tcW w:w="1667" w:type="pct"/>
            <w:shd w:val="clear" w:color="auto" w:fill="65697F" w:themeFill="background2" w:themeFillShade="80"/>
          </w:tcPr>
          <w:p w14:paraId="144308D2" w14:textId="77777777" w:rsidR="001719B2" w:rsidRDefault="001719B2" w:rsidP="001719B2">
            <w:pPr>
              <w:pStyle w:val="TableHeading"/>
              <w:rPr>
                <w:lang w:eastAsia="fr-CA"/>
              </w:rPr>
            </w:pPr>
            <w:r>
              <w:rPr>
                <w:lang w:eastAsia="fr-CA"/>
              </w:rPr>
              <w:t>Day-Ahead Auction Project Team</w:t>
            </w:r>
          </w:p>
        </w:tc>
      </w:tr>
      <w:tr w:rsidR="001719B2" w14:paraId="252EED3D" w14:textId="77777777" w:rsidTr="001719B2">
        <w:trPr>
          <w:cantSplit/>
        </w:trPr>
        <w:tc>
          <w:tcPr>
            <w:tcW w:w="1666" w:type="pct"/>
          </w:tcPr>
          <w:p w14:paraId="69209558" w14:textId="77777777" w:rsidR="001719B2" w:rsidRDefault="001719B2" w:rsidP="001719B2">
            <w:pPr>
              <w:pStyle w:val="TableBodyText"/>
              <w:rPr>
                <w:lang w:eastAsia="fr-CA"/>
              </w:rPr>
            </w:pPr>
            <w:r>
              <w:rPr>
                <w:lang w:eastAsia="fr-CA"/>
              </w:rPr>
              <w:t>Sally Calder, AGL</w:t>
            </w:r>
          </w:p>
        </w:tc>
        <w:tc>
          <w:tcPr>
            <w:tcW w:w="1667" w:type="pct"/>
          </w:tcPr>
          <w:p w14:paraId="220E3693" w14:textId="77777777" w:rsidR="001719B2" w:rsidRDefault="001719B2" w:rsidP="001719B2">
            <w:pPr>
              <w:pStyle w:val="TableBodyText"/>
              <w:rPr>
                <w:lang w:eastAsia="fr-CA"/>
              </w:rPr>
            </w:pPr>
            <w:r>
              <w:rPr>
                <w:lang w:eastAsia="fr-CA"/>
              </w:rPr>
              <w:t>Kieran O’Leary, AGL</w:t>
            </w:r>
          </w:p>
        </w:tc>
        <w:tc>
          <w:tcPr>
            <w:tcW w:w="1667" w:type="pct"/>
          </w:tcPr>
          <w:p w14:paraId="16506492" w14:textId="77777777" w:rsidR="001719B2" w:rsidRDefault="001719B2" w:rsidP="001719B2">
            <w:pPr>
              <w:pStyle w:val="TableBodyText"/>
              <w:rPr>
                <w:lang w:eastAsia="fr-CA"/>
              </w:rPr>
            </w:pPr>
            <w:r>
              <w:rPr>
                <w:lang w:eastAsia="fr-CA"/>
              </w:rPr>
              <w:t>John Jamieson, APA</w:t>
            </w:r>
          </w:p>
        </w:tc>
      </w:tr>
      <w:tr w:rsidR="001719B2" w14:paraId="2F423EB6" w14:textId="77777777" w:rsidTr="001719B2">
        <w:trPr>
          <w:cantSplit/>
        </w:trPr>
        <w:tc>
          <w:tcPr>
            <w:tcW w:w="1666" w:type="pct"/>
          </w:tcPr>
          <w:p w14:paraId="144FF97B" w14:textId="77777777" w:rsidR="001719B2" w:rsidRDefault="001719B2" w:rsidP="001719B2">
            <w:pPr>
              <w:pStyle w:val="TableBodyText"/>
              <w:rPr>
                <w:lang w:eastAsia="fr-CA"/>
              </w:rPr>
            </w:pPr>
            <w:r>
              <w:rPr>
                <w:lang w:eastAsia="fr-CA"/>
              </w:rPr>
              <w:t>Ainslie Lynch, APA</w:t>
            </w:r>
          </w:p>
        </w:tc>
        <w:tc>
          <w:tcPr>
            <w:tcW w:w="1667" w:type="pct"/>
          </w:tcPr>
          <w:p w14:paraId="5B229FA0" w14:textId="77777777" w:rsidR="001719B2" w:rsidRDefault="001719B2" w:rsidP="001719B2">
            <w:pPr>
              <w:pStyle w:val="TableBodyText"/>
              <w:rPr>
                <w:lang w:eastAsia="fr-CA"/>
              </w:rPr>
            </w:pPr>
            <w:r>
              <w:rPr>
                <w:lang w:eastAsia="fr-CA"/>
              </w:rPr>
              <w:t>Lino Fusco, CQ Partners</w:t>
            </w:r>
          </w:p>
        </w:tc>
        <w:tc>
          <w:tcPr>
            <w:tcW w:w="1667" w:type="pct"/>
          </w:tcPr>
          <w:p w14:paraId="5A52A2F4" w14:textId="77777777" w:rsidR="001719B2" w:rsidRDefault="001719B2" w:rsidP="001719B2">
            <w:pPr>
              <w:pStyle w:val="TableBodyText"/>
              <w:rPr>
                <w:lang w:eastAsia="fr-CA"/>
              </w:rPr>
            </w:pPr>
            <w:r>
              <w:rPr>
                <w:lang w:eastAsia="fr-CA"/>
              </w:rPr>
              <w:t>Deidre McEntee, APLNG</w:t>
            </w:r>
          </w:p>
        </w:tc>
      </w:tr>
      <w:tr w:rsidR="001719B2" w14:paraId="357AECB4" w14:textId="77777777" w:rsidTr="001719B2">
        <w:trPr>
          <w:cantSplit/>
        </w:trPr>
        <w:tc>
          <w:tcPr>
            <w:tcW w:w="1666" w:type="pct"/>
          </w:tcPr>
          <w:p w14:paraId="1B6C9E51" w14:textId="77777777" w:rsidR="001719B2" w:rsidRDefault="001719B2" w:rsidP="001719B2">
            <w:pPr>
              <w:pStyle w:val="TableBodyText"/>
              <w:rPr>
                <w:lang w:eastAsia="fr-CA"/>
              </w:rPr>
            </w:pPr>
            <w:r>
              <w:rPr>
                <w:lang w:eastAsia="fr-CA"/>
              </w:rPr>
              <w:t>Simon Taylor, DBP</w:t>
            </w:r>
          </w:p>
        </w:tc>
        <w:tc>
          <w:tcPr>
            <w:tcW w:w="1667" w:type="pct"/>
          </w:tcPr>
          <w:p w14:paraId="310246DE" w14:textId="77777777" w:rsidR="001719B2" w:rsidRDefault="001719B2" w:rsidP="001719B2">
            <w:pPr>
              <w:pStyle w:val="TableBodyText"/>
              <w:rPr>
                <w:lang w:eastAsia="fr-CA"/>
              </w:rPr>
            </w:pPr>
            <w:r>
              <w:rPr>
                <w:lang w:eastAsia="fr-CA"/>
              </w:rPr>
              <w:t>Trent Leach, DBP</w:t>
            </w:r>
          </w:p>
        </w:tc>
        <w:tc>
          <w:tcPr>
            <w:tcW w:w="1667" w:type="pct"/>
          </w:tcPr>
          <w:p w14:paraId="3F658A64" w14:textId="77777777" w:rsidR="001719B2" w:rsidRDefault="001719B2" w:rsidP="001719B2">
            <w:pPr>
              <w:pStyle w:val="TableBodyText"/>
              <w:rPr>
                <w:lang w:eastAsia="fr-CA"/>
              </w:rPr>
            </w:pPr>
            <w:r>
              <w:rPr>
                <w:lang w:eastAsia="fr-CA"/>
              </w:rPr>
              <w:t>Leon Devaney, Central Petroleum</w:t>
            </w:r>
          </w:p>
        </w:tc>
      </w:tr>
      <w:tr w:rsidR="001719B2" w14:paraId="70517F58" w14:textId="77777777" w:rsidTr="001719B2">
        <w:trPr>
          <w:cantSplit/>
        </w:trPr>
        <w:tc>
          <w:tcPr>
            <w:tcW w:w="1666" w:type="pct"/>
          </w:tcPr>
          <w:p w14:paraId="47D78F14" w14:textId="77777777" w:rsidR="001719B2" w:rsidRDefault="001719B2" w:rsidP="001719B2">
            <w:pPr>
              <w:pStyle w:val="TableBodyText"/>
              <w:rPr>
                <w:lang w:eastAsia="fr-CA"/>
              </w:rPr>
            </w:pPr>
            <w:r>
              <w:rPr>
                <w:lang w:eastAsia="fr-CA"/>
              </w:rPr>
              <w:t xml:space="preserve">Peter Frost, </w:t>
            </w:r>
            <w:proofErr w:type="spellStart"/>
            <w:r>
              <w:rPr>
                <w:lang w:eastAsia="fr-CA"/>
              </w:rPr>
              <w:t>EnergyAustralia</w:t>
            </w:r>
            <w:proofErr w:type="spellEnd"/>
          </w:p>
        </w:tc>
        <w:tc>
          <w:tcPr>
            <w:tcW w:w="1667" w:type="pct"/>
          </w:tcPr>
          <w:p w14:paraId="3398DC5D" w14:textId="77777777" w:rsidR="001719B2" w:rsidRDefault="001719B2" w:rsidP="001719B2">
            <w:pPr>
              <w:pStyle w:val="TableBodyText"/>
              <w:rPr>
                <w:lang w:eastAsia="fr-CA"/>
              </w:rPr>
            </w:pPr>
            <w:r>
              <w:rPr>
                <w:lang w:eastAsia="fr-CA"/>
              </w:rPr>
              <w:t xml:space="preserve">Ishara De Silva, </w:t>
            </w:r>
            <w:proofErr w:type="spellStart"/>
            <w:r>
              <w:rPr>
                <w:lang w:eastAsia="fr-CA"/>
              </w:rPr>
              <w:t>EnergyAustralia</w:t>
            </w:r>
            <w:proofErr w:type="spellEnd"/>
          </w:p>
        </w:tc>
        <w:tc>
          <w:tcPr>
            <w:tcW w:w="1667" w:type="pct"/>
          </w:tcPr>
          <w:p w14:paraId="0A4ABD6C" w14:textId="77777777" w:rsidR="001719B2" w:rsidRDefault="001719B2" w:rsidP="001719B2">
            <w:pPr>
              <w:pStyle w:val="TableBodyText"/>
              <w:rPr>
                <w:lang w:eastAsia="fr-CA"/>
              </w:rPr>
            </w:pPr>
            <w:r>
              <w:rPr>
                <w:lang w:eastAsia="fr-CA"/>
              </w:rPr>
              <w:t>Andrew O’Farrell, Origin</w:t>
            </w:r>
          </w:p>
        </w:tc>
      </w:tr>
      <w:tr w:rsidR="001719B2" w14:paraId="2C793DD5" w14:textId="77777777" w:rsidTr="001719B2">
        <w:trPr>
          <w:cantSplit/>
        </w:trPr>
        <w:tc>
          <w:tcPr>
            <w:tcW w:w="1666" w:type="pct"/>
          </w:tcPr>
          <w:p w14:paraId="018F4C22" w14:textId="77777777" w:rsidR="001719B2" w:rsidRDefault="001719B2" w:rsidP="001719B2">
            <w:pPr>
              <w:pStyle w:val="TableBodyText"/>
              <w:rPr>
                <w:lang w:eastAsia="fr-CA"/>
              </w:rPr>
            </w:pPr>
            <w:r>
              <w:rPr>
                <w:lang w:eastAsia="fr-CA"/>
              </w:rPr>
              <w:t>Samantha Staunton, Epic</w:t>
            </w:r>
          </w:p>
        </w:tc>
        <w:tc>
          <w:tcPr>
            <w:tcW w:w="1667" w:type="pct"/>
          </w:tcPr>
          <w:p w14:paraId="71685CE3" w14:textId="77777777" w:rsidR="001719B2" w:rsidRDefault="001719B2" w:rsidP="001719B2">
            <w:pPr>
              <w:pStyle w:val="TableBodyText"/>
              <w:rPr>
                <w:lang w:eastAsia="fr-CA"/>
              </w:rPr>
            </w:pPr>
            <w:r>
              <w:rPr>
                <w:lang w:eastAsia="fr-CA"/>
              </w:rPr>
              <w:t>Andrew Zancanaro, Jemena</w:t>
            </w:r>
          </w:p>
        </w:tc>
        <w:tc>
          <w:tcPr>
            <w:tcW w:w="1667" w:type="pct"/>
          </w:tcPr>
          <w:p w14:paraId="4BC05492" w14:textId="77777777" w:rsidR="001719B2" w:rsidRDefault="001719B2" w:rsidP="001719B2">
            <w:pPr>
              <w:pStyle w:val="TableBodyText"/>
              <w:rPr>
                <w:lang w:eastAsia="fr-CA"/>
              </w:rPr>
            </w:pPr>
            <w:r>
              <w:rPr>
                <w:lang w:eastAsia="fr-CA"/>
              </w:rPr>
              <w:t>Matt Sherwell, Santos</w:t>
            </w:r>
          </w:p>
        </w:tc>
      </w:tr>
      <w:tr w:rsidR="001719B2" w14:paraId="3F716439" w14:textId="77777777" w:rsidTr="001719B2">
        <w:trPr>
          <w:cantSplit/>
        </w:trPr>
        <w:tc>
          <w:tcPr>
            <w:tcW w:w="1666" w:type="pct"/>
          </w:tcPr>
          <w:p w14:paraId="4245D139" w14:textId="77777777" w:rsidR="001719B2" w:rsidRDefault="001719B2" w:rsidP="001719B2">
            <w:pPr>
              <w:pStyle w:val="TableBodyText"/>
              <w:rPr>
                <w:lang w:eastAsia="fr-CA"/>
              </w:rPr>
            </w:pPr>
            <w:r>
              <w:rPr>
                <w:lang w:eastAsia="fr-CA"/>
              </w:rPr>
              <w:t>Jan Peric, Jemena</w:t>
            </w:r>
          </w:p>
        </w:tc>
        <w:tc>
          <w:tcPr>
            <w:tcW w:w="1667" w:type="pct"/>
          </w:tcPr>
          <w:p w14:paraId="0B783E11" w14:textId="77777777" w:rsidR="001719B2" w:rsidRDefault="001719B2" w:rsidP="001719B2">
            <w:pPr>
              <w:pStyle w:val="TableBodyText"/>
              <w:rPr>
                <w:lang w:eastAsia="fr-CA"/>
              </w:rPr>
            </w:pPr>
            <w:r>
              <w:rPr>
                <w:lang w:eastAsia="fr-CA"/>
              </w:rPr>
              <w:t xml:space="preserve">David Lawrence, Pacific Markets Consulting </w:t>
            </w:r>
          </w:p>
        </w:tc>
        <w:tc>
          <w:tcPr>
            <w:tcW w:w="1667" w:type="pct"/>
          </w:tcPr>
          <w:p w14:paraId="1EF1DB29" w14:textId="77777777" w:rsidR="001719B2" w:rsidRDefault="001719B2" w:rsidP="001719B2">
            <w:pPr>
              <w:pStyle w:val="TableBodyText"/>
              <w:rPr>
                <w:lang w:eastAsia="fr-CA"/>
              </w:rPr>
            </w:pPr>
            <w:r>
              <w:rPr>
                <w:lang w:eastAsia="fr-CA"/>
              </w:rPr>
              <w:t xml:space="preserve">Jeff Cooke, </w:t>
            </w:r>
            <w:proofErr w:type="spellStart"/>
            <w:r>
              <w:rPr>
                <w:lang w:eastAsia="fr-CA"/>
              </w:rPr>
              <w:t>SEAGas</w:t>
            </w:r>
            <w:proofErr w:type="spellEnd"/>
          </w:p>
        </w:tc>
      </w:tr>
      <w:tr w:rsidR="000800F0" w14:paraId="798076A0" w14:textId="77777777" w:rsidTr="001719B2">
        <w:trPr>
          <w:cantSplit/>
        </w:trPr>
        <w:tc>
          <w:tcPr>
            <w:tcW w:w="1666" w:type="pct"/>
          </w:tcPr>
          <w:p w14:paraId="7C1EBE9D" w14:textId="77777777" w:rsidR="000800F0" w:rsidRDefault="000800F0" w:rsidP="001719B2">
            <w:pPr>
              <w:pStyle w:val="TableBodyText"/>
              <w:rPr>
                <w:lang w:eastAsia="fr-CA"/>
              </w:rPr>
            </w:pPr>
            <w:r>
              <w:rPr>
                <w:lang w:eastAsia="fr-CA"/>
              </w:rPr>
              <w:t>Michael Handley, Origin</w:t>
            </w:r>
          </w:p>
        </w:tc>
        <w:tc>
          <w:tcPr>
            <w:tcW w:w="1667" w:type="pct"/>
          </w:tcPr>
          <w:p w14:paraId="42837A0E" w14:textId="77777777" w:rsidR="000800F0" w:rsidRDefault="000800F0" w:rsidP="001719B2">
            <w:pPr>
              <w:pStyle w:val="TableBodyText"/>
              <w:rPr>
                <w:lang w:eastAsia="fr-CA"/>
              </w:rPr>
            </w:pPr>
            <w:r>
              <w:rPr>
                <w:lang w:eastAsia="fr-CA"/>
              </w:rPr>
              <w:t>Jennifer Tarr, Stanwell</w:t>
            </w:r>
          </w:p>
        </w:tc>
        <w:tc>
          <w:tcPr>
            <w:tcW w:w="1667" w:type="pct"/>
          </w:tcPr>
          <w:p w14:paraId="48EE5004" w14:textId="77777777" w:rsidR="000800F0" w:rsidRPr="001719B2" w:rsidRDefault="000800F0" w:rsidP="001719B2">
            <w:pPr>
              <w:pStyle w:val="TableBodyText"/>
              <w:rPr>
                <w:b/>
                <w:lang w:eastAsia="fr-CA"/>
              </w:rPr>
            </w:pPr>
            <w:r>
              <w:rPr>
                <w:lang w:eastAsia="fr-CA"/>
              </w:rPr>
              <w:t>Erin Bledsoe, Shell</w:t>
            </w:r>
          </w:p>
        </w:tc>
      </w:tr>
      <w:tr w:rsidR="005B364C" w14:paraId="2C0AE876" w14:textId="77777777" w:rsidTr="00613E2F">
        <w:trPr>
          <w:cantSplit/>
        </w:trPr>
        <w:tc>
          <w:tcPr>
            <w:tcW w:w="1666" w:type="pct"/>
            <w:tcBorders>
              <w:bottom w:val="single" w:sz="4" w:space="0" w:color="auto"/>
            </w:tcBorders>
          </w:tcPr>
          <w:p w14:paraId="5053DBC6" w14:textId="77777777" w:rsidR="005B364C" w:rsidRDefault="005B364C" w:rsidP="001719B2">
            <w:pPr>
              <w:pStyle w:val="TableBodyText"/>
              <w:rPr>
                <w:lang w:eastAsia="fr-CA"/>
              </w:rPr>
            </w:pPr>
            <w:r>
              <w:rPr>
                <w:lang w:eastAsia="fr-CA"/>
              </w:rPr>
              <w:t>Brad Mills, Shell</w:t>
            </w:r>
          </w:p>
        </w:tc>
        <w:tc>
          <w:tcPr>
            <w:tcW w:w="1667" w:type="pct"/>
            <w:vMerge w:val="restart"/>
          </w:tcPr>
          <w:p w14:paraId="3C231A50" w14:textId="77777777" w:rsidR="005B364C" w:rsidRDefault="005B364C" w:rsidP="001719B2">
            <w:pPr>
              <w:pStyle w:val="TableBodyText"/>
              <w:rPr>
                <w:lang w:eastAsia="fr-CA"/>
              </w:rPr>
            </w:pPr>
            <w:r>
              <w:rPr>
                <w:lang w:eastAsia="fr-CA"/>
              </w:rPr>
              <w:t>Daniel Hamel, AEMO</w:t>
            </w:r>
          </w:p>
        </w:tc>
        <w:tc>
          <w:tcPr>
            <w:tcW w:w="1667" w:type="pct"/>
            <w:tcBorders>
              <w:bottom w:val="single" w:sz="4" w:space="0" w:color="auto"/>
            </w:tcBorders>
          </w:tcPr>
          <w:p w14:paraId="29B551AB" w14:textId="77777777" w:rsidR="005B364C" w:rsidRDefault="005B364C" w:rsidP="001719B2">
            <w:pPr>
              <w:pStyle w:val="TableBodyText"/>
              <w:rPr>
                <w:lang w:eastAsia="fr-CA"/>
              </w:rPr>
            </w:pPr>
            <w:r>
              <w:rPr>
                <w:lang w:eastAsia="fr-CA"/>
              </w:rPr>
              <w:t>Kevin Ly, Snowy Hydro</w:t>
            </w:r>
          </w:p>
        </w:tc>
      </w:tr>
      <w:tr w:rsidR="005B364C" w14:paraId="6678AAE9" w14:textId="77777777" w:rsidTr="00613E2F">
        <w:trPr>
          <w:cantSplit/>
        </w:trPr>
        <w:tc>
          <w:tcPr>
            <w:tcW w:w="1666" w:type="pct"/>
            <w:vMerge w:val="restart"/>
          </w:tcPr>
          <w:p w14:paraId="3984BA74" w14:textId="77777777" w:rsidR="005B364C" w:rsidRDefault="005B364C" w:rsidP="005B364C">
            <w:pPr>
              <w:pStyle w:val="TableBodyText"/>
              <w:rPr>
                <w:lang w:eastAsia="fr-CA"/>
              </w:rPr>
            </w:pPr>
            <w:r>
              <w:rPr>
                <w:lang w:eastAsia="fr-CA"/>
              </w:rPr>
              <w:t xml:space="preserve">Angelo </w:t>
            </w:r>
            <w:proofErr w:type="spellStart"/>
            <w:r>
              <w:rPr>
                <w:lang w:eastAsia="fr-CA"/>
              </w:rPr>
              <w:t>Mantsio</w:t>
            </w:r>
            <w:proofErr w:type="spellEnd"/>
            <w:r>
              <w:rPr>
                <w:lang w:eastAsia="fr-CA"/>
              </w:rPr>
              <w:t>, AEMO</w:t>
            </w:r>
          </w:p>
        </w:tc>
        <w:tc>
          <w:tcPr>
            <w:tcW w:w="1667" w:type="pct"/>
            <w:vMerge/>
          </w:tcPr>
          <w:p w14:paraId="33F1C7D6" w14:textId="77777777" w:rsidR="005B364C" w:rsidRDefault="005B364C" w:rsidP="005B364C">
            <w:pPr>
              <w:pStyle w:val="TableBodyText"/>
              <w:rPr>
                <w:lang w:eastAsia="fr-CA"/>
              </w:rPr>
            </w:pPr>
          </w:p>
        </w:tc>
        <w:tc>
          <w:tcPr>
            <w:tcW w:w="1667" w:type="pct"/>
            <w:tcBorders>
              <w:bottom w:val="single" w:sz="4" w:space="0" w:color="auto"/>
            </w:tcBorders>
          </w:tcPr>
          <w:p w14:paraId="5D8C3275" w14:textId="77777777" w:rsidR="005B364C" w:rsidRDefault="005B364C" w:rsidP="005B364C">
            <w:pPr>
              <w:pStyle w:val="TableBodyText"/>
              <w:rPr>
                <w:lang w:eastAsia="fr-CA"/>
              </w:rPr>
            </w:pPr>
            <w:r>
              <w:rPr>
                <w:lang w:eastAsia="fr-CA"/>
              </w:rPr>
              <w:t xml:space="preserve">Tom Walker, AEMC </w:t>
            </w:r>
          </w:p>
        </w:tc>
      </w:tr>
      <w:tr w:rsidR="005B364C" w14:paraId="508D8917" w14:textId="77777777" w:rsidTr="000800F0">
        <w:trPr>
          <w:cantSplit/>
        </w:trPr>
        <w:tc>
          <w:tcPr>
            <w:tcW w:w="1666" w:type="pct"/>
            <w:vMerge/>
            <w:tcBorders>
              <w:bottom w:val="single" w:sz="4" w:space="0" w:color="auto"/>
            </w:tcBorders>
          </w:tcPr>
          <w:p w14:paraId="3E41A8E0" w14:textId="77777777" w:rsidR="005B364C" w:rsidRDefault="005B364C" w:rsidP="005B364C">
            <w:pPr>
              <w:pStyle w:val="TableBodyText"/>
              <w:rPr>
                <w:lang w:eastAsia="fr-CA"/>
              </w:rPr>
            </w:pPr>
          </w:p>
        </w:tc>
        <w:tc>
          <w:tcPr>
            <w:tcW w:w="1667" w:type="pct"/>
            <w:vMerge/>
            <w:tcBorders>
              <w:bottom w:val="single" w:sz="4" w:space="0" w:color="auto"/>
            </w:tcBorders>
          </w:tcPr>
          <w:p w14:paraId="77F8795B" w14:textId="77777777" w:rsidR="005B364C" w:rsidRDefault="005B364C" w:rsidP="005B364C">
            <w:pPr>
              <w:pStyle w:val="TableBodyText"/>
              <w:rPr>
                <w:lang w:eastAsia="fr-CA"/>
              </w:rPr>
            </w:pPr>
          </w:p>
        </w:tc>
        <w:tc>
          <w:tcPr>
            <w:tcW w:w="1667" w:type="pct"/>
            <w:tcBorders>
              <w:bottom w:val="single" w:sz="4" w:space="0" w:color="auto"/>
            </w:tcBorders>
          </w:tcPr>
          <w:p w14:paraId="12548C0D" w14:textId="77777777" w:rsidR="005B364C" w:rsidRDefault="005B364C" w:rsidP="005B364C">
            <w:pPr>
              <w:pStyle w:val="TableBodyText"/>
              <w:rPr>
                <w:lang w:eastAsia="fr-CA"/>
              </w:rPr>
            </w:pPr>
            <w:r>
              <w:rPr>
                <w:lang w:eastAsia="fr-CA"/>
              </w:rPr>
              <w:t>Nicholas Pope, AEMO</w:t>
            </w:r>
          </w:p>
        </w:tc>
      </w:tr>
      <w:tr w:rsidR="000800F0" w:rsidRPr="000800F0" w14:paraId="526A7BDB" w14:textId="77777777" w:rsidTr="000800F0">
        <w:trPr>
          <w:cantSplit/>
        </w:trPr>
        <w:tc>
          <w:tcPr>
            <w:tcW w:w="5000" w:type="pct"/>
            <w:gridSpan w:val="3"/>
            <w:shd w:val="clear" w:color="auto" w:fill="0099CC"/>
          </w:tcPr>
          <w:p w14:paraId="60D1244D" w14:textId="77777777" w:rsidR="000800F0" w:rsidRPr="000800F0" w:rsidRDefault="000800F0" w:rsidP="000800F0">
            <w:pPr>
              <w:pStyle w:val="TableBodyText"/>
              <w:jc w:val="center"/>
              <w:rPr>
                <w:b/>
                <w:color w:val="FFFFFF" w:themeColor="background1"/>
                <w:lang w:eastAsia="fr-CA"/>
              </w:rPr>
            </w:pPr>
            <w:r w:rsidRPr="000800F0">
              <w:rPr>
                <w:b/>
                <w:color w:val="FFFFFF" w:themeColor="background1"/>
                <w:lang w:eastAsia="fr-CA"/>
              </w:rPr>
              <w:t>Advisory Panel Members</w:t>
            </w:r>
          </w:p>
        </w:tc>
      </w:tr>
      <w:tr w:rsidR="000800F0" w14:paraId="5CEB8548" w14:textId="77777777" w:rsidTr="000800F0">
        <w:trPr>
          <w:cantSplit/>
        </w:trPr>
        <w:tc>
          <w:tcPr>
            <w:tcW w:w="5000" w:type="pct"/>
            <w:gridSpan w:val="3"/>
          </w:tcPr>
          <w:p w14:paraId="5A1E7140" w14:textId="77777777" w:rsidR="000800F0" w:rsidRDefault="000800F0" w:rsidP="001719B2">
            <w:pPr>
              <w:pStyle w:val="TableBodyText"/>
              <w:rPr>
                <w:lang w:eastAsia="fr-CA"/>
              </w:rPr>
            </w:pPr>
            <w:r>
              <w:rPr>
                <w:lang w:eastAsia="fr-CA"/>
              </w:rPr>
              <w:t>Nevenka Codevelle, APA</w:t>
            </w:r>
          </w:p>
        </w:tc>
      </w:tr>
      <w:tr w:rsidR="000800F0" w14:paraId="07623D71" w14:textId="77777777" w:rsidTr="000800F0">
        <w:trPr>
          <w:cantSplit/>
        </w:trPr>
        <w:tc>
          <w:tcPr>
            <w:tcW w:w="5000" w:type="pct"/>
            <w:gridSpan w:val="3"/>
          </w:tcPr>
          <w:p w14:paraId="5264FD9C" w14:textId="77777777" w:rsidR="000800F0" w:rsidRDefault="000800F0" w:rsidP="001719B2">
            <w:pPr>
              <w:pStyle w:val="TableBodyText"/>
              <w:rPr>
                <w:lang w:eastAsia="fr-CA"/>
              </w:rPr>
            </w:pPr>
            <w:r>
              <w:rPr>
                <w:lang w:eastAsia="fr-CA"/>
              </w:rPr>
              <w:t>Warwick King, APLNG</w:t>
            </w:r>
          </w:p>
        </w:tc>
      </w:tr>
      <w:tr w:rsidR="000800F0" w14:paraId="2F0243E6" w14:textId="77777777" w:rsidTr="000800F0">
        <w:trPr>
          <w:cantSplit/>
        </w:trPr>
        <w:tc>
          <w:tcPr>
            <w:tcW w:w="5000" w:type="pct"/>
            <w:gridSpan w:val="3"/>
          </w:tcPr>
          <w:p w14:paraId="5EDBBD83" w14:textId="77777777" w:rsidR="000800F0" w:rsidRDefault="000800F0" w:rsidP="001719B2">
            <w:pPr>
              <w:pStyle w:val="TableBodyText"/>
              <w:rPr>
                <w:lang w:eastAsia="fr-CA"/>
              </w:rPr>
            </w:pPr>
            <w:r>
              <w:rPr>
                <w:lang w:eastAsia="fr-CA"/>
              </w:rPr>
              <w:t>Graham Salmond, BHP</w:t>
            </w:r>
          </w:p>
        </w:tc>
      </w:tr>
      <w:tr w:rsidR="000800F0" w14:paraId="13001753" w14:textId="77777777" w:rsidTr="000800F0">
        <w:trPr>
          <w:cantSplit/>
        </w:trPr>
        <w:tc>
          <w:tcPr>
            <w:tcW w:w="5000" w:type="pct"/>
            <w:gridSpan w:val="3"/>
          </w:tcPr>
          <w:p w14:paraId="04F3AB52" w14:textId="77777777" w:rsidR="000800F0" w:rsidRDefault="000800F0" w:rsidP="001719B2">
            <w:pPr>
              <w:pStyle w:val="TableBodyText"/>
              <w:rPr>
                <w:lang w:eastAsia="fr-CA"/>
              </w:rPr>
            </w:pPr>
            <w:r>
              <w:rPr>
                <w:lang w:eastAsia="fr-CA"/>
              </w:rPr>
              <w:t xml:space="preserve">Mark Collette, </w:t>
            </w:r>
            <w:proofErr w:type="spellStart"/>
            <w:r>
              <w:rPr>
                <w:lang w:eastAsia="fr-CA"/>
              </w:rPr>
              <w:t>EnergyAustralia</w:t>
            </w:r>
            <w:proofErr w:type="spellEnd"/>
          </w:p>
        </w:tc>
      </w:tr>
      <w:tr w:rsidR="000800F0" w14:paraId="525DA57B" w14:textId="77777777" w:rsidTr="000800F0">
        <w:trPr>
          <w:cantSplit/>
        </w:trPr>
        <w:tc>
          <w:tcPr>
            <w:tcW w:w="5000" w:type="pct"/>
            <w:gridSpan w:val="3"/>
          </w:tcPr>
          <w:p w14:paraId="058B76EA" w14:textId="77777777" w:rsidR="000800F0" w:rsidRDefault="000800F0" w:rsidP="001719B2">
            <w:pPr>
              <w:pStyle w:val="TableBodyText"/>
              <w:rPr>
                <w:lang w:eastAsia="fr-CA"/>
              </w:rPr>
            </w:pPr>
            <w:r>
              <w:rPr>
                <w:lang w:eastAsia="fr-CA"/>
              </w:rPr>
              <w:t>Rosemary Sinclair, Energy Consumers Australia</w:t>
            </w:r>
          </w:p>
        </w:tc>
      </w:tr>
      <w:tr w:rsidR="000800F0" w14:paraId="03D337DD" w14:textId="77777777" w:rsidTr="000800F0">
        <w:trPr>
          <w:cantSplit/>
        </w:trPr>
        <w:tc>
          <w:tcPr>
            <w:tcW w:w="5000" w:type="pct"/>
            <w:gridSpan w:val="3"/>
          </w:tcPr>
          <w:p w14:paraId="6DA23B8B" w14:textId="77777777" w:rsidR="000800F0" w:rsidRDefault="000800F0" w:rsidP="001719B2">
            <w:pPr>
              <w:pStyle w:val="TableBodyText"/>
              <w:rPr>
                <w:lang w:eastAsia="fr-CA"/>
              </w:rPr>
            </w:pPr>
            <w:r>
              <w:rPr>
                <w:lang w:eastAsia="fr-CA"/>
              </w:rPr>
              <w:t>Paul Adams, Jemena</w:t>
            </w:r>
          </w:p>
        </w:tc>
      </w:tr>
      <w:tr w:rsidR="000800F0" w14:paraId="41CA6090" w14:textId="77777777" w:rsidTr="000800F0">
        <w:trPr>
          <w:cantSplit/>
        </w:trPr>
        <w:tc>
          <w:tcPr>
            <w:tcW w:w="5000" w:type="pct"/>
            <w:gridSpan w:val="3"/>
          </w:tcPr>
          <w:p w14:paraId="5912D035" w14:textId="77777777" w:rsidR="000800F0" w:rsidRDefault="000800F0" w:rsidP="001719B2">
            <w:pPr>
              <w:pStyle w:val="TableBodyText"/>
              <w:rPr>
                <w:lang w:eastAsia="fr-CA"/>
              </w:rPr>
            </w:pPr>
            <w:r>
              <w:rPr>
                <w:lang w:eastAsia="fr-CA"/>
              </w:rPr>
              <w:t>Chris Crozier, Orica</w:t>
            </w:r>
          </w:p>
        </w:tc>
      </w:tr>
      <w:tr w:rsidR="000800F0" w14:paraId="43F2FCBC" w14:textId="77777777" w:rsidTr="000800F0">
        <w:trPr>
          <w:cantSplit/>
        </w:trPr>
        <w:tc>
          <w:tcPr>
            <w:tcW w:w="5000" w:type="pct"/>
            <w:gridSpan w:val="3"/>
          </w:tcPr>
          <w:p w14:paraId="0BE74FF4" w14:textId="77777777" w:rsidR="000800F0" w:rsidRDefault="000800F0" w:rsidP="001719B2">
            <w:pPr>
              <w:pStyle w:val="TableBodyText"/>
              <w:rPr>
                <w:lang w:eastAsia="fr-CA"/>
              </w:rPr>
            </w:pPr>
            <w:r>
              <w:rPr>
                <w:lang w:eastAsia="fr-CA"/>
              </w:rPr>
              <w:t>Greg Jarvis, Origin</w:t>
            </w:r>
          </w:p>
        </w:tc>
      </w:tr>
      <w:tr w:rsidR="000800F0" w14:paraId="540CBF3A" w14:textId="77777777" w:rsidTr="000800F0">
        <w:trPr>
          <w:cantSplit/>
        </w:trPr>
        <w:tc>
          <w:tcPr>
            <w:tcW w:w="5000" w:type="pct"/>
            <w:gridSpan w:val="3"/>
          </w:tcPr>
          <w:p w14:paraId="5BD6A1DF" w14:textId="77777777" w:rsidR="000800F0" w:rsidRDefault="000800F0" w:rsidP="001719B2">
            <w:pPr>
              <w:pStyle w:val="TableBodyText"/>
              <w:rPr>
                <w:lang w:eastAsia="fr-CA"/>
              </w:rPr>
            </w:pPr>
            <w:r>
              <w:rPr>
                <w:lang w:eastAsia="fr-CA"/>
              </w:rPr>
              <w:t xml:space="preserve">Dr Stephen Bell, </w:t>
            </w:r>
            <w:proofErr w:type="spellStart"/>
            <w:r>
              <w:rPr>
                <w:lang w:eastAsia="fr-CA"/>
              </w:rPr>
              <w:t>Qenos</w:t>
            </w:r>
            <w:proofErr w:type="spellEnd"/>
          </w:p>
        </w:tc>
      </w:tr>
      <w:tr w:rsidR="000800F0" w14:paraId="0EFC38DE" w14:textId="77777777" w:rsidTr="000800F0">
        <w:tblPrEx>
          <w:tblLook w:val="04A0" w:firstRow="1" w:lastRow="0" w:firstColumn="1" w:lastColumn="0" w:noHBand="0" w:noVBand="1"/>
        </w:tblPrEx>
        <w:tc>
          <w:tcPr>
            <w:tcW w:w="5000" w:type="pct"/>
            <w:gridSpan w:val="3"/>
            <w:tcBorders>
              <w:bottom w:val="single" w:sz="4" w:space="0" w:color="auto"/>
            </w:tcBorders>
          </w:tcPr>
          <w:p w14:paraId="0810FE66" w14:textId="77777777" w:rsidR="000800F0" w:rsidRDefault="000800F0" w:rsidP="00F030AF">
            <w:pPr>
              <w:pStyle w:val="TableBodyText"/>
              <w:rPr>
                <w:lang w:eastAsia="fr-CA"/>
              </w:rPr>
            </w:pPr>
            <w:r>
              <w:rPr>
                <w:lang w:eastAsia="fr-CA"/>
              </w:rPr>
              <w:t xml:space="preserve">Angus </w:t>
            </w:r>
            <w:proofErr w:type="spellStart"/>
            <w:r>
              <w:rPr>
                <w:lang w:eastAsia="fr-CA"/>
              </w:rPr>
              <w:t>Jaffray</w:t>
            </w:r>
            <w:proofErr w:type="spellEnd"/>
            <w:r>
              <w:rPr>
                <w:lang w:eastAsia="fr-CA"/>
              </w:rPr>
              <w:t>, Santos</w:t>
            </w:r>
          </w:p>
        </w:tc>
      </w:tr>
      <w:tr w:rsidR="000800F0" w14:paraId="10FFD5C3" w14:textId="77777777" w:rsidTr="000800F0">
        <w:tblPrEx>
          <w:tblLook w:val="04A0" w:firstRow="1" w:lastRow="0" w:firstColumn="1" w:lastColumn="0" w:noHBand="0" w:noVBand="1"/>
        </w:tblPrEx>
        <w:trPr>
          <w:cnfStyle w:val="000000010000" w:firstRow="0" w:lastRow="0" w:firstColumn="0" w:lastColumn="0" w:oddVBand="0" w:evenVBand="0" w:oddHBand="0" w:evenHBand="1" w:firstRowFirstColumn="0" w:firstRowLastColumn="0" w:lastRowFirstColumn="0" w:lastRowLastColumn="0"/>
        </w:trPr>
        <w:tc>
          <w:tcPr>
            <w:tcW w:w="5000" w:type="pct"/>
            <w:gridSpan w:val="3"/>
            <w:shd w:val="clear" w:color="auto" w:fill="auto"/>
          </w:tcPr>
          <w:p w14:paraId="7D1E5DC2" w14:textId="77777777" w:rsidR="000800F0" w:rsidRDefault="000800F0" w:rsidP="00F030AF">
            <w:pPr>
              <w:pStyle w:val="TableBodyText"/>
              <w:rPr>
                <w:lang w:eastAsia="fr-CA"/>
              </w:rPr>
            </w:pPr>
            <w:r>
              <w:rPr>
                <w:lang w:eastAsia="fr-CA"/>
              </w:rPr>
              <w:t xml:space="preserve">Tom Summers, Shell </w:t>
            </w:r>
          </w:p>
        </w:tc>
      </w:tr>
    </w:tbl>
    <w:p w14:paraId="41B85E1A" w14:textId="77777777" w:rsidR="00D128A9" w:rsidRDefault="00D128A9" w:rsidP="001719B2">
      <w:pPr>
        <w:pStyle w:val="BodyText"/>
        <w:rPr>
          <w:lang w:eastAsia="fr-CA"/>
        </w:rPr>
      </w:pPr>
      <w:r>
        <w:rPr>
          <w:lang w:eastAsia="fr-CA"/>
        </w:rPr>
        <w:br w:type="page"/>
      </w:r>
    </w:p>
    <w:p w14:paraId="58FED121" w14:textId="77777777" w:rsidR="00D128A9" w:rsidRDefault="00D128A9" w:rsidP="00D128A9">
      <w:pPr>
        <w:pStyle w:val="Heading9"/>
        <w:spacing w:after="0"/>
      </w:pPr>
      <w:bookmarkStart w:id="169" w:name="_Ref492125115"/>
      <w:r>
        <w:t>Transportation services</w:t>
      </w:r>
      <w:bookmarkEnd w:id="169"/>
      <w:r>
        <w:t xml:space="preserve"> </w:t>
      </w:r>
    </w:p>
    <w:p w14:paraId="03B7339B" w14:textId="317344BA" w:rsidR="00D128A9" w:rsidRPr="00E90F68" w:rsidRDefault="00D128A9" w:rsidP="00A949C5">
      <w:pPr>
        <w:pStyle w:val="BodyText"/>
        <w:spacing w:before="120" w:after="0"/>
        <w:rPr>
          <w:lang w:eastAsia="en-US"/>
        </w:rPr>
      </w:pPr>
      <w:r>
        <w:rPr>
          <w:lang w:eastAsia="en-US"/>
        </w:rPr>
        <w:t>The box below provides an overview of the services that transmission pipelines typically provide.</w:t>
      </w:r>
    </w:p>
    <w:tbl>
      <w:tblPr>
        <w:tblStyle w:val="TableGrid"/>
        <w:tblW w:w="8926" w:type="dxa"/>
        <w:tblBorders>
          <w:left w:val="single" w:sz="4" w:space="0" w:color="auto"/>
          <w:right w:val="single" w:sz="4" w:space="0" w:color="auto"/>
        </w:tblBorders>
        <w:shd w:val="clear" w:color="auto" w:fill="E1E2E7" w:themeFill="background2"/>
        <w:tblLook w:val="04A0" w:firstRow="1" w:lastRow="0" w:firstColumn="1" w:lastColumn="0" w:noHBand="0" w:noVBand="1"/>
        <w:tblCaption w:val="Box C.1: Services provided by transmission pipelines "/>
        <w:tblDescription w:val="Services provided by transmission pipelines "/>
      </w:tblPr>
      <w:tblGrid>
        <w:gridCol w:w="8926"/>
      </w:tblGrid>
      <w:tr w:rsidR="00D128A9" w:rsidRPr="00D128A9" w14:paraId="0D8BB4D3" w14:textId="77777777" w:rsidTr="00A949C5">
        <w:trPr>
          <w:cnfStyle w:val="100000000000" w:firstRow="1" w:lastRow="0" w:firstColumn="0" w:lastColumn="0" w:oddVBand="0" w:evenVBand="0" w:oddHBand="0" w:evenHBand="0" w:firstRowFirstColumn="0" w:firstRowLastColumn="0" w:lastRowFirstColumn="0" w:lastRowLastColumn="0"/>
          <w:tblHeader/>
        </w:trPr>
        <w:tc>
          <w:tcPr>
            <w:tcW w:w="8926" w:type="dxa"/>
            <w:tcBorders>
              <w:top w:val="nil"/>
              <w:left w:val="nil"/>
              <w:bottom w:val="single" w:sz="4" w:space="0" w:color="auto"/>
              <w:right w:val="nil"/>
            </w:tcBorders>
            <w:shd w:val="clear" w:color="auto" w:fill="auto"/>
          </w:tcPr>
          <w:p w14:paraId="08CF2359" w14:textId="1FBD04F1" w:rsidR="00D128A9" w:rsidRPr="00D128A9" w:rsidRDefault="00A949C5" w:rsidP="00A949C5">
            <w:pPr>
              <w:pStyle w:val="AERbulletlistfirststyle"/>
              <w:numPr>
                <w:ilvl w:val="0"/>
                <w:numId w:val="0"/>
              </w:numPr>
              <w:tabs>
                <w:tab w:val="clear" w:pos="340"/>
                <w:tab w:val="left" w:pos="442"/>
              </w:tabs>
              <w:spacing w:after="120"/>
              <w:ind w:left="357" w:right="0" w:hanging="357"/>
              <w:rPr>
                <w:rStyle w:val="Strong"/>
                <w:color w:val="auto"/>
              </w:rPr>
            </w:pPr>
            <w:r w:rsidRPr="00A949C5">
              <w:rPr>
                <w:color w:val="auto"/>
                <w:sz w:val="22"/>
              </w:rPr>
              <w:t>Box C.1: Services provided by transmission pipelines</w:t>
            </w:r>
            <w:r w:rsidR="00D128A9" w:rsidRPr="00A949C5">
              <w:rPr>
                <w:rStyle w:val="Strong"/>
                <w:color w:val="auto"/>
                <w:sz w:val="22"/>
              </w:rPr>
              <w:t xml:space="preserve"> </w:t>
            </w:r>
          </w:p>
        </w:tc>
      </w:tr>
      <w:tr w:rsidR="00A949C5" w:rsidRPr="00D128A9" w14:paraId="6137160C" w14:textId="77777777" w:rsidTr="00A949C5">
        <w:tc>
          <w:tcPr>
            <w:tcW w:w="8926" w:type="dxa"/>
            <w:tcBorders>
              <w:top w:val="single" w:sz="4" w:space="0" w:color="auto"/>
            </w:tcBorders>
            <w:shd w:val="clear" w:color="auto" w:fill="E1E2E7" w:themeFill="background2"/>
          </w:tcPr>
          <w:p w14:paraId="2BA3E0D4" w14:textId="77777777" w:rsidR="00A949C5" w:rsidRPr="00A949C5" w:rsidRDefault="00A949C5" w:rsidP="00A949C5">
            <w:pPr>
              <w:rPr>
                <w:b/>
              </w:rPr>
            </w:pPr>
            <w:r w:rsidRPr="00A949C5">
              <w:rPr>
                <w:b/>
              </w:rPr>
              <w:t>Transportation services</w:t>
            </w:r>
          </w:p>
          <w:p w14:paraId="48F4EE4C" w14:textId="77777777" w:rsidR="00A949C5" w:rsidRPr="00A949C5" w:rsidRDefault="00A949C5" w:rsidP="00A949C5">
            <w:pPr>
              <w:rPr>
                <w:rStyle w:val="Strong"/>
                <w:b w:val="0"/>
              </w:rPr>
            </w:pPr>
            <w:r w:rsidRPr="00A949C5">
              <w:rPr>
                <w:rStyle w:val="Strong"/>
                <w:b w:val="0"/>
              </w:rPr>
              <w:t xml:space="preserve">Transmission pipelines operating on a point-to-point basis usually offer: </w:t>
            </w:r>
          </w:p>
          <w:p w14:paraId="7766A5CF" w14:textId="77777777" w:rsidR="00A949C5" w:rsidRPr="00A949C5" w:rsidRDefault="00A949C5" w:rsidP="00A949C5">
            <w:pPr>
              <w:pStyle w:val="AERbulletlistfirststyle"/>
              <w:tabs>
                <w:tab w:val="clear" w:pos="340"/>
                <w:tab w:val="left" w:pos="442"/>
              </w:tabs>
              <w:spacing w:after="120"/>
              <w:ind w:left="442" w:right="0"/>
              <w:rPr>
                <w:rStyle w:val="Strong"/>
                <w:b w:val="0"/>
              </w:rPr>
            </w:pPr>
            <w:r w:rsidRPr="00A949C5">
              <w:rPr>
                <w:rStyle w:val="Strong"/>
                <w:b w:val="0"/>
              </w:rPr>
              <w:t>Forward haul services, which provide for the transportation of gas from a receipt point to a delivery point in the direction of the predominant flow of gas.</w:t>
            </w:r>
          </w:p>
          <w:p w14:paraId="37F3EBFD" w14:textId="77777777" w:rsidR="00A949C5" w:rsidRPr="00A949C5" w:rsidRDefault="00A949C5" w:rsidP="00A949C5">
            <w:pPr>
              <w:pStyle w:val="AERbulletlistfirststyle"/>
              <w:tabs>
                <w:tab w:val="clear" w:pos="340"/>
                <w:tab w:val="left" w:pos="442"/>
              </w:tabs>
              <w:spacing w:after="120"/>
              <w:ind w:left="442" w:right="0"/>
              <w:rPr>
                <w:rStyle w:val="Strong"/>
                <w:b w:val="0"/>
              </w:rPr>
            </w:pPr>
            <w:r w:rsidRPr="00A949C5">
              <w:rPr>
                <w:rStyle w:val="Strong"/>
                <w:b w:val="0"/>
              </w:rPr>
              <w:t xml:space="preserve">Backhaul services, which involve the ‘notional transportation’ of gas in the opposite direction to the predominant flow of gas. The term ‘notional transportation’ is used in this context, because a backhaul service does not involve the physical transportation of gas. It instead involves a physical swap of gas at the point at which it is supplied into the pipeline for an equivalent amount of gas at the backhaul delivery point. To be able to provide this service, the volume of gas being backhauled must be less than, or equal to, the volume of gas to be transported on a forward haul basis, which is why it is offered on an as available or interruptible basis. </w:t>
            </w:r>
          </w:p>
          <w:p w14:paraId="23B11111" w14:textId="77777777" w:rsidR="00A949C5" w:rsidRPr="00A949C5" w:rsidRDefault="00A949C5" w:rsidP="00A949C5">
            <w:pPr>
              <w:rPr>
                <w:rStyle w:val="Strong"/>
                <w:b w:val="0"/>
              </w:rPr>
            </w:pPr>
            <w:r w:rsidRPr="00A949C5">
              <w:rPr>
                <w:rStyle w:val="Strong"/>
                <w:b w:val="0"/>
              </w:rPr>
              <w:t xml:space="preserve">If a pipeline can physically flow in both directions across its full length (i.e. a bi-directional pipeline), then it will usually offer a single transportation service, which enables gas to be transported in either direction. </w:t>
            </w:r>
          </w:p>
          <w:p w14:paraId="5AE88FF1" w14:textId="77777777" w:rsidR="00A949C5" w:rsidRPr="00A949C5" w:rsidRDefault="00A949C5" w:rsidP="00A949C5">
            <w:pPr>
              <w:rPr>
                <w:rStyle w:val="Strong"/>
                <w:b w:val="0"/>
              </w:rPr>
            </w:pPr>
            <w:r w:rsidRPr="00A949C5">
              <w:rPr>
                <w:rStyle w:val="Strong"/>
                <w:b w:val="0"/>
              </w:rPr>
              <w:t xml:space="preserve">Forward haul and bi-directional services can be provided on: </w:t>
            </w:r>
          </w:p>
          <w:p w14:paraId="26E6F76E" w14:textId="77777777" w:rsidR="00A949C5" w:rsidRPr="00A949C5" w:rsidRDefault="00A949C5" w:rsidP="00A949C5">
            <w:pPr>
              <w:pStyle w:val="AERbulletlistfirststyle"/>
              <w:tabs>
                <w:tab w:val="clear" w:pos="340"/>
                <w:tab w:val="left" w:pos="442"/>
              </w:tabs>
              <w:spacing w:after="120"/>
              <w:ind w:left="442" w:right="0"/>
              <w:rPr>
                <w:rStyle w:val="Strong"/>
                <w:b w:val="0"/>
              </w:rPr>
            </w:pPr>
            <w:proofErr w:type="gramStart"/>
            <w:r w:rsidRPr="00A949C5">
              <w:rPr>
                <w:rStyle w:val="Strong"/>
                <w:b w:val="0"/>
              </w:rPr>
              <w:t>a</w:t>
            </w:r>
            <w:proofErr w:type="gramEnd"/>
            <w:r w:rsidRPr="00A949C5">
              <w:rPr>
                <w:rStyle w:val="Strong"/>
                <w:b w:val="0"/>
              </w:rPr>
              <w:t xml:space="preserve"> firm basis – a firm service allows users to transport gas up to their maximum daily and hourly capacity reservation. The priority accorded to this service in terms of scheduling is higher than any other services and is the last service to be curtailed. </w:t>
            </w:r>
          </w:p>
          <w:p w14:paraId="05AEF980" w14:textId="77777777" w:rsidR="00A949C5" w:rsidRPr="00A949C5" w:rsidRDefault="00A949C5" w:rsidP="00A949C5">
            <w:pPr>
              <w:pStyle w:val="AERbulletlistfirststyle"/>
              <w:tabs>
                <w:tab w:val="clear" w:pos="340"/>
                <w:tab w:val="left" w:pos="442"/>
              </w:tabs>
              <w:spacing w:after="120"/>
              <w:ind w:left="442" w:right="0"/>
              <w:rPr>
                <w:rStyle w:val="Strong"/>
                <w:b w:val="0"/>
              </w:rPr>
            </w:pPr>
            <w:proofErr w:type="gramStart"/>
            <w:r w:rsidRPr="00A949C5">
              <w:rPr>
                <w:rStyle w:val="Strong"/>
                <w:b w:val="0"/>
              </w:rPr>
              <w:t>an</w:t>
            </w:r>
            <w:proofErr w:type="gramEnd"/>
            <w:r w:rsidRPr="00A949C5">
              <w:rPr>
                <w:rStyle w:val="Strong"/>
                <w:b w:val="0"/>
              </w:rPr>
              <w:t xml:space="preserve"> as available basis – an as available service allows users to transport gas without reserving and having to pay for capacity on a daily basis, if there is spare capacity available. The priority accorded to this service is lower than that accorded to a firm transportation service in terms of scheduling and is curtailed before firm services. </w:t>
            </w:r>
          </w:p>
          <w:p w14:paraId="24A6625E" w14:textId="77777777" w:rsidR="00A949C5" w:rsidRPr="00A949C5" w:rsidRDefault="00A949C5" w:rsidP="00A949C5">
            <w:pPr>
              <w:pStyle w:val="AERbulletlistfirststyle"/>
              <w:tabs>
                <w:tab w:val="clear" w:pos="340"/>
                <w:tab w:val="left" w:pos="442"/>
              </w:tabs>
              <w:spacing w:after="120"/>
              <w:ind w:left="442" w:right="0"/>
              <w:rPr>
                <w:rStyle w:val="Strong"/>
                <w:b w:val="0"/>
              </w:rPr>
            </w:pPr>
            <w:proofErr w:type="gramStart"/>
            <w:r w:rsidRPr="00A949C5">
              <w:rPr>
                <w:rStyle w:val="Strong"/>
                <w:b w:val="0"/>
              </w:rPr>
              <w:t>an</w:t>
            </w:r>
            <w:proofErr w:type="gramEnd"/>
            <w:r w:rsidRPr="00A949C5">
              <w:rPr>
                <w:rStyle w:val="Strong"/>
                <w:b w:val="0"/>
              </w:rPr>
              <w:t xml:space="preserve"> interruptible basis – an interruptible service also allows a buyer to transport gas without reserving and paying for capacity on a daily basis. However, the priority accorded to this service in terms of scheduling is lower than as available services and is usually curtailed ahead of both as available and firm services. </w:t>
            </w:r>
          </w:p>
          <w:p w14:paraId="1E1872D6" w14:textId="77777777" w:rsidR="00A949C5" w:rsidRPr="00A949C5" w:rsidRDefault="00A949C5" w:rsidP="00A949C5">
            <w:pPr>
              <w:rPr>
                <w:b/>
              </w:rPr>
            </w:pPr>
            <w:r w:rsidRPr="00A949C5">
              <w:rPr>
                <w:b/>
              </w:rPr>
              <w:t>Storage services</w:t>
            </w:r>
          </w:p>
          <w:p w14:paraId="2AFA488C" w14:textId="77777777" w:rsidR="00A949C5" w:rsidRPr="00A949C5" w:rsidRDefault="00A949C5" w:rsidP="00A949C5">
            <w:pPr>
              <w:rPr>
                <w:rStyle w:val="Strong"/>
                <w:b w:val="0"/>
              </w:rPr>
            </w:pPr>
            <w:r w:rsidRPr="00A949C5">
              <w:rPr>
                <w:rStyle w:val="Strong"/>
                <w:b w:val="0"/>
              </w:rPr>
              <w:t>Transmission pipelines may also be used to provide the following storage related services:</w:t>
            </w:r>
          </w:p>
          <w:p w14:paraId="5EBDDD4D" w14:textId="77777777" w:rsidR="00A949C5" w:rsidRPr="00A949C5" w:rsidRDefault="00A949C5" w:rsidP="00A949C5">
            <w:pPr>
              <w:pStyle w:val="AERbulletlistfirststyle"/>
              <w:tabs>
                <w:tab w:val="clear" w:pos="340"/>
                <w:tab w:val="left" w:pos="442"/>
              </w:tabs>
              <w:spacing w:after="120"/>
              <w:ind w:left="442" w:right="0"/>
              <w:rPr>
                <w:rStyle w:val="Strong"/>
                <w:b w:val="0"/>
              </w:rPr>
            </w:pPr>
            <w:r w:rsidRPr="00A949C5">
              <w:rPr>
                <w:rStyle w:val="Strong"/>
                <w:b w:val="0"/>
              </w:rPr>
              <w:t>Park services, which allow users to inject more gas into a pipeline than they take out on a particular day, up to a specified level and to store that gas in the pipeline. The additional gas supplied into the pipeline may be withdrawn by users at a later point in time, subject to constraints in their transportation contracts.</w:t>
            </w:r>
          </w:p>
          <w:p w14:paraId="34DFC6E3" w14:textId="77777777" w:rsidR="00A949C5" w:rsidRPr="00A949C5" w:rsidRDefault="00A949C5" w:rsidP="00A949C5">
            <w:pPr>
              <w:pStyle w:val="AERbulletlistfirststyle"/>
              <w:tabs>
                <w:tab w:val="clear" w:pos="340"/>
                <w:tab w:val="left" w:pos="442"/>
              </w:tabs>
              <w:spacing w:after="120"/>
              <w:ind w:left="442" w:right="0"/>
              <w:rPr>
                <w:rStyle w:val="Strong"/>
                <w:b w:val="0"/>
              </w:rPr>
            </w:pPr>
            <w:r w:rsidRPr="00A949C5">
              <w:rPr>
                <w:rStyle w:val="Strong"/>
                <w:b w:val="0"/>
              </w:rPr>
              <w:t xml:space="preserve">Park and loan services, which in addition to allowing users to store gas on the pipeline, also allows users to inject less gas than it takes on any given day (a loan), up to a specified level. </w:t>
            </w:r>
          </w:p>
          <w:p w14:paraId="07DDCC3C" w14:textId="77777777" w:rsidR="00A949C5" w:rsidRPr="00A949C5" w:rsidRDefault="00A949C5" w:rsidP="00A949C5">
            <w:pPr>
              <w:pStyle w:val="ListBullet"/>
              <w:numPr>
                <w:ilvl w:val="0"/>
                <w:numId w:val="0"/>
              </w:numPr>
              <w:rPr>
                <w:b/>
              </w:rPr>
            </w:pPr>
            <w:r w:rsidRPr="00A949C5">
              <w:rPr>
                <w:b/>
              </w:rPr>
              <w:t>Ancillary services</w:t>
            </w:r>
          </w:p>
          <w:p w14:paraId="62F0BE23" w14:textId="77777777" w:rsidR="00A949C5" w:rsidRPr="00A949C5" w:rsidRDefault="00A949C5" w:rsidP="00A949C5">
            <w:pPr>
              <w:pStyle w:val="ListBullet"/>
              <w:numPr>
                <w:ilvl w:val="0"/>
                <w:numId w:val="0"/>
              </w:numPr>
              <w:rPr>
                <w:rStyle w:val="Strong"/>
                <w:b w:val="0"/>
              </w:rPr>
            </w:pPr>
            <w:r w:rsidRPr="00A949C5">
              <w:rPr>
                <w:rStyle w:val="Strong"/>
                <w:b w:val="0"/>
              </w:rPr>
              <w:t>Transmission pipelines can be used to provide a range of ancillary services, including:</w:t>
            </w:r>
          </w:p>
          <w:p w14:paraId="48BB223A" w14:textId="77777777" w:rsidR="00A949C5" w:rsidRPr="00A949C5" w:rsidRDefault="00A949C5" w:rsidP="00A949C5">
            <w:pPr>
              <w:pStyle w:val="AERbulletlistfirststyle"/>
              <w:tabs>
                <w:tab w:val="clear" w:pos="340"/>
                <w:tab w:val="left" w:pos="442"/>
              </w:tabs>
              <w:spacing w:after="120"/>
              <w:ind w:left="442" w:right="0"/>
              <w:rPr>
                <w:rStyle w:val="Strong"/>
                <w:b w:val="0"/>
              </w:rPr>
            </w:pPr>
            <w:r w:rsidRPr="00A949C5">
              <w:rPr>
                <w:rStyle w:val="Strong"/>
                <w:b w:val="0"/>
              </w:rPr>
              <w:t>Renomination services, which enable users to amend their nominations after the nomination cut-off time, which is typically the afternoon before the gas day.</w:t>
            </w:r>
          </w:p>
          <w:p w14:paraId="06EECBEE" w14:textId="77777777" w:rsidR="00A949C5" w:rsidRPr="00A949C5" w:rsidRDefault="00A949C5" w:rsidP="00A949C5">
            <w:pPr>
              <w:pStyle w:val="AERbulletlistfirststyle"/>
              <w:tabs>
                <w:tab w:val="clear" w:pos="340"/>
                <w:tab w:val="left" w:pos="442"/>
              </w:tabs>
              <w:spacing w:after="120"/>
              <w:ind w:left="442" w:right="0"/>
              <w:rPr>
                <w:rStyle w:val="Strong"/>
                <w:b w:val="0"/>
                <w:bCs w:val="0"/>
              </w:rPr>
            </w:pPr>
            <w:r w:rsidRPr="00A949C5">
              <w:rPr>
                <w:rStyle w:val="Strong"/>
                <w:b w:val="0"/>
              </w:rPr>
              <w:t>In-pipe trade services, which enable gas to be traded between users at a notional point on the pipeline and allow users to manage their imbalances.</w:t>
            </w:r>
            <w:r>
              <w:rPr>
                <w:rStyle w:val="Strong"/>
                <w:b w:val="0"/>
              </w:rPr>
              <w:t xml:space="preserve"> </w:t>
            </w:r>
          </w:p>
          <w:p w14:paraId="32CF9941" w14:textId="12121CF1" w:rsidR="00A949C5" w:rsidRPr="00D128A9" w:rsidRDefault="00A949C5" w:rsidP="00A949C5">
            <w:pPr>
              <w:pStyle w:val="AERbulletlistfirststyle"/>
              <w:tabs>
                <w:tab w:val="clear" w:pos="340"/>
                <w:tab w:val="left" w:pos="442"/>
              </w:tabs>
              <w:spacing w:after="120"/>
              <w:ind w:left="442" w:right="0"/>
            </w:pPr>
            <w:r w:rsidRPr="00A949C5">
              <w:rPr>
                <w:rStyle w:val="Strong"/>
                <w:b w:val="0"/>
              </w:rPr>
              <w:t>Capacity trading services, which enables capacity traded between users to be managed by the service provider rather than by the users (e.g. the user purchasing the capacity can make nominations directly to the pipeline rather than through the user selling the capacity).</w:t>
            </w:r>
          </w:p>
        </w:tc>
      </w:tr>
    </w:tbl>
    <w:p w14:paraId="6E626088" w14:textId="46A0A732" w:rsidR="007372B2" w:rsidRDefault="00D128A9" w:rsidP="006E75F9">
      <w:pPr>
        <w:spacing w:line="240" w:lineRule="auto"/>
        <w:rPr>
          <w:sz w:val="18"/>
          <w:szCs w:val="18"/>
        </w:rPr>
      </w:pPr>
      <w:r w:rsidRPr="00D128A9">
        <w:rPr>
          <w:sz w:val="18"/>
          <w:szCs w:val="18"/>
        </w:rPr>
        <w:t xml:space="preserve">Source: AER, Draft Decision Roma to Brisbane Gas Pipeline </w:t>
      </w:r>
      <w:r w:rsidR="005663EA">
        <w:rPr>
          <w:sz w:val="18"/>
          <w:szCs w:val="18"/>
        </w:rPr>
        <w:t xml:space="preserve">AA </w:t>
      </w:r>
      <w:r w:rsidRPr="00D128A9">
        <w:rPr>
          <w:sz w:val="18"/>
          <w:szCs w:val="18"/>
        </w:rPr>
        <w:t>2017-22, July 2017, Attachment 1</w:t>
      </w:r>
      <w:r>
        <w:rPr>
          <w:sz w:val="18"/>
          <w:szCs w:val="18"/>
        </w:rPr>
        <w:t>, Appendix A</w:t>
      </w:r>
      <w:r w:rsidRPr="00D128A9">
        <w:rPr>
          <w:sz w:val="18"/>
          <w:szCs w:val="18"/>
        </w:rPr>
        <w:t xml:space="preserve">. </w:t>
      </w:r>
    </w:p>
    <w:p w14:paraId="514E343D" w14:textId="77777777" w:rsidR="00B57711" w:rsidRDefault="00B57711" w:rsidP="006E75F9">
      <w:pPr>
        <w:spacing w:line="240" w:lineRule="auto"/>
        <w:rPr>
          <w:rStyle w:val="BodyTextChar"/>
          <w:sz w:val="2"/>
          <w:szCs w:val="2"/>
        </w:rPr>
        <w:sectPr w:rsidR="00B57711" w:rsidSect="00947034">
          <w:pgSz w:w="11907" w:h="16839" w:code="9"/>
          <w:pgMar w:top="1361" w:right="1417" w:bottom="992" w:left="1701" w:header="567" w:footer="397" w:gutter="0"/>
          <w:cols w:space="708"/>
          <w:docGrid w:linePitch="360"/>
        </w:sectPr>
      </w:pPr>
    </w:p>
    <w:p w14:paraId="3088A42B" w14:textId="29A2FDA9" w:rsidR="00B57711" w:rsidRDefault="00B57711" w:rsidP="00B57711">
      <w:pPr>
        <w:pStyle w:val="Heading9"/>
        <w:spacing w:after="0"/>
      </w:pPr>
      <w:bookmarkStart w:id="170" w:name="_Ref494736384"/>
      <w:proofErr w:type="spellStart"/>
      <w:r>
        <w:t>EnergyEdge</w:t>
      </w:r>
      <w:proofErr w:type="spellEnd"/>
      <w:r>
        <w:t xml:space="preserve"> Analysis of Auction Quantities and Risk of Curtailment </w:t>
      </w:r>
    </w:p>
    <w:p w14:paraId="5585BF44" w14:textId="180A8A15" w:rsidR="00B57711" w:rsidRDefault="00B57711" w:rsidP="00B57711">
      <w:pPr>
        <w:pStyle w:val="BodyText"/>
      </w:pPr>
      <w:r>
        <w:t xml:space="preserve">The table below provides a summary of the analysis that </w:t>
      </w:r>
      <w:proofErr w:type="spellStart"/>
      <w:r>
        <w:t>EnergyEdge</w:t>
      </w:r>
      <w:proofErr w:type="spellEnd"/>
      <w:r>
        <w:t xml:space="preserve"> carried out for the GMRG on the quantity of contracted but un-nominated capacity that would have been released through the day-ahead auction if it had been in place over the period November 2016 – June 2017 and the risk that this capacity would have been curtailed over the same period.</w:t>
      </w:r>
    </w:p>
    <w:p w14:paraId="52781DFD" w14:textId="64983BDB" w:rsidR="00B57711" w:rsidRDefault="00B57711" w:rsidP="00B57711">
      <w:pPr>
        <w:pStyle w:val="Caption"/>
        <w:spacing w:after="0"/>
      </w:pPr>
      <w:r>
        <w:t xml:space="preserve">Table </w:t>
      </w:r>
      <w:r w:rsidR="00115A93">
        <w:fldChar w:fldCharType="begin"/>
      </w:r>
      <w:r w:rsidR="00115A93">
        <w:instrText xml:space="preserve"> STYLEREF 1 \s </w:instrText>
      </w:r>
      <w:r w:rsidR="00115A93">
        <w:fldChar w:fldCharType="separate"/>
      </w:r>
      <w:r w:rsidR="00272B32">
        <w:rPr>
          <w:noProof/>
        </w:rPr>
        <w:t>9</w:t>
      </w:r>
      <w:r w:rsidR="00115A93">
        <w:rPr>
          <w:noProof/>
        </w:rPr>
        <w:fldChar w:fldCharType="end"/>
      </w:r>
      <w:r w:rsidR="009A057E">
        <w:t>.</w:t>
      </w:r>
      <w:r w:rsidR="00115A93">
        <w:fldChar w:fldCharType="begin"/>
      </w:r>
      <w:r w:rsidR="00115A93">
        <w:instrText xml:space="preserve"> SEQ Table \* ARABIC \s 1 </w:instrText>
      </w:r>
      <w:r w:rsidR="00115A93">
        <w:fldChar w:fldCharType="separate"/>
      </w:r>
      <w:r w:rsidR="00272B32">
        <w:rPr>
          <w:noProof/>
        </w:rPr>
        <w:t>2</w:t>
      </w:r>
      <w:r w:rsidR="00115A93">
        <w:rPr>
          <w:noProof/>
        </w:rPr>
        <w:fldChar w:fldCharType="end"/>
      </w:r>
      <w:bookmarkEnd w:id="170"/>
      <w:r>
        <w:t>: Historical estimates of auction quantities and the risk of curtailment (based on BB data November 2016 - June 2017)</w:t>
      </w:r>
    </w:p>
    <w:tbl>
      <w:tblPr>
        <w:tblStyle w:val="TableGrid"/>
        <w:tblW w:w="5103" w:type="pct"/>
        <w:tblLayout w:type="fixed"/>
        <w:tblLook w:val="0420" w:firstRow="1" w:lastRow="0" w:firstColumn="0" w:lastColumn="0" w:noHBand="0" w:noVBand="1"/>
        <w:tblCaption w:val="Table 9.2: Historical estimates of auction quantities and the risk of curtailment (based on BB data November 2016 - June 2017)"/>
        <w:tblDescription w:val="Table 9.2: Historical estimates of auction quantities and the risk of curtailment (based on BB data November 2016 - June 2017)"/>
      </w:tblPr>
      <w:tblGrid>
        <w:gridCol w:w="2267"/>
        <w:gridCol w:w="1417"/>
        <w:gridCol w:w="1417"/>
        <w:gridCol w:w="1277"/>
        <w:gridCol w:w="1529"/>
        <w:gridCol w:w="1529"/>
        <w:gridCol w:w="1529"/>
        <w:gridCol w:w="1529"/>
        <w:gridCol w:w="1510"/>
      </w:tblGrid>
      <w:tr w:rsidR="00B57711" w:rsidRPr="00B57711" w14:paraId="1B382183" w14:textId="77777777" w:rsidTr="00047644">
        <w:trPr>
          <w:cnfStyle w:val="100000000000" w:firstRow="1" w:lastRow="0" w:firstColumn="0" w:lastColumn="0" w:oddVBand="0" w:evenVBand="0" w:oddHBand="0" w:evenHBand="0" w:firstRowFirstColumn="0" w:firstRowLastColumn="0" w:lastRowFirstColumn="0" w:lastRowLastColumn="0"/>
          <w:cantSplit/>
          <w:tblHeader/>
        </w:trPr>
        <w:tc>
          <w:tcPr>
            <w:tcW w:w="809" w:type="pct"/>
            <w:vMerge w:val="restart"/>
            <w:shd w:val="clear" w:color="auto" w:fill="0099CC"/>
            <w:vAlign w:val="bottom"/>
          </w:tcPr>
          <w:p w14:paraId="652366AC" w14:textId="77777777" w:rsidR="00B57711" w:rsidRPr="00B57711" w:rsidRDefault="00B57711" w:rsidP="00B57711">
            <w:pPr>
              <w:pStyle w:val="TableHeading"/>
              <w:spacing w:before="20" w:after="20"/>
              <w:rPr>
                <w:szCs w:val="18"/>
                <w:lang w:eastAsia="fr-CA"/>
              </w:rPr>
            </w:pPr>
            <w:r w:rsidRPr="00B57711">
              <w:rPr>
                <w:szCs w:val="18"/>
                <w:lang w:eastAsia="fr-CA"/>
              </w:rPr>
              <w:t>Pipeline</w:t>
            </w:r>
          </w:p>
        </w:tc>
        <w:tc>
          <w:tcPr>
            <w:tcW w:w="1468" w:type="pct"/>
            <w:gridSpan w:val="3"/>
            <w:shd w:val="clear" w:color="auto" w:fill="0099CC"/>
            <w:vAlign w:val="bottom"/>
          </w:tcPr>
          <w:p w14:paraId="1A26C6AD" w14:textId="77777777" w:rsidR="00B57711" w:rsidRPr="00B57711" w:rsidRDefault="00B57711" w:rsidP="00B57711">
            <w:pPr>
              <w:pStyle w:val="TableHeading"/>
              <w:spacing w:before="20" w:after="20"/>
              <w:jc w:val="center"/>
              <w:rPr>
                <w:szCs w:val="18"/>
                <w:lang w:eastAsia="fr-CA"/>
              </w:rPr>
            </w:pPr>
            <w:r w:rsidRPr="00B57711">
              <w:rPr>
                <w:szCs w:val="18"/>
                <w:lang w:eastAsia="fr-CA"/>
              </w:rPr>
              <w:t>Auction Quantity (TJ/day)</w:t>
            </w:r>
          </w:p>
        </w:tc>
        <w:tc>
          <w:tcPr>
            <w:tcW w:w="2721" w:type="pct"/>
            <w:gridSpan w:val="5"/>
            <w:shd w:val="clear" w:color="auto" w:fill="0099CC"/>
            <w:vAlign w:val="bottom"/>
          </w:tcPr>
          <w:p w14:paraId="5CA0ADCB" w14:textId="22EC53A7" w:rsidR="00B57711" w:rsidRPr="00B57711" w:rsidRDefault="00B57711" w:rsidP="00B57711">
            <w:pPr>
              <w:pStyle w:val="TableHeading"/>
              <w:spacing w:before="20" w:after="20"/>
              <w:jc w:val="center"/>
              <w:rPr>
                <w:szCs w:val="18"/>
                <w:lang w:eastAsia="fr-CA"/>
              </w:rPr>
            </w:pPr>
            <w:r w:rsidRPr="00B57711">
              <w:rPr>
                <w:szCs w:val="18"/>
                <w:lang w:eastAsia="fr-CA"/>
              </w:rPr>
              <w:t>Level and Frequency of Curtailment Over Analysis Period</w:t>
            </w:r>
          </w:p>
        </w:tc>
      </w:tr>
      <w:tr w:rsidR="00B57711" w:rsidRPr="00B57711" w14:paraId="385F4D7D" w14:textId="77777777" w:rsidTr="00047644">
        <w:trPr>
          <w:cnfStyle w:val="100000000000" w:firstRow="1" w:lastRow="0" w:firstColumn="0" w:lastColumn="0" w:oddVBand="0" w:evenVBand="0" w:oddHBand="0" w:evenHBand="0" w:firstRowFirstColumn="0" w:firstRowLastColumn="0" w:lastRowFirstColumn="0" w:lastRowLastColumn="0"/>
          <w:cantSplit/>
          <w:tblHeader/>
        </w:trPr>
        <w:tc>
          <w:tcPr>
            <w:tcW w:w="809" w:type="pct"/>
            <w:vMerge/>
            <w:shd w:val="clear" w:color="auto" w:fill="0099CC"/>
            <w:vAlign w:val="bottom"/>
          </w:tcPr>
          <w:p w14:paraId="536A4D1F" w14:textId="77777777" w:rsidR="00B57711" w:rsidRPr="00B57711" w:rsidRDefault="00B57711" w:rsidP="00B57711">
            <w:pPr>
              <w:pStyle w:val="TableHeading"/>
              <w:spacing w:before="20" w:after="20"/>
              <w:rPr>
                <w:szCs w:val="18"/>
                <w:lang w:eastAsia="fr-CA"/>
              </w:rPr>
            </w:pPr>
          </w:p>
        </w:tc>
        <w:tc>
          <w:tcPr>
            <w:tcW w:w="506" w:type="pct"/>
            <w:shd w:val="clear" w:color="auto" w:fill="0099CC"/>
            <w:vAlign w:val="bottom"/>
          </w:tcPr>
          <w:p w14:paraId="301D7062" w14:textId="77777777" w:rsidR="00B57711" w:rsidRPr="00B57711" w:rsidRDefault="00B57711" w:rsidP="00B57711">
            <w:pPr>
              <w:pStyle w:val="TableHeading"/>
              <w:spacing w:before="20" w:after="20"/>
              <w:rPr>
                <w:szCs w:val="18"/>
                <w:lang w:eastAsia="fr-CA"/>
              </w:rPr>
            </w:pPr>
            <w:r w:rsidRPr="00B57711">
              <w:rPr>
                <w:szCs w:val="18"/>
                <w:lang w:eastAsia="fr-CA"/>
              </w:rPr>
              <w:t>Minimum</w:t>
            </w:r>
          </w:p>
        </w:tc>
        <w:tc>
          <w:tcPr>
            <w:tcW w:w="506" w:type="pct"/>
            <w:shd w:val="clear" w:color="auto" w:fill="0099CC"/>
            <w:vAlign w:val="bottom"/>
          </w:tcPr>
          <w:p w14:paraId="746D3C6F" w14:textId="77777777" w:rsidR="00B57711" w:rsidRPr="00B57711" w:rsidRDefault="00B57711" w:rsidP="00B57711">
            <w:pPr>
              <w:pStyle w:val="TableHeading"/>
              <w:spacing w:before="20" w:after="20"/>
              <w:rPr>
                <w:szCs w:val="18"/>
                <w:lang w:eastAsia="fr-CA"/>
              </w:rPr>
            </w:pPr>
            <w:r w:rsidRPr="00B57711">
              <w:rPr>
                <w:szCs w:val="18"/>
                <w:lang w:eastAsia="fr-CA"/>
              </w:rPr>
              <w:t>Average</w:t>
            </w:r>
          </w:p>
        </w:tc>
        <w:tc>
          <w:tcPr>
            <w:tcW w:w="456" w:type="pct"/>
            <w:shd w:val="clear" w:color="auto" w:fill="0099CC"/>
            <w:vAlign w:val="bottom"/>
          </w:tcPr>
          <w:p w14:paraId="1DB4708D" w14:textId="77777777" w:rsidR="00B57711" w:rsidRPr="00B57711" w:rsidRDefault="00B57711" w:rsidP="00B57711">
            <w:pPr>
              <w:pStyle w:val="TableHeading"/>
              <w:spacing w:before="20" w:after="20"/>
              <w:rPr>
                <w:szCs w:val="18"/>
                <w:lang w:eastAsia="fr-CA"/>
              </w:rPr>
            </w:pPr>
            <w:r w:rsidRPr="00B57711">
              <w:rPr>
                <w:szCs w:val="18"/>
                <w:lang w:eastAsia="fr-CA"/>
              </w:rPr>
              <w:t>Maximum</w:t>
            </w:r>
          </w:p>
        </w:tc>
        <w:tc>
          <w:tcPr>
            <w:tcW w:w="546" w:type="pct"/>
            <w:shd w:val="clear" w:color="auto" w:fill="0099CC"/>
            <w:vAlign w:val="bottom"/>
          </w:tcPr>
          <w:p w14:paraId="2E4E9F60" w14:textId="77777777" w:rsidR="00B57711" w:rsidRPr="00B57711" w:rsidRDefault="00B57711" w:rsidP="00B57711">
            <w:pPr>
              <w:pStyle w:val="TableHeading"/>
              <w:spacing w:before="20" w:after="20"/>
              <w:jc w:val="center"/>
              <w:rPr>
                <w:szCs w:val="18"/>
                <w:lang w:eastAsia="fr-CA"/>
              </w:rPr>
            </w:pPr>
            <w:r w:rsidRPr="00B57711">
              <w:rPr>
                <w:szCs w:val="18"/>
                <w:lang w:eastAsia="fr-CA"/>
              </w:rPr>
              <w:t xml:space="preserve">No </w:t>
            </w:r>
            <w:proofErr w:type="gramStart"/>
            <w:r w:rsidRPr="00B57711">
              <w:rPr>
                <w:szCs w:val="18"/>
                <w:lang w:eastAsia="fr-CA"/>
              </w:rPr>
              <w:t>Impact</w:t>
            </w:r>
            <w:proofErr w:type="gramEnd"/>
            <w:r w:rsidRPr="00B57711">
              <w:rPr>
                <w:szCs w:val="18"/>
                <w:lang w:eastAsia="fr-CA"/>
              </w:rPr>
              <w:br/>
              <w:t>(0%)</w:t>
            </w:r>
          </w:p>
        </w:tc>
        <w:tc>
          <w:tcPr>
            <w:tcW w:w="546" w:type="pct"/>
            <w:shd w:val="clear" w:color="auto" w:fill="0099CC"/>
            <w:vAlign w:val="bottom"/>
          </w:tcPr>
          <w:p w14:paraId="1944EAA9" w14:textId="77777777" w:rsidR="00B57711" w:rsidRPr="00B57711" w:rsidRDefault="00B57711" w:rsidP="00B57711">
            <w:pPr>
              <w:pStyle w:val="TableHeading"/>
              <w:spacing w:before="20" w:after="20"/>
              <w:jc w:val="center"/>
              <w:rPr>
                <w:szCs w:val="18"/>
                <w:lang w:eastAsia="fr-CA"/>
              </w:rPr>
            </w:pPr>
            <w:proofErr w:type="gramStart"/>
            <w:r w:rsidRPr="00B57711">
              <w:rPr>
                <w:szCs w:val="18"/>
                <w:lang w:eastAsia="fr-CA"/>
              </w:rPr>
              <w:t>Limited</w:t>
            </w:r>
            <w:proofErr w:type="gramEnd"/>
            <w:r w:rsidRPr="00B57711">
              <w:rPr>
                <w:szCs w:val="18"/>
                <w:lang w:eastAsia="fr-CA"/>
              </w:rPr>
              <w:br/>
              <w:t>(0-9%)</w:t>
            </w:r>
          </w:p>
        </w:tc>
        <w:tc>
          <w:tcPr>
            <w:tcW w:w="546" w:type="pct"/>
            <w:shd w:val="clear" w:color="auto" w:fill="0099CC"/>
            <w:vAlign w:val="bottom"/>
          </w:tcPr>
          <w:p w14:paraId="03EB257F" w14:textId="77777777" w:rsidR="00B57711" w:rsidRPr="00B57711" w:rsidRDefault="00B57711" w:rsidP="00B57711">
            <w:pPr>
              <w:pStyle w:val="TableHeading"/>
              <w:spacing w:before="20" w:after="20"/>
              <w:jc w:val="center"/>
              <w:rPr>
                <w:szCs w:val="18"/>
                <w:lang w:eastAsia="fr-CA"/>
              </w:rPr>
            </w:pPr>
            <w:proofErr w:type="gramStart"/>
            <w:r w:rsidRPr="00B57711">
              <w:rPr>
                <w:szCs w:val="18"/>
                <w:lang w:eastAsia="fr-CA"/>
              </w:rPr>
              <w:t>Moderate</w:t>
            </w:r>
            <w:proofErr w:type="gramEnd"/>
            <w:r w:rsidRPr="00B57711">
              <w:rPr>
                <w:szCs w:val="18"/>
                <w:lang w:eastAsia="fr-CA"/>
              </w:rPr>
              <w:br/>
              <w:t>(10-49%)</w:t>
            </w:r>
          </w:p>
        </w:tc>
        <w:tc>
          <w:tcPr>
            <w:tcW w:w="546" w:type="pct"/>
            <w:shd w:val="clear" w:color="auto" w:fill="0099CC"/>
            <w:vAlign w:val="bottom"/>
          </w:tcPr>
          <w:p w14:paraId="6F0A3347" w14:textId="77777777" w:rsidR="00B57711" w:rsidRPr="00B57711" w:rsidRDefault="00B57711" w:rsidP="00B57711">
            <w:pPr>
              <w:pStyle w:val="TableHeading"/>
              <w:spacing w:before="20" w:after="20"/>
              <w:jc w:val="center"/>
              <w:rPr>
                <w:szCs w:val="18"/>
                <w:lang w:eastAsia="fr-CA"/>
              </w:rPr>
            </w:pPr>
            <w:r w:rsidRPr="00B57711">
              <w:rPr>
                <w:szCs w:val="18"/>
                <w:lang w:eastAsia="fr-CA"/>
              </w:rPr>
              <w:t xml:space="preserve">Significant </w:t>
            </w:r>
            <w:r w:rsidRPr="00B57711">
              <w:rPr>
                <w:szCs w:val="18"/>
                <w:lang w:eastAsia="fr-CA"/>
              </w:rPr>
              <w:br/>
              <w:t>(50-79%)</w:t>
            </w:r>
          </w:p>
        </w:tc>
        <w:tc>
          <w:tcPr>
            <w:tcW w:w="538" w:type="pct"/>
            <w:shd w:val="clear" w:color="auto" w:fill="0099CC"/>
            <w:vAlign w:val="bottom"/>
          </w:tcPr>
          <w:p w14:paraId="755E2932" w14:textId="77777777" w:rsidR="00B57711" w:rsidRPr="00B57711" w:rsidRDefault="00B57711" w:rsidP="00B57711">
            <w:pPr>
              <w:pStyle w:val="TableHeading"/>
              <w:spacing w:before="20" w:after="20"/>
              <w:jc w:val="center"/>
              <w:rPr>
                <w:szCs w:val="18"/>
                <w:lang w:eastAsia="fr-CA"/>
              </w:rPr>
            </w:pPr>
            <w:proofErr w:type="gramStart"/>
            <w:r w:rsidRPr="00B57711">
              <w:rPr>
                <w:szCs w:val="18"/>
                <w:lang w:eastAsia="fr-CA"/>
              </w:rPr>
              <w:t>Severe</w:t>
            </w:r>
            <w:proofErr w:type="gramEnd"/>
            <w:r w:rsidRPr="00B57711">
              <w:rPr>
                <w:szCs w:val="18"/>
                <w:lang w:eastAsia="fr-CA"/>
              </w:rPr>
              <w:br/>
              <w:t>(&gt;80%)</w:t>
            </w:r>
          </w:p>
        </w:tc>
      </w:tr>
      <w:tr w:rsidR="00B57711" w:rsidRPr="00B57711" w14:paraId="2CC82D7B" w14:textId="77777777" w:rsidTr="00047644">
        <w:trPr>
          <w:cantSplit/>
        </w:trPr>
        <w:tc>
          <w:tcPr>
            <w:tcW w:w="809" w:type="pct"/>
          </w:tcPr>
          <w:p w14:paraId="3B2C84A9" w14:textId="77777777" w:rsidR="00B57711" w:rsidRPr="00B57711" w:rsidRDefault="00B57711" w:rsidP="00B57711">
            <w:pPr>
              <w:pStyle w:val="TableBodyText"/>
              <w:spacing w:before="20" w:after="20"/>
              <w:rPr>
                <w:szCs w:val="18"/>
                <w:lang w:eastAsia="fr-CA"/>
              </w:rPr>
            </w:pPr>
            <w:r w:rsidRPr="00B57711">
              <w:rPr>
                <w:szCs w:val="18"/>
                <w:lang w:eastAsia="fr-CA"/>
              </w:rPr>
              <w:t xml:space="preserve">Eastern Gas Pipeline </w:t>
            </w:r>
          </w:p>
        </w:tc>
        <w:tc>
          <w:tcPr>
            <w:tcW w:w="506" w:type="pct"/>
          </w:tcPr>
          <w:p w14:paraId="35EA0F7A" w14:textId="77777777" w:rsidR="00B57711" w:rsidRPr="00B57711" w:rsidRDefault="00B57711" w:rsidP="00B57711">
            <w:pPr>
              <w:pStyle w:val="TableBodyText"/>
              <w:spacing w:before="20" w:after="20"/>
              <w:jc w:val="center"/>
              <w:rPr>
                <w:szCs w:val="18"/>
                <w:lang w:eastAsia="fr-CA"/>
              </w:rPr>
            </w:pPr>
            <w:r w:rsidRPr="00B57711">
              <w:rPr>
                <w:color w:val="000000"/>
                <w:szCs w:val="18"/>
              </w:rPr>
              <w:t>0</w:t>
            </w:r>
          </w:p>
        </w:tc>
        <w:tc>
          <w:tcPr>
            <w:tcW w:w="506" w:type="pct"/>
          </w:tcPr>
          <w:p w14:paraId="6F608B1E" w14:textId="77777777" w:rsidR="00B57711" w:rsidRPr="00B57711" w:rsidRDefault="00B57711" w:rsidP="00B57711">
            <w:pPr>
              <w:pStyle w:val="TableBodyText"/>
              <w:spacing w:before="20" w:after="20"/>
              <w:jc w:val="center"/>
              <w:rPr>
                <w:szCs w:val="18"/>
                <w:lang w:eastAsia="fr-CA"/>
              </w:rPr>
            </w:pPr>
            <w:r w:rsidRPr="00B57711">
              <w:rPr>
                <w:color w:val="000000"/>
                <w:szCs w:val="18"/>
              </w:rPr>
              <w:t>69</w:t>
            </w:r>
          </w:p>
        </w:tc>
        <w:tc>
          <w:tcPr>
            <w:tcW w:w="456" w:type="pct"/>
          </w:tcPr>
          <w:p w14:paraId="65C5E8E5" w14:textId="77777777" w:rsidR="00B57711" w:rsidRPr="00B57711" w:rsidRDefault="00B57711" w:rsidP="00B57711">
            <w:pPr>
              <w:pStyle w:val="TableBodyText"/>
              <w:spacing w:before="20" w:after="20"/>
              <w:jc w:val="center"/>
              <w:rPr>
                <w:szCs w:val="18"/>
                <w:lang w:eastAsia="fr-CA"/>
              </w:rPr>
            </w:pPr>
            <w:r w:rsidRPr="00B57711">
              <w:rPr>
                <w:color w:val="000000"/>
                <w:szCs w:val="18"/>
              </w:rPr>
              <w:t>171</w:t>
            </w:r>
          </w:p>
        </w:tc>
        <w:tc>
          <w:tcPr>
            <w:tcW w:w="546" w:type="pct"/>
          </w:tcPr>
          <w:p w14:paraId="748481B7" w14:textId="77777777" w:rsidR="00B57711" w:rsidRPr="00B57711" w:rsidRDefault="00B57711" w:rsidP="00B57711">
            <w:pPr>
              <w:pStyle w:val="TableBodyText"/>
              <w:spacing w:before="20" w:after="20"/>
              <w:jc w:val="center"/>
              <w:rPr>
                <w:szCs w:val="18"/>
                <w:lang w:eastAsia="fr-CA"/>
              </w:rPr>
            </w:pPr>
            <w:r w:rsidRPr="00B57711">
              <w:rPr>
                <w:color w:val="000000"/>
                <w:szCs w:val="18"/>
              </w:rPr>
              <w:t>91.2%</w:t>
            </w:r>
          </w:p>
        </w:tc>
        <w:tc>
          <w:tcPr>
            <w:tcW w:w="546" w:type="pct"/>
          </w:tcPr>
          <w:p w14:paraId="1A71323C" w14:textId="77777777" w:rsidR="00B57711" w:rsidRPr="00B57711" w:rsidRDefault="00B57711" w:rsidP="00B57711">
            <w:pPr>
              <w:pStyle w:val="TableBodyText"/>
              <w:spacing w:before="20" w:after="20"/>
              <w:jc w:val="center"/>
              <w:rPr>
                <w:szCs w:val="18"/>
                <w:lang w:eastAsia="fr-CA"/>
              </w:rPr>
            </w:pPr>
            <w:r w:rsidRPr="00B57711">
              <w:rPr>
                <w:color w:val="000000"/>
                <w:szCs w:val="18"/>
              </w:rPr>
              <w:t>5.4%</w:t>
            </w:r>
          </w:p>
        </w:tc>
        <w:tc>
          <w:tcPr>
            <w:tcW w:w="546" w:type="pct"/>
          </w:tcPr>
          <w:p w14:paraId="03A0D8E1" w14:textId="77777777" w:rsidR="00B57711" w:rsidRPr="00B57711" w:rsidRDefault="00B57711" w:rsidP="00B57711">
            <w:pPr>
              <w:pStyle w:val="TableBodyText"/>
              <w:spacing w:before="20" w:after="20"/>
              <w:jc w:val="center"/>
              <w:rPr>
                <w:szCs w:val="18"/>
                <w:lang w:eastAsia="fr-CA"/>
              </w:rPr>
            </w:pPr>
            <w:r w:rsidRPr="00B57711">
              <w:rPr>
                <w:color w:val="000000"/>
                <w:szCs w:val="18"/>
              </w:rPr>
              <w:t>2.0%</w:t>
            </w:r>
          </w:p>
        </w:tc>
        <w:tc>
          <w:tcPr>
            <w:tcW w:w="546" w:type="pct"/>
          </w:tcPr>
          <w:p w14:paraId="4CACE23D" w14:textId="77777777" w:rsidR="00B57711" w:rsidRPr="00B57711" w:rsidRDefault="00B57711" w:rsidP="00B57711">
            <w:pPr>
              <w:pStyle w:val="TableBodyText"/>
              <w:spacing w:before="20" w:after="20"/>
              <w:jc w:val="center"/>
              <w:rPr>
                <w:szCs w:val="18"/>
                <w:lang w:eastAsia="fr-CA"/>
              </w:rPr>
            </w:pPr>
            <w:r w:rsidRPr="00B57711">
              <w:rPr>
                <w:color w:val="000000"/>
                <w:szCs w:val="18"/>
              </w:rPr>
              <w:t>0.0%</w:t>
            </w:r>
          </w:p>
        </w:tc>
        <w:tc>
          <w:tcPr>
            <w:tcW w:w="538" w:type="pct"/>
          </w:tcPr>
          <w:p w14:paraId="1F702856" w14:textId="77777777" w:rsidR="00B57711" w:rsidRPr="00B57711" w:rsidRDefault="00B57711" w:rsidP="00B57711">
            <w:pPr>
              <w:pStyle w:val="TableBodyText"/>
              <w:spacing w:before="20" w:after="20"/>
              <w:jc w:val="center"/>
              <w:rPr>
                <w:szCs w:val="18"/>
                <w:lang w:eastAsia="fr-CA"/>
              </w:rPr>
            </w:pPr>
            <w:r w:rsidRPr="00B57711">
              <w:rPr>
                <w:color w:val="000000"/>
                <w:szCs w:val="18"/>
              </w:rPr>
              <w:t>1.5%</w:t>
            </w:r>
          </w:p>
        </w:tc>
      </w:tr>
      <w:tr w:rsidR="00B57711" w:rsidRPr="00B57711" w14:paraId="0DEA7469" w14:textId="77777777" w:rsidTr="00047644">
        <w:trPr>
          <w:cnfStyle w:val="000000010000" w:firstRow="0" w:lastRow="0" w:firstColumn="0" w:lastColumn="0" w:oddVBand="0" w:evenVBand="0" w:oddHBand="0" w:evenHBand="1" w:firstRowFirstColumn="0" w:firstRowLastColumn="0" w:lastRowFirstColumn="0" w:lastRowLastColumn="0"/>
          <w:cantSplit/>
        </w:trPr>
        <w:tc>
          <w:tcPr>
            <w:tcW w:w="809" w:type="pct"/>
          </w:tcPr>
          <w:p w14:paraId="1685910B" w14:textId="77777777" w:rsidR="00B57711" w:rsidRPr="00B57711" w:rsidRDefault="00B57711" w:rsidP="00B57711">
            <w:pPr>
              <w:pStyle w:val="TableBodyText"/>
              <w:spacing w:before="20" w:after="20"/>
              <w:rPr>
                <w:szCs w:val="18"/>
                <w:lang w:eastAsia="fr-CA"/>
              </w:rPr>
            </w:pPr>
            <w:r w:rsidRPr="00B57711">
              <w:rPr>
                <w:szCs w:val="18"/>
                <w:lang w:eastAsia="fr-CA"/>
              </w:rPr>
              <w:t>Moomba to Sydney Pipeline</w:t>
            </w:r>
          </w:p>
        </w:tc>
        <w:tc>
          <w:tcPr>
            <w:tcW w:w="506" w:type="pct"/>
          </w:tcPr>
          <w:p w14:paraId="1D19FFCE" w14:textId="77777777" w:rsidR="00B57711" w:rsidRPr="00B57711" w:rsidRDefault="00B57711" w:rsidP="00B57711">
            <w:pPr>
              <w:pStyle w:val="TableBodyText"/>
              <w:spacing w:before="20" w:after="20"/>
              <w:jc w:val="center"/>
              <w:rPr>
                <w:szCs w:val="18"/>
                <w:lang w:eastAsia="fr-CA"/>
              </w:rPr>
            </w:pPr>
            <w:r w:rsidRPr="00B57711">
              <w:rPr>
                <w:color w:val="000000"/>
                <w:szCs w:val="18"/>
              </w:rPr>
              <w:t>48</w:t>
            </w:r>
          </w:p>
        </w:tc>
        <w:tc>
          <w:tcPr>
            <w:tcW w:w="506" w:type="pct"/>
          </w:tcPr>
          <w:p w14:paraId="09774D24" w14:textId="77777777" w:rsidR="00B57711" w:rsidRPr="00B57711" w:rsidRDefault="00B57711" w:rsidP="00B57711">
            <w:pPr>
              <w:pStyle w:val="TableBodyText"/>
              <w:spacing w:before="20" w:after="20"/>
              <w:jc w:val="center"/>
              <w:rPr>
                <w:szCs w:val="18"/>
                <w:lang w:eastAsia="fr-CA"/>
              </w:rPr>
            </w:pPr>
            <w:r w:rsidRPr="00B57711">
              <w:rPr>
                <w:color w:val="000000"/>
                <w:szCs w:val="18"/>
              </w:rPr>
              <w:t>186</w:t>
            </w:r>
          </w:p>
        </w:tc>
        <w:tc>
          <w:tcPr>
            <w:tcW w:w="456" w:type="pct"/>
          </w:tcPr>
          <w:p w14:paraId="40D7269C" w14:textId="77777777" w:rsidR="00B57711" w:rsidRPr="00B57711" w:rsidRDefault="00B57711" w:rsidP="00B57711">
            <w:pPr>
              <w:pStyle w:val="TableBodyText"/>
              <w:spacing w:before="20" w:after="20"/>
              <w:jc w:val="center"/>
              <w:rPr>
                <w:szCs w:val="18"/>
                <w:lang w:eastAsia="fr-CA"/>
              </w:rPr>
            </w:pPr>
            <w:r w:rsidRPr="00B57711">
              <w:rPr>
                <w:color w:val="000000"/>
                <w:szCs w:val="18"/>
              </w:rPr>
              <w:t>292</w:t>
            </w:r>
          </w:p>
        </w:tc>
        <w:tc>
          <w:tcPr>
            <w:tcW w:w="546" w:type="pct"/>
          </w:tcPr>
          <w:p w14:paraId="18F101EB" w14:textId="77777777" w:rsidR="00B57711" w:rsidRPr="00B57711" w:rsidRDefault="00B57711" w:rsidP="00B57711">
            <w:pPr>
              <w:pStyle w:val="TableBodyText"/>
              <w:spacing w:before="20" w:after="20"/>
              <w:jc w:val="center"/>
              <w:rPr>
                <w:szCs w:val="18"/>
                <w:lang w:eastAsia="fr-CA"/>
              </w:rPr>
            </w:pPr>
            <w:r w:rsidRPr="00B57711">
              <w:rPr>
                <w:color w:val="000000"/>
                <w:szCs w:val="18"/>
              </w:rPr>
              <w:t>81.6%</w:t>
            </w:r>
          </w:p>
        </w:tc>
        <w:tc>
          <w:tcPr>
            <w:tcW w:w="546" w:type="pct"/>
          </w:tcPr>
          <w:p w14:paraId="70E366A4" w14:textId="77777777" w:rsidR="00B57711" w:rsidRPr="00B57711" w:rsidRDefault="00B57711" w:rsidP="00B57711">
            <w:pPr>
              <w:pStyle w:val="TableBodyText"/>
              <w:spacing w:before="20" w:after="20"/>
              <w:jc w:val="center"/>
              <w:rPr>
                <w:szCs w:val="18"/>
                <w:lang w:eastAsia="fr-CA"/>
              </w:rPr>
            </w:pPr>
            <w:r w:rsidRPr="00B57711">
              <w:rPr>
                <w:color w:val="000000"/>
                <w:szCs w:val="18"/>
              </w:rPr>
              <w:t>14.6%</w:t>
            </w:r>
          </w:p>
        </w:tc>
        <w:tc>
          <w:tcPr>
            <w:tcW w:w="546" w:type="pct"/>
          </w:tcPr>
          <w:p w14:paraId="5EE58C59" w14:textId="77777777" w:rsidR="00B57711" w:rsidRPr="00B57711" w:rsidRDefault="00B57711" w:rsidP="00B57711">
            <w:pPr>
              <w:pStyle w:val="TableBodyText"/>
              <w:spacing w:before="20" w:after="20"/>
              <w:jc w:val="center"/>
              <w:rPr>
                <w:szCs w:val="18"/>
                <w:lang w:eastAsia="fr-CA"/>
              </w:rPr>
            </w:pPr>
            <w:r w:rsidRPr="00B57711">
              <w:rPr>
                <w:color w:val="000000"/>
                <w:szCs w:val="18"/>
              </w:rPr>
              <w:t>3.8%</w:t>
            </w:r>
          </w:p>
        </w:tc>
        <w:tc>
          <w:tcPr>
            <w:tcW w:w="546" w:type="pct"/>
          </w:tcPr>
          <w:p w14:paraId="27462C64" w14:textId="77777777" w:rsidR="00B57711" w:rsidRPr="00B57711" w:rsidRDefault="00B57711" w:rsidP="00B57711">
            <w:pPr>
              <w:pStyle w:val="TableBodyText"/>
              <w:spacing w:before="20" w:after="20"/>
              <w:jc w:val="center"/>
              <w:rPr>
                <w:szCs w:val="18"/>
                <w:lang w:eastAsia="fr-CA"/>
              </w:rPr>
            </w:pPr>
            <w:r w:rsidRPr="00B57711">
              <w:rPr>
                <w:color w:val="000000"/>
                <w:szCs w:val="18"/>
              </w:rPr>
              <w:t>0.0%</w:t>
            </w:r>
          </w:p>
        </w:tc>
        <w:tc>
          <w:tcPr>
            <w:tcW w:w="538" w:type="pct"/>
          </w:tcPr>
          <w:p w14:paraId="4A21CE0C" w14:textId="77777777" w:rsidR="00B57711" w:rsidRPr="00B57711" w:rsidRDefault="00B57711" w:rsidP="00B57711">
            <w:pPr>
              <w:pStyle w:val="TableBodyText"/>
              <w:spacing w:before="20" w:after="20"/>
              <w:jc w:val="center"/>
              <w:rPr>
                <w:szCs w:val="18"/>
                <w:lang w:eastAsia="fr-CA"/>
              </w:rPr>
            </w:pPr>
            <w:r w:rsidRPr="00B57711">
              <w:rPr>
                <w:color w:val="000000"/>
                <w:szCs w:val="18"/>
              </w:rPr>
              <w:t>0.0%</w:t>
            </w:r>
          </w:p>
        </w:tc>
      </w:tr>
      <w:tr w:rsidR="00B57711" w:rsidRPr="00B57711" w14:paraId="3730290A" w14:textId="77777777" w:rsidTr="00047644">
        <w:trPr>
          <w:cantSplit/>
        </w:trPr>
        <w:tc>
          <w:tcPr>
            <w:tcW w:w="809" w:type="pct"/>
          </w:tcPr>
          <w:p w14:paraId="76808FA5" w14:textId="77777777" w:rsidR="00B57711" w:rsidRPr="00B57711" w:rsidRDefault="00B57711" w:rsidP="00B57711">
            <w:pPr>
              <w:pStyle w:val="TableBodyText"/>
              <w:spacing w:before="20" w:after="20"/>
              <w:rPr>
                <w:szCs w:val="18"/>
                <w:lang w:eastAsia="fr-CA"/>
              </w:rPr>
            </w:pPr>
            <w:proofErr w:type="spellStart"/>
            <w:r w:rsidRPr="00B57711">
              <w:rPr>
                <w:szCs w:val="18"/>
                <w:lang w:eastAsia="fr-CA"/>
              </w:rPr>
              <w:t>SEAGas</w:t>
            </w:r>
            <w:proofErr w:type="spellEnd"/>
          </w:p>
        </w:tc>
        <w:tc>
          <w:tcPr>
            <w:tcW w:w="506" w:type="pct"/>
          </w:tcPr>
          <w:p w14:paraId="3D13B34A" w14:textId="77777777" w:rsidR="00B57711" w:rsidRPr="00B57711" w:rsidRDefault="00B57711" w:rsidP="00B57711">
            <w:pPr>
              <w:pStyle w:val="TableBodyText"/>
              <w:spacing w:before="20" w:after="20"/>
              <w:jc w:val="center"/>
              <w:rPr>
                <w:szCs w:val="18"/>
                <w:lang w:eastAsia="fr-CA"/>
              </w:rPr>
            </w:pPr>
            <w:r w:rsidRPr="00B57711">
              <w:rPr>
                <w:color w:val="000000"/>
                <w:szCs w:val="18"/>
              </w:rPr>
              <w:t>1</w:t>
            </w:r>
          </w:p>
        </w:tc>
        <w:tc>
          <w:tcPr>
            <w:tcW w:w="506" w:type="pct"/>
          </w:tcPr>
          <w:p w14:paraId="37D1EB96" w14:textId="77777777" w:rsidR="00B57711" w:rsidRPr="00B57711" w:rsidRDefault="00B57711" w:rsidP="00B57711">
            <w:pPr>
              <w:pStyle w:val="TableBodyText"/>
              <w:spacing w:before="20" w:after="20"/>
              <w:jc w:val="center"/>
              <w:rPr>
                <w:szCs w:val="18"/>
                <w:lang w:eastAsia="fr-CA"/>
              </w:rPr>
            </w:pPr>
            <w:r w:rsidRPr="00B57711">
              <w:rPr>
                <w:color w:val="000000"/>
                <w:szCs w:val="18"/>
              </w:rPr>
              <w:t>139</w:t>
            </w:r>
          </w:p>
        </w:tc>
        <w:tc>
          <w:tcPr>
            <w:tcW w:w="456" w:type="pct"/>
          </w:tcPr>
          <w:p w14:paraId="0B479AD5" w14:textId="77777777" w:rsidR="00B57711" w:rsidRPr="00B57711" w:rsidRDefault="00B57711" w:rsidP="00B57711">
            <w:pPr>
              <w:pStyle w:val="TableBodyText"/>
              <w:spacing w:before="20" w:after="20"/>
              <w:jc w:val="center"/>
              <w:rPr>
                <w:szCs w:val="18"/>
                <w:lang w:eastAsia="fr-CA"/>
              </w:rPr>
            </w:pPr>
            <w:r w:rsidRPr="00B57711">
              <w:rPr>
                <w:color w:val="000000"/>
                <w:szCs w:val="18"/>
              </w:rPr>
              <w:t>215</w:t>
            </w:r>
          </w:p>
        </w:tc>
        <w:tc>
          <w:tcPr>
            <w:tcW w:w="546" w:type="pct"/>
          </w:tcPr>
          <w:p w14:paraId="550B9FD7" w14:textId="77777777" w:rsidR="00B57711" w:rsidRPr="00B57711" w:rsidRDefault="00B57711" w:rsidP="00B57711">
            <w:pPr>
              <w:pStyle w:val="TableBodyText"/>
              <w:spacing w:before="20" w:after="20"/>
              <w:jc w:val="center"/>
              <w:rPr>
                <w:szCs w:val="18"/>
                <w:lang w:eastAsia="fr-CA"/>
              </w:rPr>
            </w:pPr>
            <w:r w:rsidRPr="00B57711">
              <w:rPr>
                <w:color w:val="000000"/>
                <w:szCs w:val="18"/>
              </w:rPr>
              <w:t>70.8%</w:t>
            </w:r>
          </w:p>
        </w:tc>
        <w:tc>
          <w:tcPr>
            <w:tcW w:w="546" w:type="pct"/>
          </w:tcPr>
          <w:p w14:paraId="39FFD95E" w14:textId="77777777" w:rsidR="00B57711" w:rsidRPr="00B57711" w:rsidRDefault="00B57711" w:rsidP="00B57711">
            <w:pPr>
              <w:pStyle w:val="TableBodyText"/>
              <w:spacing w:before="20" w:after="20"/>
              <w:jc w:val="center"/>
              <w:rPr>
                <w:szCs w:val="18"/>
                <w:lang w:eastAsia="fr-CA"/>
              </w:rPr>
            </w:pPr>
            <w:r w:rsidRPr="00B57711">
              <w:rPr>
                <w:color w:val="000000"/>
                <w:szCs w:val="18"/>
              </w:rPr>
              <w:t>18.9%</w:t>
            </w:r>
          </w:p>
        </w:tc>
        <w:tc>
          <w:tcPr>
            <w:tcW w:w="546" w:type="pct"/>
          </w:tcPr>
          <w:p w14:paraId="2742B1F5" w14:textId="77777777" w:rsidR="00B57711" w:rsidRPr="00B57711" w:rsidRDefault="00B57711" w:rsidP="00B57711">
            <w:pPr>
              <w:pStyle w:val="TableBodyText"/>
              <w:spacing w:before="20" w:after="20"/>
              <w:jc w:val="center"/>
              <w:rPr>
                <w:szCs w:val="18"/>
                <w:lang w:eastAsia="fr-CA"/>
              </w:rPr>
            </w:pPr>
            <w:r w:rsidRPr="00B57711">
              <w:rPr>
                <w:color w:val="000000"/>
                <w:szCs w:val="18"/>
              </w:rPr>
              <w:t>9.9%</w:t>
            </w:r>
          </w:p>
        </w:tc>
        <w:tc>
          <w:tcPr>
            <w:tcW w:w="546" w:type="pct"/>
          </w:tcPr>
          <w:p w14:paraId="44B1D06E" w14:textId="77777777" w:rsidR="00B57711" w:rsidRPr="00B57711" w:rsidRDefault="00B57711" w:rsidP="00B57711">
            <w:pPr>
              <w:pStyle w:val="TableBodyText"/>
              <w:spacing w:before="20" w:after="20"/>
              <w:jc w:val="center"/>
              <w:rPr>
                <w:szCs w:val="18"/>
                <w:lang w:eastAsia="fr-CA"/>
              </w:rPr>
            </w:pPr>
            <w:r w:rsidRPr="00B57711">
              <w:rPr>
                <w:color w:val="000000"/>
                <w:szCs w:val="18"/>
              </w:rPr>
              <w:t>0.0%</w:t>
            </w:r>
          </w:p>
        </w:tc>
        <w:tc>
          <w:tcPr>
            <w:tcW w:w="538" w:type="pct"/>
          </w:tcPr>
          <w:p w14:paraId="7495F049" w14:textId="77777777" w:rsidR="00B57711" w:rsidRPr="00B57711" w:rsidRDefault="00B57711" w:rsidP="00B57711">
            <w:pPr>
              <w:pStyle w:val="TableBodyText"/>
              <w:spacing w:before="20" w:after="20"/>
              <w:jc w:val="center"/>
              <w:rPr>
                <w:szCs w:val="18"/>
                <w:lang w:eastAsia="fr-CA"/>
              </w:rPr>
            </w:pPr>
            <w:r w:rsidRPr="00B57711">
              <w:rPr>
                <w:color w:val="000000"/>
                <w:szCs w:val="18"/>
              </w:rPr>
              <w:t>0.5%</w:t>
            </w:r>
          </w:p>
        </w:tc>
      </w:tr>
      <w:tr w:rsidR="00B57711" w:rsidRPr="00B57711" w14:paraId="28DC22C1" w14:textId="77777777" w:rsidTr="00047644">
        <w:trPr>
          <w:cnfStyle w:val="000000010000" w:firstRow="0" w:lastRow="0" w:firstColumn="0" w:lastColumn="0" w:oddVBand="0" w:evenVBand="0" w:oddHBand="0" w:evenHBand="1" w:firstRowFirstColumn="0" w:firstRowLastColumn="0" w:lastRowFirstColumn="0" w:lastRowLastColumn="0"/>
          <w:cantSplit/>
        </w:trPr>
        <w:tc>
          <w:tcPr>
            <w:tcW w:w="809" w:type="pct"/>
          </w:tcPr>
          <w:p w14:paraId="4DA33CAC" w14:textId="77777777" w:rsidR="00B57711" w:rsidRPr="00B57711" w:rsidRDefault="00B57711" w:rsidP="00B57711">
            <w:pPr>
              <w:pStyle w:val="TableBodyText"/>
              <w:spacing w:before="20" w:after="20"/>
              <w:rPr>
                <w:szCs w:val="18"/>
                <w:lang w:eastAsia="fr-CA"/>
              </w:rPr>
            </w:pPr>
            <w:r w:rsidRPr="00B57711">
              <w:rPr>
                <w:szCs w:val="18"/>
                <w:lang w:eastAsia="fr-CA"/>
              </w:rPr>
              <w:t>Moomba to Adelaide Pipeline System</w:t>
            </w:r>
          </w:p>
        </w:tc>
        <w:tc>
          <w:tcPr>
            <w:tcW w:w="506" w:type="pct"/>
          </w:tcPr>
          <w:p w14:paraId="0A5B7CBC" w14:textId="77777777" w:rsidR="00B57711" w:rsidRPr="00B57711" w:rsidRDefault="00B57711" w:rsidP="00B57711">
            <w:pPr>
              <w:pStyle w:val="TableBodyText"/>
              <w:spacing w:before="20" w:after="20"/>
              <w:jc w:val="center"/>
              <w:rPr>
                <w:szCs w:val="18"/>
                <w:lang w:eastAsia="fr-CA"/>
              </w:rPr>
            </w:pPr>
            <w:r w:rsidRPr="00B57711">
              <w:rPr>
                <w:color w:val="000000"/>
                <w:szCs w:val="18"/>
              </w:rPr>
              <w:t>0</w:t>
            </w:r>
          </w:p>
        </w:tc>
        <w:tc>
          <w:tcPr>
            <w:tcW w:w="506" w:type="pct"/>
          </w:tcPr>
          <w:p w14:paraId="72CD0180" w14:textId="77777777" w:rsidR="00B57711" w:rsidRPr="00B57711" w:rsidRDefault="00B57711" w:rsidP="00B57711">
            <w:pPr>
              <w:pStyle w:val="TableBodyText"/>
              <w:spacing w:before="20" w:after="20"/>
              <w:jc w:val="center"/>
              <w:rPr>
                <w:szCs w:val="18"/>
                <w:lang w:eastAsia="fr-CA"/>
              </w:rPr>
            </w:pPr>
            <w:r w:rsidRPr="00B57711">
              <w:rPr>
                <w:color w:val="000000"/>
                <w:szCs w:val="18"/>
              </w:rPr>
              <w:t>54</w:t>
            </w:r>
          </w:p>
        </w:tc>
        <w:tc>
          <w:tcPr>
            <w:tcW w:w="456" w:type="pct"/>
          </w:tcPr>
          <w:p w14:paraId="3DBF7719" w14:textId="77777777" w:rsidR="00B57711" w:rsidRPr="00B57711" w:rsidRDefault="00B57711" w:rsidP="00B57711">
            <w:pPr>
              <w:pStyle w:val="TableBodyText"/>
              <w:spacing w:before="20" w:after="20"/>
              <w:jc w:val="center"/>
              <w:rPr>
                <w:szCs w:val="18"/>
                <w:lang w:eastAsia="fr-CA"/>
              </w:rPr>
            </w:pPr>
            <w:r w:rsidRPr="00B57711">
              <w:rPr>
                <w:color w:val="000000"/>
                <w:szCs w:val="18"/>
              </w:rPr>
              <w:t>169</w:t>
            </w:r>
          </w:p>
        </w:tc>
        <w:tc>
          <w:tcPr>
            <w:tcW w:w="546" w:type="pct"/>
          </w:tcPr>
          <w:p w14:paraId="7548CDA0" w14:textId="77777777" w:rsidR="00B57711" w:rsidRPr="00B57711" w:rsidRDefault="00B57711" w:rsidP="00B57711">
            <w:pPr>
              <w:pStyle w:val="TableBodyText"/>
              <w:spacing w:before="20" w:after="20"/>
              <w:jc w:val="center"/>
              <w:rPr>
                <w:szCs w:val="18"/>
                <w:lang w:eastAsia="fr-CA"/>
              </w:rPr>
            </w:pPr>
            <w:r w:rsidRPr="00B57711">
              <w:rPr>
                <w:color w:val="000000"/>
                <w:szCs w:val="18"/>
              </w:rPr>
              <w:t>97.5%</w:t>
            </w:r>
          </w:p>
        </w:tc>
        <w:tc>
          <w:tcPr>
            <w:tcW w:w="546" w:type="pct"/>
          </w:tcPr>
          <w:p w14:paraId="05056146" w14:textId="77777777" w:rsidR="00B57711" w:rsidRPr="00B57711" w:rsidRDefault="00B57711" w:rsidP="00B57711">
            <w:pPr>
              <w:pStyle w:val="TableBodyText"/>
              <w:spacing w:before="20" w:after="20"/>
              <w:jc w:val="center"/>
              <w:rPr>
                <w:szCs w:val="18"/>
                <w:lang w:eastAsia="fr-CA"/>
              </w:rPr>
            </w:pPr>
            <w:r w:rsidRPr="00B57711">
              <w:rPr>
                <w:color w:val="000000"/>
                <w:szCs w:val="18"/>
              </w:rPr>
              <w:t>1.9%</w:t>
            </w:r>
          </w:p>
        </w:tc>
        <w:tc>
          <w:tcPr>
            <w:tcW w:w="546" w:type="pct"/>
          </w:tcPr>
          <w:p w14:paraId="3A716E81" w14:textId="77777777" w:rsidR="00B57711" w:rsidRPr="00B57711" w:rsidRDefault="00B57711" w:rsidP="00B57711">
            <w:pPr>
              <w:pStyle w:val="TableBodyText"/>
              <w:spacing w:before="20" w:after="20"/>
              <w:jc w:val="center"/>
              <w:rPr>
                <w:szCs w:val="18"/>
                <w:lang w:eastAsia="fr-CA"/>
              </w:rPr>
            </w:pPr>
            <w:r w:rsidRPr="00B57711">
              <w:rPr>
                <w:color w:val="000000"/>
                <w:szCs w:val="18"/>
              </w:rPr>
              <w:t>0.6%</w:t>
            </w:r>
          </w:p>
        </w:tc>
        <w:tc>
          <w:tcPr>
            <w:tcW w:w="546" w:type="pct"/>
          </w:tcPr>
          <w:p w14:paraId="2CA92DEC" w14:textId="77777777" w:rsidR="00B57711" w:rsidRPr="00B57711" w:rsidRDefault="00B57711" w:rsidP="00B57711">
            <w:pPr>
              <w:pStyle w:val="TableBodyText"/>
              <w:spacing w:before="20" w:after="20"/>
              <w:jc w:val="center"/>
              <w:rPr>
                <w:szCs w:val="18"/>
                <w:lang w:eastAsia="fr-CA"/>
              </w:rPr>
            </w:pPr>
            <w:r w:rsidRPr="00B57711">
              <w:rPr>
                <w:color w:val="000000"/>
                <w:szCs w:val="18"/>
              </w:rPr>
              <w:t>0.0%</w:t>
            </w:r>
          </w:p>
        </w:tc>
        <w:tc>
          <w:tcPr>
            <w:tcW w:w="538" w:type="pct"/>
          </w:tcPr>
          <w:p w14:paraId="71536F27" w14:textId="77777777" w:rsidR="00B57711" w:rsidRPr="00B57711" w:rsidRDefault="00B57711" w:rsidP="00B57711">
            <w:pPr>
              <w:pStyle w:val="TableBodyText"/>
              <w:spacing w:before="20" w:after="20"/>
              <w:jc w:val="center"/>
              <w:rPr>
                <w:szCs w:val="18"/>
                <w:lang w:eastAsia="fr-CA"/>
              </w:rPr>
            </w:pPr>
            <w:r w:rsidRPr="00B57711">
              <w:rPr>
                <w:color w:val="000000"/>
                <w:szCs w:val="18"/>
              </w:rPr>
              <w:t>0.0%</w:t>
            </w:r>
          </w:p>
        </w:tc>
      </w:tr>
      <w:tr w:rsidR="00B57711" w:rsidRPr="00B57711" w14:paraId="1E525065" w14:textId="77777777" w:rsidTr="00047644">
        <w:trPr>
          <w:cantSplit/>
        </w:trPr>
        <w:tc>
          <w:tcPr>
            <w:tcW w:w="809" w:type="pct"/>
          </w:tcPr>
          <w:p w14:paraId="202E1C0F" w14:textId="77777777" w:rsidR="00B57711" w:rsidRPr="00B57711" w:rsidRDefault="00B57711" w:rsidP="00B57711">
            <w:pPr>
              <w:pStyle w:val="TableBodyText"/>
              <w:spacing w:before="20" w:after="20"/>
              <w:rPr>
                <w:szCs w:val="18"/>
                <w:lang w:eastAsia="fr-CA"/>
              </w:rPr>
            </w:pPr>
            <w:r w:rsidRPr="00B57711">
              <w:rPr>
                <w:szCs w:val="18"/>
                <w:lang w:eastAsia="fr-CA"/>
              </w:rPr>
              <w:t>Roma to Brisbane Pipeline</w:t>
            </w:r>
          </w:p>
        </w:tc>
        <w:tc>
          <w:tcPr>
            <w:tcW w:w="506" w:type="pct"/>
          </w:tcPr>
          <w:p w14:paraId="23F72C0A" w14:textId="77777777" w:rsidR="00B57711" w:rsidRPr="00B57711" w:rsidRDefault="00B57711" w:rsidP="00B57711">
            <w:pPr>
              <w:pStyle w:val="TableBodyText"/>
              <w:spacing w:before="20" w:after="20"/>
              <w:jc w:val="center"/>
              <w:rPr>
                <w:szCs w:val="18"/>
                <w:lang w:eastAsia="fr-CA"/>
              </w:rPr>
            </w:pPr>
            <w:r w:rsidRPr="00B57711">
              <w:rPr>
                <w:color w:val="000000"/>
                <w:szCs w:val="18"/>
              </w:rPr>
              <w:t>0</w:t>
            </w:r>
          </w:p>
        </w:tc>
        <w:tc>
          <w:tcPr>
            <w:tcW w:w="506" w:type="pct"/>
          </w:tcPr>
          <w:p w14:paraId="5C614523" w14:textId="77777777" w:rsidR="00B57711" w:rsidRPr="00B57711" w:rsidRDefault="00B57711" w:rsidP="00B57711">
            <w:pPr>
              <w:pStyle w:val="TableBodyText"/>
              <w:spacing w:before="20" w:after="20"/>
              <w:jc w:val="center"/>
              <w:rPr>
                <w:szCs w:val="18"/>
                <w:lang w:eastAsia="fr-CA"/>
              </w:rPr>
            </w:pPr>
            <w:r w:rsidRPr="00B57711">
              <w:rPr>
                <w:color w:val="000000"/>
                <w:szCs w:val="18"/>
              </w:rPr>
              <w:t>103</w:t>
            </w:r>
          </w:p>
        </w:tc>
        <w:tc>
          <w:tcPr>
            <w:tcW w:w="456" w:type="pct"/>
          </w:tcPr>
          <w:p w14:paraId="1AA630D3" w14:textId="77777777" w:rsidR="00B57711" w:rsidRPr="00B57711" w:rsidRDefault="00B57711" w:rsidP="00B57711">
            <w:pPr>
              <w:pStyle w:val="TableBodyText"/>
              <w:spacing w:before="20" w:after="20"/>
              <w:jc w:val="center"/>
              <w:rPr>
                <w:szCs w:val="18"/>
                <w:lang w:eastAsia="fr-CA"/>
              </w:rPr>
            </w:pPr>
            <w:r w:rsidRPr="00B57711">
              <w:rPr>
                <w:color w:val="000000"/>
                <w:szCs w:val="18"/>
              </w:rPr>
              <w:t>154</w:t>
            </w:r>
          </w:p>
        </w:tc>
        <w:tc>
          <w:tcPr>
            <w:tcW w:w="546" w:type="pct"/>
          </w:tcPr>
          <w:p w14:paraId="74ABD1B6" w14:textId="77777777" w:rsidR="00B57711" w:rsidRPr="00B57711" w:rsidRDefault="00B57711" w:rsidP="00B57711">
            <w:pPr>
              <w:pStyle w:val="TableBodyText"/>
              <w:spacing w:before="20" w:after="20"/>
              <w:jc w:val="center"/>
              <w:rPr>
                <w:szCs w:val="18"/>
                <w:lang w:eastAsia="fr-CA"/>
              </w:rPr>
            </w:pPr>
            <w:r w:rsidRPr="00B57711">
              <w:rPr>
                <w:color w:val="000000"/>
                <w:szCs w:val="18"/>
              </w:rPr>
              <w:t>47.9%</w:t>
            </w:r>
          </w:p>
        </w:tc>
        <w:tc>
          <w:tcPr>
            <w:tcW w:w="546" w:type="pct"/>
          </w:tcPr>
          <w:p w14:paraId="7E9922C2" w14:textId="77777777" w:rsidR="00B57711" w:rsidRPr="00B57711" w:rsidRDefault="00B57711" w:rsidP="00B57711">
            <w:pPr>
              <w:pStyle w:val="TableBodyText"/>
              <w:spacing w:before="20" w:after="20"/>
              <w:jc w:val="center"/>
              <w:rPr>
                <w:szCs w:val="18"/>
                <w:lang w:eastAsia="fr-CA"/>
              </w:rPr>
            </w:pPr>
            <w:r w:rsidRPr="00B57711">
              <w:rPr>
                <w:color w:val="000000"/>
                <w:szCs w:val="18"/>
              </w:rPr>
              <w:t>33.2%</w:t>
            </w:r>
          </w:p>
        </w:tc>
        <w:tc>
          <w:tcPr>
            <w:tcW w:w="546" w:type="pct"/>
          </w:tcPr>
          <w:p w14:paraId="53D75F31" w14:textId="77777777" w:rsidR="00B57711" w:rsidRPr="00B57711" w:rsidRDefault="00B57711" w:rsidP="00B57711">
            <w:pPr>
              <w:pStyle w:val="TableBodyText"/>
              <w:spacing w:before="20" w:after="20"/>
              <w:jc w:val="center"/>
              <w:rPr>
                <w:szCs w:val="18"/>
                <w:lang w:eastAsia="fr-CA"/>
              </w:rPr>
            </w:pPr>
            <w:r w:rsidRPr="00B57711">
              <w:rPr>
                <w:color w:val="000000"/>
                <w:szCs w:val="18"/>
              </w:rPr>
              <w:t>17.1%</w:t>
            </w:r>
          </w:p>
        </w:tc>
        <w:tc>
          <w:tcPr>
            <w:tcW w:w="546" w:type="pct"/>
          </w:tcPr>
          <w:p w14:paraId="086BB83D" w14:textId="77777777" w:rsidR="00B57711" w:rsidRPr="00B57711" w:rsidRDefault="00B57711" w:rsidP="00B57711">
            <w:pPr>
              <w:pStyle w:val="TableBodyText"/>
              <w:spacing w:before="20" w:after="20"/>
              <w:jc w:val="center"/>
              <w:rPr>
                <w:szCs w:val="18"/>
                <w:lang w:eastAsia="fr-CA"/>
              </w:rPr>
            </w:pPr>
            <w:r w:rsidRPr="00B57711">
              <w:rPr>
                <w:color w:val="000000"/>
                <w:szCs w:val="18"/>
              </w:rPr>
              <w:t>1.4%</w:t>
            </w:r>
          </w:p>
        </w:tc>
        <w:tc>
          <w:tcPr>
            <w:tcW w:w="538" w:type="pct"/>
          </w:tcPr>
          <w:p w14:paraId="2787C30B" w14:textId="77777777" w:rsidR="00B57711" w:rsidRPr="00B57711" w:rsidRDefault="00B57711" w:rsidP="00B57711">
            <w:pPr>
              <w:pStyle w:val="TableBodyText"/>
              <w:spacing w:before="20" w:after="20"/>
              <w:jc w:val="center"/>
              <w:rPr>
                <w:szCs w:val="18"/>
                <w:lang w:eastAsia="fr-CA"/>
              </w:rPr>
            </w:pPr>
            <w:r w:rsidRPr="00B57711">
              <w:rPr>
                <w:color w:val="000000"/>
                <w:szCs w:val="18"/>
              </w:rPr>
              <w:t>0.5%</w:t>
            </w:r>
          </w:p>
        </w:tc>
      </w:tr>
      <w:tr w:rsidR="00B57711" w:rsidRPr="00B57711" w14:paraId="55F27449" w14:textId="77777777" w:rsidTr="00047644">
        <w:trPr>
          <w:cnfStyle w:val="000000010000" w:firstRow="0" w:lastRow="0" w:firstColumn="0" w:lastColumn="0" w:oddVBand="0" w:evenVBand="0" w:oddHBand="0" w:evenHBand="1" w:firstRowFirstColumn="0" w:firstRowLastColumn="0" w:lastRowFirstColumn="0" w:lastRowLastColumn="0"/>
          <w:cantSplit/>
        </w:trPr>
        <w:tc>
          <w:tcPr>
            <w:tcW w:w="809" w:type="pct"/>
          </w:tcPr>
          <w:p w14:paraId="56E2EC89" w14:textId="77777777" w:rsidR="00B57711" w:rsidRPr="00B57711" w:rsidRDefault="00B57711" w:rsidP="00B57711">
            <w:pPr>
              <w:pStyle w:val="TableBodyText"/>
              <w:spacing w:before="20" w:after="20"/>
              <w:rPr>
                <w:szCs w:val="18"/>
                <w:lang w:eastAsia="fr-CA"/>
              </w:rPr>
            </w:pPr>
            <w:r w:rsidRPr="00B57711">
              <w:rPr>
                <w:szCs w:val="18"/>
                <w:lang w:eastAsia="fr-CA"/>
              </w:rPr>
              <w:t>Queensland Gas Pipeline</w:t>
            </w:r>
          </w:p>
        </w:tc>
        <w:tc>
          <w:tcPr>
            <w:tcW w:w="506" w:type="pct"/>
          </w:tcPr>
          <w:p w14:paraId="5A99264D" w14:textId="77777777" w:rsidR="00B57711" w:rsidRPr="00B57711" w:rsidRDefault="00B57711" w:rsidP="00B57711">
            <w:pPr>
              <w:pStyle w:val="TableBodyText"/>
              <w:spacing w:before="20" w:after="20"/>
              <w:jc w:val="center"/>
              <w:rPr>
                <w:szCs w:val="18"/>
                <w:lang w:eastAsia="fr-CA"/>
              </w:rPr>
            </w:pPr>
            <w:r w:rsidRPr="00B57711">
              <w:rPr>
                <w:color w:val="000000"/>
                <w:szCs w:val="18"/>
              </w:rPr>
              <w:t>0</w:t>
            </w:r>
          </w:p>
        </w:tc>
        <w:tc>
          <w:tcPr>
            <w:tcW w:w="506" w:type="pct"/>
          </w:tcPr>
          <w:p w14:paraId="405F2C58" w14:textId="77777777" w:rsidR="00B57711" w:rsidRPr="00B57711" w:rsidRDefault="00B57711" w:rsidP="00B57711">
            <w:pPr>
              <w:pStyle w:val="TableBodyText"/>
              <w:spacing w:before="20" w:after="20"/>
              <w:jc w:val="center"/>
              <w:rPr>
                <w:szCs w:val="18"/>
                <w:lang w:eastAsia="fr-CA"/>
              </w:rPr>
            </w:pPr>
            <w:r w:rsidRPr="00B57711">
              <w:rPr>
                <w:color w:val="000000"/>
                <w:szCs w:val="18"/>
              </w:rPr>
              <w:t>14</w:t>
            </w:r>
          </w:p>
        </w:tc>
        <w:tc>
          <w:tcPr>
            <w:tcW w:w="456" w:type="pct"/>
          </w:tcPr>
          <w:p w14:paraId="1E34F3AD" w14:textId="77777777" w:rsidR="00B57711" w:rsidRPr="00B57711" w:rsidRDefault="00B57711" w:rsidP="00B57711">
            <w:pPr>
              <w:pStyle w:val="TableBodyText"/>
              <w:spacing w:before="20" w:after="20"/>
              <w:jc w:val="center"/>
              <w:rPr>
                <w:szCs w:val="18"/>
                <w:lang w:eastAsia="fr-CA"/>
              </w:rPr>
            </w:pPr>
            <w:r w:rsidRPr="00B57711">
              <w:rPr>
                <w:color w:val="000000"/>
                <w:szCs w:val="18"/>
              </w:rPr>
              <w:t>35</w:t>
            </w:r>
          </w:p>
        </w:tc>
        <w:tc>
          <w:tcPr>
            <w:tcW w:w="546" w:type="pct"/>
          </w:tcPr>
          <w:p w14:paraId="7075072A" w14:textId="77777777" w:rsidR="00B57711" w:rsidRPr="00B57711" w:rsidRDefault="00B57711" w:rsidP="00B57711">
            <w:pPr>
              <w:pStyle w:val="TableBodyText"/>
              <w:spacing w:before="20" w:after="20"/>
              <w:jc w:val="center"/>
              <w:rPr>
                <w:szCs w:val="18"/>
                <w:lang w:eastAsia="fr-CA"/>
              </w:rPr>
            </w:pPr>
            <w:r w:rsidRPr="00B57711">
              <w:rPr>
                <w:color w:val="000000"/>
                <w:szCs w:val="18"/>
              </w:rPr>
              <w:t>81.2%</w:t>
            </w:r>
          </w:p>
        </w:tc>
        <w:tc>
          <w:tcPr>
            <w:tcW w:w="546" w:type="pct"/>
          </w:tcPr>
          <w:p w14:paraId="54A0D5DC" w14:textId="77777777" w:rsidR="00B57711" w:rsidRPr="00B57711" w:rsidRDefault="00B57711" w:rsidP="00B57711">
            <w:pPr>
              <w:pStyle w:val="TableBodyText"/>
              <w:spacing w:before="20" w:after="20"/>
              <w:jc w:val="center"/>
              <w:rPr>
                <w:szCs w:val="18"/>
                <w:lang w:eastAsia="fr-CA"/>
              </w:rPr>
            </w:pPr>
            <w:r w:rsidRPr="00B57711">
              <w:rPr>
                <w:color w:val="000000"/>
                <w:szCs w:val="18"/>
              </w:rPr>
              <w:t>12.6%</w:t>
            </w:r>
          </w:p>
        </w:tc>
        <w:tc>
          <w:tcPr>
            <w:tcW w:w="546" w:type="pct"/>
          </w:tcPr>
          <w:p w14:paraId="39393FA6" w14:textId="77777777" w:rsidR="00B57711" w:rsidRPr="00B57711" w:rsidRDefault="00B57711" w:rsidP="00B57711">
            <w:pPr>
              <w:pStyle w:val="TableBodyText"/>
              <w:spacing w:before="20" w:after="20"/>
              <w:jc w:val="center"/>
              <w:rPr>
                <w:szCs w:val="18"/>
                <w:lang w:eastAsia="fr-CA"/>
              </w:rPr>
            </w:pPr>
            <w:r w:rsidRPr="00B57711">
              <w:rPr>
                <w:color w:val="000000"/>
                <w:szCs w:val="18"/>
              </w:rPr>
              <w:t>5.3%</w:t>
            </w:r>
          </w:p>
        </w:tc>
        <w:tc>
          <w:tcPr>
            <w:tcW w:w="546" w:type="pct"/>
          </w:tcPr>
          <w:p w14:paraId="644B9E44" w14:textId="77777777" w:rsidR="00B57711" w:rsidRPr="00B57711" w:rsidRDefault="00B57711" w:rsidP="00B57711">
            <w:pPr>
              <w:pStyle w:val="TableBodyText"/>
              <w:spacing w:before="20" w:after="20"/>
              <w:jc w:val="center"/>
              <w:rPr>
                <w:szCs w:val="18"/>
                <w:lang w:eastAsia="fr-CA"/>
              </w:rPr>
            </w:pPr>
            <w:r w:rsidRPr="00B57711">
              <w:rPr>
                <w:color w:val="000000"/>
                <w:szCs w:val="18"/>
              </w:rPr>
              <w:t>1.0%</w:t>
            </w:r>
          </w:p>
        </w:tc>
        <w:tc>
          <w:tcPr>
            <w:tcW w:w="538" w:type="pct"/>
          </w:tcPr>
          <w:p w14:paraId="4403842C" w14:textId="77777777" w:rsidR="00B57711" w:rsidRPr="00B57711" w:rsidRDefault="00B57711" w:rsidP="00B57711">
            <w:pPr>
              <w:pStyle w:val="TableBodyText"/>
              <w:spacing w:before="20" w:after="20"/>
              <w:jc w:val="center"/>
              <w:rPr>
                <w:szCs w:val="18"/>
                <w:lang w:eastAsia="fr-CA"/>
              </w:rPr>
            </w:pPr>
            <w:r w:rsidRPr="00B57711">
              <w:rPr>
                <w:color w:val="000000"/>
                <w:szCs w:val="18"/>
              </w:rPr>
              <w:t>0.0%</w:t>
            </w:r>
          </w:p>
        </w:tc>
      </w:tr>
      <w:tr w:rsidR="00B57711" w:rsidRPr="00B57711" w14:paraId="7855FB63" w14:textId="77777777" w:rsidTr="00047644">
        <w:trPr>
          <w:cantSplit/>
        </w:trPr>
        <w:tc>
          <w:tcPr>
            <w:tcW w:w="809" w:type="pct"/>
          </w:tcPr>
          <w:p w14:paraId="5163E85D" w14:textId="77777777" w:rsidR="00B57711" w:rsidRPr="00B57711" w:rsidRDefault="00B57711" w:rsidP="00B57711">
            <w:pPr>
              <w:pStyle w:val="TableBodyText"/>
              <w:spacing w:before="20" w:after="20"/>
              <w:rPr>
                <w:szCs w:val="18"/>
                <w:lang w:eastAsia="fr-CA"/>
              </w:rPr>
            </w:pPr>
            <w:r w:rsidRPr="00B57711">
              <w:rPr>
                <w:szCs w:val="18"/>
                <w:lang w:eastAsia="fr-CA"/>
              </w:rPr>
              <w:t>Darling Downs Pipeline</w:t>
            </w:r>
          </w:p>
        </w:tc>
        <w:tc>
          <w:tcPr>
            <w:tcW w:w="506" w:type="pct"/>
          </w:tcPr>
          <w:p w14:paraId="00D61B72" w14:textId="77777777" w:rsidR="00B57711" w:rsidRPr="00B57711" w:rsidRDefault="00B57711" w:rsidP="00B57711">
            <w:pPr>
              <w:pStyle w:val="TableBodyText"/>
              <w:spacing w:before="20" w:after="20"/>
              <w:jc w:val="center"/>
              <w:rPr>
                <w:szCs w:val="18"/>
                <w:lang w:eastAsia="fr-CA"/>
              </w:rPr>
            </w:pPr>
            <w:r w:rsidRPr="00B57711">
              <w:rPr>
                <w:color w:val="000000"/>
                <w:szCs w:val="18"/>
              </w:rPr>
              <w:t>99</w:t>
            </w:r>
          </w:p>
        </w:tc>
        <w:tc>
          <w:tcPr>
            <w:tcW w:w="506" w:type="pct"/>
          </w:tcPr>
          <w:p w14:paraId="30E787DB" w14:textId="77777777" w:rsidR="00B57711" w:rsidRPr="00B57711" w:rsidRDefault="00B57711" w:rsidP="00B57711">
            <w:pPr>
              <w:pStyle w:val="TableBodyText"/>
              <w:spacing w:before="20" w:after="20"/>
              <w:jc w:val="center"/>
              <w:rPr>
                <w:szCs w:val="18"/>
                <w:lang w:eastAsia="fr-CA"/>
              </w:rPr>
            </w:pPr>
            <w:r w:rsidRPr="00B57711">
              <w:rPr>
                <w:color w:val="000000"/>
                <w:szCs w:val="18"/>
              </w:rPr>
              <w:t>243</w:t>
            </w:r>
          </w:p>
        </w:tc>
        <w:tc>
          <w:tcPr>
            <w:tcW w:w="456" w:type="pct"/>
          </w:tcPr>
          <w:p w14:paraId="3D53B32D" w14:textId="77777777" w:rsidR="00B57711" w:rsidRPr="00B57711" w:rsidRDefault="00B57711" w:rsidP="00B57711">
            <w:pPr>
              <w:pStyle w:val="TableBodyText"/>
              <w:spacing w:before="20" w:after="20"/>
              <w:jc w:val="center"/>
              <w:rPr>
                <w:szCs w:val="18"/>
                <w:lang w:eastAsia="fr-CA"/>
              </w:rPr>
            </w:pPr>
            <w:r w:rsidRPr="00B57711">
              <w:rPr>
                <w:color w:val="000000"/>
                <w:szCs w:val="18"/>
              </w:rPr>
              <w:t>270</w:t>
            </w:r>
          </w:p>
        </w:tc>
        <w:tc>
          <w:tcPr>
            <w:tcW w:w="546" w:type="pct"/>
          </w:tcPr>
          <w:p w14:paraId="4F0DA9CA" w14:textId="77777777" w:rsidR="00B57711" w:rsidRPr="00B57711" w:rsidRDefault="00B57711" w:rsidP="00B57711">
            <w:pPr>
              <w:pStyle w:val="TableBodyText"/>
              <w:spacing w:before="20" w:after="20"/>
              <w:jc w:val="center"/>
              <w:rPr>
                <w:szCs w:val="18"/>
                <w:lang w:eastAsia="fr-CA"/>
              </w:rPr>
            </w:pPr>
            <w:r w:rsidRPr="00B57711">
              <w:rPr>
                <w:color w:val="000000"/>
                <w:szCs w:val="18"/>
              </w:rPr>
              <w:t>84.9%</w:t>
            </w:r>
          </w:p>
        </w:tc>
        <w:tc>
          <w:tcPr>
            <w:tcW w:w="546" w:type="pct"/>
          </w:tcPr>
          <w:p w14:paraId="5A3783D9" w14:textId="77777777" w:rsidR="00B57711" w:rsidRPr="00B57711" w:rsidRDefault="00B57711" w:rsidP="00B57711">
            <w:pPr>
              <w:pStyle w:val="TableBodyText"/>
              <w:spacing w:before="20" w:after="20"/>
              <w:jc w:val="center"/>
              <w:rPr>
                <w:szCs w:val="18"/>
                <w:lang w:eastAsia="fr-CA"/>
              </w:rPr>
            </w:pPr>
            <w:r w:rsidRPr="00B57711">
              <w:rPr>
                <w:color w:val="000000"/>
                <w:szCs w:val="18"/>
              </w:rPr>
              <w:t>12.7%</w:t>
            </w:r>
          </w:p>
        </w:tc>
        <w:tc>
          <w:tcPr>
            <w:tcW w:w="546" w:type="pct"/>
          </w:tcPr>
          <w:p w14:paraId="1EC9F107" w14:textId="77777777" w:rsidR="00B57711" w:rsidRPr="00B57711" w:rsidRDefault="00B57711" w:rsidP="00B57711">
            <w:pPr>
              <w:pStyle w:val="TableBodyText"/>
              <w:spacing w:before="20" w:after="20"/>
              <w:jc w:val="center"/>
              <w:rPr>
                <w:szCs w:val="18"/>
                <w:lang w:eastAsia="fr-CA"/>
              </w:rPr>
            </w:pPr>
            <w:r w:rsidRPr="00B57711">
              <w:rPr>
                <w:color w:val="000000"/>
                <w:szCs w:val="18"/>
              </w:rPr>
              <w:t>2.4%</w:t>
            </w:r>
          </w:p>
        </w:tc>
        <w:tc>
          <w:tcPr>
            <w:tcW w:w="546" w:type="pct"/>
          </w:tcPr>
          <w:p w14:paraId="4430612D" w14:textId="77777777" w:rsidR="00B57711" w:rsidRPr="00B57711" w:rsidRDefault="00B57711" w:rsidP="00B57711">
            <w:pPr>
              <w:pStyle w:val="TableBodyText"/>
              <w:spacing w:before="20" w:after="20"/>
              <w:jc w:val="center"/>
              <w:rPr>
                <w:szCs w:val="18"/>
                <w:lang w:eastAsia="fr-CA"/>
              </w:rPr>
            </w:pPr>
            <w:r w:rsidRPr="00B57711">
              <w:rPr>
                <w:color w:val="000000"/>
                <w:szCs w:val="18"/>
              </w:rPr>
              <w:t>0.0%</w:t>
            </w:r>
          </w:p>
        </w:tc>
        <w:tc>
          <w:tcPr>
            <w:tcW w:w="538" w:type="pct"/>
          </w:tcPr>
          <w:p w14:paraId="0F0CC7B4" w14:textId="77777777" w:rsidR="00B57711" w:rsidRPr="00B57711" w:rsidRDefault="00B57711" w:rsidP="00B57711">
            <w:pPr>
              <w:pStyle w:val="TableBodyText"/>
              <w:spacing w:before="20" w:after="20"/>
              <w:jc w:val="center"/>
              <w:rPr>
                <w:szCs w:val="18"/>
                <w:lang w:eastAsia="fr-CA"/>
              </w:rPr>
            </w:pPr>
            <w:r w:rsidRPr="00B57711">
              <w:rPr>
                <w:color w:val="000000"/>
                <w:szCs w:val="18"/>
              </w:rPr>
              <w:t>0.0%</w:t>
            </w:r>
          </w:p>
        </w:tc>
      </w:tr>
      <w:tr w:rsidR="00B57711" w:rsidRPr="00B57711" w14:paraId="7AC7EBF9" w14:textId="77777777" w:rsidTr="00047644">
        <w:trPr>
          <w:cnfStyle w:val="000000010000" w:firstRow="0" w:lastRow="0" w:firstColumn="0" w:lastColumn="0" w:oddVBand="0" w:evenVBand="0" w:oddHBand="0" w:evenHBand="1" w:firstRowFirstColumn="0" w:firstRowLastColumn="0" w:lastRowFirstColumn="0" w:lastRowLastColumn="0"/>
          <w:cantSplit/>
        </w:trPr>
        <w:tc>
          <w:tcPr>
            <w:tcW w:w="809" w:type="pct"/>
          </w:tcPr>
          <w:p w14:paraId="1599EB3F" w14:textId="77777777" w:rsidR="00B57711" w:rsidRPr="00B57711" w:rsidRDefault="00B57711" w:rsidP="00B57711">
            <w:pPr>
              <w:pStyle w:val="TableBodyText"/>
              <w:spacing w:before="20" w:after="20"/>
              <w:rPr>
                <w:szCs w:val="18"/>
                <w:lang w:eastAsia="fr-CA"/>
              </w:rPr>
            </w:pPr>
            <w:proofErr w:type="spellStart"/>
            <w:r w:rsidRPr="00B57711">
              <w:rPr>
                <w:szCs w:val="18"/>
                <w:lang w:eastAsia="fr-CA"/>
              </w:rPr>
              <w:t>Berwyndale</w:t>
            </w:r>
            <w:proofErr w:type="spellEnd"/>
            <w:r w:rsidRPr="00B57711">
              <w:rPr>
                <w:szCs w:val="18"/>
                <w:lang w:eastAsia="fr-CA"/>
              </w:rPr>
              <w:t xml:space="preserve"> to Wallumbilla Pipeline</w:t>
            </w:r>
          </w:p>
        </w:tc>
        <w:tc>
          <w:tcPr>
            <w:tcW w:w="506" w:type="pct"/>
          </w:tcPr>
          <w:p w14:paraId="4CE2811D" w14:textId="77777777" w:rsidR="00B57711" w:rsidRPr="00B57711" w:rsidRDefault="00B57711" w:rsidP="00B57711">
            <w:pPr>
              <w:pStyle w:val="TableBodyText"/>
              <w:spacing w:before="20" w:after="20"/>
              <w:jc w:val="center"/>
              <w:rPr>
                <w:szCs w:val="18"/>
                <w:lang w:eastAsia="fr-CA"/>
              </w:rPr>
            </w:pPr>
            <w:r w:rsidRPr="00B57711">
              <w:rPr>
                <w:color w:val="000000"/>
                <w:szCs w:val="18"/>
              </w:rPr>
              <w:t>0</w:t>
            </w:r>
          </w:p>
        </w:tc>
        <w:tc>
          <w:tcPr>
            <w:tcW w:w="506" w:type="pct"/>
          </w:tcPr>
          <w:p w14:paraId="28801C57" w14:textId="77777777" w:rsidR="00B57711" w:rsidRPr="00B57711" w:rsidRDefault="00B57711" w:rsidP="00B57711">
            <w:pPr>
              <w:pStyle w:val="TableBodyText"/>
              <w:spacing w:before="20" w:after="20"/>
              <w:jc w:val="center"/>
              <w:rPr>
                <w:szCs w:val="18"/>
                <w:lang w:eastAsia="fr-CA"/>
              </w:rPr>
            </w:pPr>
            <w:r w:rsidRPr="00B57711">
              <w:rPr>
                <w:color w:val="000000"/>
                <w:szCs w:val="18"/>
              </w:rPr>
              <w:t>82</w:t>
            </w:r>
          </w:p>
        </w:tc>
        <w:tc>
          <w:tcPr>
            <w:tcW w:w="456" w:type="pct"/>
          </w:tcPr>
          <w:p w14:paraId="55CBF12C" w14:textId="77777777" w:rsidR="00B57711" w:rsidRPr="00B57711" w:rsidRDefault="00B57711" w:rsidP="00B57711">
            <w:pPr>
              <w:pStyle w:val="TableBodyText"/>
              <w:spacing w:before="20" w:after="20"/>
              <w:jc w:val="center"/>
              <w:rPr>
                <w:szCs w:val="18"/>
                <w:lang w:eastAsia="fr-CA"/>
              </w:rPr>
            </w:pPr>
            <w:r w:rsidRPr="00B57711">
              <w:rPr>
                <w:color w:val="000000"/>
                <w:szCs w:val="18"/>
              </w:rPr>
              <w:t>1641</w:t>
            </w:r>
          </w:p>
        </w:tc>
        <w:tc>
          <w:tcPr>
            <w:tcW w:w="546" w:type="pct"/>
          </w:tcPr>
          <w:p w14:paraId="0BF00E56" w14:textId="77777777" w:rsidR="00B57711" w:rsidRPr="00B57711" w:rsidRDefault="00B57711" w:rsidP="00B57711">
            <w:pPr>
              <w:pStyle w:val="TableBodyText"/>
              <w:spacing w:before="20" w:after="20"/>
              <w:jc w:val="center"/>
              <w:rPr>
                <w:szCs w:val="18"/>
                <w:lang w:eastAsia="fr-CA"/>
              </w:rPr>
            </w:pPr>
            <w:r w:rsidRPr="00B57711">
              <w:rPr>
                <w:color w:val="000000"/>
                <w:szCs w:val="18"/>
              </w:rPr>
              <w:t>56.9%</w:t>
            </w:r>
          </w:p>
        </w:tc>
        <w:tc>
          <w:tcPr>
            <w:tcW w:w="546" w:type="pct"/>
          </w:tcPr>
          <w:p w14:paraId="1362BB8F" w14:textId="77777777" w:rsidR="00B57711" w:rsidRPr="00B57711" w:rsidRDefault="00B57711" w:rsidP="00B57711">
            <w:pPr>
              <w:pStyle w:val="TableBodyText"/>
              <w:spacing w:before="20" w:after="20"/>
              <w:jc w:val="center"/>
              <w:rPr>
                <w:szCs w:val="18"/>
                <w:lang w:eastAsia="fr-CA"/>
              </w:rPr>
            </w:pPr>
            <w:r w:rsidRPr="00B57711">
              <w:rPr>
                <w:color w:val="000000"/>
                <w:szCs w:val="18"/>
              </w:rPr>
              <w:t>23.2%</w:t>
            </w:r>
          </w:p>
        </w:tc>
        <w:tc>
          <w:tcPr>
            <w:tcW w:w="546" w:type="pct"/>
          </w:tcPr>
          <w:p w14:paraId="4DC206E9" w14:textId="77777777" w:rsidR="00B57711" w:rsidRPr="00B57711" w:rsidRDefault="00B57711" w:rsidP="00B57711">
            <w:pPr>
              <w:pStyle w:val="TableBodyText"/>
              <w:spacing w:before="20" w:after="20"/>
              <w:jc w:val="center"/>
              <w:rPr>
                <w:szCs w:val="18"/>
                <w:lang w:eastAsia="fr-CA"/>
              </w:rPr>
            </w:pPr>
            <w:r w:rsidRPr="00B57711">
              <w:rPr>
                <w:color w:val="000000"/>
                <w:szCs w:val="18"/>
              </w:rPr>
              <w:t>14.7%</w:t>
            </w:r>
          </w:p>
        </w:tc>
        <w:tc>
          <w:tcPr>
            <w:tcW w:w="546" w:type="pct"/>
          </w:tcPr>
          <w:p w14:paraId="278FE7B2" w14:textId="77777777" w:rsidR="00B57711" w:rsidRPr="00B57711" w:rsidRDefault="00B57711" w:rsidP="00B57711">
            <w:pPr>
              <w:pStyle w:val="TableBodyText"/>
              <w:spacing w:before="20" w:after="20"/>
              <w:jc w:val="center"/>
              <w:rPr>
                <w:szCs w:val="18"/>
                <w:lang w:eastAsia="fr-CA"/>
              </w:rPr>
            </w:pPr>
            <w:r w:rsidRPr="00B57711">
              <w:rPr>
                <w:color w:val="000000"/>
                <w:szCs w:val="18"/>
              </w:rPr>
              <w:t>5.2%</w:t>
            </w:r>
          </w:p>
        </w:tc>
        <w:tc>
          <w:tcPr>
            <w:tcW w:w="538" w:type="pct"/>
          </w:tcPr>
          <w:p w14:paraId="56B86357" w14:textId="77777777" w:rsidR="00B57711" w:rsidRPr="00B57711" w:rsidRDefault="00B57711" w:rsidP="00B57711">
            <w:pPr>
              <w:pStyle w:val="TableBodyText"/>
              <w:spacing w:before="20" w:after="20"/>
              <w:jc w:val="center"/>
              <w:rPr>
                <w:szCs w:val="18"/>
                <w:lang w:eastAsia="fr-CA"/>
              </w:rPr>
            </w:pPr>
            <w:r w:rsidRPr="00B57711">
              <w:rPr>
                <w:color w:val="000000"/>
                <w:szCs w:val="18"/>
              </w:rPr>
              <w:t>0.0%</w:t>
            </w:r>
          </w:p>
        </w:tc>
      </w:tr>
      <w:tr w:rsidR="00B57711" w:rsidRPr="00B57711" w14:paraId="73957507" w14:textId="77777777" w:rsidTr="00047644">
        <w:trPr>
          <w:cantSplit/>
        </w:trPr>
        <w:tc>
          <w:tcPr>
            <w:tcW w:w="809" w:type="pct"/>
          </w:tcPr>
          <w:p w14:paraId="62B4BAD2" w14:textId="77777777" w:rsidR="00B57711" w:rsidRPr="00B57711" w:rsidRDefault="00B57711" w:rsidP="00B57711">
            <w:pPr>
              <w:pStyle w:val="TableBodyText"/>
              <w:spacing w:before="20" w:after="20"/>
              <w:rPr>
                <w:szCs w:val="18"/>
                <w:lang w:eastAsia="fr-CA"/>
              </w:rPr>
            </w:pPr>
            <w:r w:rsidRPr="00B57711">
              <w:rPr>
                <w:szCs w:val="18"/>
                <w:lang w:eastAsia="fr-CA"/>
              </w:rPr>
              <w:t>Carpentaria Gas Pipeline</w:t>
            </w:r>
          </w:p>
        </w:tc>
        <w:tc>
          <w:tcPr>
            <w:tcW w:w="506" w:type="pct"/>
          </w:tcPr>
          <w:p w14:paraId="4A7004CC" w14:textId="77777777" w:rsidR="00B57711" w:rsidRPr="00B57711" w:rsidRDefault="00B57711" w:rsidP="00B57711">
            <w:pPr>
              <w:pStyle w:val="TableBodyText"/>
              <w:spacing w:before="20" w:after="20"/>
              <w:jc w:val="center"/>
              <w:rPr>
                <w:szCs w:val="18"/>
                <w:lang w:eastAsia="fr-CA"/>
              </w:rPr>
            </w:pPr>
            <w:r w:rsidRPr="00B57711">
              <w:rPr>
                <w:color w:val="000000"/>
                <w:szCs w:val="18"/>
              </w:rPr>
              <w:t>0</w:t>
            </w:r>
          </w:p>
        </w:tc>
        <w:tc>
          <w:tcPr>
            <w:tcW w:w="506" w:type="pct"/>
          </w:tcPr>
          <w:p w14:paraId="4674DF46" w14:textId="77777777" w:rsidR="00B57711" w:rsidRPr="00B57711" w:rsidRDefault="00B57711" w:rsidP="00B57711">
            <w:pPr>
              <w:pStyle w:val="TableBodyText"/>
              <w:spacing w:before="20" w:after="20"/>
              <w:jc w:val="center"/>
              <w:rPr>
                <w:szCs w:val="18"/>
                <w:lang w:eastAsia="fr-CA"/>
              </w:rPr>
            </w:pPr>
            <w:r w:rsidRPr="00B57711">
              <w:rPr>
                <w:color w:val="000000"/>
                <w:szCs w:val="18"/>
              </w:rPr>
              <w:t>17</w:t>
            </w:r>
          </w:p>
        </w:tc>
        <w:tc>
          <w:tcPr>
            <w:tcW w:w="456" w:type="pct"/>
          </w:tcPr>
          <w:p w14:paraId="0CA6601E" w14:textId="77777777" w:rsidR="00B57711" w:rsidRPr="00B57711" w:rsidRDefault="00B57711" w:rsidP="00B57711">
            <w:pPr>
              <w:pStyle w:val="TableBodyText"/>
              <w:spacing w:before="20" w:after="20"/>
              <w:jc w:val="center"/>
              <w:rPr>
                <w:szCs w:val="18"/>
                <w:lang w:eastAsia="fr-CA"/>
              </w:rPr>
            </w:pPr>
            <w:r w:rsidRPr="00B57711">
              <w:rPr>
                <w:color w:val="000000"/>
                <w:szCs w:val="18"/>
              </w:rPr>
              <w:t>42</w:t>
            </w:r>
          </w:p>
        </w:tc>
        <w:tc>
          <w:tcPr>
            <w:tcW w:w="546" w:type="pct"/>
          </w:tcPr>
          <w:p w14:paraId="65C210A6" w14:textId="77777777" w:rsidR="00B57711" w:rsidRPr="00B57711" w:rsidRDefault="00B57711" w:rsidP="00B57711">
            <w:pPr>
              <w:pStyle w:val="TableBodyText"/>
              <w:spacing w:before="20" w:after="20"/>
              <w:jc w:val="center"/>
              <w:rPr>
                <w:szCs w:val="18"/>
                <w:lang w:eastAsia="fr-CA"/>
              </w:rPr>
            </w:pPr>
            <w:r w:rsidRPr="00B57711">
              <w:rPr>
                <w:color w:val="000000"/>
                <w:szCs w:val="18"/>
              </w:rPr>
              <w:t>55.5%</w:t>
            </w:r>
          </w:p>
        </w:tc>
        <w:tc>
          <w:tcPr>
            <w:tcW w:w="546" w:type="pct"/>
          </w:tcPr>
          <w:p w14:paraId="6105A185" w14:textId="77777777" w:rsidR="00B57711" w:rsidRPr="00B57711" w:rsidRDefault="00B57711" w:rsidP="00B57711">
            <w:pPr>
              <w:pStyle w:val="TableBodyText"/>
              <w:spacing w:before="20" w:after="20"/>
              <w:jc w:val="center"/>
              <w:rPr>
                <w:szCs w:val="18"/>
                <w:lang w:eastAsia="fr-CA"/>
              </w:rPr>
            </w:pPr>
            <w:r w:rsidRPr="00B57711">
              <w:rPr>
                <w:color w:val="000000"/>
                <w:szCs w:val="18"/>
              </w:rPr>
              <w:t>21.8%</w:t>
            </w:r>
          </w:p>
        </w:tc>
        <w:tc>
          <w:tcPr>
            <w:tcW w:w="546" w:type="pct"/>
          </w:tcPr>
          <w:p w14:paraId="301256C4" w14:textId="77777777" w:rsidR="00B57711" w:rsidRPr="00B57711" w:rsidRDefault="00B57711" w:rsidP="00B57711">
            <w:pPr>
              <w:pStyle w:val="TableBodyText"/>
              <w:spacing w:before="20" w:after="20"/>
              <w:jc w:val="center"/>
              <w:rPr>
                <w:szCs w:val="18"/>
                <w:lang w:eastAsia="fr-CA"/>
              </w:rPr>
            </w:pPr>
            <w:r w:rsidRPr="00B57711">
              <w:rPr>
                <w:color w:val="000000"/>
                <w:szCs w:val="18"/>
              </w:rPr>
              <w:t>20.4%</w:t>
            </w:r>
          </w:p>
        </w:tc>
        <w:tc>
          <w:tcPr>
            <w:tcW w:w="546" w:type="pct"/>
          </w:tcPr>
          <w:p w14:paraId="4A9762D0" w14:textId="77777777" w:rsidR="00B57711" w:rsidRPr="00B57711" w:rsidRDefault="00B57711" w:rsidP="00B57711">
            <w:pPr>
              <w:pStyle w:val="TableBodyText"/>
              <w:spacing w:before="20" w:after="20"/>
              <w:jc w:val="center"/>
              <w:rPr>
                <w:szCs w:val="18"/>
                <w:lang w:eastAsia="fr-CA"/>
              </w:rPr>
            </w:pPr>
            <w:r w:rsidRPr="00B57711">
              <w:rPr>
                <w:color w:val="000000"/>
                <w:szCs w:val="18"/>
              </w:rPr>
              <w:t>2.4%</w:t>
            </w:r>
          </w:p>
        </w:tc>
        <w:tc>
          <w:tcPr>
            <w:tcW w:w="538" w:type="pct"/>
          </w:tcPr>
          <w:p w14:paraId="2CB69596" w14:textId="77777777" w:rsidR="00B57711" w:rsidRPr="00B57711" w:rsidRDefault="00B57711" w:rsidP="00B57711">
            <w:pPr>
              <w:pStyle w:val="TableBodyText"/>
              <w:spacing w:before="20" w:after="20"/>
              <w:jc w:val="center"/>
              <w:rPr>
                <w:szCs w:val="18"/>
                <w:lang w:eastAsia="fr-CA"/>
              </w:rPr>
            </w:pPr>
            <w:r w:rsidRPr="00B57711">
              <w:rPr>
                <w:color w:val="000000"/>
                <w:szCs w:val="18"/>
              </w:rPr>
              <w:t>0.0%</w:t>
            </w:r>
          </w:p>
        </w:tc>
      </w:tr>
      <w:tr w:rsidR="00B57711" w:rsidRPr="00B57711" w14:paraId="6D1AC42D" w14:textId="77777777" w:rsidTr="00047644">
        <w:trPr>
          <w:cnfStyle w:val="000000010000" w:firstRow="0" w:lastRow="0" w:firstColumn="0" w:lastColumn="0" w:oddVBand="0" w:evenVBand="0" w:oddHBand="0" w:evenHBand="1" w:firstRowFirstColumn="0" w:firstRowLastColumn="0" w:lastRowFirstColumn="0" w:lastRowLastColumn="0"/>
          <w:cantSplit/>
        </w:trPr>
        <w:tc>
          <w:tcPr>
            <w:tcW w:w="809" w:type="pct"/>
          </w:tcPr>
          <w:p w14:paraId="47B79011" w14:textId="77777777" w:rsidR="00B57711" w:rsidRPr="00B57711" w:rsidRDefault="00B57711" w:rsidP="00B57711">
            <w:pPr>
              <w:pStyle w:val="TableBodyText"/>
              <w:spacing w:before="20" w:after="20"/>
              <w:rPr>
                <w:szCs w:val="18"/>
                <w:lang w:eastAsia="fr-CA"/>
              </w:rPr>
            </w:pPr>
            <w:r w:rsidRPr="00B57711">
              <w:rPr>
                <w:szCs w:val="18"/>
                <w:lang w:eastAsia="fr-CA"/>
              </w:rPr>
              <w:t xml:space="preserve">Wallumbilla to Gladstone Pipeline </w:t>
            </w:r>
          </w:p>
        </w:tc>
        <w:tc>
          <w:tcPr>
            <w:tcW w:w="506" w:type="pct"/>
          </w:tcPr>
          <w:p w14:paraId="681EC632" w14:textId="77777777" w:rsidR="00B57711" w:rsidRPr="00B57711" w:rsidRDefault="00B57711" w:rsidP="00B57711">
            <w:pPr>
              <w:pStyle w:val="TableBodyText"/>
              <w:spacing w:before="20" w:after="20"/>
              <w:jc w:val="center"/>
              <w:rPr>
                <w:szCs w:val="18"/>
                <w:lang w:eastAsia="fr-CA"/>
              </w:rPr>
            </w:pPr>
            <w:r w:rsidRPr="00B57711">
              <w:rPr>
                <w:color w:val="000000"/>
                <w:szCs w:val="18"/>
              </w:rPr>
              <w:t>88</w:t>
            </w:r>
          </w:p>
        </w:tc>
        <w:tc>
          <w:tcPr>
            <w:tcW w:w="506" w:type="pct"/>
          </w:tcPr>
          <w:p w14:paraId="7FA66D30" w14:textId="77777777" w:rsidR="00B57711" w:rsidRPr="00B57711" w:rsidRDefault="00B57711" w:rsidP="00B57711">
            <w:pPr>
              <w:pStyle w:val="TableBodyText"/>
              <w:spacing w:before="20" w:after="20"/>
              <w:jc w:val="center"/>
              <w:rPr>
                <w:szCs w:val="18"/>
                <w:lang w:eastAsia="fr-CA"/>
              </w:rPr>
            </w:pPr>
            <w:r w:rsidRPr="00B57711">
              <w:rPr>
                <w:color w:val="000000"/>
                <w:szCs w:val="18"/>
              </w:rPr>
              <w:t>364</w:t>
            </w:r>
          </w:p>
        </w:tc>
        <w:tc>
          <w:tcPr>
            <w:tcW w:w="456" w:type="pct"/>
          </w:tcPr>
          <w:p w14:paraId="2EB7C266" w14:textId="77777777" w:rsidR="00B57711" w:rsidRPr="00B57711" w:rsidRDefault="00B57711" w:rsidP="00B57711">
            <w:pPr>
              <w:pStyle w:val="TableBodyText"/>
              <w:spacing w:before="20" w:after="20"/>
              <w:jc w:val="center"/>
              <w:rPr>
                <w:szCs w:val="18"/>
                <w:lang w:eastAsia="fr-CA"/>
              </w:rPr>
            </w:pPr>
            <w:r w:rsidRPr="00B57711">
              <w:rPr>
                <w:color w:val="000000"/>
                <w:szCs w:val="18"/>
              </w:rPr>
              <w:t>792</w:t>
            </w:r>
          </w:p>
        </w:tc>
        <w:tc>
          <w:tcPr>
            <w:tcW w:w="546" w:type="pct"/>
          </w:tcPr>
          <w:p w14:paraId="5AA9958D" w14:textId="77777777" w:rsidR="00B57711" w:rsidRPr="00B57711" w:rsidRDefault="00B57711" w:rsidP="00B57711">
            <w:pPr>
              <w:pStyle w:val="TableBodyText"/>
              <w:spacing w:before="20" w:after="20"/>
              <w:jc w:val="center"/>
              <w:rPr>
                <w:szCs w:val="18"/>
                <w:lang w:eastAsia="fr-CA"/>
              </w:rPr>
            </w:pPr>
            <w:r w:rsidRPr="00B57711">
              <w:rPr>
                <w:color w:val="000000"/>
                <w:szCs w:val="18"/>
              </w:rPr>
              <w:t>64.6%</w:t>
            </w:r>
          </w:p>
        </w:tc>
        <w:tc>
          <w:tcPr>
            <w:tcW w:w="546" w:type="pct"/>
          </w:tcPr>
          <w:p w14:paraId="36DB1B8A" w14:textId="77777777" w:rsidR="00B57711" w:rsidRPr="00B57711" w:rsidRDefault="00B57711" w:rsidP="00B57711">
            <w:pPr>
              <w:pStyle w:val="TableBodyText"/>
              <w:spacing w:before="20" w:after="20"/>
              <w:jc w:val="center"/>
              <w:rPr>
                <w:szCs w:val="18"/>
                <w:lang w:eastAsia="fr-CA"/>
              </w:rPr>
            </w:pPr>
            <w:r w:rsidRPr="00B57711">
              <w:rPr>
                <w:color w:val="000000"/>
                <w:szCs w:val="18"/>
              </w:rPr>
              <w:t>18.9%</w:t>
            </w:r>
          </w:p>
        </w:tc>
        <w:tc>
          <w:tcPr>
            <w:tcW w:w="546" w:type="pct"/>
          </w:tcPr>
          <w:p w14:paraId="0EBC4465" w14:textId="77777777" w:rsidR="00B57711" w:rsidRPr="00B57711" w:rsidRDefault="00B57711" w:rsidP="00B57711">
            <w:pPr>
              <w:pStyle w:val="TableBodyText"/>
              <w:spacing w:before="20" w:after="20"/>
              <w:jc w:val="center"/>
              <w:rPr>
                <w:szCs w:val="18"/>
                <w:lang w:eastAsia="fr-CA"/>
              </w:rPr>
            </w:pPr>
            <w:r w:rsidRPr="00B57711">
              <w:rPr>
                <w:color w:val="000000"/>
                <w:szCs w:val="18"/>
              </w:rPr>
              <w:t>15.1%</w:t>
            </w:r>
          </w:p>
        </w:tc>
        <w:tc>
          <w:tcPr>
            <w:tcW w:w="546" w:type="pct"/>
          </w:tcPr>
          <w:p w14:paraId="67988033" w14:textId="77777777" w:rsidR="00B57711" w:rsidRPr="00B57711" w:rsidRDefault="00B57711" w:rsidP="00B57711">
            <w:pPr>
              <w:pStyle w:val="TableBodyText"/>
              <w:spacing w:before="20" w:after="20"/>
              <w:jc w:val="center"/>
              <w:rPr>
                <w:szCs w:val="18"/>
                <w:lang w:eastAsia="fr-CA"/>
              </w:rPr>
            </w:pPr>
            <w:r w:rsidRPr="00B57711">
              <w:rPr>
                <w:color w:val="000000"/>
                <w:szCs w:val="18"/>
              </w:rPr>
              <w:t>1.4%</w:t>
            </w:r>
          </w:p>
        </w:tc>
        <w:tc>
          <w:tcPr>
            <w:tcW w:w="538" w:type="pct"/>
          </w:tcPr>
          <w:p w14:paraId="607B167E" w14:textId="77777777" w:rsidR="00B57711" w:rsidRPr="00B57711" w:rsidRDefault="00B57711" w:rsidP="00B57711">
            <w:pPr>
              <w:pStyle w:val="TableBodyText"/>
              <w:spacing w:before="20" w:after="20"/>
              <w:jc w:val="center"/>
              <w:rPr>
                <w:szCs w:val="18"/>
                <w:lang w:eastAsia="fr-CA"/>
              </w:rPr>
            </w:pPr>
            <w:r w:rsidRPr="00B57711">
              <w:rPr>
                <w:color w:val="000000"/>
                <w:szCs w:val="18"/>
              </w:rPr>
              <w:t>0.0%</w:t>
            </w:r>
          </w:p>
        </w:tc>
      </w:tr>
      <w:tr w:rsidR="00B57711" w:rsidRPr="00B57711" w14:paraId="0D88A52E" w14:textId="77777777" w:rsidTr="00047644">
        <w:trPr>
          <w:cantSplit/>
        </w:trPr>
        <w:tc>
          <w:tcPr>
            <w:tcW w:w="809" w:type="pct"/>
          </w:tcPr>
          <w:p w14:paraId="36E4DB79" w14:textId="77777777" w:rsidR="00B57711" w:rsidRPr="00B57711" w:rsidRDefault="00B57711" w:rsidP="00B57711">
            <w:pPr>
              <w:pStyle w:val="TableBodyText"/>
              <w:spacing w:before="20" w:after="20"/>
              <w:rPr>
                <w:szCs w:val="18"/>
                <w:lang w:eastAsia="fr-CA"/>
              </w:rPr>
            </w:pPr>
            <w:r w:rsidRPr="00B57711">
              <w:rPr>
                <w:szCs w:val="18"/>
                <w:lang w:eastAsia="fr-CA"/>
              </w:rPr>
              <w:t>Tasmanian Gas Pipeline</w:t>
            </w:r>
          </w:p>
        </w:tc>
        <w:tc>
          <w:tcPr>
            <w:tcW w:w="506" w:type="pct"/>
          </w:tcPr>
          <w:p w14:paraId="04C484CE" w14:textId="77777777" w:rsidR="00B57711" w:rsidRPr="00B57711" w:rsidRDefault="00B57711" w:rsidP="00B57711">
            <w:pPr>
              <w:pStyle w:val="TableBodyText"/>
              <w:spacing w:before="20" w:after="20"/>
              <w:jc w:val="center"/>
              <w:rPr>
                <w:szCs w:val="18"/>
                <w:lang w:eastAsia="fr-CA"/>
              </w:rPr>
            </w:pPr>
            <w:r w:rsidRPr="00B57711">
              <w:rPr>
                <w:color w:val="000000"/>
                <w:szCs w:val="18"/>
              </w:rPr>
              <w:t>0</w:t>
            </w:r>
          </w:p>
        </w:tc>
        <w:tc>
          <w:tcPr>
            <w:tcW w:w="506" w:type="pct"/>
          </w:tcPr>
          <w:p w14:paraId="02279022" w14:textId="77777777" w:rsidR="00B57711" w:rsidRPr="00B57711" w:rsidRDefault="00B57711" w:rsidP="00B57711">
            <w:pPr>
              <w:pStyle w:val="TableBodyText"/>
              <w:spacing w:before="20" w:after="20"/>
              <w:jc w:val="center"/>
              <w:rPr>
                <w:szCs w:val="18"/>
                <w:lang w:eastAsia="fr-CA"/>
              </w:rPr>
            </w:pPr>
            <w:r w:rsidRPr="00B57711">
              <w:rPr>
                <w:color w:val="000000"/>
                <w:szCs w:val="18"/>
              </w:rPr>
              <w:t>43</w:t>
            </w:r>
          </w:p>
        </w:tc>
        <w:tc>
          <w:tcPr>
            <w:tcW w:w="456" w:type="pct"/>
          </w:tcPr>
          <w:p w14:paraId="42D10BCB" w14:textId="77777777" w:rsidR="00B57711" w:rsidRPr="00B57711" w:rsidRDefault="00B57711" w:rsidP="00B57711">
            <w:pPr>
              <w:pStyle w:val="TableBodyText"/>
              <w:spacing w:before="20" w:after="20"/>
              <w:jc w:val="center"/>
              <w:rPr>
                <w:szCs w:val="18"/>
                <w:lang w:eastAsia="fr-CA"/>
              </w:rPr>
            </w:pPr>
            <w:r w:rsidRPr="00B57711">
              <w:rPr>
                <w:color w:val="000000"/>
                <w:szCs w:val="18"/>
              </w:rPr>
              <w:t>65</w:t>
            </w:r>
          </w:p>
        </w:tc>
        <w:tc>
          <w:tcPr>
            <w:tcW w:w="546" w:type="pct"/>
          </w:tcPr>
          <w:p w14:paraId="68BE415D" w14:textId="77777777" w:rsidR="00B57711" w:rsidRPr="00B57711" w:rsidRDefault="00B57711" w:rsidP="00B57711">
            <w:pPr>
              <w:pStyle w:val="TableBodyText"/>
              <w:spacing w:before="20" w:after="20"/>
              <w:jc w:val="center"/>
              <w:rPr>
                <w:szCs w:val="18"/>
                <w:lang w:eastAsia="fr-CA"/>
              </w:rPr>
            </w:pPr>
            <w:r w:rsidRPr="00B57711">
              <w:rPr>
                <w:color w:val="000000"/>
                <w:szCs w:val="18"/>
              </w:rPr>
              <w:t>90.8%</w:t>
            </w:r>
          </w:p>
        </w:tc>
        <w:tc>
          <w:tcPr>
            <w:tcW w:w="546" w:type="pct"/>
          </w:tcPr>
          <w:p w14:paraId="65DE7CBA" w14:textId="77777777" w:rsidR="00B57711" w:rsidRPr="00B57711" w:rsidRDefault="00B57711" w:rsidP="00B57711">
            <w:pPr>
              <w:pStyle w:val="TableBodyText"/>
              <w:spacing w:before="20" w:after="20"/>
              <w:jc w:val="center"/>
              <w:rPr>
                <w:szCs w:val="18"/>
                <w:lang w:eastAsia="fr-CA"/>
              </w:rPr>
            </w:pPr>
            <w:r w:rsidRPr="00B57711">
              <w:rPr>
                <w:color w:val="000000"/>
                <w:szCs w:val="18"/>
              </w:rPr>
              <w:t>4.6%</w:t>
            </w:r>
          </w:p>
        </w:tc>
        <w:tc>
          <w:tcPr>
            <w:tcW w:w="546" w:type="pct"/>
          </w:tcPr>
          <w:p w14:paraId="2363D3A6" w14:textId="77777777" w:rsidR="00B57711" w:rsidRPr="00B57711" w:rsidRDefault="00B57711" w:rsidP="00B57711">
            <w:pPr>
              <w:pStyle w:val="TableBodyText"/>
              <w:spacing w:before="20" w:after="20"/>
              <w:jc w:val="center"/>
              <w:rPr>
                <w:szCs w:val="18"/>
                <w:lang w:eastAsia="fr-CA"/>
              </w:rPr>
            </w:pPr>
            <w:r w:rsidRPr="00B57711">
              <w:rPr>
                <w:color w:val="000000"/>
                <w:szCs w:val="18"/>
              </w:rPr>
              <w:t>4.6%</w:t>
            </w:r>
          </w:p>
        </w:tc>
        <w:tc>
          <w:tcPr>
            <w:tcW w:w="546" w:type="pct"/>
          </w:tcPr>
          <w:p w14:paraId="47BB463F" w14:textId="77777777" w:rsidR="00B57711" w:rsidRPr="00B57711" w:rsidRDefault="00B57711" w:rsidP="00B57711">
            <w:pPr>
              <w:pStyle w:val="TableBodyText"/>
              <w:spacing w:before="20" w:after="20"/>
              <w:jc w:val="center"/>
              <w:rPr>
                <w:szCs w:val="18"/>
                <w:lang w:eastAsia="fr-CA"/>
              </w:rPr>
            </w:pPr>
            <w:r w:rsidRPr="00B57711">
              <w:rPr>
                <w:color w:val="000000"/>
                <w:szCs w:val="18"/>
              </w:rPr>
              <w:t>0.0%</w:t>
            </w:r>
          </w:p>
        </w:tc>
        <w:tc>
          <w:tcPr>
            <w:tcW w:w="538" w:type="pct"/>
          </w:tcPr>
          <w:p w14:paraId="7682A88A" w14:textId="77777777" w:rsidR="00B57711" w:rsidRPr="00B57711" w:rsidRDefault="00B57711" w:rsidP="00B57711">
            <w:pPr>
              <w:pStyle w:val="TableBodyText"/>
              <w:spacing w:before="20" w:after="20"/>
              <w:jc w:val="center"/>
              <w:rPr>
                <w:szCs w:val="18"/>
                <w:lang w:eastAsia="fr-CA"/>
              </w:rPr>
            </w:pPr>
            <w:r w:rsidRPr="00B57711">
              <w:rPr>
                <w:color w:val="000000"/>
                <w:szCs w:val="18"/>
              </w:rPr>
              <w:t>0.0%</w:t>
            </w:r>
          </w:p>
        </w:tc>
      </w:tr>
      <w:tr w:rsidR="00B57711" w:rsidRPr="00B57711" w14:paraId="227710A1" w14:textId="77777777" w:rsidTr="00047644">
        <w:trPr>
          <w:cnfStyle w:val="000000010000" w:firstRow="0" w:lastRow="0" w:firstColumn="0" w:lastColumn="0" w:oddVBand="0" w:evenVBand="0" w:oddHBand="0" w:evenHBand="1" w:firstRowFirstColumn="0" w:firstRowLastColumn="0" w:lastRowFirstColumn="0" w:lastRowLastColumn="0"/>
          <w:cantSplit/>
        </w:trPr>
        <w:tc>
          <w:tcPr>
            <w:tcW w:w="809" w:type="pct"/>
          </w:tcPr>
          <w:p w14:paraId="4E3590AE" w14:textId="77777777" w:rsidR="00B57711" w:rsidRPr="00B57711" w:rsidRDefault="00B57711" w:rsidP="00B57711">
            <w:pPr>
              <w:pStyle w:val="TableBodyText"/>
              <w:spacing w:before="20" w:after="20"/>
              <w:rPr>
                <w:szCs w:val="18"/>
                <w:lang w:eastAsia="fr-CA"/>
              </w:rPr>
            </w:pPr>
            <w:r w:rsidRPr="00B57711">
              <w:rPr>
                <w:szCs w:val="18"/>
                <w:lang w:eastAsia="fr-CA"/>
              </w:rPr>
              <w:t>South West Queensland Pipeline</w:t>
            </w:r>
          </w:p>
        </w:tc>
        <w:tc>
          <w:tcPr>
            <w:tcW w:w="4191" w:type="pct"/>
            <w:gridSpan w:val="8"/>
          </w:tcPr>
          <w:p w14:paraId="77FC3B2C" w14:textId="77777777" w:rsidR="00B57711" w:rsidRPr="00B57711" w:rsidRDefault="00B57711" w:rsidP="00B57711">
            <w:pPr>
              <w:pStyle w:val="TableBodyText"/>
              <w:spacing w:before="20" w:after="20"/>
              <w:jc w:val="center"/>
              <w:rPr>
                <w:szCs w:val="18"/>
                <w:lang w:eastAsia="fr-CA"/>
              </w:rPr>
            </w:pPr>
            <w:r w:rsidRPr="00B57711">
              <w:rPr>
                <w:szCs w:val="18"/>
                <w:lang w:eastAsia="fr-CA"/>
              </w:rPr>
              <w:t>Excluded due to data limitations</w:t>
            </w:r>
          </w:p>
        </w:tc>
      </w:tr>
    </w:tbl>
    <w:p w14:paraId="4CC5BDE4" w14:textId="77777777" w:rsidR="00B57711" w:rsidRDefault="00B57711" w:rsidP="00B57711">
      <w:pPr>
        <w:pStyle w:val="BodyText"/>
        <w:spacing w:before="0"/>
      </w:pPr>
      <w:r w:rsidRPr="007B284A">
        <w:rPr>
          <w:sz w:val="18"/>
          <w:szCs w:val="18"/>
          <w:lang w:eastAsia="fr-CA"/>
        </w:rPr>
        <w:t xml:space="preserve">Source: </w:t>
      </w:r>
      <w:proofErr w:type="spellStart"/>
      <w:r w:rsidRPr="007B284A">
        <w:rPr>
          <w:sz w:val="18"/>
          <w:szCs w:val="18"/>
          <w:lang w:eastAsia="fr-CA"/>
        </w:rPr>
        <w:t>EnergyEdge</w:t>
      </w:r>
      <w:proofErr w:type="spellEnd"/>
      <w:r w:rsidRPr="007B284A">
        <w:rPr>
          <w:sz w:val="18"/>
          <w:szCs w:val="18"/>
          <w:lang w:eastAsia="fr-CA"/>
        </w:rPr>
        <w:t xml:space="preserve">, </w:t>
      </w:r>
      <w:proofErr w:type="spellStart"/>
      <w:r w:rsidRPr="007B284A">
        <w:rPr>
          <w:sz w:val="18"/>
          <w:szCs w:val="18"/>
          <w:lang w:eastAsia="fr-CA"/>
        </w:rPr>
        <w:t>Auctionable</w:t>
      </w:r>
      <w:proofErr w:type="spellEnd"/>
      <w:r w:rsidRPr="007B284A">
        <w:rPr>
          <w:sz w:val="18"/>
          <w:szCs w:val="18"/>
          <w:lang w:eastAsia="fr-CA"/>
        </w:rPr>
        <w:t xml:space="preserve"> Quantity Risk, 14 August 2017.</w:t>
      </w:r>
      <w:r>
        <w:rPr>
          <w:sz w:val="18"/>
          <w:szCs w:val="18"/>
          <w:lang w:eastAsia="fr-CA"/>
        </w:rPr>
        <w:t xml:space="preserve"> </w:t>
      </w:r>
    </w:p>
    <w:p w14:paraId="6EAB144D" w14:textId="77777777" w:rsidR="00954951" w:rsidRDefault="00B57711" w:rsidP="00B57711">
      <w:pPr>
        <w:pStyle w:val="BodyText"/>
        <w:sectPr w:rsidR="00954951" w:rsidSect="00B57711">
          <w:headerReference w:type="default" r:id="rId51"/>
          <w:footerReference w:type="default" r:id="rId52"/>
          <w:pgSz w:w="16839" w:h="11907" w:orient="landscape" w:code="9"/>
          <w:pgMar w:top="1361" w:right="1417" w:bottom="992" w:left="1701" w:header="567" w:footer="397" w:gutter="0"/>
          <w:cols w:space="708"/>
          <w:docGrid w:linePitch="360"/>
        </w:sectPr>
      </w:pPr>
      <w:r>
        <w:t xml:space="preserve"> </w:t>
      </w:r>
    </w:p>
    <w:p w14:paraId="05C1E5B0" w14:textId="49BC0190" w:rsidR="00954951" w:rsidRDefault="00954951" w:rsidP="00954951">
      <w:pPr>
        <w:pStyle w:val="Heading9"/>
        <w:spacing w:after="0"/>
      </w:pPr>
      <w:r>
        <w:t xml:space="preserve">Map of Transmission Pipelines </w:t>
      </w:r>
    </w:p>
    <w:p w14:paraId="3A83C2FA" w14:textId="19775885" w:rsidR="00B57711" w:rsidRDefault="00954951" w:rsidP="00954951">
      <w:pPr>
        <w:pStyle w:val="BodyText"/>
        <w:spacing w:before="0" w:after="0"/>
      </w:pPr>
      <w:r>
        <w:rPr>
          <w:noProof/>
        </w:rPr>
        <w:drawing>
          <wp:inline distT="0" distB="0" distL="0" distR="0" wp14:anchorId="128B92D4" wp14:editId="5727D937">
            <wp:extent cx="7200000" cy="5043600"/>
            <wp:effectExtent l="0" t="0" r="1270" b="5080"/>
            <wp:docPr id="27" name="Picture 27" descr="Map of Transmission Pipelines " title="Appendix E - Map of Transmission Pipeline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Capture.PNG"/>
                    <pic:cNvPicPr/>
                  </pic:nvPicPr>
                  <pic:blipFill>
                    <a:blip r:embed="rId53">
                      <a:extLst>
                        <a:ext uri="{28A0092B-C50C-407E-A947-70E740481C1C}">
                          <a14:useLocalDpi xmlns:a14="http://schemas.microsoft.com/office/drawing/2010/main" val="0"/>
                        </a:ext>
                      </a:extLst>
                    </a:blip>
                    <a:stretch>
                      <a:fillRect/>
                    </a:stretch>
                  </pic:blipFill>
                  <pic:spPr>
                    <a:xfrm>
                      <a:off x="0" y="0"/>
                      <a:ext cx="7200000" cy="5043600"/>
                    </a:xfrm>
                    <a:prstGeom prst="rect">
                      <a:avLst/>
                    </a:prstGeom>
                  </pic:spPr>
                </pic:pic>
              </a:graphicData>
            </a:graphic>
          </wp:inline>
        </w:drawing>
      </w:r>
    </w:p>
    <w:p w14:paraId="1C3AF811" w14:textId="04E8651E" w:rsidR="00B57711" w:rsidRDefault="00B57711" w:rsidP="006E75F9">
      <w:pPr>
        <w:spacing w:line="240" w:lineRule="auto"/>
        <w:rPr>
          <w:rStyle w:val="BodyTextChar"/>
          <w:sz w:val="2"/>
          <w:szCs w:val="2"/>
        </w:rPr>
      </w:pPr>
    </w:p>
    <w:p w14:paraId="627BECBD" w14:textId="5B74D3EC" w:rsidR="00954951" w:rsidRPr="00954951" w:rsidRDefault="00954951" w:rsidP="006E75F9">
      <w:pPr>
        <w:spacing w:line="240" w:lineRule="auto"/>
        <w:rPr>
          <w:rStyle w:val="BodyTextChar"/>
          <w:sz w:val="16"/>
          <w:szCs w:val="16"/>
        </w:rPr>
      </w:pPr>
      <w:r w:rsidRPr="00954951">
        <w:rPr>
          <w:rStyle w:val="BodyTextChar"/>
          <w:sz w:val="16"/>
          <w:szCs w:val="16"/>
        </w:rPr>
        <w:t>Source: AEMC</w:t>
      </w:r>
    </w:p>
    <w:sectPr w:rsidR="00954951" w:rsidRPr="00954951" w:rsidSect="00B57711">
      <w:pgSz w:w="16839" w:h="11907" w:orient="landscape" w:code="9"/>
      <w:pgMar w:top="1361" w:right="1417" w:bottom="992" w:left="1701" w:header="567" w:footer="397"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F61736F" w14:textId="77777777" w:rsidR="00610057" w:rsidRDefault="00610057" w:rsidP="00256624">
      <w:r>
        <w:separator/>
      </w:r>
    </w:p>
    <w:p w14:paraId="58965884" w14:textId="77777777" w:rsidR="00610057" w:rsidRDefault="00610057"/>
  </w:endnote>
  <w:endnote w:type="continuationSeparator" w:id="0">
    <w:p w14:paraId="061F2DB1" w14:textId="77777777" w:rsidR="00610057" w:rsidRDefault="00610057" w:rsidP="00256624">
      <w:r>
        <w:continuationSeparator/>
      </w:r>
    </w:p>
    <w:p w14:paraId="7528A535" w14:textId="77777777" w:rsidR="00610057" w:rsidRDefault="00610057"/>
  </w:endnote>
  <w:endnote w:type="continuationNotice" w:id="1">
    <w:p w14:paraId="242F773A" w14:textId="77777777" w:rsidR="00610057" w:rsidRDefault="00610057">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 Antiqua">
    <w:altName w:val="Book Antiqua"/>
    <w:panose1 w:val="02040602050305030304"/>
    <w:charset w:val="00"/>
    <w:family w:val="roman"/>
    <w:pitch w:val="variable"/>
    <w:sig w:usb0="00000287" w:usb1="00000000" w:usb2="00000000" w:usb3="00000000" w:csb0="0000009F" w:csb1="00000000"/>
  </w:font>
  <w:font w:name="Arial Rounded MT Bold">
    <w:panose1 w:val="020F0704030504030204"/>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Georgia">
    <w:panose1 w:val="020405020504050203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Gotham Light">
    <w:altName w:val="Calibri"/>
    <w:panose1 w:val="00000000000000000000"/>
    <w:charset w:val="00"/>
    <w:family w:val="swiss"/>
    <w:notTrueType/>
    <w:pitch w:val="default"/>
    <w:sig w:usb0="00000003" w:usb1="00000000" w:usb2="00000000" w:usb3="00000000" w:csb0="00000001" w:csb1="00000000"/>
  </w:font>
  <w:font w:name="ArialMT">
    <w:altName w:val="Arial"/>
    <w:panose1 w:val="00000000000000000000"/>
    <w:charset w:val="4D"/>
    <w:family w:val="auto"/>
    <w:notTrueType/>
    <w:pitch w:val="default"/>
    <w:sig w:usb0="00000003" w:usb1="00000000" w:usb2="00000000" w:usb3="00000000" w:csb0="00000001" w:csb1="00000000"/>
  </w:font>
  <w:font w:name="Myriad Pro">
    <w:altName w:val="Segoe UI"/>
    <w:panose1 w:val="00000000000000000000"/>
    <w:charset w:val="00"/>
    <w:family w:val="swiss"/>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Franklin Gothic Demi Cond">
    <w:panose1 w:val="020B0706030402020204"/>
    <w:charset w:val="00"/>
    <w:family w:val="swiss"/>
    <w:pitch w:val="variable"/>
    <w:sig w:usb0="00000287" w:usb1="00000000" w:usb2="00000000" w:usb3="00000000" w:csb0="0000009F" w:csb1="00000000"/>
  </w:font>
  <w:font w:name="Segoe UI">
    <w:panose1 w:val="020B0502040204020203"/>
    <w:charset w:val="00"/>
    <w:family w:val="swiss"/>
    <w:pitch w:val="variable"/>
    <w:sig w:usb0="E10022FF" w:usb1="C000E47F" w:usb2="00000029" w:usb3="00000000" w:csb0="000001D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789F68C" w14:textId="77777777" w:rsidR="00610057" w:rsidRDefault="00610057">
    <w:pPr>
      <w:pStyle w:val="Footer"/>
    </w:pPr>
    <w:bookmarkStart w:id="1" w:name="_Hlk491874953"/>
    <w:bookmarkStart w:id="2" w:name="_Hlk491874954"/>
    <w:bookmarkStart w:id="3" w:name="_Hlk491874955"/>
    <w:bookmarkStart w:id="4" w:name="_Hlk492057950"/>
    <w:bookmarkStart w:id="5" w:name="_Hlk492057951"/>
    <w:bookmarkStart w:id="6" w:name="_Hlk492057952"/>
    <w:bookmarkStart w:id="7" w:name="_Hlk492112249"/>
    <w:bookmarkStart w:id="8" w:name="_Hlk492112250"/>
    <w:bookmarkStart w:id="9" w:name="_Hlk492112251"/>
    <w:bookmarkEnd w:id="1"/>
    <w:bookmarkEnd w:id="2"/>
    <w:bookmarkEnd w:id="3"/>
    <w:bookmarkEnd w:id="4"/>
    <w:bookmarkEnd w:id="5"/>
    <w:bookmarkEnd w:id="6"/>
    <w:bookmarkEnd w:id="7"/>
    <w:bookmarkEnd w:id="8"/>
    <w:bookmarkEnd w:id="9"/>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0C7F07E" w14:textId="77777777" w:rsidR="00610057" w:rsidRDefault="00610057" w:rsidP="00852D52">
    <w:pPr>
      <w:pStyle w:val="Footer"/>
      <w:pBdr>
        <w:top w:val="single" w:sz="4" w:space="1" w:color="0099CC"/>
      </w:pBdr>
      <w:spacing w:before="240" w:line="80" w:lineRule="exact"/>
    </w:pPr>
  </w:p>
  <w:p w14:paraId="6161C1E0" w14:textId="4F384DFC" w:rsidR="00610057" w:rsidRDefault="00610057" w:rsidP="004B3D51">
    <w:pPr>
      <w:pStyle w:val="Footer"/>
    </w:pPr>
    <w:r>
      <w:fldChar w:fldCharType="begin"/>
    </w:r>
    <w:r>
      <w:instrText xml:space="preserve"> PAGE   \* MERGEFORMAT </w:instrText>
    </w:r>
    <w:r>
      <w:fldChar w:fldCharType="separate"/>
    </w:r>
    <w:r w:rsidR="008678DE">
      <w:rPr>
        <w:noProof/>
      </w:rPr>
      <w:t>104</w:t>
    </w:r>
    <w:r>
      <w:rPr>
        <w:noProof/>
      </w:rPr>
      <w:fldChar w:fldCharType="end"/>
    </w:r>
  </w:p>
  <w:p w14:paraId="7E579FBD" w14:textId="77777777" w:rsidR="00610057" w:rsidRDefault="00610057"/>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D69261" w14:textId="77777777" w:rsidR="00610057" w:rsidRDefault="00610057" w:rsidP="00852D52">
    <w:pPr>
      <w:pStyle w:val="Footer"/>
      <w:pBdr>
        <w:top w:val="single" w:sz="4" w:space="1" w:color="0099CC"/>
      </w:pBdr>
      <w:spacing w:before="240" w:line="80" w:lineRule="exact"/>
    </w:pPr>
  </w:p>
  <w:p w14:paraId="1DBA50AF" w14:textId="6FCAAE1D" w:rsidR="00610057" w:rsidRDefault="00610057" w:rsidP="004B3D51">
    <w:pPr>
      <w:pStyle w:val="Footer"/>
    </w:pPr>
    <w:r>
      <w:fldChar w:fldCharType="begin"/>
    </w:r>
    <w:r>
      <w:instrText xml:space="preserve"> PAGE   \* MERGEFORMAT </w:instrText>
    </w:r>
    <w:r>
      <w:fldChar w:fldCharType="separate"/>
    </w:r>
    <w:r w:rsidR="008678DE">
      <w:rPr>
        <w:noProof/>
      </w:rPr>
      <w:t>118</w:t>
    </w:r>
    <w:r>
      <w:rPr>
        <w:noProof/>
      </w:rPr>
      <w:fldChar w:fldCharType="end"/>
    </w:r>
  </w:p>
  <w:p w14:paraId="0FB5FAF5" w14:textId="77777777" w:rsidR="00610057" w:rsidRDefault="00610057"/>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8FBD86F" w14:textId="77777777" w:rsidR="00610057" w:rsidRDefault="00610057">
    <w:pPr>
      <w:pStyle w:val="Footer"/>
    </w:pPr>
    <w:bookmarkStart w:id="10" w:name="_Hlk491874947"/>
    <w:bookmarkStart w:id="11" w:name="_Hlk491874948"/>
    <w:bookmarkStart w:id="12" w:name="_Hlk491874949"/>
    <w:bookmarkStart w:id="13" w:name="_Hlk492057944"/>
    <w:bookmarkStart w:id="14" w:name="_Hlk492057945"/>
    <w:bookmarkStart w:id="15" w:name="_Hlk492057946"/>
    <w:bookmarkStart w:id="16" w:name="_Hlk492112243"/>
    <w:bookmarkStart w:id="17" w:name="_Hlk492112244"/>
    <w:bookmarkStart w:id="18" w:name="_Hlk492112245"/>
    <w:bookmarkEnd w:id="10"/>
    <w:bookmarkEnd w:id="11"/>
    <w:bookmarkEnd w:id="12"/>
    <w:bookmarkEnd w:id="13"/>
    <w:bookmarkEnd w:id="14"/>
    <w:bookmarkEnd w:id="15"/>
    <w:bookmarkEnd w:id="16"/>
    <w:bookmarkEnd w:id="17"/>
    <w:bookmarkEnd w:id="18"/>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4F0085A" w14:textId="77777777" w:rsidR="00610057" w:rsidRDefault="00610057" w:rsidP="0044504D">
    <w:pPr>
      <w:pStyle w:val="Footer"/>
      <w:pBdr>
        <w:top w:val="single" w:sz="4" w:space="1" w:color="214C90" w:themeColor="text2"/>
      </w:pBdr>
      <w:spacing w:line="80" w:lineRule="exact"/>
    </w:pPr>
  </w:p>
  <w:p w14:paraId="477D4D25" w14:textId="00A48618" w:rsidR="00610057" w:rsidRPr="003B6692" w:rsidRDefault="00610057" w:rsidP="003B6692">
    <w:pPr>
      <w:pStyle w:val="Footer"/>
    </w:pPr>
    <w:r>
      <w:fldChar w:fldCharType="begin"/>
    </w:r>
    <w:r>
      <w:instrText xml:space="preserve"> PAGE   \* MERGEFORMAT </w:instrText>
    </w:r>
    <w:r>
      <w:fldChar w:fldCharType="separate"/>
    </w:r>
    <w:r w:rsidR="008678DE">
      <w:rPr>
        <w:noProof/>
      </w:rPr>
      <w:t>iv</w:t>
    </w:r>
    <w:r>
      <w:rPr>
        <w:noProof/>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BE18880" w14:textId="77777777" w:rsidR="00610057" w:rsidRDefault="00610057" w:rsidP="00887CBF">
    <w:pPr>
      <w:pStyle w:val="Footer"/>
      <w:pBdr>
        <w:top w:val="single" w:sz="4" w:space="1" w:color="0099CC"/>
      </w:pBdr>
      <w:spacing w:line="80" w:lineRule="exact"/>
    </w:pPr>
  </w:p>
  <w:p w14:paraId="763E6C97" w14:textId="18385BD9" w:rsidR="00610057" w:rsidRDefault="00610057" w:rsidP="004B3D51">
    <w:pPr>
      <w:pStyle w:val="Footer"/>
    </w:pPr>
    <w:r>
      <w:fldChar w:fldCharType="begin"/>
    </w:r>
    <w:r>
      <w:instrText xml:space="preserve"> PAGE   \* MERGEFORMAT </w:instrText>
    </w:r>
    <w:r>
      <w:fldChar w:fldCharType="separate"/>
    </w:r>
    <w:r w:rsidR="008678DE">
      <w:rPr>
        <w:noProof/>
      </w:rPr>
      <w:t>11</w:t>
    </w:r>
    <w:r>
      <w:rPr>
        <w:noProof/>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B76F646" w14:textId="77777777" w:rsidR="00610057" w:rsidRDefault="00610057" w:rsidP="00887CBF">
    <w:pPr>
      <w:pStyle w:val="Footer"/>
      <w:pBdr>
        <w:top w:val="single" w:sz="4" w:space="1" w:color="0099CC"/>
      </w:pBdr>
      <w:spacing w:line="80" w:lineRule="exact"/>
    </w:pPr>
  </w:p>
  <w:p w14:paraId="7DD2C84C" w14:textId="5C0767FF" w:rsidR="00610057" w:rsidRDefault="00610057" w:rsidP="004B3D51">
    <w:pPr>
      <w:pStyle w:val="Footer"/>
    </w:pPr>
    <w:r>
      <w:fldChar w:fldCharType="begin"/>
    </w:r>
    <w:r>
      <w:instrText xml:space="preserve"> PAGE   \* MERGEFORMAT </w:instrText>
    </w:r>
    <w:r>
      <w:fldChar w:fldCharType="separate"/>
    </w:r>
    <w:r w:rsidR="008678DE">
      <w:rPr>
        <w:noProof/>
      </w:rPr>
      <w:t>14</w:t>
    </w:r>
    <w:r>
      <w:rPr>
        <w:noProof/>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053A85F" w14:textId="77777777" w:rsidR="00610057" w:rsidRDefault="00610057" w:rsidP="00852D52">
    <w:pPr>
      <w:pStyle w:val="Footer"/>
      <w:pBdr>
        <w:top w:val="single" w:sz="4" w:space="1" w:color="0099CC"/>
      </w:pBdr>
      <w:spacing w:before="240" w:line="80" w:lineRule="exact"/>
    </w:pPr>
  </w:p>
  <w:p w14:paraId="346F1CC7" w14:textId="618F9B63" w:rsidR="00610057" w:rsidRDefault="00610057" w:rsidP="004B3D51">
    <w:pPr>
      <w:pStyle w:val="Footer"/>
    </w:pPr>
    <w:r>
      <w:fldChar w:fldCharType="begin"/>
    </w:r>
    <w:r>
      <w:instrText xml:space="preserve"> PAGE   \* MERGEFORMAT </w:instrText>
    </w:r>
    <w:r>
      <w:fldChar w:fldCharType="separate"/>
    </w:r>
    <w:r w:rsidR="008678DE">
      <w:rPr>
        <w:noProof/>
      </w:rPr>
      <w:t>29</w:t>
    </w:r>
    <w:r>
      <w:rPr>
        <w:noProof/>
      </w:rPr>
      <w:fldChar w:fldCharType="end"/>
    </w:r>
  </w:p>
  <w:p w14:paraId="76C788A9" w14:textId="77777777" w:rsidR="00610057" w:rsidRDefault="00610057"/>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5E15F1" w14:textId="77777777" w:rsidR="00610057" w:rsidRDefault="00610057" w:rsidP="00852D52">
    <w:pPr>
      <w:pStyle w:val="Footer"/>
      <w:pBdr>
        <w:top w:val="single" w:sz="4" w:space="1" w:color="0099CC"/>
      </w:pBdr>
      <w:spacing w:before="240" w:line="80" w:lineRule="exact"/>
    </w:pPr>
  </w:p>
  <w:p w14:paraId="0F7C7507" w14:textId="10B92C79" w:rsidR="00610057" w:rsidRDefault="00610057" w:rsidP="004B3D51">
    <w:pPr>
      <w:pStyle w:val="Footer"/>
    </w:pPr>
    <w:r>
      <w:fldChar w:fldCharType="begin"/>
    </w:r>
    <w:r>
      <w:instrText xml:space="preserve"> PAGE   \* MERGEFORMAT </w:instrText>
    </w:r>
    <w:r>
      <w:fldChar w:fldCharType="separate"/>
    </w:r>
    <w:r w:rsidR="008678DE">
      <w:rPr>
        <w:noProof/>
      </w:rPr>
      <w:t>31</w:t>
    </w:r>
    <w:r>
      <w:rPr>
        <w:noProof/>
      </w:rPr>
      <w:fldChar w:fldCharType="end"/>
    </w:r>
  </w:p>
  <w:p w14:paraId="34A2430B" w14:textId="77777777" w:rsidR="00610057" w:rsidRDefault="00610057"/>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E5BEDCF" w14:textId="77777777" w:rsidR="00610057" w:rsidRDefault="00610057" w:rsidP="00852D52">
    <w:pPr>
      <w:pStyle w:val="Footer"/>
      <w:pBdr>
        <w:top w:val="single" w:sz="4" w:space="1" w:color="0099CC"/>
      </w:pBdr>
      <w:spacing w:before="240" w:line="80" w:lineRule="exact"/>
    </w:pPr>
  </w:p>
  <w:p w14:paraId="17BEF26C" w14:textId="2D6FC7F2" w:rsidR="00610057" w:rsidRDefault="00610057" w:rsidP="004B3D51">
    <w:pPr>
      <w:pStyle w:val="Footer"/>
    </w:pPr>
    <w:r>
      <w:fldChar w:fldCharType="begin"/>
    </w:r>
    <w:r>
      <w:instrText xml:space="preserve"> PAGE   \* MERGEFORMAT </w:instrText>
    </w:r>
    <w:r>
      <w:fldChar w:fldCharType="separate"/>
    </w:r>
    <w:r w:rsidR="008678DE">
      <w:rPr>
        <w:noProof/>
      </w:rPr>
      <w:t>32</w:t>
    </w:r>
    <w:r>
      <w:rPr>
        <w:noProof/>
      </w:rPr>
      <w:fldChar w:fldCharType="end"/>
    </w:r>
  </w:p>
  <w:p w14:paraId="1366D302" w14:textId="77777777" w:rsidR="00610057" w:rsidRDefault="00610057"/>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1019CB" w14:textId="77777777" w:rsidR="00610057" w:rsidRDefault="00610057" w:rsidP="00852D52">
    <w:pPr>
      <w:pStyle w:val="Footer"/>
      <w:pBdr>
        <w:top w:val="single" w:sz="4" w:space="1" w:color="0099CC"/>
      </w:pBdr>
      <w:spacing w:before="240" w:line="80" w:lineRule="exact"/>
    </w:pPr>
  </w:p>
  <w:p w14:paraId="4EBA5C88" w14:textId="3928029E" w:rsidR="00610057" w:rsidRDefault="00610057" w:rsidP="004B3D51">
    <w:pPr>
      <w:pStyle w:val="Footer"/>
    </w:pPr>
    <w:r>
      <w:fldChar w:fldCharType="begin"/>
    </w:r>
    <w:r>
      <w:instrText xml:space="preserve"> PAGE   \* MERGEFORMAT </w:instrText>
    </w:r>
    <w:r>
      <w:fldChar w:fldCharType="separate"/>
    </w:r>
    <w:r w:rsidR="008678DE">
      <w:rPr>
        <w:noProof/>
      </w:rPr>
      <w:t>80</w:t>
    </w:r>
    <w:r>
      <w:rPr>
        <w:noProof/>
      </w:rPr>
      <w:fldChar w:fldCharType="end"/>
    </w:r>
  </w:p>
  <w:p w14:paraId="5E7CBACD" w14:textId="77777777" w:rsidR="00610057" w:rsidRDefault="00610057"/>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4B0FEFD" w14:textId="77777777" w:rsidR="00610057" w:rsidRPr="0022372B" w:rsidRDefault="00610057" w:rsidP="0022372B">
      <w:pPr>
        <w:pStyle w:val="Footer"/>
        <w:spacing w:after="80" w:line="240" w:lineRule="auto"/>
        <w:jc w:val="left"/>
        <w:rPr>
          <w:color w:val="A9A8A9" w:themeColor="accent4"/>
          <w:sz w:val="16"/>
          <w:szCs w:val="16"/>
        </w:rPr>
      </w:pPr>
      <w:r w:rsidRPr="0022372B">
        <w:rPr>
          <w:color w:val="A9A8A9" w:themeColor="accent4"/>
          <w:sz w:val="16"/>
          <w:szCs w:val="16"/>
        </w:rPr>
        <w:t>_________________________________</w:t>
      </w:r>
    </w:p>
  </w:footnote>
  <w:footnote w:type="continuationSeparator" w:id="0">
    <w:p w14:paraId="7FBC96EE" w14:textId="77777777" w:rsidR="00610057" w:rsidRPr="0022372B" w:rsidRDefault="00610057" w:rsidP="0022372B">
      <w:pPr>
        <w:pStyle w:val="Footer"/>
        <w:spacing w:after="80" w:line="240" w:lineRule="auto"/>
        <w:jc w:val="left"/>
        <w:rPr>
          <w:color w:val="A9A8A9" w:themeColor="accent4"/>
          <w:sz w:val="16"/>
          <w:szCs w:val="16"/>
        </w:rPr>
      </w:pPr>
      <w:r w:rsidRPr="0022372B">
        <w:rPr>
          <w:color w:val="A9A8A9" w:themeColor="accent4"/>
          <w:sz w:val="16"/>
          <w:szCs w:val="16"/>
        </w:rPr>
        <w:t>_________________________________</w:t>
      </w:r>
    </w:p>
  </w:footnote>
  <w:footnote w:type="continuationNotice" w:id="1">
    <w:p w14:paraId="24EE32C9" w14:textId="77777777" w:rsidR="00610057" w:rsidRPr="00A176B6" w:rsidRDefault="00610057" w:rsidP="00A176B6">
      <w:pPr>
        <w:spacing w:line="160" w:lineRule="exact"/>
        <w:rPr>
          <w:sz w:val="16"/>
          <w:szCs w:val="16"/>
        </w:rPr>
      </w:pPr>
    </w:p>
  </w:footnote>
  <w:footnote w:id="2">
    <w:p w14:paraId="70303D3B" w14:textId="77777777" w:rsidR="00610057" w:rsidRDefault="00610057" w:rsidP="00854182">
      <w:pPr>
        <w:pStyle w:val="FootnoteText"/>
      </w:pPr>
      <w:r>
        <w:rPr>
          <w:rStyle w:val="FootnoteReference"/>
        </w:rPr>
        <w:footnoteRef/>
      </w:r>
      <w:r>
        <w:t xml:space="preserve"> </w:t>
      </w:r>
      <w:r>
        <w:tab/>
        <w:t>COAG Energy Council, Bulletin Two: Gas Market Reform Package, August 2016.</w:t>
      </w:r>
    </w:p>
  </w:footnote>
  <w:footnote w:id="3">
    <w:p w14:paraId="05A9F134" w14:textId="7FB42683" w:rsidR="00610057" w:rsidRDefault="00610057" w:rsidP="00854182">
      <w:pPr>
        <w:pStyle w:val="FootnoteText"/>
      </w:pPr>
      <w:r>
        <w:rPr>
          <w:rStyle w:val="FootnoteReference"/>
        </w:rPr>
        <w:footnoteRef/>
      </w:r>
      <w:r>
        <w:t xml:space="preserve"> </w:t>
      </w:r>
      <w:r>
        <w:tab/>
        <w:t>A</w:t>
      </w:r>
      <w:r w:rsidRPr="00636AC6">
        <w:t xml:space="preserve">EMC, Stage 2 Final Report: </w:t>
      </w:r>
      <w:r>
        <w:t xml:space="preserve">East Coast </w:t>
      </w:r>
      <w:r w:rsidRPr="00636AC6">
        <w:rPr>
          <w:rFonts w:cs="Arial"/>
          <w:iCs/>
        </w:rPr>
        <w:t>Review, 23 May 2016,</w:t>
      </w:r>
      <w:r w:rsidRPr="00636AC6">
        <w:t xml:space="preserve"> </w:t>
      </w:r>
      <w:r>
        <w:t>p</w:t>
      </w:r>
      <w:r w:rsidRPr="00636AC6">
        <w:t>p. 6</w:t>
      </w:r>
      <w:r>
        <w:t>9 and 73</w:t>
      </w:r>
      <w:r w:rsidRPr="00636AC6">
        <w:t>.</w:t>
      </w:r>
    </w:p>
  </w:footnote>
  <w:footnote w:id="4">
    <w:p w14:paraId="6397199A" w14:textId="77777777" w:rsidR="00610057" w:rsidRDefault="00610057" w:rsidP="00854182">
      <w:pPr>
        <w:pStyle w:val="FootnoteText"/>
      </w:pPr>
      <w:r>
        <w:rPr>
          <w:rStyle w:val="FootnoteReference"/>
        </w:rPr>
        <w:footnoteRef/>
      </w:r>
      <w:r>
        <w:t xml:space="preserve"> </w:t>
      </w:r>
      <w:r>
        <w:tab/>
        <w:t>ibid, p. viii.</w:t>
      </w:r>
    </w:p>
  </w:footnote>
  <w:footnote w:id="5">
    <w:p w14:paraId="2C936FEE" w14:textId="77777777" w:rsidR="00610057" w:rsidRDefault="00610057" w:rsidP="00115A93">
      <w:pPr>
        <w:pStyle w:val="FootnoteText"/>
      </w:pPr>
      <w:r>
        <w:rPr>
          <w:rStyle w:val="FootnoteReference"/>
        </w:rPr>
        <w:footnoteRef/>
      </w:r>
      <w:r>
        <w:t xml:space="preserve"> </w:t>
      </w:r>
      <w:r>
        <w:tab/>
        <w:t>COAG Energy Council, Australian Gas Market Vision, December 2014.</w:t>
      </w:r>
    </w:p>
  </w:footnote>
  <w:footnote w:id="6">
    <w:p w14:paraId="343576E8" w14:textId="77777777" w:rsidR="00610057" w:rsidRDefault="00610057" w:rsidP="00854182">
      <w:pPr>
        <w:pStyle w:val="FootnoteText"/>
      </w:pPr>
      <w:r>
        <w:rPr>
          <w:rStyle w:val="FootnoteReference"/>
        </w:rPr>
        <w:footnoteRef/>
      </w:r>
      <w:r>
        <w:t xml:space="preserve"> </w:t>
      </w:r>
      <w:r>
        <w:tab/>
        <w:t xml:space="preserve">SCO comprises senior officials from State, Territory and Commonwealth governments. </w:t>
      </w:r>
    </w:p>
  </w:footnote>
  <w:footnote w:id="7">
    <w:p w14:paraId="021F6AF7" w14:textId="77777777" w:rsidR="00610057" w:rsidRDefault="00610057" w:rsidP="00854182">
      <w:pPr>
        <w:pStyle w:val="FootnoteText"/>
      </w:pPr>
      <w:r>
        <w:rPr>
          <w:rStyle w:val="FootnoteReference"/>
        </w:rPr>
        <w:footnoteRef/>
      </w:r>
      <w:r>
        <w:t xml:space="preserve"> </w:t>
      </w:r>
      <w:r>
        <w:tab/>
        <w:t>COAG Energy Council, 12</w:t>
      </w:r>
      <w:r w:rsidRPr="00C76541">
        <w:rPr>
          <w:vertAlign w:val="superscript"/>
        </w:rPr>
        <w:t>th</w:t>
      </w:r>
      <w:r>
        <w:t xml:space="preserve"> Energy Council Meeting Communique, 14 July 2017.</w:t>
      </w:r>
    </w:p>
  </w:footnote>
  <w:footnote w:id="8">
    <w:p w14:paraId="50542B41" w14:textId="3D366C7F" w:rsidR="00610057" w:rsidRDefault="00610057" w:rsidP="00854182">
      <w:pPr>
        <w:pStyle w:val="FootnoteText"/>
      </w:pPr>
      <w:r>
        <w:rPr>
          <w:rStyle w:val="FootnoteReference"/>
        </w:rPr>
        <w:footnoteRef/>
      </w:r>
      <w:r>
        <w:t xml:space="preserve"> </w:t>
      </w:r>
      <w:r>
        <w:tab/>
        <w:t>A</w:t>
      </w:r>
      <w:r w:rsidRPr="00636AC6">
        <w:t xml:space="preserve">EMC, Stage 2 Final Report: </w:t>
      </w:r>
      <w:r>
        <w:t xml:space="preserve">East Coast </w:t>
      </w:r>
      <w:r w:rsidRPr="00636AC6">
        <w:rPr>
          <w:rFonts w:cs="Arial"/>
          <w:iCs/>
        </w:rPr>
        <w:t>Review, 23 May 2016,</w:t>
      </w:r>
      <w:r w:rsidRPr="00636AC6">
        <w:t xml:space="preserve"> </w:t>
      </w:r>
      <w:r>
        <w:t>p</w:t>
      </w:r>
      <w:r w:rsidRPr="00636AC6">
        <w:t>p. 67</w:t>
      </w:r>
      <w:r>
        <w:t>, 73 and 83</w:t>
      </w:r>
      <w:r w:rsidRPr="00636AC6">
        <w:t>.</w:t>
      </w:r>
    </w:p>
  </w:footnote>
  <w:footnote w:id="9">
    <w:p w14:paraId="480C38C4" w14:textId="77777777" w:rsidR="00610057" w:rsidRDefault="00610057" w:rsidP="00854182">
      <w:pPr>
        <w:pStyle w:val="FootnoteText"/>
      </w:pPr>
      <w:r>
        <w:rPr>
          <w:rStyle w:val="FootnoteReference"/>
        </w:rPr>
        <w:footnoteRef/>
      </w:r>
      <w:r>
        <w:t xml:space="preserve"> </w:t>
      </w:r>
      <w:r>
        <w:tab/>
        <w:t>ibid, p. 83.</w:t>
      </w:r>
    </w:p>
  </w:footnote>
  <w:footnote w:id="10">
    <w:p w14:paraId="17EA91CB" w14:textId="77777777" w:rsidR="00610057" w:rsidRDefault="00610057" w:rsidP="00854182">
      <w:pPr>
        <w:pStyle w:val="FootnoteText"/>
      </w:pPr>
      <w:r>
        <w:rPr>
          <w:rStyle w:val="FootnoteReference"/>
        </w:rPr>
        <w:footnoteRef/>
      </w:r>
      <w:r>
        <w:t xml:space="preserve"> </w:t>
      </w:r>
      <w:r>
        <w:tab/>
        <w:t>Shippers will also be able to have recourse to other means to identify potential counterparties and enter into bilateral trades.</w:t>
      </w:r>
    </w:p>
  </w:footnote>
  <w:footnote w:id="11">
    <w:p w14:paraId="1CE7E361" w14:textId="6031A4C1" w:rsidR="00610057" w:rsidRDefault="00610057" w:rsidP="00854182">
      <w:pPr>
        <w:pStyle w:val="FootnoteText"/>
      </w:pPr>
      <w:r>
        <w:rPr>
          <w:rStyle w:val="FootnoteReference"/>
        </w:rPr>
        <w:footnoteRef/>
      </w:r>
      <w:r>
        <w:t xml:space="preserve"> </w:t>
      </w:r>
      <w:r>
        <w:tab/>
        <w:t xml:space="preserve">The pre-matched service allows participants to register off-market trades in listed products to the exchange for settlement. </w:t>
      </w:r>
    </w:p>
  </w:footnote>
  <w:footnote w:id="12">
    <w:p w14:paraId="35946B75" w14:textId="6CF8A6AF" w:rsidR="00610057" w:rsidRDefault="00610057">
      <w:pPr>
        <w:pStyle w:val="FootnoteText"/>
      </w:pPr>
      <w:r>
        <w:rPr>
          <w:rStyle w:val="FootnoteReference"/>
        </w:rPr>
        <w:footnoteRef/>
      </w:r>
      <w:r>
        <w:t xml:space="preserve"> </w:t>
      </w:r>
      <w:r>
        <w:tab/>
      </w:r>
      <w:r>
        <w:rPr>
          <w:rFonts w:asciiTheme="majorHAnsi" w:hAnsiTheme="majorHAnsi" w:cstheme="majorHAnsi"/>
          <w:color w:val="000000"/>
          <w:szCs w:val="16"/>
        </w:rPr>
        <w:t>U</w:t>
      </w:r>
      <w:r w:rsidRPr="003416C5">
        <w:rPr>
          <w:rFonts w:asciiTheme="majorHAnsi" w:hAnsiTheme="majorHAnsi" w:cstheme="majorHAnsi"/>
          <w:color w:val="000000"/>
          <w:szCs w:val="16"/>
        </w:rPr>
        <w:t xml:space="preserve">nder an operational transfer, the service related elements, price, prudential and other legal provisions relating to the sale of capacity are set out in the secondary </w:t>
      </w:r>
      <w:r>
        <w:rPr>
          <w:rFonts w:asciiTheme="majorHAnsi" w:hAnsiTheme="majorHAnsi" w:cstheme="majorHAnsi"/>
          <w:color w:val="000000"/>
          <w:szCs w:val="16"/>
        </w:rPr>
        <w:t>Capacity Trading Agreement (</w:t>
      </w:r>
      <w:r w:rsidRPr="003416C5">
        <w:rPr>
          <w:rFonts w:asciiTheme="majorHAnsi" w:hAnsiTheme="majorHAnsi" w:cstheme="majorHAnsi"/>
          <w:color w:val="000000"/>
          <w:szCs w:val="16"/>
        </w:rPr>
        <w:t>CTA</w:t>
      </w:r>
      <w:r>
        <w:rPr>
          <w:rFonts w:asciiTheme="majorHAnsi" w:hAnsiTheme="majorHAnsi" w:cstheme="majorHAnsi"/>
          <w:color w:val="000000"/>
          <w:szCs w:val="16"/>
        </w:rPr>
        <w:t>)</w:t>
      </w:r>
      <w:r w:rsidRPr="003416C5">
        <w:rPr>
          <w:rFonts w:asciiTheme="majorHAnsi" w:hAnsiTheme="majorHAnsi" w:cstheme="majorHAnsi"/>
          <w:color w:val="000000"/>
          <w:szCs w:val="16"/>
        </w:rPr>
        <w:t xml:space="preserve">, Exchange or Auction agreements entered into by the shippers, while the operational terms are set out in the operational GTA entered into by the service provider and secondary shipper. The key difference between the operational transfer and bare transfer is that under an </w:t>
      </w:r>
      <w:r w:rsidRPr="003416C5">
        <w:rPr>
          <w:rFonts w:eastAsia="Calibri"/>
          <w:szCs w:val="16"/>
        </w:rPr>
        <w:t>operational transfer, the secondary shipper is responsible for making nominations directly to the service provider and complying with the operational and legal obligations in the operational GTA it has entered into with the service provider in relation to the capacity that has been purchased.</w:t>
      </w:r>
    </w:p>
  </w:footnote>
  <w:footnote w:id="13">
    <w:p w14:paraId="7880ED40" w14:textId="77777777" w:rsidR="00610057" w:rsidRDefault="00610057" w:rsidP="00854182">
      <w:pPr>
        <w:pStyle w:val="FootnoteText"/>
      </w:pPr>
      <w:r>
        <w:rPr>
          <w:rStyle w:val="FootnoteReference"/>
        </w:rPr>
        <w:footnoteRef/>
      </w:r>
      <w:r>
        <w:t xml:space="preserve"> </w:t>
      </w:r>
      <w:r>
        <w:tab/>
        <w:t>Section 291 of the NGL.</w:t>
      </w:r>
    </w:p>
  </w:footnote>
  <w:footnote w:id="14">
    <w:p w14:paraId="051AA3DE" w14:textId="77777777" w:rsidR="00610057" w:rsidRDefault="00610057" w:rsidP="00854182">
      <w:pPr>
        <w:pStyle w:val="FootnoteText"/>
      </w:pPr>
      <w:r>
        <w:rPr>
          <w:rStyle w:val="FootnoteReference"/>
        </w:rPr>
        <w:footnoteRef/>
      </w:r>
      <w:r>
        <w:t xml:space="preserve"> </w:t>
      </w:r>
      <w:r>
        <w:tab/>
        <w:t>See section 291 of the NGL.</w:t>
      </w:r>
    </w:p>
  </w:footnote>
  <w:footnote w:id="15">
    <w:p w14:paraId="6A0D399D" w14:textId="77777777" w:rsidR="00610057" w:rsidRDefault="00610057" w:rsidP="00854182">
      <w:pPr>
        <w:pStyle w:val="FootnoteText"/>
      </w:pPr>
      <w:r>
        <w:rPr>
          <w:rStyle w:val="FootnoteReference"/>
        </w:rPr>
        <w:footnoteRef/>
      </w:r>
      <w:r>
        <w:t xml:space="preserve"> </w:t>
      </w:r>
      <w:r>
        <w:tab/>
      </w:r>
      <w:r w:rsidRPr="000A7592">
        <w:t>AEMC, Stage 2 Final Report: Information Provision, May 2016, p. 4.</w:t>
      </w:r>
    </w:p>
  </w:footnote>
  <w:footnote w:id="16">
    <w:p w14:paraId="18681E32" w14:textId="6BED162E" w:rsidR="00610057" w:rsidRDefault="00610057" w:rsidP="00854182">
      <w:pPr>
        <w:pStyle w:val="FootnoteText"/>
      </w:pPr>
      <w:r>
        <w:rPr>
          <w:rStyle w:val="FootnoteReference"/>
        </w:rPr>
        <w:footnoteRef/>
      </w:r>
      <w:r>
        <w:t xml:space="preserve"> </w:t>
      </w:r>
      <w:r>
        <w:tab/>
        <w:t>A</w:t>
      </w:r>
      <w:r w:rsidRPr="00636AC6">
        <w:t xml:space="preserve">EMC, Stage 2 Final Report: </w:t>
      </w:r>
      <w:r>
        <w:t xml:space="preserve">East Coast </w:t>
      </w:r>
      <w:r w:rsidRPr="00636AC6">
        <w:rPr>
          <w:rFonts w:cs="Arial"/>
          <w:iCs/>
        </w:rPr>
        <w:t>Review, 23 May 2016,</w:t>
      </w:r>
      <w:r w:rsidRPr="00636AC6">
        <w:t xml:space="preserve"> </w:t>
      </w:r>
      <w:r>
        <w:t>p</w:t>
      </w:r>
      <w:r w:rsidRPr="00636AC6">
        <w:t xml:space="preserve">p. </w:t>
      </w:r>
      <w:r>
        <w:t>67-</w:t>
      </w:r>
      <w:r w:rsidRPr="00636AC6">
        <w:t>6</w:t>
      </w:r>
      <w:r>
        <w:t>9</w:t>
      </w:r>
      <w:r w:rsidRPr="00636AC6">
        <w:t>.</w:t>
      </w:r>
    </w:p>
  </w:footnote>
  <w:footnote w:id="17">
    <w:p w14:paraId="6D5B15B0" w14:textId="77777777" w:rsidR="00610057" w:rsidRDefault="00610057" w:rsidP="00854182">
      <w:pPr>
        <w:pStyle w:val="FootnoteText"/>
      </w:pPr>
      <w:r>
        <w:rPr>
          <w:rStyle w:val="FootnoteReference"/>
        </w:rPr>
        <w:footnoteRef/>
      </w:r>
      <w:r>
        <w:t xml:space="preserve"> </w:t>
      </w:r>
      <w:r>
        <w:tab/>
        <w:t>COAG Energy Council, Australian Gas Market Vision, December 2014.</w:t>
      </w:r>
    </w:p>
  </w:footnote>
  <w:footnote w:id="18">
    <w:p w14:paraId="5A5C039C" w14:textId="0178DEF2" w:rsidR="00610057" w:rsidRDefault="00610057" w:rsidP="00854182">
      <w:pPr>
        <w:pStyle w:val="FootnoteText"/>
      </w:pPr>
      <w:r>
        <w:rPr>
          <w:rStyle w:val="FootnoteReference"/>
        </w:rPr>
        <w:footnoteRef/>
      </w:r>
      <w:r>
        <w:t xml:space="preserve"> </w:t>
      </w:r>
      <w:r>
        <w:tab/>
        <w:t>A</w:t>
      </w:r>
      <w:r w:rsidRPr="00636AC6">
        <w:t xml:space="preserve">EMC, Stage 2 Final Report: </w:t>
      </w:r>
      <w:r>
        <w:t xml:space="preserve">East Coast </w:t>
      </w:r>
      <w:r w:rsidRPr="00636AC6">
        <w:rPr>
          <w:rFonts w:cs="Arial"/>
          <w:iCs/>
        </w:rPr>
        <w:t>Review, 23 May 2016,</w:t>
      </w:r>
      <w:r w:rsidRPr="00636AC6">
        <w:t xml:space="preserve"> </w:t>
      </w:r>
      <w:r>
        <w:t>p</w:t>
      </w:r>
      <w:r w:rsidRPr="00636AC6">
        <w:t xml:space="preserve">p. </w:t>
      </w:r>
      <w:r>
        <w:t>128-129</w:t>
      </w:r>
      <w:r w:rsidRPr="00636AC6">
        <w:t>.</w:t>
      </w:r>
    </w:p>
  </w:footnote>
  <w:footnote w:id="19">
    <w:p w14:paraId="10617278" w14:textId="64D40E39" w:rsidR="00610057" w:rsidRPr="003110AA" w:rsidRDefault="00610057">
      <w:pPr>
        <w:pStyle w:val="FootnoteText"/>
      </w:pPr>
      <w:r>
        <w:rPr>
          <w:rStyle w:val="FootnoteReference"/>
        </w:rPr>
        <w:footnoteRef/>
      </w:r>
      <w:r>
        <w:t xml:space="preserve"> </w:t>
      </w:r>
      <w:r>
        <w:tab/>
        <w:t>A</w:t>
      </w:r>
      <w:r w:rsidRPr="00636AC6">
        <w:t>E</w:t>
      </w:r>
      <w:r w:rsidRPr="003110AA">
        <w:t xml:space="preserve">MC, Stage 2 Final Report: East Coast </w:t>
      </w:r>
      <w:r w:rsidRPr="003110AA">
        <w:rPr>
          <w:rFonts w:cs="Arial"/>
          <w:iCs/>
        </w:rPr>
        <w:t>Review, 23 May 2016,</w:t>
      </w:r>
      <w:r w:rsidRPr="003110AA">
        <w:t xml:space="preserve"> pp. 72-73</w:t>
      </w:r>
    </w:p>
  </w:footnote>
  <w:footnote w:id="20">
    <w:p w14:paraId="0B612837" w14:textId="0A0822B6" w:rsidR="00610057" w:rsidRPr="003110AA" w:rsidRDefault="00610057">
      <w:pPr>
        <w:pStyle w:val="FootnoteText"/>
      </w:pPr>
      <w:r w:rsidRPr="003110AA">
        <w:rPr>
          <w:rStyle w:val="FootnoteReference"/>
        </w:rPr>
        <w:footnoteRef/>
      </w:r>
      <w:r w:rsidRPr="003110AA">
        <w:t xml:space="preserve"> </w:t>
      </w:r>
      <w:r w:rsidRPr="003110AA">
        <w:tab/>
        <w:t xml:space="preserve">The AEMC also pointed to the finding from the ACCC’s Gas Inquiry that the pricing of as available and interruptible services on some pipelines may be adversely affecting the efficient utilisation of capacity. </w:t>
      </w:r>
    </w:p>
    <w:p w14:paraId="75284C79" w14:textId="4DE3544A" w:rsidR="00610057" w:rsidRPr="003110AA" w:rsidRDefault="00610057">
      <w:pPr>
        <w:pStyle w:val="FootnoteText"/>
      </w:pPr>
      <w:r w:rsidRPr="003110AA">
        <w:tab/>
        <w:t xml:space="preserve">AEMC, Stage 2 Final Report: East Coast </w:t>
      </w:r>
      <w:r w:rsidRPr="003110AA">
        <w:rPr>
          <w:rFonts w:cs="Arial"/>
          <w:iCs/>
        </w:rPr>
        <w:t>Review, 23 May 2016,</w:t>
      </w:r>
      <w:r w:rsidRPr="003110AA">
        <w:t xml:space="preserve"> p. 72.</w:t>
      </w:r>
    </w:p>
  </w:footnote>
  <w:footnote w:id="21">
    <w:p w14:paraId="7DB68CB6" w14:textId="36A8084A" w:rsidR="00610057" w:rsidRPr="003110AA" w:rsidRDefault="00610057">
      <w:pPr>
        <w:pStyle w:val="FootnoteText"/>
      </w:pPr>
      <w:r w:rsidRPr="003110AA">
        <w:rPr>
          <w:rStyle w:val="FootnoteReference"/>
        </w:rPr>
        <w:footnoteRef/>
      </w:r>
      <w:r w:rsidRPr="003110AA">
        <w:t xml:space="preserve"> </w:t>
      </w:r>
      <w:r w:rsidRPr="003110AA">
        <w:tab/>
        <w:t>ibid</w:t>
      </w:r>
      <w:r>
        <w:t xml:space="preserve">, </w:t>
      </w:r>
      <w:r w:rsidRPr="003110AA">
        <w:t>p. 73.</w:t>
      </w:r>
    </w:p>
  </w:footnote>
  <w:footnote w:id="22">
    <w:p w14:paraId="7A23931C" w14:textId="60C666C5" w:rsidR="00610057" w:rsidRDefault="00610057">
      <w:pPr>
        <w:pStyle w:val="FootnoteText"/>
      </w:pPr>
      <w:r w:rsidRPr="003110AA">
        <w:rPr>
          <w:rStyle w:val="FootnoteReference"/>
        </w:rPr>
        <w:footnoteRef/>
      </w:r>
      <w:r w:rsidRPr="003110AA">
        <w:t xml:space="preserve"> </w:t>
      </w:r>
      <w:r w:rsidRPr="003110AA">
        <w:tab/>
        <w:t>ibid.</w:t>
      </w:r>
    </w:p>
  </w:footnote>
  <w:footnote w:id="23">
    <w:p w14:paraId="22A7AC96" w14:textId="457C0396" w:rsidR="00610057" w:rsidRDefault="00610057">
      <w:pPr>
        <w:pStyle w:val="FootnoteText"/>
      </w:pPr>
      <w:r>
        <w:rPr>
          <w:rStyle w:val="FootnoteReference"/>
        </w:rPr>
        <w:footnoteRef/>
      </w:r>
      <w:r>
        <w:t xml:space="preserve"> </w:t>
      </w:r>
      <w:r>
        <w:tab/>
        <w:t xml:space="preserve">AEMC, </w:t>
      </w:r>
      <w:r w:rsidRPr="003110AA">
        <w:t xml:space="preserve">Stage 2 </w:t>
      </w:r>
      <w:r>
        <w:t xml:space="preserve">Draft </w:t>
      </w:r>
      <w:r w:rsidRPr="003110AA">
        <w:t xml:space="preserve">Report: East Coast </w:t>
      </w:r>
      <w:r w:rsidRPr="003110AA">
        <w:rPr>
          <w:rFonts w:cs="Arial"/>
          <w:iCs/>
        </w:rPr>
        <w:t xml:space="preserve">Review, </w:t>
      </w:r>
      <w:r>
        <w:rPr>
          <w:rFonts w:cs="Arial"/>
          <w:iCs/>
        </w:rPr>
        <w:t>4</w:t>
      </w:r>
      <w:r w:rsidRPr="003110AA">
        <w:rPr>
          <w:rFonts w:cs="Arial"/>
          <w:iCs/>
        </w:rPr>
        <w:t xml:space="preserve"> </w:t>
      </w:r>
      <w:r>
        <w:rPr>
          <w:rFonts w:cs="Arial"/>
          <w:iCs/>
        </w:rPr>
        <w:t xml:space="preserve">December </w:t>
      </w:r>
      <w:r w:rsidRPr="003110AA">
        <w:rPr>
          <w:rFonts w:cs="Arial"/>
          <w:iCs/>
        </w:rPr>
        <w:t>201</w:t>
      </w:r>
      <w:r>
        <w:rPr>
          <w:rFonts w:cs="Arial"/>
          <w:iCs/>
        </w:rPr>
        <w:t>5</w:t>
      </w:r>
      <w:r w:rsidRPr="003110AA">
        <w:rPr>
          <w:rFonts w:cs="Arial"/>
          <w:iCs/>
        </w:rPr>
        <w:t>,</w:t>
      </w:r>
      <w:r w:rsidRPr="003110AA">
        <w:t xml:space="preserve"> </w:t>
      </w:r>
      <w:r>
        <w:t>pp. 57-58.</w:t>
      </w:r>
    </w:p>
  </w:footnote>
  <w:footnote w:id="24">
    <w:p w14:paraId="3454215C" w14:textId="4DC0969A" w:rsidR="00610057" w:rsidRDefault="00610057">
      <w:pPr>
        <w:pStyle w:val="FootnoteText"/>
      </w:pPr>
      <w:r>
        <w:rPr>
          <w:rStyle w:val="FootnoteReference"/>
        </w:rPr>
        <w:footnoteRef/>
      </w:r>
      <w:r>
        <w:t xml:space="preserve"> </w:t>
      </w:r>
      <w:r>
        <w:tab/>
        <w:t>GMRG, Final Recommendations: Operation and administration of the Capacity Trading Platform(s) and Day-Ahead Auction, July 2017.</w:t>
      </w:r>
    </w:p>
  </w:footnote>
  <w:footnote w:id="25">
    <w:p w14:paraId="3EBFE152" w14:textId="77777777" w:rsidR="00610057" w:rsidRDefault="00610057" w:rsidP="00722010">
      <w:pPr>
        <w:pStyle w:val="FootnoteText"/>
      </w:pPr>
      <w:r>
        <w:rPr>
          <w:rStyle w:val="FootnoteReference"/>
        </w:rPr>
        <w:footnoteRef/>
      </w:r>
      <w:r>
        <w:t xml:space="preserve"> </w:t>
      </w:r>
      <w:r>
        <w:tab/>
        <w:t>COAG Energy Council, 12</w:t>
      </w:r>
      <w:r w:rsidRPr="00C76541">
        <w:rPr>
          <w:vertAlign w:val="superscript"/>
        </w:rPr>
        <w:t>th</w:t>
      </w:r>
      <w:r>
        <w:t xml:space="preserve"> Energy Council Meeting Communique, 14 July 2017.</w:t>
      </w:r>
    </w:p>
  </w:footnote>
  <w:footnote w:id="26">
    <w:p w14:paraId="10B91D76" w14:textId="51C1AD09" w:rsidR="00610057" w:rsidRDefault="00610057">
      <w:pPr>
        <w:pStyle w:val="FootnoteText"/>
      </w:pPr>
      <w:r>
        <w:rPr>
          <w:rStyle w:val="FootnoteReference"/>
        </w:rPr>
        <w:footnoteRef/>
      </w:r>
      <w:r>
        <w:t xml:space="preserve"> </w:t>
      </w:r>
      <w:r>
        <w:tab/>
        <w:t>For example, on the South West Queensland Pipeline there would be an eastern haul and a western haul product.</w:t>
      </w:r>
    </w:p>
  </w:footnote>
  <w:footnote w:id="27">
    <w:p w14:paraId="3779C44B" w14:textId="714E6014" w:rsidR="00610057" w:rsidRDefault="00610057" w:rsidP="00DE1291">
      <w:pPr>
        <w:pStyle w:val="FootnoteText"/>
        <w:spacing w:after="40"/>
      </w:pPr>
      <w:r>
        <w:rPr>
          <w:rStyle w:val="FootnoteReference"/>
        </w:rPr>
        <w:footnoteRef/>
      </w:r>
      <w:r>
        <w:t xml:space="preserve"> </w:t>
      </w:r>
      <w:r>
        <w:tab/>
        <w:t xml:space="preserve">In the east coast, the pipelines that operate in a single direction include, amongst others, the Queensland Gas Pipeline, the Carpentaria Gas Pipeline (CGP), </w:t>
      </w:r>
      <w:proofErr w:type="spellStart"/>
      <w:r>
        <w:t>SEAGas</w:t>
      </w:r>
      <w:proofErr w:type="spellEnd"/>
      <w:r>
        <w:t xml:space="preserve"> Pipeline, the Eastern Gas Pipeline and the Tasmanian Gas Pipeline. </w:t>
      </w:r>
    </w:p>
  </w:footnote>
  <w:footnote w:id="28">
    <w:p w14:paraId="0FC2E4C4" w14:textId="77777777" w:rsidR="00610057" w:rsidRPr="004F7B9E" w:rsidRDefault="00610057" w:rsidP="00D26905">
      <w:pPr>
        <w:pStyle w:val="Default"/>
        <w:spacing w:after="40"/>
        <w:ind w:left="357" w:hanging="357"/>
        <w:rPr>
          <w:rFonts w:asciiTheme="majorHAnsi" w:hAnsiTheme="majorHAnsi" w:cstheme="majorHAnsi"/>
          <w:sz w:val="16"/>
          <w:szCs w:val="16"/>
        </w:rPr>
      </w:pPr>
      <w:r w:rsidRPr="004F7B9E">
        <w:rPr>
          <w:rStyle w:val="FootnoteReference"/>
          <w:rFonts w:asciiTheme="majorHAnsi" w:hAnsiTheme="majorHAnsi" w:cstheme="majorHAnsi"/>
          <w:sz w:val="16"/>
          <w:szCs w:val="16"/>
        </w:rPr>
        <w:footnoteRef/>
      </w:r>
      <w:r w:rsidRPr="004F7B9E">
        <w:rPr>
          <w:rFonts w:asciiTheme="majorHAnsi" w:hAnsiTheme="majorHAnsi" w:cstheme="majorHAnsi"/>
          <w:sz w:val="16"/>
          <w:szCs w:val="16"/>
        </w:rPr>
        <w:t xml:space="preserve"> </w:t>
      </w:r>
      <w:r w:rsidRPr="004F7B9E">
        <w:rPr>
          <w:rFonts w:asciiTheme="majorHAnsi" w:hAnsiTheme="majorHAnsi" w:cstheme="majorHAnsi"/>
          <w:sz w:val="16"/>
          <w:szCs w:val="16"/>
        </w:rPr>
        <w:tab/>
      </w:r>
      <w:r w:rsidRPr="004F7B9E">
        <w:rPr>
          <w:rFonts w:asciiTheme="majorHAnsi" w:eastAsia="Times New Roman" w:hAnsiTheme="majorHAnsi" w:cstheme="majorHAnsi"/>
          <w:sz w:val="16"/>
          <w:szCs w:val="16"/>
        </w:rPr>
        <w:t xml:space="preserve">For example, if </w:t>
      </w:r>
      <w:r>
        <w:rPr>
          <w:rFonts w:asciiTheme="majorHAnsi" w:eastAsia="Times New Roman" w:hAnsiTheme="majorHAnsi" w:cstheme="majorHAnsi"/>
          <w:sz w:val="16"/>
          <w:szCs w:val="16"/>
        </w:rPr>
        <w:t>shippers with forward haul contracts on the CGP wanted to transport 100</w:t>
      </w:r>
      <w:r w:rsidRPr="004F7B9E">
        <w:rPr>
          <w:rFonts w:asciiTheme="majorHAnsi" w:eastAsia="Times New Roman" w:hAnsiTheme="majorHAnsi" w:cstheme="majorHAnsi"/>
          <w:sz w:val="16"/>
          <w:szCs w:val="16"/>
        </w:rPr>
        <w:t xml:space="preserve"> TJ of gas from </w:t>
      </w:r>
      <w:proofErr w:type="spellStart"/>
      <w:r>
        <w:rPr>
          <w:rFonts w:asciiTheme="majorHAnsi" w:eastAsia="Times New Roman" w:hAnsiTheme="majorHAnsi" w:cstheme="majorHAnsi"/>
          <w:sz w:val="16"/>
          <w:szCs w:val="16"/>
        </w:rPr>
        <w:t>Ballera</w:t>
      </w:r>
      <w:proofErr w:type="spellEnd"/>
      <w:r>
        <w:rPr>
          <w:rFonts w:asciiTheme="majorHAnsi" w:eastAsia="Times New Roman" w:hAnsiTheme="majorHAnsi" w:cstheme="majorHAnsi"/>
          <w:sz w:val="16"/>
          <w:szCs w:val="16"/>
        </w:rPr>
        <w:t xml:space="preserve"> to Mt Isa </w:t>
      </w:r>
      <w:r w:rsidRPr="004F7B9E">
        <w:rPr>
          <w:rFonts w:asciiTheme="majorHAnsi" w:eastAsia="Times New Roman" w:hAnsiTheme="majorHAnsi" w:cstheme="majorHAnsi"/>
          <w:sz w:val="16"/>
          <w:szCs w:val="16"/>
        </w:rPr>
        <w:t xml:space="preserve">on a gas day and </w:t>
      </w:r>
      <w:r>
        <w:rPr>
          <w:rFonts w:asciiTheme="majorHAnsi" w:eastAsia="Times New Roman" w:hAnsiTheme="majorHAnsi" w:cstheme="majorHAnsi"/>
          <w:sz w:val="16"/>
          <w:szCs w:val="16"/>
        </w:rPr>
        <w:t xml:space="preserve">another shipper with a backhaul service wanted to ‘’transport’ 10 TJ of gas from Mt Isa to </w:t>
      </w:r>
      <w:proofErr w:type="spellStart"/>
      <w:r>
        <w:rPr>
          <w:rFonts w:asciiTheme="majorHAnsi" w:eastAsia="Times New Roman" w:hAnsiTheme="majorHAnsi" w:cstheme="majorHAnsi"/>
          <w:sz w:val="16"/>
          <w:szCs w:val="16"/>
        </w:rPr>
        <w:t>Ballera</w:t>
      </w:r>
      <w:proofErr w:type="spellEnd"/>
      <w:r>
        <w:rPr>
          <w:rFonts w:asciiTheme="majorHAnsi" w:eastAsia="Times New Roman" w:hAnsiTheme="majorHAnsi" w:cstheme="majorHAnsi"/>
          <w:sz w:val="16"/>
          <w:szCs w:val="16"/>
        </w:rPr>
        <w:t xml:space="preserve">, the service provider </w:t>
      </w:r>
      <w:r w:rsidRPr="004F7B9E">
        <w:rPr>
          <w:rFonts w:asciiTheme="majorHAnsi" w:eastAsia="Times New Roman" w:hAnsiTheme="majorHAnsi" w:cstheme="majorHAnsi"/>
          <w:sz w:val="16"/>
          <w:szCs w:val="16"/>
        </w:rPr>
        <w:t xml:space="preserve">would net the flows of gas and </w:t>
      </w:r>
      <w:r>
        <w:rPr>
          <w:rFonts w:asciiTheme="majorHAnsi" w:eastAsia="Times New Roman" w:hAnsiTheme="majorHAnsi" w:cstheme="majorHAnsi"/>
          <w:sz w:val="16"/>
          <w:szCs w:val="16"/>
        </w:rPr>
        <w:t xml:space="preserve">transport 90 TJ </w:t>
      </w:r>
      <w:r w:rsidRPr="004F7B9E">
        <w:rPr>
          <w:rFonts w:asciiTheme="majorHAnsi" w:eastAsia="Times New Roman" w:hAnsiTheme="majorHAnsi" w:cstheme="majorHAnsi"/>
          <w:sz w:val="16"/>
          <w:szCs w:val="16"/>
        </w:rPr>
        <w:t xml:space="preserve">of gas </w:t>
      </w:r>
      <w:r>
        <w:rPr>
          <w:rFonts w:asciiTheme="majorHAnsi" w:eastAsia="Times New Roman" w:hAnsiTheme="majorHAnsi" w:cstheme="majorHAnsi"/>
          <w:sz w:val="16"/>
          <w:szCs w:val="16"/>
        </w:rPr>
        <w:t xml:space="preserve">to Mt Isa and allow the shipper with the backhaul service to take delivery of the remaining 10 TJ at </w:t>
      </w:r>
      <w:proofErr w:type="spellStart"/>
      <w:r>
        <w:rPr>
          <w:rFonts w:asciiTheme="majorHAnsi" w:eastAsia="Times New Roman" w:hAnsiTheme="majorHAnsi" w:cstheme="majorHAnsi"/>
          <w:sz w:val="16"/>
          <w:szCs w:val="16"/>
        </w:rPr>
        <w:t>Ballera</w:t>
      </w:r>
      <w:proofErr w:type="spellEnd"/>
      <w:r>
        <w:rPr>
          <w:rFonts w:asciiTheme="majorHAnsi" w:eastAsia="Times New Roman" w:hAnsiTheme="majorHAnsi" w:cstheme="majorHAnsi"/>
          <w:sz w:val="16"/>
          <w:szCs w:val="16"/>
        </w:rPr>
        <w:t>.</w:t>
      </w:r>
      <w:r w:rsidRPr="004F7B9E">
        <w:rPr>
          <w:rFonts w:asciiTheme="majorHAnsi" w:eastAsia="Times New Roman" w:hAnsiTheme="majorHAnsi" w:cstheme="majorHAnsi"/>
          <w:sz w:val="16"/>
          <w:szCs w:val="16"/>
        </w:rPr>
        <w:t xml:space="preserve">  </w:t>
      </w:r>
    </w:p>
  </w:footnote>
  <w:footnote w:id="29">
    <w:p w14:paraId="42CEEFD2" w14:textId="77777777" w:rsidR="00610057" w:rsidRDefault="00610057" w:rsidP="00D26905">
      <w:pPr>
        <w:pStyle w:val="FootnoteText"/>
      </w:pPr>
      <w:r>
        <w:rPr>
          <w:rStyle w:val="FootnoteReference"/>
        </w:rPr>
        <w:footnoteRef/>
      </w:r>
      <w:r>
        <w:t xml:space="preserve"> </w:t>
      </w:r>
      <w:r>
        <w:tab/>
        <w:t xml:space="preserve">The administrative costs include the costs associated with netting the forward haul and backhaul flows and making the relevant adjustments to the pipeline schedules. </w:t>
      </w:r>
    </w:p>
  </w:footnote>
  <w:footnote w:id="30">
    <w:p w14:paraId="3C4A00AA" w14:textId="38139E27" w:rsidR="00610057" w:rsidRDefault="00610057">
      <w:pPr>
        <w:pStyle w:val="FootnoteText"/>
      </w:pPr>
      <w:r>
        <w:rPr>
          <w:rStyle w:val="FootnoteReference"/>
        </w:rPr>
        <w:footnoteRef/>
      </w:r>
      <w:r>
        <w:t xml:space="preserve"> </w:t>
      </w:r>
      <w:r>
        <w:tab/>
        <w:t xml:space="preserve">This could occur if the auction results in </w:t>
      </w:r>
      <w:r>
        <w:rPr>
          <w:rFonts w:eastAsiaTheme="minorEastAsia"/>
        </w:rPr>
        <w:t>lower backhaul tariffs, which in turn, results in gas that would otherwise have been considered uncommercial to develop becoming commercially viable to extract.</w:t>
      </w:r>
    </w:p>
  </w:footnote>
  <w:footnote w:id="31">
    <w:p w14:paraId="16255D43" w14:textId="57F46242" w:rsidR="00610057" w:rsidRDefault="00610057">
      <w:pPr>
        <w:pStyle w:val="FootnoteText"/>
      </w:pPr>
      <w:r>
        <w:rPr>
          <w:rStyle w:val="FootnoteReference"/>
        </w:rPr>
        <w:footnoteRef/>
      </w:r>
      <w:r>
        <w:t xml:space="preserve"> </w:t>
      </w:r>
      <w:r>
        <w:tab/>
        <w:t xml:space="preserve">The only cost that service providers incur when providing backhaul services are the administrative costs associated with netting the forward haul and backhaul flows and making the relevant adjustments to the pipeline schedules. </w:t>
      </w:r>
    </w:p>
  </w:footnote>
  <w:footnote w:id="32">
    <w:p w14:paraId="4AD0460C" w14:textId="0054CA93" w:rsidR="00610057" w:rsidRPr="003110AA" w:rsidRDefault="00610057" w:rsidP="00266A5E">
      <w:pPr>
        <w:pStyle w:val="FootnoteText"/>
      </w:pPr>
      <w:r w:rsidRPr="003110AA">
        <w:rPr>
          <w:rStyle w:val="FootnoteReference"/>
        </w:rPr>
        <w:footnoteRef/>
      </w:r>
      <w:r w:rsidRPr="003110AA">
        <w:t xml:space="preserve"> </w:t>
      </w:r>
      <w:r w:rsidRPr="003110AA">
        <w:tab/>
      </w:r>
      <w:r>
        <w:t>ACCC, Inquiry into the east coast gas market, April 2016, p. 110.</w:t>
      </w:r>
    </w:p>
  </w:footnote>
  <w:footnote w:id="33">
    <w:p w14:paraId="1178C339" w14:textId="029DB26F" w:rsidR="00610057" w:rsidRDefault="00610057" w:rsidP="00842D68">
      <w:pPr>
        <w:pStyle w:val="FootnoteText"/>
      </w:pPr>
      <w:r>
        <w:rPr>
          <w:rStyle w:val="FootnoteReference"/>
        </w:rPr>
        <w:footnoteRef/>
      </w:r>
      <w:r>
        <w:t xml:space="preserve"> </w:t>
      </w:r>
      <w:r>
        <w:tab/>
        <w:t>ibid</w:t>
      </w:r>
      <w:r w:rsidRPr="003110AA">
        <w:rPr>
          <w:rFonts w:cs="Arial"/>
          <w:iCs/>
        </w:rPr>
        <w:t>,</w:t>
      </w:r>
      <w:r>
        <w:t xml:space="preserve"> pp. 77 and 81.</w:t>
      </w:r>
    </w:p>
  </w:footnote>
  <w:footnote w:id="34">
    <w:p w14:paraId="625AF55B" w14:textId="0399C5CE" w:rsidR="00610057" w:rsidRDefault="00610057" w:rsidP="00DE1291">
      <w:pPr>
        <w:pStyle w:val="FootnoteText"/>
      </w:pPr>
      <w:r>
        <w:rPr>
          <w:rStyle w:val="FootnoteReference"/>
        </w:rPr>
        <w:footnoteRef/>
      </w:r>
      <w:r>
        <w:t xml:space="preserve"> </w:t>
      </w:r>
      <w:r>
        <w:tab/>
        <w:t>ibid</w:t>
      </w:r>
      <w:r w:rsidRPr="003110AA">
        <w:rPr>
          <w:rFonts w:cs="Arial"/>
          <w:iCs/>
        </w:rPr>
        <w:t>,</w:t>
      </w:r>
      <w:r>
        <w:t xml:space="preserve"> p. 77.</w:t>
      </w:r>
    </w:p>
  </w:footnote>
  <w:footnote w:id="35">
    <w:p w14:paraId="5683962C" w14:textId="77777777" w:rsidR="00610057" w:rsidRDefault="00610057" w:rsidP="00DE1291">
      <w:pPr>
        <w:pStyle w:val="FootnoteText"/>
      </w:pPr>
      <w:r>
        <w:rPr>
          <w:rStyle w:val="FootnoteReference"/>
        </w:rPr>
        <w:footnoteRef/>
      </w:r>
      <w:r>
        <w:t xml:space="preserve"> </w:t>
      </w:r>
      <w:r>
        <w:tab/>
        <w:t>ibid. 77-78.</w:t>
      </w:r>
    </w:p>
  </w:footnote>
  <w:footnote w:id="36">
    <w:p w14:paraId="11250854" w14:textId="77777777" w:rsidR="00610057" w:rsidRDefault="00610057" w:rsidP="00DE1291">
      <w:pPr>
        <w:pStyle w:val="FootnoteText"/>
      </w:pPr>
      <w:r>
        <w:rPr>
          <w:rStyle w:val="FootnoteReference"/>
        </w:rPr>
        <w:footnoteRef/>
      </w:r>
      <w:r>
        <w:t xml:space="preserve"> </w:t>
      </w:r>
      <w:r>
        <w:tab/>
        <w:t>AEMC, Pipeline Access Discussion Paper, 3 March 2016, pp. 65-71.</w:t>
      </w:r>
    </w:p>
  </w:footnote>
  <w:footnote w:id="37">
    <w:p w14:paraId="54BD3909" w14:textId="77777777" w:rsidR="00610057" w:rsidRDefault="00610057" w:rsidP="00DE1291">
      <w:pPr>
        <w:pStyle w:val="FootnoteText"/>
      </w:pPr>
      <w:r>
        <w:rPr>
          <w:rStyle w:val="FootnoteReference"/>
        </w:rPr>
        <w:footnoteRef/>
      </w:r>
      <w:r>
        <w:t xml:space="preserve"> </w:t>
      </w:r>
      <w:r>
        <w:tab/>
      </w:r>
      <w:r w:rsidRPr="003110AA">
        <w:t xml:space="preserve">AEMC, Stage 2 Final Report: East Coast </w:t>
      </w:r>
      <w:r w:rsidRPr="003110AA">
        <w:rPr>
          <w:rFonts w:cs="Arial"/>
          <w:iCs/>
        </w:rPr>
        <w:t>Review, 23 May 2016</w:t>
      </w:r>
      <w:r>
        <w:rPr>
          <w:rFonts w:cs="Arial"/>
          <w:iCs/>
        </w:rPr>
        <w:t xml:space="preserve">, </w:t>
      </w:r>
      <w:r>
        <w:t>78.</w:t>
      </w:r>
    </w:p>
  </w:footnote>
  <w:footnote w:id="38">
    <w:p w14:paraId="5C91F7C0" w14:textId="152CD125" w:rsidR="00610057" w:rsidRDefault="00610057">
      <w:pPr>
        <w:pStyle w:val="FootnoteText"/>
      </w:pPr>
      <w:r>
        <w:rPr>
          <w:rStyle w:val="FootnoteReference"/>
        </w:rPr>
        <w:footnoteRef/>
      </w:r>
      <w:r>
        <w:t xml:space="preserve"> </w:t>
      </w:r>
      <w:r>
        <w:tab/>
        <w:t>ibid, pp. 82-83.</w:t>
      </w:r>
    </w:p>
  </w:footnote>
  <w:footnote w:id="39">
    <w:p w14:paraId="144C891B" w14:textId="13C27979" w:rsidR="00610057" w:rsidRDefault="00610057">
      <w:pPr>
        <w:pStyle w:val="FootnoteText"/>
      </w:pPr>
      <w:r>
        <w:rPr>
          <w:rStyle w:val="FootnoteReference"/>
        </w:rPr>
        <w:footnoteRef/>
      </w:r>
      <w:r>
        <w:t xml:space="preserve"> </w:t>
      </w:r>
      <w:r>
        <w:tab/>
        <w:t>If capacity is curtailed then it could, depending on when the curtailment occurs and if the auction winner has purchased capacity across multiple pipelines, result in the auction winner having to pay service providers imbalance and other charges. They may also incur additional costs trying to source gas from another location or for failing to deliver gas to the end location.</w:t>
      </w:r>
    </w:p>
  </w:footnote>
  <w:footnote w:id="40">
    <w:p w14:paraId="3E136CEA" w14:textId="70C6EED0" w:rsidR="00610057" w:rsidRDefault="00610057">
      <w:pPr>
        <w:pStyle w:val="FootnoteText"/>
      </w:pPr>
      <w:r>
        <w:rPr>
          <w:rStyle w:val="FootnoteReference"/>
        </w:rPr>
        <w:footnoteRef/>
      </w:r>
      <w:r>
        <w:t xml:space="preserve"> </w:t>
      </w:r>
      <w:r>
        <w:tab/>
        <w:t>The risk of curtailment has been measured by comparing the firm nominations for gas day D-1 with actual deliveries on gas day D.</w:t>
      </w:r>
    </w:p>
  </w:footnote>
  <w:footnote w:id="41">
    <w:p w14:paraId="332226E1" w14:textId="6ED2E061" w:rsidR="00610057" w:rsidRDefault="00610057" w:rsidP="00C926E7">
      <w:pPr>
        <w:pStyle w:val="FootnoteText"/>
        <w:spacing w:before="0" w:after="0"/>
      </w:pPr>
      <w:r>
        <w:rPr>
          <w:rStyle w:val="FootnoteReference"/>
        </w:rPr>
        <w:footnoteRef/>
      </w:r>
      <w:r>
        <w:t xml:space="preserve"> </w:t>
      </w:r>
      <w:r>
        <w:tab/>
        <w:t xml:space="preserve">AEMC, </w:t>
      </w:r>
      <w:r w:rsidRPr="003110AA">
        <w:t xml:space="preserve">Stage 2 </w:t>
      </w:r>
      <w:r>
        <w:t xml:space="preserve">Draft </w:t>
      </w:r>
      <w:r w:rsidRPr="003110AA">
        <w:t xml:space="preserve">Report: East Coast </w:t>
      </w:r>
      <w:r w:rsidRPr="003110AA">
        <w:rPr>
          <w:rFonts w:cs="Arial"/>
          <w:iCs/>
        </w:rPr>
        <w:t xml:space="preserve">Review, </w:t>
      </w:r>
      <w:r>
        <w:rPr>
          <w:rFonts w:cs="Arial"/>
          <w:iCs/>
        </w:rPr>
        <w:t>4</w:t>
      </w:r>
      <w:r w:rsidRPr="003110AA">
        <w:rPr>
          <w:rFonts w:cs="Arial"/>
          <w:iCs/>
        </w:rPr>
        <w:t xml:space="preserve"> </w:t>
      </w:r>
      <w:r>
        <w:rPr>
          <w:rFonts w:cs="Arial"/>
          <w:iCs/>
        </w:rPr>
        <w:t xml:space="preserve">December </w:t>
      </w:r>
      <w:r w:rsidRPr="003110AA">
        <w:rPr>
          <w:rFonts w:cs="Arial"/>
          <w:iCs/>
        </w:rPr>
        <w:t>201</w:t>
      </w:r>
      <w:r>
        <w:rPr>
          <w:rFonts w:cs="Arial"/>
          <w:iCs/>
        </w:rPr>
        <w:t>5</w:t>
      </w:r>
      <w:r w:rsidRPr="003110AA">
        <w:rPr>
          <w:rFonts w:cs="Arial"/>
          <w:iCs/>
        </w:rPr>
        <w:t>,</w:t>
      </w:r>
      <w:r w:rsidRPr="003110AA">
        <w:t xml:space="preserve"> </w:t>
      </w:r>
      <w:r>
        <w:t>pp. 57-58.</w:t>
      </w:r>
    </w:p>
  </w:footnote>
  <w:footnote w:id="42">
    <w:p w14:paraId="017F64EC" w14:textId="77777777" w:rsidR="00610057" w:rsidRDefault="00610057" w:rsidP="00705190">
      <w:pPr>
        <w:pStyle w:val="FootnoteText"/>
      </w:pPr>
      <w:r>
        <w:rPr>
          <w:rStyle w:val="FootnoteReference"/>
        </w:rPr>
        <w:footnoteRef/>
      </w:r>
      <w:r>
        <w:t xml:space="preserve"> </w:t>
      </w:r>
      <w:r>
        <w:tab/>
        <w:t>An imbalance arises when the shipper’s receipts differ from its deliveries. The imbalance may be positive or negative.</w:t>
      </w:r>
    </w:p>
  </w:footnote>
  <w:footnote w:id="43">
    <w:p w14:paraId="15F2AA14" w14:textId="1129E580" w:rsidR="00610057" w:rsidRPr="00623B58" w:rsidRDefault="00610057" w:rsidP="00623B58">
      <w:pPr>
        <w:pStyle w:val="BodyText"/>
        <w:spacing w:before="40" w:after="40"/>
        <w:ind w:left="357" w:hanging="357"/>
        <w:rPr>
          <w:sz w:val="16"/>
          <w:szCs w:val="16"/>
        </w:rPr>
      </w:pPr>
      <w:r w:rsidRPr="00623B58">
        <w:rPr>
          <w:rStyle w:val="FootnoteReference"/>
          <w:sz w:val="16"/>
          <w:szCs w:val="16"/>
        </w:rPr>
        <w:footnoteRef/>
      </w:r>
      <w:r w:rsidRPr="00623B58">
        <w:rPr>
          <w:sz w:val="16"/>
          <w:szCs w:val="16"/>
        </w:rPr>
        <w:t xml:space="preserve"> </w:t>
      </w:r>
      <w:r w:rsidRPr="00623B58">
        <w:rPr>
          <w:sz w:val="16"/>
          <w:szCs w:val="16"/>
        </w:rPr>
        <w:tab/>
        <w:t>Secondary firm rights allow shippers to use any receipt or delivery points within a zone subject to the following priority schedule:</w:t>
      </w:r>
    </w:p>
    <w:p w14:paraId="19738D19" w14:textId="77777777" w:rsidR="00610057" w:rsidRPr="00623B58" w:rsidRDefault="00610057" w:rsidP="00623B58">
      <w:pPr>
        <w:pStyle w:val="ListBullet"/>
        <w:spacing w:before="40" w:after="40"/>
        <w:ind w:left="714"/>
        <w:rPr>
          <w:sz w:val="16"/>
          <w:szCs w:val="16"/>
        </w:rPr>
      </w:pPr>
      <w:r w:rsidRPr="00623B58">
        <w:rPr>
          <w:sz w:val="16"/>
          <w:szCs w:val="16"/>
        </w:rPr>
        <w:t xml:space="preserve">primary shippers with firm rights at a receipt or delivery point have the highest priority; </w:t>
      </w:r>
    </w:p>
    <w:p w14:paraId="00F8A4AB" w14:textId="77777777" w:rsidR="00610057" w:rsidRPr="00623B58" w:rsidRDefault="00610057" w:rsidP="00623B58">
      <w:pPr>
        <w:pStyle w:val="ListBullet"/>
        <w:spacing w:before="40" w:after="40"/>
        <w:ind w:left="714"/>
        <w:rPr>
          <w:sz w:val="16"/>
          <w:szCs w:val="16"/>
        </w:rPr>
      </w:pPr>
      <w:r w:rsidRPr="00623B58">
        <w:rPr>
          <w:sz w:val="16"/>
          <w:szCs w:val="16"/>
        </w:rPr>
        <w:t>shippers with secondary firm rights have the second highest priority and are treated equally if there is insufficient capacity at a point (i.e. they all receive a pro-rata allocation of capacity); and</w:t>
      </w:r>
    </w:p>
    <w:p w14:paraId="11882133" w14:textId="434DC058" w:rsidR="00610057" w:rsidRDefault="00610057" w:rsidP="00705190">
      <w:pPr>
        <w:pStyle w:val="ListBullet"/>
        <w:spacing w:before="40" w:after="40"/>
        <w:ind w:left="714"/>
      </w:pPr>
      <w:proofErr w:type="gramStart"/>
      <w:r w:rsidRPr="00623B58">
        <w:rPr>
          <w:sz w:val="16"/>
          <w:szCs w:val="16"/>
        </w:rPr>
        <w:t>shippers</w:t>
      </w:r>
      <w:proofErr w:type="gramEnd"/>
      <w:r w:rsidRPr="00623B58">
        <w:rPr>
          <w:sz w:val="16"/>
          <w:szCs w:val="16"/>
        </w:rPr>
        <w:t xml:space="preserve"> with as available or interruptible rights at a receipt or delivery point have a lower priority than shippers with secondary firm rights.</w:t>
      </w:r>
      <w:r>
        <w:t xml:space="preserve"> </w:t>
      </w:r>
    </w:p>
  </w:footnote>
  <w:footnote w:id="44">
    <w:p w14:paraId="35BA3E26" w14:textId="39AD9348" w:rsidR="00610057" w:rsidRDefault="00610057">
      <w:pPr>
        <w:pStyle w:val="FootnoteText"/>
      </w:pPr>
      <w:r>
        <w:rPr>
          <w:rStyle w:val="FootnoteReference"/>
        </w:rPr>
        <w:footnoteRef/>
      </w:r>
      <w:r>
        <w:t xml:space="preserve"> </w:t>
      </w:r>
      <w:r>
        <w:tab/>
      </w:r>
      <w:r w:rsidRPr="00705190">
        <w:t>http://gmrg.coagenergycouncil.gov.au/publications/standardisation-related-reforms-and-capacity-trading-platform-consultation-paper</w:t>
      </w:r>
    </w:p>
  </w:footnote>
  <w:footnote w:id="45">
    <w:p w14:paraId="271A05EA" w14:textId="4839BAB1" w:rsidR="00610057" w:rsidRDefault="00610057">
      <w:pPr>
        <w:pStyle w:val="FootnoteText"/>
      </w:pPr>
      <w:r>
        <w:rPr>
          <w:rStyle w:val="FootnoteReference"/>
        </w:rPr>
        <w:footnoteRef/>
      </w:r>
      <w:r>
        <w:t xml:space="preserve"> </w:t>
      </w:r>
      <w:r>
        <w:tab/>
        <w:t>AEMC, Rule Determination: National Gas Amendment (Improvements to Natural Gas Bulletin Board) Rule 2017, 26 September 2017, p. 40.</w:t>
      </w:r>
    </w:p>
  </w:footnote>
  <w:footnote w:id="46">
    <w:p w14:paraId="28EFC2BB" w14:textId="77777777" w:rsidR="00610057" w:rsidRDefault="00610057" w:rsidP="00907A3A">
      <w:pPr>
        <w:pStyle w:val="FootnoteText"/>
      </w:pPr>
      <w:r>
        <w:rPr>
          <w:rStyle w:val="FootnoteReference"/>
        </w:rPr>
        <w:footnoteRef/>
      </w:r>
      <w:r>
        <w:t xml:space="preserve"> </w:t>
      </w:r>
      <w:r>
        <w:tab/>
        <w:t>A</w:t>
      </w:r>
      <w:r w:rsidRPr="00636AC6">
        <w:t>E</w:t>
      </w:r>
      <w:r w:rsidRPr="003110AA">
        <w:t xml:space="preserve">MC, Stage 2 Final Report: East Coast </w:t>
      </w:r>
      <w:r w:rsidRPr="003110AA">
        <w:rPr>
          <w:rFonts w:cs="Arial"/>
          <w:iCs/>
        </w:rPr>
        <w:t>Review, 23 May 2016,</w:t>
      </w:r>
      <w:r>
        <w:rPr>
          <w:rFonts w:cs="Arial"/>
          <w:iCs/>
        </w:rPr>
        <w:t xml:space="preserve"> pp. 76-77.</w:t>
      </w:r>
    </w:p>
  </w:footnote>
  <w:footnote w:id="47">
    <w:p w14:paraId="110E56DB" w14:textId="77777777" w:rsidR="00610057" w:rsidRDefault="00610057" w:rsidP="00907A3A">
      <w:pPr>
        <w:pStyle w:val="FootnoteText"/>
      </w:pPr>
      <w:r>
        <w:rPr>
          <w:rStyle w:val="FootnoteReference"/>
        </w:rPr>
        <w:footnoteRef/>
      </w:r>
      <w:r>
        <w:t xml:space="preserve"> </w:t>
      </w:r>
      <w:r>
        <w:tab/>
        <w:t>ibid, p. 77.</w:t>
      </w:r>
    </w:p>
  </w:footnote>
  <w:footnote w:id="48">
    <w:p w14:paraId="49E93732" w14:textId="632C2ECA" w:rsidR="00610057" w:rsidRDefault="00610057">
      <w:pPr>
        <w:pStyle w:val="FootnoteText"/>
      </w:pPr>
      <w:r>
        <w:rPr>
          <w:rStyle w:val="FootnoteReference"/>
        </w:rPr>
        <w:footnoteRef/>
      </w:r>
      <w:r>
        <w:t xml:space="preserve"> </w:t>
      </w:r>
      <w:r>
        <w:tab/>
        <w:t>A</w:t>
      </w:r>
      <w:r w:rsidRPr="00636AC6">
        <w:t>E</w:t>
      </w:r>
      <w:r w:rsidRPr="003110AA">
        <w:t xml:space="preserve">MC, Stage 2 Final Report: East Coast </w:t>
      </w:r>
      <w:r w:rsidRPr="003110AA">
        <w:rPr>
          <w:rFonts w:cs="Arial"/>
          <w:iCs/>
        </w:rPr>
        <w:t>Review, 23 May 2016,</w:t>
      </w:r>
      <w:r>
        <w:rPr>
          <w:rFonts w:cs="Arial"/>
          <w:iCs/>
        </w:rPr>
        <w:t xml:space="preserve"> pp. 78-79.</w:t>
      </w:r>
    </w:p>
  </w:footnote>
  <w:footnote w:id="49">
    <w:p w14:paraId="7ABE32C7" w14:textId="77777777" w:rsidR="00610057" w:rsidRPr="00334C4C" w:rsidRDefault="00610057" w:rsidP="00390E2A">
      <w:pPr>
        <w:pStyle w:val="FootnoteText"/>
        <w:rPr>
          <w:lang w:val="en-US"/>
        </w:rPr>
      </w:pPr>
      <w:r>
        <w:rPr>
          <w:rStyle w:val="FootnoteReference"/>
        </w:rPr>
        <w:footnoteRef/>
      </w:r>
      <w:r>
        <w:t xml:space="preserve"> </w:t>
      </w:r>
      <w:r>
        <w:rPr>
          <w:lang w:val="en-US"/>
        </w:rPr>
        <w:tab/>
        <w:t>The total number of bids required is calculated as follows: (1+number of increments</w:t>
      </w:r>
      <w:proofErr w:type="gramStart"/>
      <w:r>
        <w:rPr>
          <w:lang w:val="en-US"/>
        </w:rPr>
        <w:t>)^</w:t>
      </w:r>
      <w:proofErr w:type="gramEnd"/>
      <w:r>
        <w:rPr>
          <w:lang w:val="en-US"/>
        </w:rPr>
        <w:t>(number of routes).</w:t>
      </w:r>
    </w:p>
  </w:footnote>
  <w:footnote w:id="50">
    <w:p w14:paraId="4D03FA7A" w14:textId="77777777" w:rsidR="00610057" w:rsidRDefault="00610057" w:rsidP="0012639B">
      <w:pPr>
        <w:pStyle w:val="FootnoteText"/>
      </w:pPr>
      <w:r>
        <w:rPr>
          <w:rStyle w:val="FootnoteReference"/>
        </w:rPr>
        <w:footnoteRef/>
      </w:r>
      <w:r>
        <w:t xml:space="preserve"> </w:t>
      </w:r>
      <w:r>
        <w:tab/>
        <w:t>AEM</w:t>
      </w:r>
      <w:r w:rsidRPr="00721A02">
        <w:rPr>
          <w:szCs w:val="16"/>
        </w:rPr>
        <w:t xml:space="preserve">C, Stage 2 Final Report: </w:t>
      </w:r>
      <w:r w:rsidRPr="00721A02">
        <w:rPr>
          <w:rFonts w:cs="Arial"/>
          <w:i/>
          <w:iCs/>
          <w:szCs w:val="16"/>
        </w:rPr>
        <w:t>East Coast Review</w:t>
      </w:r>
      <w:r w:rsidRPr="00721A02">
        <w:rPr>
          <w:rFonts w:cs="Arial"/>
          <w:iCs/>
          <w:szCs w:val="16"/>
        </w:rPr>
        <w:t>, 23 May 2016,</w:t>
      </w:r>
      <w:r w:rsidRPr="00721A02">
        <w:rPr>
          <w:szCs w:val="16"/>
        </w:rPr>
        <w:t xml:space="preserve"> p. 75.</w:t>
      </w:r>
    </w:p>
  </w:footnote>
  <w:footnote w:id="51">
    <w:p w14:paraId="2CAD03F9" w14:textId="77777777" w:rsidR="00610057" w:rsidRDefault="00610057" w:rsidP="0012639B">
      <w:pPr>
        <w:pStyle w:val="FootnoteText"/>
      </w:pPr>
      <w:r>
        <w:rPr>
          <w:rStyle w:val="FootnoteReference"/>
        </w:rPr>
        <w:footnoteRef/>
      </w:r>
      <w:r>
        <w:t xml:space="preserve"> </w:t>
      </w:r>
      <w:r>
        <w:tab/>
        <w:t xml:space="preserve">NERA, </w:t>
      </w:r>
      <w:proofErr w:type="gramStart"/>
      <w:r>
        <w:t>Determining</w:t>
      </w:r>
      <w:proofErr w:type="gramEnd"/>
      <w:r>
        <w:t xml:space="preserve"> a reserve price for a short term gas transmission auction, February 2016.</w:t>
      </w:r>
    </w:p>
  </w:footnote>
  <w:footnote w:id="52">
    <w:p w14:paraId="047E1F48" w14:textId="77777777" w:rsidR="00610057" w:rsidRDefault="00610057" w:rsidP="0012639B">
      <w:pPr>
        <w:pStyle w:val="FootnoteText"/>
      </w:pPr>
      <w:r>
        <w:rPr>
          <w:rStyle w:val="FootnoteReference"/>
        </w:rPr>
        <w:footnoteRef/>
      </w:r>
      <w:r>
        <w:t xml:space="preserve"> </w:t>
      </w:r>
      <w:r>
        <w:tab/>
        <w:t xml:space="preserve">AEMC, </w:t>
      </w:r>
      <w:r w:rsidRPr="00721A02">
        <w:rPr>
          <w:szCs w:val="16"/>
        </w:rPr>
        <w:t xml:space="preserve">Stage 2 Final Report: </w:t>
      </w:r>
      <w:r w:rsidRPr="00721A02">
        <w:rPr>
          <w:rFonts w:cs="Arial"/>
          <w:i/>
          <w:iCs/>
          <w:szCs w:val="16"/>
        </w:rPr>
        <w:t>East Coast Review</w:t>
      </w:r>
      <w:r w:rsidRPr="00721A02">
        <w:rPr>
          <w:rFonts w:cs="Arial"/>
          <w:iCs/>
          <w:szCs w:val="16"/>
        </w:rPr>
        <w:t>, 23 May 2016,</w:t>
      </w:r>
      <w:r w:rsidRPr="00721A02">
        <w:rPr>
          <w:szCs w:val="16"/>
        </w:rPr>
        <w:t xml:space="preserve"> p. 75</w:t>
      </w:r>
    </w:p>
  </w:footnote>
  <w:footnote w:id="53">
    <w:p w14:paraId="6AC25117" w14:textId="062ED8FB" w:rsidR="00610057" w:rsidRDefault="00610057">
      <w:pPr>
        <w:pStyle w:val="FootnoteText"/>
      </w:pPr>
      <w:r>
        <w:rPr>
          <w:rStyle w:val="FootnoteReference"/>
        </w:rPr>
        <w:footnoteRef/>
      </w:r>
      <w:r>
        <w:t xml:space="preserve"> </w:t>
      </w:r>
      <w:r>
        <w:tab/>
        <w:t>See for example, Epic, Submission to Pipeline Access Discussion Paper, 29 March 2016, p. 6, APA, Submission to Pipeline Access Discussion Paper, 1 April 2016, p. 16 and APGA, Submission to Pipeline Access Discussion Paper, 29 March 2016, p. 21.</w:t>
      </w:r>
    </w:p>
  </w:footnote>
  <w:footnote w:id="54">
    <w:p w14:paraId="1F2B2ECD" w14:textId="75DDF3A2" w:rsidR="00610057" w:rsidRPr="00721A02" w:rsidRDefault="00610057">
      <w:pPr>
        <w:pStyle w:val="FootnoteText"/>
        <w:rPr>
          <w:szCs w:val="16"/>
        </w:rPr>
      </w:pPr>
      <w:r>
        <w:rPr>
          <w:rStyle w:val="FootnoteReference"/>
        </w:rPr>
        <w:footnoteRef/>
      </w:r>
      <w:r>
        <w:t xml:space="preserve"> </w:t>
      </w:r>
      <w:r>
        <w:tab/>
        <w:t>Under the s</w:t>
      </w:r>
      <w:r w:rsidRPr="00721A02">
        <w:rPr>
          <w:szCs w:val="16"/>
        </w:rPr>
        <w:t>econd price rule, winning bidders pay the minimum amount they would have needed to bid in order to win the auction.</w:t>
      </w:r>
    </w:p>
  </w:footnote>
  <w:footnote w:id="55">
    <w:p w14:paraId="35D937AC" w14:textId="349F6FE9" w:rsidR="00610057" w:rsidRPr="00721A02" w:rsidRDefault="00610057" w:rsidP="00011733">
      <w:pPr>
        <w:pStyle w:val="FootnoteText"/>
        <w:rPr>
          <w:szCs w:val="16"/>
        </w:rPr>
      </w:pPr>
      <w:r w:rsidRPr="00721A02">
        <w:rPr>
          <w:rStyle w:val="FootnoteReference"/>
          <w:szCs w:val="16"/>
        </w:rPr>
        <w:footnoteRef/>
      </w:r>
      <w:r w:rsidRPr="00721A02">
        <w:rPr>
          <w:szCs w:val="16"/>
        </w:rPr>
        <w:t xml:space="preserve"> </w:t>
      </w:r>
      <w:r w:rsidRPr="00721A02">
        <w:rPr>
          <w:szCs w:val="16"/>
        </w:rPr>
        <w:tab/>
        <w:t xml:space="preserve">AEMC, Stage 2 Final Report: </w:t>
      </w:r>
      <w:r w:rsidRPr="00721A02">
        <w:rPr>
          <w:rFonts w:cs="Arial"/>
          <w:i/>
          <w:iCs/>
          <w:szCs w:val="16"/>
        </w:rPr>
        <w:t>East Coast Review</w:t>
      </w:r>
      <w:r w:rsidRPr="00721A02">
        <w:rPr>
          <w:rFonts w:cs="Arial"/>
          <w:iCs/>
          <w:szCs w:val="16"/>
        </w:rPr>
        <w:t>, 23 May 2016,</w:t>
      </w:r>
      <w:r w:rsidRPr="00721A02">
        <w:rPr>
          <w:szCs w:val="16"/>
        </w:rPr>
        <w:t xml:space="preserve"> p. 130.</w:t>
      </w:r>
    </w:p>
  </w:footnote>
  <w:footnote w:id="56">
    <w:p w14:paraId="57ED90A2" w14:textId="77777777" w:rsidR="00610057" w:rsidRPr="0025744E" w:rsidRDefault="00610057" w:rsidP="007F5AB0">
      <w:pPr>
        <w:pStyle w:val="FootnoteText"/>
        <w:rPr>
          <w:szCs w:val="16"/>
          <w:lang w:val="en-US"/>
        </w:rPr>
      </w:pPr>
      <w:r w:rsidRPr="0025744E">
        <w:rPr>
          <w:rStyle w:val="FootnoteReference"/>
          <w:szCs w:val="16"/>
        </w:rPr>
        <w:footnoteRef/>
      </w:r>
      <w:r w:rsidRPr="0025744E">
        <w:rPr>
          <w:szCs w:val="16"/>
        </w:rPr>
        <w:t xml:space="preserve"> </w:t>
      </w:r>
      <w:r w:rsidRPr="0025744E">
        <w:rPr>
          <w:szCs w:val="16"/>
          <w:lang w:val="en-US"/>
        </w:rPr>
        <w:tab/>
      </w:r>
      <w:r>
        <w:rPr>
          <w:szCs w:val="16"/>
          <w:lang w:val="en-US"/>
        </w:rPr>
        <w:t>This is the “revenue-equivalence theorem, f</w:t>
      </w:r>
      <w:r w:rsidRPr="0025744E">
        <w:rPr>
          <w:szCs w:val="16"/>
          <w:lang w:val="en-US"/>
        </w:rPr>
        <w:t xml:space="preserve">irst demonstrated by </w:t>
      </w:r>
      <w:proofErr w:type="spellStart"/>
      <w:r w:rsidRPr="0025744E">
        <w:rPr>
          <w:szCs w:val="16"/>
          <w:lang w:val="en-US"/>
        </w:rPr>
        <w:t>Vickrey</w:t>
      </w:r>
      <w:proofErr w:type="spellEnd"/>
      <w:r w:rsidRPr="0025744E">
        <w:rPr>
          <w:szCs w:val="16"/>
          <w:lang w:val="en-US"/>
        </w:rPr>
        <w:t xml:space="preserve"> (1961) </w:t>
      </w:r>
      <w:r>
        <w:rPr>
          <w:szCs w:val="16"/>
          <w:lang w:val="en-US"/>
        </w:rPr>
        <w:t>in</w:t>
      </w:r>
      <w:r w:rsidRPr="0025744E">
        <w:rPr>
          <w:szCs w:val="16"/>
          <w:lang w:val="en-US"/>
        </w:rPr>
        <w:t xml:space="preserve"> “</w:t>
      </w:r>
      <w:proofErr w:type="spellStart"/>
      <w:r w:rsidRPr="0025744E">
        <w:rPr>
          <w:szCs w:val="16"/>
          <w:lang w:val="en-US"/>
        </w:rPr>
        <w:t>Counterspeculation</w:t>
      </w:r>
      <w:proofErr w:type="spellEnd"/>
      <w:r w:rsidRPr="0025744E">
        <w:rPr>
          <w:szCs w:val="16"/>
          <w:lang w:val="en-US"/>
        </w:rPr>
        <w:t>, Auctions and Competitive sealed tenders”</w:t>
      </w:r>
    </w:p>
  </w:footnote>
  <w:footnote w:id="57">
    <w:p w14:paraId="4FD2720A" w14:textId="77777777" w:rsidR="00610057" w:rsidRPr="0025744E" w:rsidRDefault="00610057" w:rsidP="007F5AB0">
      <w:pPr>
        <w:pStyle w:val="BodyText"/>
        <w:spacing w:before="60" w:after="60"/>
        <w:ind w:left="357" w:hanging="357"/>
        <w:rPr>
          <w:sz w:val="16"/>
          <w:szCs w:val="16"/>
        </w:rPr>
      </w:pPr>
      <w:r w:rsidRPr="0025744E">
        <w:rPr>
          <w:rStyle w:val="FootnoteReference"/>
          <w:sz w:val="16"/>
          <w:szCs w:val="16"/>
        </w:rPr>
        <w:footnoteRef/>
      </w:r>
      <w:r w:rsidRPr="0025744E">
        <w:rPr>
          <w:sz w:val="16"/>
          <w:szCs w:val="16"/>
        </w:rPr>
        <w:t xml:space="preserve"> </w:t>
      </w:r>
      <w:r w:rsidRPr="0025744E">
        <w:rPr>
          <w:sz w:val="16"/>
          <w:szCs w:val="16"/>
        </w:rPr>
        <w:tab/>
      </w:r>
      <w:r w:rsidRPr="0025744E">
        <w:rPr>
          <w:sz w:val="16"/>
          <w:szCs w:val="16"/>
          <w:lang w:val="en-US"/>
        </w:rPr>
        <w:t xml:space="preserve">Participants in a first price auction will factor in their expectation of the likely competition as well as bids from other bidders when determining bid amounts. If there is little competition for particular products or even spare capacity, participants are going to bid close to or even $0 in a first price auction. </w:t>
      </w:r>
      <w:r w:rsidRPr="0025744E">
        <w:rPr>
          <w:sz w:val="16"/>
          <w:szCs w:val="16"/>
        </w:rPr>
        <w:t xml:space="preserve">Over time, participants would be expected to develop a good understanding of likely competition in the auction and therefore revenues in a first price and pay-as-cleared auction would be expected to be similar in the longer term. </w:t>
      </w:r>
    </w:p>
  </w:footnote>
  <w:footnote w:id="58">
    <w:p w14:paraId="7495CBA4" w14:textId="77777777" w:rsidR="00610057" w:rsidRPr="008A1C52" w:rsidRDefault="00610057" w:rsidP="007F5AB0">
      <w:pPr>
        <w:pStyle w:val="FootnoteText"/>
        <w:rPr>
          <w:lang w:val="en-US"/>
        </w:rPr>
      </w:pPr>
      <w:r>
        <w:rPr>
          <w:rStyle w:val="FootnoteReference"/>
        </w:rPr>
        <w:footnoteRef/>
      </w:r>
      <w:r>
        <w:t xml:space="preserve"> </w:t>
      </w:r>
      <w:r>
        <w:tab/>
        <w:t>The reason why these bids are not cleared is not because they either violate their minimum requirement and/or another bid in their XOR set is already filled.</w:t>
      </w:r>
    </w:p>
  </w:footnote>
  <w:footnote w:id="59">
    <w:p w14:paraId="5718A096" w14:textId="77777777" w:rsidR="00610057" w:rsidRPr="007A1312" w:rsidRDefault="00610057" w:rsidP="005635CA">
      <w:pPr>
        <w:pStyle w:val="FootnoteText"/>
        <w:spacing w:before="0" w:after="0"/>
        <w:rPr>
          <w:lang w:val="en-US"/>
        </w:rPr>
      </w:pPr>
      <w:r>
        <w:rPr>
          <w:rStyle w:val="FootnoteReference"/>
        </w:rPr>
        <w:footnoteRef/>
      </w:r>
      <w:r>
        <w:t xml:space="preserve"> </w:t>
      </w:r>
      <w:r>
        <w:rPr>
          <w:lang w:val="en-US"/>
        </w:rPr>
        <w:tab/>
        <w:t xml:space="preserve">Note the available quantities do not have to be the same across the relevant products for this issue to arise. In the example above, there are 200 units available of products S1 and S2, respectively. However, the problem would also arise if, say 300 units were available for S2 instead and a fourth shipper, B4, submitted a bid of $60 for 100 units of that product. </w:t>
      </w:r>
    </w:p>
  </w:footnote>
  <w:footnote w:id="60">
    <w:p w14:paraId="6D4E2875" w14:textId="66F70FE6" w:rsidR="00610057" w:rsidRDefault="00610057" w:rsidP="007F5AB0">
      <w:pPr>
        <w:pStyle w:val="FootnoteText"/>
      </w:pPr>
      <w:r w:rsidRPr="0025744E">
        <w:rPr>
          <w:rStyle w:val="FootnoteReference"/>
          <w:szCs w:val="16"/>
        </w:rPr>
        <w:footnoteRef/>
      </w:r>
      <w:r w:rsidRPr="0025744E">
        <w:rPr>
          <w:szCs w:val="16"/>
        </w:rPr>
        <w:t xml:space="preserve"> </w:t>
      </w:r>
      <w:r w:rsidRPr="0025744E">
        <w:rPr>
          <w:szCs w:val="16"/>
        </w:rPr>
        <w:tab/>
      </w:r>
      <w:r w:rsidRPr="00721A02">
        <w:rPr>
          <w:szCs w:val="16"/>
        </w:rPr>
        <w:t xml:space="preserve">AEMC, Stage 2 Final Report: </w:t>
      </w:r>
      <w:r w:rsidRPr="00721A02">
        <w:rPr>
          <w:rFonts w:cs="Arial"/>
          <w:i/>
          <w:iCs/>
          <w:szCs w:val="16"/>
        </w:rPr>
        <w:t>East Coast Review</w:t>
      </w:r>
      <w:r w:rsidRPr="00721A02">
        <w:rPr>
          <w:rFonts w:cs="Arial"/>
          <w:iCs/>
          <w:szCs w:val="16"/>
        </w:rPr>
        <w:t>, 23 May 2016,</w:t>
      </w:r>
      <w:r w:rsidRPr="00721A02">
        <w:rPr>
          <w:szCs w:val="16"/>
        </w:rPr>
        <w:t xml:space="preserve"> p.80.</w:t>
      </w:r>
      <w:r>
        <w:rPr>
          <w:szCs w:val="16"/>
        </w:rPr>
        <w:t xml:space="preserve"> </w:t>
      </w:r>
    </w:p>
  </w:footnote>
  <w:footnote w:id="61">
    <w:p w14:paraId="13D8DF8C" w14:textId="424D7FF3" w:rsidR="00610057" w:rsidRDefault="00610057">
      <w:pPr>
        <w:pStyle w:val="FootnoteText"/>
      </w:pPr>
      <w:r>
        <w:rPr>
          <w:rStyle w:val="FootnoteReference"/>
        </w:rPr>
        <w:footnoteRef/>
      </w:r>
      <w:r>
        <w:t xml:space="preserve"> </w:t>
      </w:r>
      <w:r>
        <w:tab/>
        <w:t xml:space="preserve">AEMC, </w:t>
      </w:r>
      <w:r w:rsidRPr="00721A02">
        <w:rPr>
          <w:szCs w:val="16"/>
        </w:rPr>
        <w:t xml:space="preserve">Stage 2 Final Report: </w:t>
      </w:r>
      <w:r w:rsidRPr="00721A02">
        <w:rPr>
          <w:rFonts w:cs="Arial"/>
          <w:i/>
          <w:iCs/>
          <w:szCs w:val="16"/>
        </w:rPr>
        <w:t>East Coast Review</w:t>
      </w:r>
      <w:r w:rsidRPr="00721A02">
        <w:rPr>
          <w:rFonts w:cs="Arial"/>
          <w:iCs/>
          <w:szCs w:val="16"/>
        </w:rPr>
        <w:t>, 23 May 2016,</w:t>
      </w:r>
      <w:r>
        <w:rPr>
          <w:rFonts w:cs="Arial"/>
          <w:iCs/>
          <w:szCs w:val="16"/>
        </w:rPr>
        <w:t xml:space="preserve"> </w:t>
      </w:r>
      <w:r>
        <w:t>p.81.</w:t>
      </w:r>
    </w:p>
  </w:footnote>
  <w:footnote w:id="62">
    <w:p w14:paraId="383E4A18" w14:textId="77777777" w:rsidR="00610057" w:rsidRPr="001560D9" w:rsidRDefault="00610057" w:rsidP="00735C04">
      <w:pPr>
        <w:pStyle w:val="FootnoteText"/>
        <w:rPr>
          <w:lang w:val="en-US"/>
        </w:rPr>
      </w:pPr>
      <w:r>
        <w:rPr>
          <w:rStyle w:val="FootnoteReference"/>
        </w:rPr>
        <w:footnoteRef/>
      </w:r>
      <w:r>
        <w:t xml:space="preserve"> </w:t>
      </w:r>
      <w:r>
        <w:rPr>
          <w:lang w:val="en-US"/>
        </w:rPr>
        <w:tab/>
        <w:t>AEMO could, for example, determine curtailment in 3-hour intervals.</w:t>
      </w:r>
    </w:p>
  </w:footnote>
  <w:footnote w:id="63">
    <w:p w14:paraId="09B02269" w14:textId="2CAE5A4F" w:rsidR="00610057" w:rsidRDefault="00610057">
      <w:pPr>
        <w:pStyle w:val="FootnoteText"/>
      </w:pPr>
      <w:r>
        <w:rPr>
          <w:rStyle w:val="FootnoteReference"/>
        </w:rPr>
        <w:footnoteRef/>
      </w:r>
      <w:r>
        <w:t xml:space="preserve"> </w:t>
      </w:r>
      <w:r>
        <w:tab/>
        <w:t>ibid</w:t>
      </w:r>
      <w:r>
        <w:rPr>
          <w:rFonts w:cs="Arial"/>
          <w:iCs/>
          <w:szCs w:val="16"/>
        </w:rPr>
        <w:t xml:space="preserve"> </w:t>
      </w:r>
      <w:r>
        <w:t>p.80.</w:t>
      </w:r>
    </w:p>
  </w:footnote>
  <w:footnote w:id="64">
    <w:p w14:paraId="135B1AF9" w14:textId="3784FED9" w:rsidR="00610057" w:rsidRDefault="00610057" w:rsidP="009256B4">
      <w:pPr>
        <w:pStyle w:val="FootnoteText"/>
      </w:pPr>
      <w:r>
        <w:rPr>
          <w:rStyle w:val="FootnoteReference"/>
        </w:rPr>
        <w:footnoteRef/>
      </w:r>
      <w:r>
        <w:t xml:space="preserve"> </w:t>
      </w:r>
      <w:r>
        <w:tab/>
        <w:t>ibid</w:t>
      </w:r>
      <w:r w:rsidRPr="00721A02">
        <w:rPr>
          <w:rFonts w:cs="Arial"/>
          <w:iCs/>
          <w:szCs w:val="16"/>
        </w:rPr>
        <w:t>,</w:t>
      </w:r>
      <w:r>
        <w:rPr>
          <w:rFonts w:cs="Arial"/>
          <w:iCs/>
          <w:szCs w:val="16"/>
        </w:rPr>
        <w:t xml:space="preserve"> </w:t>
      </w:r>
      <w:r>
        <w:t>pp.80-81.</w:t>
      </w:r>
    </w:p>
  </w:footnote>
  <w:footnote w:id="65">
    <w:p w14:paraId="41294A36" w14:textId="28D02B91" w:rsidR="00610057" w:rsidRDefault="00610057">
      <w:pPr>
        <w:pStyle w:val="FootnoteText"/>
      </w:pPr>
      <w:r>
        <w:rPr>
          <w:rStyle w:val="FootnoteReference"/>
        </w:rPr>
        <w:footnoteRef/>
      </w:r>
      <w:r>
        <w:t xml:space="preserve"> </w:t>
      </w:r>
      <w:r>
        <w:tab/>
        <w:t>A</w:t>
      </w:r>
      <w:r w:rsidRPr="00636AC6">
        <w:t>E</w:t>
      </w:r>
      <w:r w:rsidRPr="003110AA">
        <w:t xml:space="preserve">MC, Stage 2 Final Report: East Coast </w:t>
      </w:r>
      <w:r w:rsidRPr="003110AA">
        <w:rPr>
          <w:rFonts w:cs="Arial"/>
          <w:iCs/>
        </w:rPr>
        <w:t>Review, 23 May 2016,</w:t>
      </w:r>
      <w:r>
        <w:rPr>
          <w:rFonts w:cs="Arial"/>
          <w:iCs/>
        </w:rPr>
        <w:t xml:space="preserve"> pp. 76-77.</w:t>
      </w:r>
    </w:p>
  </w:footnote>
  <w:footnote w:id="66">
    <w:p w14:paraId="51981A83" w14:textId="77777777" w:rsidR="00610057" w:rsidRDefault="00610057" w:rsidP="00634483">
      <w:pPr>
        <w:pStyle w:val="FootnoteText"/>
      </w:pPr>
      <w:r>
        <w:rPr>
          <w:rStyle w:val="FootnoteReference"/>
        </w:rPr>
        <w:footnoteRef/>
      </w:r>
      <w:r>
        <w:t xml:space="preserve"> </w:t>
      </w:r>
      <w:r>
        <w:tab/>
        <w:t>A</w:t>
      </w:r>
      <w:r w:rsidRPr="00636AC6">
        <w:t>E</w:t>
      </w:r>
      <w:r w:rsidRPr="003110AA">
        <w:t xml:space="preserve">MC, Stage 2 Final Report: East Coast </w:t>
      </w:r>
      <w:r w:rsidRPr="003110AA">
        <w:rPr>
          <w:rFonts w:cs="Arial"/>
          <w:iCs/>
        </w:rPr>
        <w:t>Review, 23 May 2016,</w:t>
      </w:r>
      <w:r>
        <w:rPr>
          <w:rFonts w:cs="Arial"/>
          <w:iCs/>
        </w:rPr>
        <w:t xml:space="preserve"> pp. 81-82.</w:t>
      </w:r>
    </w:p>
  </w:footnote>
  <w:footnote w:id="67">
    <w:p w14:paraId="533DF18D" w14:textId="77777777" w:rsidR="00610057" w:rsidRDefault="00610057" w:rsidP="00634483">
      <w:pPr>
        <w:pStyle w:val="FootnoteText"/>
      </w:pPr>
      <w:r>
        <w:rPr>
          <w:rStyle w:val="FootnoteReference"/>
        </w:rPr>
        <w:footnoteRef/>
      </w:r>
      <w:r>
        <w:t xml:space="preserve"> </w:t>
      </w:r>
      <w:r>
        <w:tab/>
        <w:t>ibid</w:t>
      </w:r>
      <w:r w:rsidRPr="003110AA">
        <w:rPr>
          <w:rFonts w:cs="Arial"/>
          <w:iCs/>
        </w:rPr>
        <w:t>,</w:t>
      </w:r>
      <w:r>
        <w:rPr>
          <w:rFonts w:cs="Arial"/>
          <w:iCs/>
        </w:rPr>
        <w:t xml:space="preserve"> p. 82-83.</w:t>
      </w:r>
    </w:p>
  </w:footnote>
  <w:footnote w:id="68">
    <w:p w14:paraId="0A687F86" w14:textId="77777777" w:rsidR="00610057" w:rsidRDefault="00610057" w:rsidP="00634483">
      <w:pPr>
        <w:pStyle w:val="FootnoteText"/>
      </w:pPr>
      <w:r>
        <w:rPr>
          <w:rStyle w:val="FootnoteReference"/>
        </w:rPr>
        <w:footnoteRef/>
      </w:r>
      <w:r>
        <w:t xml:space="preserve"> </w:t>
      </w:r>
      <w:r>
        <w:tab/>
        <w:t>ibid, p. 82.</w:t>
      </w:r>
    </w:p>
  </w:footnote>
  <w:footnote w:id="69">
    <w:p w14:paraId="511950E2" w14:textId="53B0ACCD" w:rsidR="00610057" w:rsidRDefault="00610057">
      <w:pPr>
        <w:pStyle w:val="FootnoteText"/>
      </w:pPr>
      <w:r>
        <w:rPr>
          <w:rStyle w:val="FootnoteReference"/>
        </w:rPr>
        <w:footnoteRef/>
      </w:r>
      <w:r>
        <w:t xml:space="preserve"> </w:t>
      </w:r>
      <w:r>
        <w:tab/>
        <w:t>ibid.</w:t>
      </w:r>
    </w:p>
  </w:footnote>
  <w:footnote w:id="70">
    <w:p w14:paraId="65F0EE3A" w14:textId="77777777" w:rsidR="00610057" w:rsidRDefault="00610057" w:rsidP="00634483">
      <w:pPr>
        <w:pStyle w:val="FootnoteText"/>
      </w:pPr>
      <w:r>
        <w:rPr>
          <w:rStyle w:val="FootnoteReference"/>
        </w:rPr>
        <w:footnoteRef/>
      </w:r>
      <w:r>
        <w:t xml:space="preserve"> </w:t>
      </w:r>
      <w:r>
        <w:tab/>
        <w:t>ibid</w:t>
      </w:r>
      <w:r w:rsidRPr="003110AA">
        <w:rPr>
          <w:rFonts w:cs="Arial"/>
          <w:iCs/>
        </w:rPr>
        <w:t>,</w:t>
      </w:r>
      <w:r>
        <w:rPr>
          <w:rFonts w:cs="Arial"/>
          <w:iCs/>
        </w:rPr>
        <w:t xml:space="preserve"> p. 83.</w:t>
      </w:r>
    </w:p>
  </w:footnote>
  <w:footnote w:id="71">
    <w:p w14:paraId="66F009E6" w14:textId="77777777" w:rsidR="00610057" w:rsidRDefault="00610057" w:rsidP="00634483">
      <w:pPr>
        <w:pStyle w:val="FootnoteText"/>
      </w:pPr>
      <w:r>
        <w:rPr>
          <w:rStyle w:val="FootnoteReference"/>
        </w:rPr>
        <w:footnoteRef/>
      </w:r>
      <w:r>
        <w:t xml:space="preserve"> </w:t>
      </w:r>
      <w:r>
        <w:tab/>
        <w:t>ibid.</w:t>
      </w:r>
    </w:p>
  </w:footnote>
  <w:footnote w:id="72">
    <w:p w14:paraId="21B8ACCD" w14:textId="77777777" w:rsidR="00610057" w:rsidRDefault="00610057" w:rsidP="00634483">
      <w:pPr>
        <w:pStyle w:val="FootnoteText"/>
      </w:pPr>
      <w:r>
        <w:rPr>
          <w:rStyle w:val="FootnoteReference"/>
        </w:rPr>
        <w:footnoteRef/>
      </w:r>
      <w:r>
        <w:t xml:space="preserve"> </w:t>
      </w:r>
      <w:r>
        <w:tab/>
        <w:t>ibid.</w:t>
      </w:r>
    </w:p>
  </w:footnote>
  <w:footnote w:id="73">
    <w:p w14:paraId="7748870B" w14:textId="77777777" w:rsidR="00610057" w:rsidRDefault="00610057" w:rsidP="000E6A17">
      <w:pPr>
        <w:pStyle w:val="FootnoteText"/>
        <w:rPr>
          <w:lang w:val="en-GB"/>
        </w:rPr>
      </w:pPr>
      <w:r>
        <w:rPr>
          <w:rStyle w:val="FootnoteReference"/>
        </w:rPr>
        <w:footnoteRef/>
      </w:r>
      <w:r>
        <w:t xml:space="preserve"> </w:t>
      </w:r>
      <w:r>
        <w:rPr>
          <w:lang w:val="en-GB"/>
        </w:rPr>
        <w:tab/>
      </w:r>
      <w:r>
        <w:rPr>
          <w:sz w:val="17"/>
          <w:szCs w:val="17"/>
          <w:lang w:val="en-GB"/>
        </w:rPr>
        <w:t>It is superficially plausible that the allocative efficiency gains from the auction will be larger on pipelines that are currently contractually congested. Shippers may have unsatisfied demand for these pipelines that they cannot satisfy at any price. Shippers at least have the option of purchasing capacity at some price on uncongested pipelines.  However, if demand for capacity on contractually uncongested pipelines is sufficiently elastic and the price charged by the pipeline company for capacity is sufficiently high, the volume of additional demand served as a result of the auction may be higher on contractually uncongested pipelines.  Accordingly, the welfare gains may be larger than in the case of contractually congested pipelines.</w:t>
      </w:r>
    </w:p>
  </w:footnote>
  <w:footnote w:id="74">
    <w:p w14:paraId="233D2812" w14:textId="14C22869" w:rsidR="00610057" w:rsidRPr="003949FF" w:rsidRDefault="00610057">
      <w:pPr>
        <w:pStyle w:val="FootnoteText"/>
      </w:pPr>
      <w:r>
        <w:rPr>
          <w:rStyle w:val="FootnoteReference"/>
        </w:rPr>
        <w:footnoteRef/>
      </w:r>
      <w:r>
        <w:t xml:space="preserve"> </w:t>
      </w:r>
      <w:r>
        <w:tab/>
        <w:t xml:space="preserve">As </w:t>
      </w:r>
      <w:r w:rsidRPr="003949FF">
        <w:rPr>
          <w:szCs w:val="16"/>
        </w:rPr>
        <w:t xml:space="preserve">the AEMC noted in its </w:t>
      </w:r>
      <w:r w:rsidRPr="003949FF">
        <w:rPr>
          <w:i/>
          <w:szCs w:val="16"/>
        </w:rPr>
        <w:t xml:space="preserve">East Coast Review, </w:t>
      </w:r>
      <w:r w:rsidRPr="003949FF">
        <w:rPr>
          <w:szCs w:val="16"/>
        </w:rPr>
        <w:t>the ACCC has identified evidence in the case of some regional pipelines that shippers are deliberately withholding capacity in order to improve their competitive position in up- or downstream markets. It would be important therefor for the auction to apply in these areas as well.</w:t>
      </w:r>
    </w:p>
  </w:footnote>
  <w:footnote w:id="75">
    <w:p w14:paraId="4BACF1FF" w14:textId="77777777" w:rsidR="00610057" w:rsidRDefault="00610057" w:rsidP="00792B70">
      <w:pPr>
        <w:pStyle w:val="FootnoteText"/>
      </w:pPr>
      <w:r>
        <w:rPr>
          <w:rStyle w:val="FootnoteReference"/>
        </w:rPr>
        <w:footnoteRef/>
      </w:r>
      <w:r>
        <w:t xml:space="preserve"> </w:t>
      </w:r>
      <w:r>
        <w:tab/>
      </w:r>
      <w:r>
        <w:rPr>
          <w:lang w:eastAsia="fr-CA"/>
        </w:rPr>
        <w:t>While coverage is often thought about as the test for regulation, it is also the process by which third parties can try and obtain access to facilities that would not otherwise provide that access.</w:t>
      </w:r>
    </w:p>
  </w:footnote>
  <w:footnote w:id="76">
    <w:p w14:paraId="5E0581D7" w14:textId="6E6D87D1" w:rsidR="00610057" w:rsidRPr="0085172E" w:rsidRDefault="00610057" w:rsidP="0085172E">
      <w:pPr>
        <w:pStyle w:val="BodyText"/>
        <w:spacing w:before="40" w:after="40"/>
        <w:ind w:left="357" w:hanging="357"/>
        <w:rPr>
          <w:sz w:val="16"/>
          <w:szCs w:val="16"/>
        </w:rPr>
      </w:pPr>
      <w:r w:rsidRPr="0085172E">
        <w:rPr>
          <w:rStyle w:val="FootnoteReference"/>
          <w:sz w:val="16"/>
          <w:szCs w:val="16"/>
        </w:rPr>
        <w:footnoteRef/>
      </w:r>
      <w:r w:rsidRPr="0085172E">
        <w:rPr>
          <w:sz w:val="16"/>
          <w:szCs w:val="16"/>
        </w:rPr>
        <w:t xml:space="preserve"> </w:t>
      </w:r>
      <w:r w:rsidRPr="0085172E">
        <w:rPr>
          <w:sz w:val="16"/>
          <w:szCs w:val="16"/>
        </w:rPr>
        <w:tab/>
        <w:t>The BB CSV interface provides a file gateway allowing service providers to submit market data to AEMO using File Transfer Protocol (FTP). BB participants have three options to submit their CSV files:</w:t>
      </w:r>
      <w:r>
        <w:rPr>
          <w:sz w:val="16"/>
          <w:szCs w:val="16"/>
        </w:rPr>
        <w:t xml:space="preserve"> </w:t>
      </w:r>
      <w:r w:rsidRPr="0085172E">
        <w:rPr>
          <w:sz w:val="16"/>
          <w:szCs w:val="16"/>
        </w:rPr>
        <w:t>CSV file upload using FTP; CSV file upload using the website upload page</w:t>
      </w:r>
      <w:r>
        <w:rPr>
          <w:sz w:val="16"/>
          <w:szCs w:val="16"/>
        </w:rPr>
        <w:t xml:space="preserve"> or direct entry via the </w:t>
      </w:r>
      <w:proofErr w:type="spellStart"/>
      <w:r>
        <w:rPr>
          <w:sz w:val="16"/>
          <w:szCs w:val="16"/>
        </w:rPr>
        <w:t>webform</w:t>
      </w:r>
      <w:proofErr w:type="spellEnd"/>
      <w:r w:rsidRPr="0085172E">
        <w:rPr>
          <w:sz w:val="16"/>
          <w:szCs w:val="16"/>
        </w:rPr>
        <w:t>.</w:t>
      </w:r>
      <w:r w:rsidRPr="0085172E">
        <w:rPr>
          <w:rFonts w:cs="Arial"/>
          <w:sz w:val="16"/>
          <w:szCs w:val="16"/>
        </w:rPr>
        <w:t xml:space="preserve"> This exchange is used by all service providers on the east coast that are required to report information to the BB, which should minimise implementation risks and costs.</w:t>
      </w:r>
    </w:p>
  </w:footnote>
  <w:footnote w:id="77">
    <w:p w14:paraId="5FD66D7D" w14:textId="11897FF4" w:rsidR="00610057" w:rsidRDefault="00610057" w:rsidP="0085172E">
      <w:pPr>
        <w:pStyle w:val="FootnoteText"/>
      </w:pPr>
      <w:r>
        <w:rPr>
          <w:rStyle w:val="FootnoteReference"/>
          <w:rFonts w:eastAsia="Cambria"/>
        </w:rPr>
        <w:footnoteRef/>
      </w:r>
      <w:r>
        <w:t xml:space="preserve"> </w:t>
      </w:r>
      <w:r>
        <w:tab/>
      </w:r>
      <w:r w:rsidRPr="008B1B73">
        <w:rPr>
          <w:rFonts w:cs="Arial"/>
        </w:rPr>
        <w:t xml:space="preserve">The </w:t>
      </w:r>
      <w:r>
        <w:rPr>
          <w:rFonts w:cs="Arial"/>
        </w:rPr>
        <w:t xml:space="preserve">SWEX and SWEXIE are </w:t>
      </w:r>
      <w:r w:rsidRPr="008B1B73">
        <w:rPr>
          <w:rFonts w:cs="Arial"/>
        </w:rPr>
        <w:t xml:space="preserve">used to transfer data between STTM registered participants, </w:t>
      </w:r>
      <w:r>
        <w:rPr>
          <w:rFonts w:cs="Arial"/>
        </w:rPr>
        <w:t>service provider</w:t>
      </w:r>
      <w:r w:rsidRPr="008B1B73">
        <w:rPr>
          <w:rFonts w:cs="Arial"/>
        </w:rPr>
        <w:t>s and AEMO. Four different interfaces are available under the SIP to submit information to and from AEMO:</w:t>
      </w:r>
      <w:r>
        <w:rPr>
          <w:rFonts w:cs="Arial"/>
        </w:rPr>
        <w:t xml:space="preserve"> </w:t>
      </w:r>
      <w:r>
        <w:t>d</w:t>
      </w:r>
      <w:r w:rsidRPr="008B1B73">
        <w:t>irect data entry using a browser;</w:t>
      </w:r>
      <w:r>
        <w:t xml:space="preserve"> data loading using </w:t>
      </w:r>
      <w:r w:rsidRPr="008B1B73">
        <w:t>CSV file to browser;</w:t>
      </w:r>
      <w:r>
        <w:t xml:space="preserve"> </w:t>
      </w:r>
      <w:r w:rsidRPr="008B1B73">
        <w:t>CSV file upload using FTP; and</w:t>
      </w:r>
      <w:r>
        <w:t xml:space="preserve"> </w:t>
      </w:r>
      <w:r w:rsidRPr="008B1B73">
        <w:t>CSV file upload using HTTPS.</w:t>
      </w:r>
      <w:r>
        <w:t xml:space="preserve"> </w:t>
      </w:r>
      <w:r>
        <w:rPr>
          <w:rFonts w:cs="Arial"/>
        </w:rPr>
        <w:t xml:space="preserve">In contrast to the BB CSV interface, </w:t>
      </w:r>
      <w:r w:rsidRPr="008B1B73">
        <w:rPr>
          <w:rFonts w:cs="Arial"/>
        </w:rPr>
        <w:t xml:space="preserve">not all </w:t>
      </w:r>
      <w:r>
        <w:rPr>
          <w:rFonts w:cs="Arial"/>
        </w:rPr>
        <w:t>service provider</w:t>
      </w:r>
      <w:r w:rsidRPr="008B1B73">
        <w:rPr>
          <w:rFonts w:cs="Arial"/>
        </w:rPr>
        <w:t>s are utilising the SIP data link because some are not connected to a STTM</w:t>
      </w:r>
      <w:r>
        <w:t>.</w:t>
      </w:r>
    </w:p>
  </w:footnote>
  <w:footnote w:id="78">
    <w:p w14:paraId="3120F022" w14:textId="77777777" w:rsidR="00610057" w:rsidRDefault="00610057" w:rsidP="00696FA5">
      <w:pPr>
        <w:pStyle w:val="FootnoteText"/>
      </w:pPr>
      <w:r>
        <w:rPr>
          <w:rStyle w:val="FootnoteReference"/>
        </w:rPr>
        <w:footnoteRef/>
      </w:r>
      <w:r>
        <w:t xml:space="preserve"> </w:t>
      </w:r>
      <w:r>
        <w:tab/>
        <w:t xml:space="preserve">A breakdown of the auction related </w:t>
      </w:r>
      <w:r>
        <w:rPr>
          <w:rFonts w:cs="Arial"/>
        </w:rPr>
        <w:t>s</w:t>
      </w:r>
      <w:r w:rsidRPr="008B1B73">
        <w:rPr>
          <w:rFonts w:cs="Arial"/>
        </w:rPr>
        <w:t xml:space="preserve">ettlement amounts </w:t>
      </w:r>
      <w:r>
        <w:rPr>
          <w:rFonts w:cs="Arial"/>
        </w:rPr>
        <w:t xml:space="preserve">would be listed as a separate line item on the </w:t>
      </w:r>
      <w:r w:rsidRPr="008B1B73">
        <w:rPr>
          <w:rFonts w:cs="Arial"/>
        </w:rPr>
        <w:t>statement.</w:t>
      </w:r>
    </w:p>
  </w:footnote>
  <w:footnote w:id="79">
    <w:p w14:paraId="1CB29321" w14:textId="3F8B4759" w:rsidR="00610057" w:rsidRDefault="00610057" w:rsidP="00706CDC">
      <w:pPr>
        <w:pStyle w:val="FootnoteText"/>
      </w:pPr>
      <w:r>
        <w:rPr>
          <w:rStyle w:val="FootnoteReference"/>
        </w:rPr>
        <w:footnoteRef/>
      </w:r>
      <w:r>
        <w:t xml:space="preserve"> </w:t>
      </w:r>
      <w:r>
        <w:tab/>
      </w:r>
      <w:r w:rsidRPr="008A76EF">
        <w:t xml:space="preserve">This intention is reflected in the following statement from the </w:t>
      </w:r>
      <w:r w:rsidRPr="008A76EF">
        <w:rPr>
          <w:i/>
        </w:rPr>
        <w:t>East Coast Review</w:t>
      </w:r>
      <w:r>
        <w:rPr>
          <w:i/>
        </w:rPr>
        <w:t>:</w:t>
      </w:r>
      <w:r>
        <w:t xml:space="preserve"> </w:t>
      </w:r>
    </w:p>
    <w:p w14:paraId="09C30F2A" w14:textId="77777777" w:rsidR="00610057" w:rsidRPr="00585A0E" w:rsidRDefault="00610057" w:rsidP="00706CDC">
      <w:pPr>
        <w:pStyle w:val="FootnoteText"/>
        <w:rPr>
          <w:i/>
        </w:rPr>
      </w:pPr>
      <w:r>
        <w:tab/>
      </w:r>
      <w:r w:rsidRPr="00585A0E">
        <w:rPr>
          <w:i/>
        </w:rPr>
        <w:t>“The preferred method of allocating auction revenue is to give it to pipeline owners, after the costs of running the auction have been recovered.”</w:t>
      </w:r>
    </w:p>
    <w:p w14:paraId="1B297E40" w14:textId="77777777" w:rsidR="00610057" w:rsidRDefault="00610057" w:rsidP="00706CDC">
      <w:pPr>
        <w:pStyle w:val="FootnoteText"/>
      </w:pPr>
      <w:r>
        <w:tab/>
        <w:t>A</w:t>
      </w:r>
      <w:r w:rsidRPr="00636AC6">
        <w:t xml:space="preserve">EMC, Stage 2 Final Report: </w:t>
      </w:r>
      <w:r w:rsidRPr="00636AC6">
        <w:rPr>
          <w:rFonts w:cs="Arial"/>
          <w:iCs/>
        </w:rPr>
        <w:t>Eastern Australian Wholesale Gas Market and Pipelines Framework Review, 23 May 2016</w:t>
      </w:r>
      <w:r>
        <w:t>, p. 80.</w:t>
      </w:r>
    </w:p>
  </w:footnote>
  <w:footnote w:id="80">
    <w:p w14:paraId="4006117D" w14:textId="141DF6C5" w:rsidR="00610057" w:rsidRDefault="00610057">
      <w:pPr>
        <w:pStyle w:val="FootnoteText"/>
      </w:pPr>
      <w:r>
        <w:rPr>
          <w:rStyle w:val="FootnoteReference"/>
        </w:rPr>
        <w:footnoteRef/>
      </w:r>
      <w:r>
        <w:t xml:space="preserve"> </w:t>
      </w:r>
      <w:r>
        <w:tab/>
        <w:t>For instance, if shippers are required to pay an annual fee of $14,500 and a variable transaction fee of $0.01-$0.03/GJ to use the capacity trading platform, but nothing to use the day-ahead auction then it may discourage shippers from using the capacity trading platform.</w:t>
      </w:r>
    </w:p>
  </w:footnote>
  <w:footnote w:id="81">
    <w:p w14:paraId="6B954F14" w14:textId="77777777" w:rsidR="00610057" w:rsidRDefault="00610057" w:rsidP="00CD147E">
      <w:pPr>
        <w:pStyle w:val="FootnoteText"/>
        <w:rPr>
          <w:lang w:val="en-US"/>
        </w:rPr>
      </w:pPr>
      <w:r>
        <w:rPr>
          <w:rStyle w:val="FootnoteReference"/>
          <w:rFonts w:eastAsiaTheme="majorEastAsia"/>
        </w:rPr>
        <w:footnoteRef/>
      </w:r>
      <w:r>
        <w:t xml:space="preserve"> </w:t>
      </w:r>
      <w:r>
        <w:tab/>
        <w:t>The service provider can also offer an operational GTA-style service under a primary GTA, allowing a primary shipper to roll capacity bought in the secondary market into the primary GTA.</w:t>
      </w:r>
    </w:p>
  </w:footnote>
  <w:footnote w:id="82">
    <w:p w14:paraId="766E1B58" w14:textId="372DD1DB" w:rsidR="00610057" w:rsidRDefault="00610057">
      <w:pPr>
        <w:pStyle w:val="FootnoteText"/>
      </w:pPr>
      <w:r>
        <w:rPr>
          <w:rStyle w:val="FootnoteReference"/>
        </w:rPr>
        <w:footnoteRef/>
      </w:r>
      <w:r>
        <w:t xml:space="preserve"> </w:t>
      </w:r>
      <w:r>
        <w:tab/>
      </w:r>
      <w:hyperlink r:id="rId1" w:history="1">
        <w:r w:rsidRPr="00E163A6">
          <w:rPr>
            <w:rStyle w:val="Hyperlink"/>
          </w:rPr>
          <w:t>http://gmrg.coagenergycouncil.gov.au/publications/standardisation-related-reforms-and-capacity-trading-platform-consultation-paper</w:t>
        </w:r>
      </w:hyperlink>
      <w:r>
        <w:t xml:space="preserve"> </w:t>
      </w:r>
    </w:p>
  </w:footnote>
  <w:footnote w:id="83">
    <w:p w14:paraId="497FED09" w14:textId="77777777" w:rsidR="00610057" w:rsidRDefault="00610057" w:rsidP="002C00C0">
      <w:pPr>
        <w:pStyle w:val="FootnoteText"/>
      </w:pPr>
      <w:r>
        <w:rPr>
          <w:rStyle w:val="FootnoteReference"/>
        </w:rPr>
        <w:footnoteRef/>
      </w:r>
      <w:r>
        <w:t xml:space="preserve"> </w:t>
      </w:r>
      <w:r>
        <w:tab/>
        <w:t>A shipper that wants to supply gas into the STTM will also need to r</w:t>
      </w:r>
      <w:r w:rsidRPr="008B1B73">
        <w:t>egister with AEMO</w:t>
      </w:r>
      <w:r>
        <w:t xml:space="preserve"> if they are not an existing STTM participant. This can be done by </w:t>
      </w:r>
      <w:r w:rsidRPr="008B1B73">
        <w:t>submi</w:t>
      </w:r>
      <w:r>
        <w:t>tting</w:t>
      </w:r>
      <w:r w:rsidRPr="008B1B73">
        <w:t xml:space="preserve"> a registration request using the registration form from the AEMO Gas Market Registration Kit. AEMO completes the registration process within 15 business days.</w:t>
      </w:r>
    </w:p>
  </w:footnote>
  <w:footnote w:id="84">
    <w:p w14:paraId="2233081A" w14:textId="259710FF" w:rsidR="00610057" w:rsidRDefault="00610057">
      <w:pPr>
        <w:pStyle w:val="FootnoteText"/>
      </w:pPr>
      <w:r>
        <w:rPr>
          <w:rStyle w:val="FootnoteReference"/>
        </w:rPr>
        <w:footnoteRef/>
      </w:r>
      <w:r>
        <w:t xml:space="preserve"> </w:t>
      </w:r>
      <w:r>
        <w:tab/>
        <w:t xml:space="preserve">Note that </w:t>
      </w:r>
      <w:r w:rsidRPr="002C00C0">
        <w:rPr>
          <w:szCs w:val="16"/>
        </w:rPr>
        <w:t>AEMO provides a service to assist market participants with identifying counterparties to MSVs. The service provides market participants who subscribe to the service with information about deviations by other subscribing participants. Deviations are listed for each subscribing market participant, which are ranked by their daily deviation quantity at each facility.</w:t>
      </w:r>
    </w:p>
  </w:footnote>
  <w:footnote w:id="85">
    <w:p w14:paraId="5E83D507" w14:textId="77777777" w:rsidR="00610057" w:rsidRDefault="00610057" w:rsidP="0006277B">
      <w:pPr>
        <w:pStyle w:val="FootnoteText"/>
        <w:spacing w:before="40" w:after="40"/>
      </w:pPr>
      <w:r>
        <w:rPr>
          <w:rStyle w:val="FootnoteReference"/>
          <w:rFonts w:eastAsia="Cambria"/>
        </w:rPr>
        <w:footnoteRef/>
      </w:r>
      <w:r>
        <w:t xml:space="preserve"> </w:t>
      </w:r>
      <w:r>
        <w:tab/>
        <w:t>A system injection/withdrawal point is a transmission system connection point designed to permit gas to flow through a single pipe into the transmission system, which may also be, in the case of a transfer point, a system injection/withdrawal point.</w:t>
      </w:r>
    </w:p>
  </w:footnote>
  <w:footnote w:id="86">
    <w:p w14:paraId="029050D4" w14:textId="77777777" w:rsidR="00610057" w:rsidRDefault="00610057" w:rsidP="0006277B">
      <w:pPr>
        <w:pStyle w:val="FootnoteText"/>
        <w:spacing w:before="40" w:after="40"/>
      </w:pPr>
      <w:r>
        <w:rPr>
          <w:rStyle w:val="FootnoteReference"/>
        </w:rPr>
        <w:footnoteRef/>
      </w:r>
      <w:r>
        <w:t xml:space="preserve"> </w:t>
      </w:r>
      <w:r>
        <w:tab/>
      </w:r>
      <w:r w:rsidRPr="008B1B73">
        <w:t>Accreditation at S</w:t>
      </w:r>
      <w:r>
        <w:t xml:space="preserve">ystem Injection Points and System Withdrawal Points </w:t>
      </w:r>
      <w:r w:rsidRPr="008B1B73">
        <w:t>takes five business days from receiving the initial application.</w:t>
      </w:r>
      <w:r w:rsidRPr="002D5C8A">
        <w:t xml:space="preserve"> </w:t>
      </w:r>
      <w:r>
        <w:t xml:space="preserve">A </w:t>
      </w:r>
      <w:r w:rsidRPr="008B1B73">
        <w:t>current DWGM system limitation is that only one accreditation per Participant ID at each controllable point is allowed. If participants need to treat accreditations for secondary capacity differently from their primary contracts this will require an additional participant ID to be set up (and bid separately).</w:t>
      </w:r>
    </w:p>
  </w:footnote>
  <w:footnote w:id="87">
    <w:p w14:paraId="5A85594E" w14:textId="553D2777" w:rsidR="00610057" w:rsidRDefault="00610057" w:rsidP="0006277B">
      <w:pPr>
        <w:pStyle w:val="FootnoteText"/>
        <w:spacing w:before="40" w:after="40"/>
      </w:pPr>
      <w:r>
        <w:rPr>
          <w:rStyle w:val="FootnoteReference"/>
        </w:rPr>
        <w:footnoteRef/>
      </w:r>
      <w:r>
        <w:t xml:space="preserve"> </w:t>
      </w:r>
      <w:r>
        <w:tab/>
      </w:r>
      <w:r w:rsidRPr="004C0F7F">
        <w:rPr>
          <w:rFonts w:cs="Arial"/>
          <w:szCs w:val="18"/>
        </w:rPr>
        <w:t>Under this option, participants would provide AEMO with a default MHQ that remains in place unless a change is requested. The default MHQ might represent an average size capacity product a participant expected to purchase. The issue with this approach is that if the participant purchased a larger amount of capacity, its MHQ flows would be constrained below what it was entitled to flow. Conversely, if the participant purchased a smaller capacity product, this would imply a MHQ that would likely be exceeded if the accreditation constraint remained at the standing level, unless managed using intraday schedules.  Another option that could be employed would involve the development of an interface that participants can use to update their accreditation constraints after undertaking trades. If the shipper did not nominate a constraint, the standing constraint would be used.</w:t>
      </w:r>
    </w:p>
  </w:footnote>
  <w:footnote w:id="88">
    <w:p w14:paraId="79FBE29A" w14:textId="28B9C958" w:rsidR="00610057" w:rsidRDefault="00610057" w:rsidP="0006277B">
      <w:pPr>
        <w:pStyle w:val="FootnoteText"/>
        <w:spacing w:before="40" w:after="40"/>
      </w:pPr>
      <w:r>
        <w:rPr>
          <w:rStyle w:val="FootnoteReference"/>
        </w:rPr>
        <w:footnoteRef/>
      </w:r>
      <w:r>
        <w:t xml:space="preserve"> </w:t>
      </w:r>
      <w:r>
        <w:tab/>
      </w:r>
      <w:r>
        <w:rPr>
          <w:szCs w:val="18"/>
        </w:rPr>
        <w:t xml:space="preserve">Under this option, </w:t>
      </w:r>
      <w:r w:rsidRPr="004C0F7F">
        <w:rPr>
          <w:szCs w:val="18"/>
        </w:rPr>
        <w:t xml:space="preserve">a </w:t>
      </w:r>
      <w:r>
        <w:rPr>
          <w:szCs w:val="18"/>
        </w:rPr>
        <w:t xml:space="preserve">new </w:t>
      </w:r>
      <w:r w:rsidRPr="004C0F7F">
        <w:rPr>
          <w:szCs w:val="18"/>
        </w:rPr>
        <w:t xml:space="preserve">system </w:t>
      </w:r>
      <w:r>
        <w:rPr>
          <w:szCs w:val="18"/>
        </w:rPr>
        <w:t xml:space="preserve">would need </w:t>
      </w:r>
      <w:r w:rsidRPr="004C0F7F">
        <w:rPr>
          <w:szCs w:val="18"/>
        </w:rPr>
        <w:t xml:space="preserve">to be developed </w:t>
      </w:r>
      <w:r>
        <w:rPr>
          <w:szCs w:val="18"/>
        </w:rPr>
        <w:t xml:space="preserve">that would enable </w:t>
      </w:r>
      <w:r w:rsidRPr="004C0F7F">
        <w:rPr>
          <w:szCs w:val="18"/>
        </w:rPr>
        <w:t xml:space="preserve">the DWGM system </w:t>
      </w:r>
      <w:r>
        <w:rPr>
          <w:szCs w:val="18"/>
        </w:rPr>
        <w:t xml:space="preserve">to </w:t>
      </w:r>
      <w:r w:rsidRPr="004C0F7F">
        <w:rPr>
          <w:szCs w:val="18"/>
        </w:rPr>
        <w:t>receive information on the capacity purchased</w:t>
      </w:r>
      <w:r>
        <w:rPr>
          <w:szCs w:val="18"/>
        </w:rPr>
        <w:t xml:space="preserve"> through the auction</w:t>
      </w:r>
      <w:r w:rsidRPr="004C0F7F">
        <w:rPr>
          <w:szCs w:val="18"/>
        </w:rPr>
        <w:t xml:space="preserve">. The DWGM system would then convert this into a MHQ constraint in accordance with a pre-determined factor, such as 1/24. </w:t>
      </w:r>
      <w:r>
        <w:rPr>
          <w:szCs w:val="18"/>
        </w:rPr>
        <w:t xml:space="preserve">This option </w:t>
      </w:r>
      <w:r w:rsidRPr="004C0F7F">
        <w:rPr>
          <w:szCs w:val="18"/>
        </w:rPr>
        <w:t>would require AEMO to implement system changes to the GSH and DWGM, the cost of which has not yet been estimated.</w:t>
      </w:r>
    </w:p>
  </w:footnote>
  <w:footnote w:id="89">
    <w:p w14:paraId="55A6DFEA" w14:textId="75B41221" w:rsidR="00610057" w:rsidRDefault="00610057" w:rsidP="0006277B">
      <w:pPr>
        <w:pStyle w:val="FootnoteText"/>
        <w:spacing w:before="40" w:after="40"/>
      </w:pPr>
      <w:r>
        <w:rPr>
          <w:rStyle w:val="FootnoteReference"/>
        </w:rPr>
        <w:footnoteRef/>
      </w:r>
      <w:r>
        <w:t xml:space="preserve"> </w:t>
      </w:r>
      <w:r>
        <w:tab/>
      </w:r>
      <w:r>
        <w:rPr>
          <w:rFonts w:cs="Arial"/>
          <w:szCs w:val="18"/>
        </w:rPr>
        <w:t xml:space="preserve">Under this option, the </w:t>
      </w:r>
      <w:r w:rsidRPr="004C0F7F">
        <w:rPr>
          <w:rFonts w:cs="Arial"/>
          <w:szCs w:val="18"/>
        </w:rPr>
        <w:t xml:space="preserve">accreditation constraint </w:t>
      </w:r>
      <w:r>
        <w:rPr>
          <w:rFonts w:cs="Arial"/>
          <w:szCs w:val="18"/>
        </w:rPr>
        <w:t xml:space="preserve">would </w:t>
      </w:r>
      <w:r w:rsidRPr="004C0F7F">
        <w:rPr>
          <w:rFonts w:cs="Arial"/>
          <w:szCs w:val="18"/>
        </w:rPr>
        <w:t xml:space="preserve">be left blank. While this would not require any additional implementation costs to be incurred, participants may be required to manage their MHQ through the DWGM intraday schedules to avoid penalties on contract carriage pipelines connecting to the DTS. </w:t>
      </w:r>
      <w:r>
        <w:t>For example, if the auction participant has an MHQ of 1 TJ, it can bid 24 TJ at 6am, but if it is not scheduled it will have to reduce daily quantity in its subsequent bids to 20 TJ at 10 am, 16 TJ at 2pm etc. This would be more complex if the auction participant was partly scheduled in any of the five daily schedules.</w:t>
      </w:r>
    </w:p>
  </w:footnote>
  <w:footnote w:id="90">
    <w:p w14:paraId="4655EA43" w14:textId="77777777" w:rsidR="00610057" w:rsidRPr="00FB6BDD" w:rsidRDefault="00610057" w:rsidP="00F84D47">
      <w:pPr>
        <w:pStyle w:val="FootnoteText"/>
        <w:rPr>
          <w:lang w:val="en-US"/>
        </w:rPr>
      </w:pPr>
      <w:r>
        <w:rPr>
          <w:rStyle w:val="FootnoteReference"/>
        </w:rPr>
        <w:footnoteRef/>
      </w:r>
      <w:r>
        <w:t xml:space="preserve"> </w:t>
      </w:r>
      <w:r>
        <w:tab/>
      </w:r>
      <w:r w:rsidRPr="00CE0F95">
        <w:t>The service provider can also offer an operational GTA-style service under a primary GTA, allowing a primary shipper to roll capacity bought in the secondary market into the primary GTA.</w:t>
      </w:r>
    </w:p>
  </w:footnote>
  <w:footnote w:id="91">
    <w:p w14:paraId="6360AF11" w14:textId="174FAC9D" w:rsidR="00610057" w:rsidRDefault="00610057">
      <w:pPr>
        <w:pStyle w:val="FootnoteText"/>
      </w:pPr>
      <w:r>
        <w:rPr>
          <w:rStyle w:val="FootnoteReference"/>
        </w:rPr>
        <w:footnoteRef/>
      </w:r>
      <w:r>
        <w:t xml:space="preserve"> </w:t>
      </w:r>
      <w:r>
        <w:tab/>
      </w:r>
      <w:r w:rsidRPr="00F84D47">
        <w:t>http://gmrg.coagenergycouncil.gov.au/publications/standardisation-related-reforms-and-capacity-trading-platform-consultation-paper</w:t>
      </w:r>
    </w:p>
  </w:footnote>
  <w:footnote w:id="92">
    <w:p w14:paraId="166D686B" w14:textId="77777777" w:rsidR="00610057" w:rsidRPr="00BA7BDD" w:rsidRDefault="00610057" w:rsidP="00917A06">
      <w:pPr>
        <w:pStyle w:val="FootnoteText"/>
        <w:rPr>
          <w:lang w:val="en-US"/>
        </w:rPr>
      </w:pPr>
      <w:r>
        <w:rPr>
          <w:rStyle w:val="FootnoteReference"/>
          <w:rFonts w:eastAsiaTheme="majorEastAsia"/>
        </w:rPr>
        <w:footnoteRef/>
      </w:r>
      <w:r>
        <w:t xml:space="preserve"> </w:t>
      </w:r>
      <w:r>
        <w:tab/>
        <w:t>S</w:t>
      </w:r>
      <w:r w:rsidRPr="00BA7BDD">
        <w:t>imilar to section 91FEA for the STTM and subject to provisions similar to sections 91FEB, 91FEC and 91FED dealing with duties of confidence, false and misleading information and immunity</w:t>
      </w:r>
      <w:r>
        <w:t>.</w:t>
      </w:r>
    </w:p>
  </w:footnote>
  <w:footnote w:id="93">
    <w:p w14:paraId="7E4B96B3" w14:textId="3C13B4F4" w:rsidR="00610057" w:rsidRPr="007320AB" w:rsidRDefault="00610057" w:rsidP="00917A06">
      <w:pPr>
        <w:pStyle w:val="FootnoteText"/>
        <w:rPr>
          <w:lang w:val="en-US"/>
        </w:rPr>
      </w:pPr>
      <w:r>
        <w:rPr>
          <w:rStyle w:val="FootnoteReference"/>
          <w:rFonts w:eastAsiaTheme="majorEastAsia"/>
        </w:rPr>
        <w:footnoteRef/>
      </w:r>
      <w:r>
        <w:t xml:space="preserve"> </w:t>
      </w:r>
      <w:r>
        <w:tab/>
      </w:r>
      <w:r w:rsidRPr="007320AB">
        <w:t xml:space="preserve">The governance arrangements for the </w:t>
      </w:r>
      <w:r>
        <w:t>O</w:t>
      </w:r>
      <w:r w:rsidRPr="007320AB">
        <w:t xml:space="preserve">perational GTA </w:t>
      </w:r>
      <w:r>
        <w:t>are discussed in the GMRG's September consultation paper</w:t>
      </w:r>
      <w:r w:rsidRPr="007320AB">
        <w:t>.</w:t>
      </w:r>
    </w:p>
  </w:footnote>
  <w:footnote w:id="94">
    <w:p w14:paraId="34E15C52" w14:textId="77777777" w:rsidR="00610057" w:rsidRPr="00FB6BDD" w:rsidRDefault="00610057" w:rsidP="006357C9">
      <w:pPr>
        <w:pStyle w:val="FootnoteText"/>
        <w:spacing w:before="0" w:after="0"/>
        <w:rPr>
          <w:lang w:val="en-US"/>
        </w:rPr>
      </w:pPr>
      <w:r>
        <w:rPr>
          <w:rStyle w:val="FootnoteReference"/>
        </w:rPr>
        <w:footnoteRef/>
      </w:r>
      <w:r>
        <w:t xml:space="preserve"> </w:t>
      </w:r>
      <w:r>
        <w:tab/>
      </w:r>
      <w:r w:rsidRPr="00CE0F95">
        <w:t>The service provider can also offer an operational GTA-style service under a primary GTA, allowing a primary shipper to roll capacity bought in the secondary market into the primary GTA.</w:t>
      </w:r>
    </w:p>
  </w:footnote>
  <w:footnote w:id="95">
    <w:p w14:paraId="50215FAE" w14:textId="34C1C039" w:rsidR="00610057" w:rsidRDefault="00610057">
      <w:pPr>
        <w:pStyle w:val="FootnoteText"/>
      </w:pPr>
      <w:r>
        <w:rPr>
          <w:rStyle w:val="FootnoteReference"/>
        </w:rPr>
        <w:footnoteRef/>
      </w:r>
      <w:r>
        <w:t xml:space="preserve"> </w:t>
      </w:r>
      <w:r>
        <w:tab/>
        <w:t>AEMC, Stage 2 Final Report: East Coast Review, 23 May 2016, p.105.</w:t>
      </w:r>
    </w:p>
  </w:footnote>
  <w:footnote w:id="96">
    <w:p w14:paraId="41F80A07" w14:textId="60499362" w:rsidR="00610057" w:rsidRDefault="00610057">
      <w:pPr>
        <w:pStyle w:val="FootnoteText"/>
      </w:pPr>
      <w:r>
        <w:rPr>
          <w:rStyle w:val="FootnoteReference"/>
        </w:rPr>
        <w:footnoteRef/>
      </w:r>
      <w:r>
        <w:t xml:space="preserve"> </w:t>
      </w:r>
      <w:r>
        <w:tab/>
        <w:t>ibid, p.106.</w:t>
      </w:r>
    </w:p>
  </w:footnote>
  <w:footnote w:id="97">
    <w:p w14:paraId="4720ABB7" w14:textId="11AE7372" w:rsidR="00610057" w:rsidRDefault="00610057">
      <w:pPr>
        <w:pStyle w:val="FootnoteText"/>
      </w:pPr>
      <w:r>
        <w:rPr>
          <w:rStyle w:val="FootnoteReference"/>
        </w:rPr>
        <w:footnoteRef/>
      </w:r>
      <w:r>
        <w:t xml:space="preserve"> </w:t>
      </w:r>
      <w:r>
        <w:tab/>
        <w:t>ibid, pp. 108-109.</w:t>
      </w:r>
    </w:p>
  </w:footnote>
  <w:footnote w:id="98">
    <w:p w14:paraId="1C10383F" w14:textId="565B8CBA" w:rsidR="00610057" w:rsidRDefault="00610057">
      <w:pPr>
        <w:pStyle w:val="FootnoteText"/>
      </w:pPr>
      <w:r>
        <w:rPr>
          <w:rStyle w:val="FootnoteReference"/>
        </w:rPr>
        <w:footnoteRef/>
      </w:r>
      <w:r>
        <w:t xml:space="preserve"> </w:t>
      </w:r>
      <w:r>
        <w:tab/>
        <w:t xml:space="preserve">Note that it is possible that through other reviews and inquiries it may be determined that this information should be published, but for present purposes the GMRG is only focusing on the recommendations proposed by the AEMC. </w:t>
      </w:r>
    </w:p>
  </w:footnote>
  <w:footnote w:id="99">
    <w:p w14:paraId="553A0F35" w14:textId="69D1DFCD" w:rsidR="00610057" w:rsidRDefault="00610057" w:rsidP="006C7061">
      <w:pPr>
        <w:pStyle w:val="FootnoteText"/>
        <w:spacing w:before="20" w:after="20"/>
      </w:pPr>
      <w:r>
        <w:rPr>
          <w:rStyle w:val="FootnoteReference"/>
        </w:rPr>
        <w:footnoteRef/>
      </w:r>
      <w:r>
        <w:t xml:space="preserve"> </w:t>
      </w:r>
      <w:r>
        <w:tab/>
        <w:t>ibid, pp. 107-108.</w:t>
      </w:r>
    </w:p>
  </w:footnote>
  <w:footnote w:id="100">
    <w:p w14:paraId="4E809020" w14:textId="4916CBCC" w:rsidR="00610057" w:rsidRDefault="00610057" w:rsidP="006C7061">
      <w:pPr>
        <w:pStyle w:val="FootnoteText"/>
        <w:spacing w:before="20" w:after="20"/>
      </w:pPr>
      <w:r>
        <w:rPr>
          <w:rStyle w:val="FootnoteReference"/>
        </w:rPr>
        <w:footnoteRef/>
      </w:r>
      <w:r>
        <w:t xml:space="preserve"> </w:t>
      </w:r>
      <w:r>
        <w:tab/>
        <w:t>ibid, p.108.</w:t>
      </w:r>
    </w:p>
  </w:footnote>
  <w:footnote w:id="101">
    <w:p w14:paraId="4A4434D0" w14:textId="31E1FA22" w:rsidR="00610057" w:rsidRDefault="00610057" w:rsidP="006C7061">
      <w:pPr>
        <w:pStyle w:val="FootnoteText"/>
        <w:spacing w:before="20" w:after="20"/>
      </w:pPr>
      <w:r>
        <w:rPr>
          <w:rStyle w:val="FootnoteReference"/>
        </w:rPr>
        <w:footnoteRef/>
      </w:r>
      <w:r>
        <w:t xml:space="preserve"> </w:t>
      </w:r>
      <w:r>
        <w:tab/>
        <w:t>Note that in allowing trades to be given effect under the terms of a primary GTA it has been assumed that these terms will not drive the value disproportionately.</w:t>
      </w:r>
    </w:p>
  </w:footnote>
  <w:footnote w:id="102">
    <w:p w14:paraId="1A2929A3" w14:textId="4A3A0C63" w:rsidR="00610057" w:rsidRDefault="00610057">
      <w:pPr>
        <w:pStyle w:val="FootnoteText"/>
      </w:pPr>
      <w:r>
        <w:rPr>
          <w:rStyle w:val="FootnoteReference"/>
        </w:rPr>
        <w:footnoteRef/>
      </w:r>
      <w:r>
        <w:t xml:space="preserve"> </w:t>
      </w:r>
      <w:r>
        <w:tab/>
        <w:t>Ibid, pp. 107-108.</w:t>
      </w:r>
    </w:p>
  </w:footnote>
  <w:footnote w:id="103">
    <w:p w14:paraId="5E53DF81" w14:textId="00CD0EE7" w:rsidR="00610057" w:rsidRDefault="00610057">
      <w:pPr>
        <w:pStyle w:val="FootnoteText"/>
      </w:pPr>
      <w:r>
        <w:rPr>
          <w:rStyle w:val="FootnoteReference"/>
        </w:rPr>
        <w:footnoteRef/>
      </w:r>
      <w:r>
        <w:t xml:space="preserve"> </w:t>
      </w:r>
      <w:r>
        <w:tab/>
        <w:t>The inclusion of the second limb of this reporting window means that if a trade is entered into and will commence the next day, it will need to be reported on the day the trade is executed.</w:t>
      </w:r>
    </w:p>
  </w:footnote>
  <w:footnote w:id="104">
    <w:p w14:paraId="72C248B6" w14:textId="1B4CFF76" w:rsidR="00610057" w:rsidRDefault="00610057">
      <w:pPr>
        <w:pStyle w:val="FootnoteText"/>
      </w:pPr>
      <w:r>
        <w:rPr>
          <w:rStyle w:val="FootnoteReference"/>
        </w:rPr>
        <w:footnoteRef/>
      </w:r>
      <w:r>
        <w:t xml:space="preserve"> </w:t>
      </w:r>
      <w:r>
        <w:tab/>
        <w:t xml:space="preserve">This is akin to what AEMO currently does for GSH trades, which are published on the BB website. </w:t>
      </w:r>
    </w:p>
  </w:footnote>
  <w:footnote w:id="105">
    <w:p w14:paraId="0F0164CD" w14:textId="1E28B79F" w:rsidR="00610057" w:rsidRDefault="00610057">
      <w:pPr>
        <w:pStyle w:val="FootnoteText"/>
      </w:pPr>
      <w:r>
        <w:rPr>
          <w:rStyle w:val="FootnoteReference"/>
        </w:rPr>
        <w:footnoteRef/>
      </w:r>
      <w:r>
        <w:t xml:space="preserve"> </w:t>
      </w:r>
      <w:r>
        <w:tab/>
        <w:t xml:space="preserve">See for example, </w:t>
      </w:r>
      <w:hyperlink r:id="rId2" w:history="1">
        <w:r w:rsidRPr="001963D0">
          <w:rPr>
            <w:rStyle w:val="Hyperlink"/>
          </w:rPr>
          <w:t>https://www.aer.gov.au/wholesale-markets/wholesale-statistics</w:t>
        </w:r>
      </w:hyperlink>
      <w:r>
        <w:t xml:space="preserve">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44FFCF5" w14:textId="1C684801" w:rsidR="00610057" w:rsidRPr="00E35A55" w:rsidRDefault="00610057" w:rsidP="00F61E4D">
    <w:pPr>
      <w:pStyle w:val="Header"/>
      <w:tabs>
        <w:tab w:val="clear" w:pos="7796"/>
        <w:tab w:val="left" w:pos="4621"/>
      </w:tabs>
      <w:ind w:left="-623" w:hanging="142"/>
      <w:rPr>
        <w:b/>
        <w:sz w:val="24"/>
        <w:szCs w:val="24"/>
      </w:rPr>
    </w:pPr>
    <w:r>
      <w:rPr>
        <w:b/>
        <w:noProof/>
        <w:sz w:val="24"/>
        <w:szCs w:val="24"/>
        <w:lang w:eastAsia="en-AU"/>
      </w:rPr>
      <w:pict w14:anchorId="2E93CD6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GMRG Logo" style="width:40.5pt;height:66pt">
          <v:imagedata r:id="rId1" o:title="GMRG-logo-stacked-small"/>
        </v:shape>
      </w:pic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DE783C7" w14:textId="4FCE3B01" w:rsidR="00610057" w:rsidRPr="00395A4B" w:rsidRDefault="00610057" w:rsidP="00947034">
    <w:pPr>
      <w:pStyle w:val="Header"/>
      <w:ind w:left="-709" w:hanging="142"/>
    </w:pPr>
    <w:r>
      <w:rPr>
        <w:b/>
        <w:noProof/>
        <w:sz w:val="24"/>
        <w:szCs w:val="24"/>
        <w:lang w:eastAsia="en-AU"/>
      </w:rPr>
      <w:drawing>
        <wp:inline distT="0" distB="0" distL="0" distR="0" wp14:anchorId="6EA6D683" wp14:editId="4D96AE10">
          <wp:extent cx="504825" cy="857250"/>
          <wp:effectExtent l="0" t="0" r="9525" b="0"/>
          <wp:docPr id="46" name="Picture 46" descr="Gas Market Reform Group Logo" title="GMRG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C:\Users\Katherine Lowe\AppData\Local\Microsoft\Windows\INetCacheContent.Word\GMRG-logo-stacked-small.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4825" cy="857250"/>
                  </a:xfrm>
                  <a:prstGeom prst="rect">
                    <a:avLst/>
                  </a:prstGeom>
                  <a:noFill/>
                  <a:ln>
                    <a:noFill/>
                  </a:ln>
                </pic:spPr>
              </pic:pic>
            </a:graphicData>
          </a:graphic>
        </wp:inline>
      </w:drawing>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DBCD94" w14:textId="5886F432" w:rsidR="00610057" w:rsidRDefault="00610057" w:rsidP="00B33AD5">
    <w:pPr>
      <w:pStyle w:val="Header"/>
      <w:ind w:left="-623" w:hanging="142"/>
    </w:pPr>
    <w:r>
      <w:rPr>
        <w:b/>
        <w:noProof/>
        <w:sz w:val="24"/>
        <w:szCs w:val="24"/>
        <w:lang w:eastAsia="en-AU"/>
      </w:rPr>
      <w:drawing>
        <wp:inline distT="0" distB="0" distL="0" distR="0" wp14:anchorId="058A4025" wp14:editId="7E246C3B">
          <wp:extent cx="504825" cy="857250"/>
          <wp:effectExtent l="0" t="0" r="9525" b="0"/>
          <wp:docPr id="11" name="Picture 11" descr="Gas Market Reform Group Logo" title="GMRG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C:\Users\Katherine Lowe\AppData\Local\Microsoft\Windows\INetCacheContent.Word\GMRG-logo-stacked-small.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4825" cy="857250"/>
                  </a:xfrm>
                  <a:prstGeom prst="rect">
                    <a:avLst/>
                  </a:prstGeom>
                  <a:noFill/>
                  <a:ln>
                    <a:noFill/>
                  </a:ln>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1251434" w14:textId="1C01E5BB" w:rsidR="00610057" w:rsidRPr="00570893" w:rsidRDefault="00610057" w:rsidP="00570893">
    <w:pPr>
      <w:pStyle w:val="Header"/>
      <w:ind w:left="-993" w:hanging="283"/>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2513C51" w14:textId="47639C58" w:rsidR="00610057" w:rsidRPr="00570893" w:rsidRDefault="00610057" w:rsidP="00F61E4D">
    <w:pPr>
      <w:pStyle w:val="Header"/>
      <w:ind w:left="-623" w:hanging="142"/>
    </w:pPr>
    <w:bookmarkStart w:id="20" w:name="_Hlk491874944"/>
    <w:bookmarkStart w:id="21" w:name="_Hlk491874945"/>
    <w:bookmarkStart w:id="22" w:name="_Hlk491874946"/>
    <w:bookmarkStart w:id="23" w:name="_Hlk492057941"/>
    <w:bookmarkStart w:id="24" w:name="_Hlk492057942"/>
    <w:bookmarkStart w:id="25" w:name="_Hlk492057943"/>
    <w:bookmarkStart w:id="26" w:name="_Hlk492112240"/>
    <w:bookmarkStart w:id="27" w:name="_Hlk492112241"/>
    <w:bookmarkStart w:id="28" w:name="_Hlk492112242"/>
    <w:r>
      <w:rPr>
        <w:b/>
        <w:noProof/>
        <w:sz w:val="24"/>
        <w:szCs w:val="24"/>
        <w:lang w:eastAsia="en-AU"/>
      </w:rPr>
      <w:drawing>
        <wp:inline distT="0" distB="0" distL="0" distR="0" wp14:anchorId="0F919778" wp14:editId="5F6C89EB">
          <wp:extent cx="504825" cy="838200"/>
          <wp:effectExtent l="0" t="0" r="9525" b="0"/>
          <wp:docPr id="39" name="Picture 39" descr="GMRG-logo-stacked-sm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MRG-logo-stacked-small"/>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4825" cy="838200"/>
                  </a:xfrm>
                  <a:prstGeom prst="rect">
                    <a:avLst/>
                  </a:prstGeom>
                  <a:noFill/>
                  <a:ln>
                    <a:noFill/>
                  </a:ln>
                </pic:spPr>
              </pic:pic>
            </a:graphicData>
          </a:graphic>
        </wp:inline>
      </w:drawing>
    </w:r>
    <w:bookmarkEnd w:id="20"/>
    <w:bookmarkEnd w:id="21"/>
    <w:bookmarkEnd w:id="22"/>
    <w:bookmarkEnd w:id="23"/>
    <w:bookmarkEnd w:id="24"/>
    <w:bookmarkEnd w:id="25"/>
    <w:bookmarkEnd w:id="26"/>
    <w:bookmarkEnd w:id="27"/>
    <w:bookmarkEnd w:id="28"/>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32F741F" w14:textId="2514F9FA" w:rsidR="00610057" w:rsidRPr="00395A4B" w:rsidRDefault="00610057" w:rsidP="00F61E4D">
    <w:pPr>
      <w:pStyle w:val="Header"/>
      <w:ind w:left="-623" w:hanging="142"/>
    </w:pPr>
    <w:r>
      <w:rPr>
        <w:b/>
        <w:noProof/>
        <w:sz w:val="24"/>
        <w:szCs w:val="24"/>
        <w:lang w:eastAsia="en-AU"/>
      </w:rPr>
      <w:drawing>
        <wp:inline distT="0" distB="0" distL="0" distR="0" wp14:anchorId="61F3E678" wp14:editId="4EDA602B">
          <wp:extent cx="504825" cy="857250"/>
          <wp:effectExtent l="0" t="0" r="9525" b="0"/>
          <wp:docPr id="17" name="Picture 17" descr="Gas Market Reform Group Logo" title="Gas Market Reform Group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C:\Users\Katherine Lowe\AppData\Local\Microsoft\Windows\INetCacheContent.Word\GMRG-logo-stacked-small.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4825" cy="857250"/>
                  </a:xfrm>
                  <a:prstGeom prst="rect">
                    <a:avLst/>
                  </a:prstGeom>
                  <a:noFill/>
                  <a:ln>
                    <a:noFill/>
                  </a:ln>
                </pic:spPr>
              </pic:pic>
            </a:graphicData>
          </a:graphic>
        </wp:inline>
      </w:drawing>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FF34DA6" w14:textId="01C3DBCE" w:rsidR="00610057" w:rsidRPr="00395A4B" w:rsidRDefault="00610057" w:rsidP="00F61E4D">
    <w:pPr>
      <w:pStyle w:val="Header"/>
      <w:ind w:left="-623" w:hanging="142"/>
    </w:pPr>
    <w:r>
      <w:rPr>
        <w:b/>
        <w:noProof/>
        <w:sz w:val="24"/>
        <w:szCs w:val="24"/>
        <w:lang w:eastAsia="en-AU"/>
      </w:rPr>
      <w:drawing>
        <wp:inline distT="0" distB="0" distL="0" distR="0" wp14:anchorId="1D675D8C" wp14:editId="36FECA86">
          <wp:extent cx="504825" cy="857250"/>
          <wp:effectExtent l="0" t="0" r="9525" b="0"/>
          <wp:docPr id="41" name="Picture 41" descr="Gas Market Reform Group Logo" title="Gas Market Reform Group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C:\Users\Katherine Lowe\AppData\Local\Microsoft\Windows\INetCacheContent.Word\GMRG-logo-stacked-small.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4825" cy="857250"/>
                  </a:xfrm>
                  <a:prstGeom prst="rect">
                    <a:avLst/>
                  </a:prstGeom>
                  <a:noFill/>
                  <a:ln>
                    <a:noFill/>
                  </a:ln>
                </pic:spPr>
              </pic:pic>
            </a:graphicData>
          </a:graphic>
        </wp:inline>
      </w:drawing>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16072C8" w14:textId="37F51A62" w:rsidR="00610057" w:rsidRDefault="00610057" w:rsidP="00B33AD5">
    <w:pPr>
      <w:pStyle w:val="Header"/>
      <w:ind w:left="-623" w:hanging="142"/>
    </w:pPr>
    <w:r>
      <w:rPr>
        <w:b/>
        <w:noProof/>
        <w:sz w:val="24"/>
        <w:szCs w:val="24"/>
        <w:lang w:eastAsia="en-AU"/>
      </w:rPr>
      <w:drawing>
        <wp:inline distT="0" distB="0" distL="0" distR="0" wp14:anchorId="4AA5A8C4" wp14:editId="56DC4408">
          <wp:extent cx="504825" cy="857250"/>
          <wp:effectExtent l="0" t="0" r="9525" b="0"/>
          <wp:docPr id="23" name="Picture 23" descr="Gas Market Reform Group Logo" title="Gas Market Reform Group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C:\Users\Katherine Lowe\AppData\Local\Microsoft\Windows\INetCacheContent.Word\GMRG-logo-stacked-small.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4825" cy="857250"/>
                  </a:xfrm>
                  <a:prstGeom prst="rect">
                    <a:avLst/>
                  </a:prstGeom>
                  <a:noFill/>
                  <a:ln>
                    <a:noFill/>
                  </a:ln>
                </pic:spPr>
              </pic:pic>
            </a:graphicData>
          </a:graphic>
        </wp:inline>
      </w:drawing>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CFB551" w14:textId="18B65201" w:rsidR="00610057" w:rsidRDefault="00610057" w:rsidP="00B33AD5">
    <w:pPr>
      <w:pStyle w:val="Header"/>
      <w:ind w:left="-623" w:hanging="142"/>
    </w:pPr>
    <w:r>
      <w:rPr>
        <w:b/>
        <w:noProof/>
        <w:sz w:val="24"/>
        <w:szCs w:val="24"/>
        <w:lang w:eastAsia="en-AU"/>
      </w:rPr>
      <w:drawing>
        <wp:inline distT="0" distB="0" distL="0" distR="0" wp14:anchorId="796BD62A" wp14:editId="15DD26C6">
          <wp:extent cx="504825" cy="857250"/>
          <wp:effectExtent l="0" t="0" r="9525" b="0"/>
          <wp:docPr id="24" name="Picture 24" descr="Gas Market Reform Group Logo" title="Gas Market Reform Group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C:\Users\Katherine Lowe\AppData\Local\Microsoft\Windows\INetCacheContent.Word\GMRG-logo-stacked-small.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4825" cy="857250"/>
                  </a:xfrm>
                  <a:prstGeom prst="rect">
                    <a:avLst/>
                  </a:prstGeom>
                  <a:noFill/>
                  <a:ln>
                    <a:noFill/>
                  </a:ln>
                </pic:spPr>
              </pic:pic>
            </a:graphicData>
          </a:graphic>
        </wp:inline>
      </w:drawing>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E5E2291" w14:textId="561DCF0C" w:rsidR="00610057" w:rsidRDefault="00610057" w:rsidP="00B33AD5">
    <w:pPr>
      <w:pStyle w:val="Header"/>
      <w:ind w:left="-623" w:hanging="142"/>
    </w:pPr>
    <w:r>
      <w:rPr>
        <w:b/>
        <w:noProof/>
        <w:sz w:val="24"/>
        <w:szCs w:val="24"/>
        <w:lang w:eastAsia="en-AU"/>
      </w:rPr>
      <w:drawing>
        <wp:inline distT="0" distB="0" distL="0" distR="0" wp14:anchorId="6C60DE67" wp14:editId="0C7FA9A4">
          <wp:extent cx="504825" cy="857250"/>
          <wp:effectExtent l="0" t="0" r="9525" b="0"/>
          <wp:docPr id="25" name="Picture 25" descr="Gas Market Reform Group Logo" title="Gas Market Reform Group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C:\Users\Katherine Lowe\AppData\Local\Microsoft\Windows\INetCacheContent.Word\GMRG-logo-stacked-small.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4825" cy="857250"/>
                  </a:xfrm>
                  <a:prstGeom prst="rect">
                    <a:avLst/>
                  </a:prstGeom>
                  <a:noFill/>
                  <a:ln>
                    <a:noFill/>
                  </a:ln>
                </pic:spPr>
              </pic:pic>
            </a:graphicData>
          </a:graphic>
        </wp:inline>
      </w:drawing>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C6F1D70" w14:textId="6481A0F7" w:rsidR="00610057" w:rsidRDefault="00610057" w:rsidP="00B33AD5">
    <w:pPr>
      <w:pStyle w:val="Header"/>
      <w:ind w:left="-623" w:hanging="142"/>
    </w:pPr>
    <w:r>
      <w:rPr>
        <w:b/>
        <w:noProof/>
        <w:sz w:val="24"/>
        <w:szCs w:val="24"/>
        <w:lang w:eastAsia="en-AU"/>
      </w:rPr>
      <w:drawing>
        <wp:inline distT="0" distB="0" distL="0" distR="0" wp14:anchorId="6DC920BC" wp14:editId="24EE203D">
          <wp:extent cx="504825" cy="857250"/>
          <wp:effectExtent l="0" t="0" r="9525" b="0"/>
          <wp:docPr id="9" name="Picture 9" descr="Gas Market Reform Group Logo" title="Gas Market Reform Group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C:\Users\Katherine Lowe\AppData\Local\Microsoft\Windows\INetCacheContent.Word\GMRG-logo-stacked-small.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4825" cy="857250"/>
                  </a:xfrm>
                  <a:prstGeom prst="rect">
                    <a:avLst/>
                  </a:prstGeom>
                  <a:noFill/>
                  <a:ln>
                    <a:noFill/>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32DB9"/>
    <w:multiLevelType w:val="multilevel"/>
    <w:tmpl w:val="E5E89F92"/>
    <w:styleLink w:val="BulletList"/>
    <w:lvl w:ilvl="0">
      <w:start w:val="1"/>
      <w:numFmt w:val="bullet"/>
      <w:lvlText w:val=""/>
      <w:lvlJc w:val="left"/>
      <w:pPr>
        <w:ind w:left="369" w:hanging="369"/>
      </w:pPr>
      <w:rPr>
        <w:rFonts w:ascii="Symbol" w:hAnsi="Symbol" w:hint="default"/>
      </w:rPr>
    </w:lvl>
    <w:lvl w:ilvl="1">
      <w:start w:val="1"/>
      <w:numFmt w:val="none"/>
      <w:lvlText w:val="-"/>
      <w:lvlJc w:val="left"/>
      <w:pPr>
        <w:ind w:left="737" w:hanging="368"/>
      </w:pPr>
    </w:lvl>
    <w:lvl w:ilvl="2">
      <w:start w:val="1"/>
      <w:numFmt w:val="none"/>
      <w:lvlText w:val=":"/>
      <w:lvlJc w:val="left"/>
      <w:pPr>
        <w:ind w:left="1106" w:hanging="369"/>
      </w:pPr>
    </w:lvl>
    <w:lvl w:ilvl="3">
      <w:start w:val="1"/>
      <w:numFmt w:val="none"/>
      <w:lvlText w:val=""/>
      <w:lvlJc w:val="left"/>
      <w:pPr>
        <w:ind w:left="1474" w:hanging="368"/>
      </w:pPr>
      <w:rPr>
        <w:color w:val="auto"/>
      </w:rPr>
    </w:lvl>
    <w:lvl w:ilvl="4">
      <w:start w:val="1"/>
      <w:numFmt w:val="none"/>
      <w:lvlText w:val=""/>
      <w:lvlJc w:val="left"/>
      <w:pPr>
        <w:ind w:left="1800" w:hanging="360"/>
      </w:pPr>
      <w:rPr>
        <w:color w:val="auto"/>
      </w:rPr>
    </w:lvl>
    <w:lvl w:ilvl="5">
      <w:start w:val="1"/>
      <w:numFmt w:val="none"/>
      <w:lvlText w:val=""/>
      <w:lvlJc w:val="left"/>
      <w:pPr>
        <w:ind w:left="2160" w:hanging="360"/>
      </w:pPr>
      <w:rPr>
        <w:color w:val="auto"/>
      </w:rPr>
    </w:lvl>
    <w:lvl w:ilvl="6">
      <w:start w:val="1"/>
      <w:numFmt w:val="none"/>
      <w:lvlText w:val=""/>
      <w:lvlJc w:val="left"/>
      <w:pPr>
        <w:ind w:left="2520" w:hanging="360"/>
      </w:pPr>
      <w:rPr>
        <w:color w:val="auto"/>
      </w:rPr>
    </w:lvl>
    <w:lvl w:ilvl="7">
      <w:start w:val="1"/>
      <w:numFmt w:val="none"/>
      <w:lvlText w:val=""/>
      <w:lvlJc w:val="left"/>
      <w:pPr>
        <w:ind w:left="2880" w:hanging="360"/>
      </w:pPr>
      <w:rPr>
        <w:color w:val="auto"/>
      </w:rPr>
    </w:lvl>
    <w:lvl w:ilvl="8">
      <w:start w:val="1"/>
      <w:numFmt w:val="none"/>
      <w:lvlText w:val=""/>
      <w:lvlJc w:val="left"/>
      <w:pPr>
        <w:ind w:left="3240" w:hanging="360"/>
      </w:pPr>
      <w:rPr>
        <w:color w:val="auto"/>
      </w:rPr>
    </w:lvl>
  </w:abstractNum>
  <w:abstractNum w:abstractNumId="1" w15:restartNumberingAfterBreak="0">
    <w:nsid w:val="02BA3DBE"/>
    <w:multiLevelType w:val="multilevel"/>
    <w:tmpl w:val="8DF8C6B6"/>
    <w:name w:val="MyNumbering8"/>
    <w:lvl w:ilvl="0">
      <w:start w:val="1"/>
      <w:numFmt w:val="decimal"/>
      <w:lvlText w:val="%1."/>
      <w:lvlJc w:val="left"/>
      <w:pPr>
        <w:ind w:left="360" w:hanging="360"/>
      </w:pPr>
      <w:rPr>
        <w:rFonts w:ascii="Arial" w:hAnsi="Arial" w:hint="default"/>
        <w:b w:val="0"/>
        <w:i w:val="0"/>
        <w:color w:val="auto"/>
        <w:sz w:val="22"/>
        <w:szCs w:val="18"/>
      </w:rPr>
    </w:lvl>
    <w:lvl w:ilvl="1">
      <w:start w:val="1"/>
      <w:numFmt w:val="lowerLetter"/>
      <w:lvlText w:val="%2."/>
      <w:lvlJc w:val="left"/>
      <w:pPr>
        <w:ind w:left="714" w:hanging="357"/>
      </w:pPr>
      <w:rPr>
        <w:rFonts w:hint="default"/>
      </w:rPr>
    </w:lvl>
    <w:lvl w:ilvl="2">
      <w:start w:val="1"/>
      <w:numFmt w:val="lowerRoman"/>
      <w:lvlText w:val="%3."/>
      <w:lvlJc w:val="left"/>
      <w:pPr>
        <w:ind w:left="1071" w:hanging="357"/>
      </w:pPr>
      <w:rPr>
        <w:rFonts w:hint="default"/>
      </w:rPr>
    </w:lvl>
    <w:lvl w:ilvl="3">
      <w:start w:val="1"/>
      <w:numFmt w:val="upperLetter"/>
      <w:lvlText w:val="%4."/>
      <w:lvlJc w:val="left"/>
      <w:pPr>
        <w:ind w:left="1428" w:hanging="357"/>
      </w:pPr>
      <w:rPr>
        <w:rFonts w:hint="default"/>
      </w:rPr>
    </w:lvl>
    <w:lvl w:ilvl="4">
      <w:start w:val="1"/>
      <w:numFmt w:val="upperRoman"/>
      <w:lvlText w:val="%5."/>
      <w:lvlJc w:val="left"/>
      <w:pPr>
        <w:ind w:left="1785" w:hanging="357"/>
      </w:pPr>
      <w:rPr>
        <w:rFonts w:hint="default"/>
      </w:rPr>
    </w:lvl>
    <w:lvl w:ilvl="5">
      <w:start w:val="1"/>
      <w:numFmt w:val="lowerRoman"/>
      <w:lvlText w:val="%6."/>
      <w:lvlJc w:val="right"/>
      <w:pPr>
        <w:ind w:left="2142" w:hanging="357"/>
      </w:pPr>
      <w:rPr>
        <w:rFonts w:hint="default"/>
      </w:rPr>
    </w:lvl>
    <w:lvl w:ilvl="6">
      <w:start w:val="1"/>
      <w:numFmt w:val="decimal"/>
      <w:lvlText w:val="%7."/>
      <w:lvlJc w:val="left"/>
      <w:pPr>
        <w:ind w:left="2499" w:hanging="357"/>
      </w:pPr>
      <w:rPr>
        <w:rFonts w:hint="default"/>
      </w:rPr>
    </w:lvl>
    <w:lvl w:ilvl="7">
      <w:start w:val="1"/>
      <w:numFmt w:val="lowerLetter"/>
      <w:lvlText w:val="%8."/>
      <w:lvlJc w:val="left"/>
      <w:pPr>
        <w:ind w:left="2856" w:hanging="357"/>
      </w:pPr>
      <w:rPr>
        <w:rFonts w:hint="default"/>
      </w:rPr>
    </w:lvl>
    <w:lvl w:ilvl="8">
      <w:start w:val="1"/>
      <w:numFmt w:val="lowerRoman"/>
      <w:lvlText w:val="%9."/>
      <w:lvlJc w:val="right"/>
      <w:pPr>
        <w:ind w:left="3213" w:hanging="357"/>
      </w:pPr>
      <w:rPr>
        <w:rFonts w:hint="default"/>
      </w:rPr>
    </w:lvl>
  </w:abstractNum>
  <w:abstractNum w:abstractNumId="2" w15:restartNumberingAfterBreak="0">
    <w:nsid w:val="0364475F"/>
    <w:multiLevelType w:val="multilevel"/>
    <w:tmpl w:val="583A35FA"/>
    <w:name w:val="MyBullets9"/>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3" w15:restartNumberingAfterBreak="0">
    <w:nsid w:val="036F68CE"/>
    <w:multiLevelType w:val="multilevel"/>
    <w:tmpl w:val="9F2A8B76"/>
    <w:styleLink w:val="MyListNumbering"/>
    <w:lvl w:ilvl="0">
      <w:start w:val="1"/>
      <w:numFmt w:val="lowerLetter"/>
      <w:lvlText w:val="(%1)"/>
      <w:lvlJc w:val="left"/>
      <w:pPr>
        <w:tabs>
          <w:tab w:val="num" w:pos="567"/>
        </w:tabs>
        <w:ind w:left="360" w:hanging="360"/>
      </w:pPr>
      <w:rPr>
        <w:rFonts w:hint="default"/>
      </w:rPr>
    </w:lvl>
    <w:lvl w:ilvl="1">
      <w:start w:val="1"/>
      <w:numFmt w:val="lowerRoman"/>
      <w:lvlText w:val="%2."/>
      <w:lvlJc w:val="left"/>
      <w:pPr>
        <w:ind w:left="1440" w:hanging="360"/>
      </w:pPr>
      <w:rPr>
        <w:rFonts w:hint="default"/>
      </w:rPr>
    </w:lvl>
    <w:lvl w:ilvl="2">
      <w:start w:val="1"/>
      <w:numFmt w:val="decimal"/>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 w15:restartNumberingAfterBreak="0">
    <w:nsid w:val="03B57116"/>
    <w:multiLevelType w:val="multilevel"/>
    <w:tmpl w:val="D8C832B8"/>
    <w:name w:val="TableNumbering2"/>
    <w:lvl w:ilvl="0">
      <w:start w:val="1"/>
      <w:numFmt w:val="none"/>
      <w:suff w:val="nothing"/>
      <w:lvlText w:val=""/>
      <w:lvlJc w:val="left"/>
      <w:pPr>
        <w:ind w:left="113" w:firstLine="0"/>
      </w:pPr>
      <w:rPr>
        <w:rFonts w:hint="default"/>
      </w:rPr>
    </w:lvl>
    <w:lvl w:ilvl="1">
      <w:start w:val="1"/>
      <w:numFmt w:val="decimal"/>
      <w:lvlText w:val="(%2)"/>
      <w:lvlJc w:val="left"/>
      <w:pPr>
        <w:tabs>
          <w:tab w:val="num" w:pos="425"/>
        </w:tabs>
        <w:ind w:left="425" w:hanging="425"/>
      </w:pPr>
      <w:rPr>
        <w:rFonts w:hint="default"/>
      </w:rPr>
    </w:lvl>
    <w:lvl w:ilvl="2">
      <w:start w:val="1"/>
      <w:numFmt w:val="none"/>
      <w:lvlText w:val=""/>
      <w:lvlJc w:val="left"/>
      <w:pPr>
        <w:ind w:left="340" w:hanging="340"/>
      </w:pPr>
      <w:rPr>
        <w:rFonts w:hint="default"/>
      </w:rPr>
    </w:lvl>
    <w:lvl w:ilvl="3">
      <w:start w:val="1"/>
      <w:numFmt w:val="none"/>
      <w:lvlText w:val=""/>
      <w:lvlJc w:val="left"/>
      <w:pPr>
        <w:ind w:left="340" w:hanging="340"/>
      </w:pPr>
      <w:rPr>
        <w:rFonts w:hint="default"/>
      </w:rPr>
    </w:lvl>
    <w:lvl w:ilvl="4">
      <w:start w:val="1"/>
      <w:numFmt w:val="none"/>
      <w:lvlText w:val=""/>
      <w:lvlJc w:val="left"/>
      <w:pPr>
        <w:ind w:left="340" w:hanging="340"/>
      </w:pPr>
      <w:rPr>
        <w:rFonts w:hint="default"/>
      </w:rPr>
    </w:lvl>
    <w:lvl w:ilvl="5">
      <w:start w:val="1"/>
      <w:numFmt w:val="none"/>
      <w:lvlText w:val=""/>
      <w:lvlJc w:val="left"/>
      <w:pPr>
        <w:ind w:left="340" w:hanging="340"/>
      </w:pPr>
      <w:rPr>
        <w:rFonts w:hint="default"/>
      </w:rPr>
    </w:lvl>
    <w:lvl w:ilvl="6">
      <w:start w:val="1"/>
      <w:numFmt w:val="none"/>
      <w:lvlText w:val=""/>
      <w:lvlJc w:val="left"/>
      <w:pPr>
        <w:ind w:left="340" w:hanging="340"/>
      </w:pPr>
      <w:rPr>
        <w:rFonts w:hint="default"/>
      </w:rPr>
    </w:lvl>
    <w:lvl w:ilvl="7">
      <w:start w:val="1"/>
      <w:numFmt w:val="none"/>
      <w:lvlText w:val=""/>
      <w:lvlJc w:val="left"/>
      <w:pPr>
        <w:ind w:left="340" w:hanging="340"/>
      </w:pPr>
      <w:rPr>
        <w:rFonts w:hint="default"/>
      </w:rPr>
    </w:lvl>
    <w:lvl w:ilvl="8">
      <w:start w:val="1"/>
      <w:numFmt w:val="none"/>
      <w:lvlText w:val=""/>
      <w:lvlJc w:val="left"/>
      <w:pPr>
        <w:ind w:left="340" w:hanging="340"/>
      </w:pPr>
      <w:rPr>
        <w:rFonts w:hint="default"/>
      </w:rPr>
    </w:lvl>
  </w:abstractNum>
  <w:abstractNum w:abstractNumId="5" w15:restartNumberingAfterBreak="0">
    <w:nsid w:val="0A8C43AA"/>
    <w:multiLevelType w:val="hybridMultilevel"/>
    <w:tmpl w:val="90406000"/>
    <w:name w:val="MyNumbering6222"/>
    <w:lvl w:ilvl="0" w:tplc="713CADB2">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BBA645EA">
      <w:start w:val="1"/>
      <w:numFmt w:val="lowerRoman"/>
      <w:lvlText w:val="(%4)"/>
      <w:lvlJc w:val="left"/>
      <w:pPr>
        <w:ind w:left="2880" w:hanging="360"/>
      </w:pPr>
      <w:rPr>
        <w:rFonts w:ascii="Arial" w:hAnsi="Arial" w:hint="default"/>
        <w:b w:val="0"/>
        <w:i/>
        <w:sz w:val="20"/>
      </w:r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34249880">
      <w:start w:val="1"/>
      <w:numFmt w:val="decimal"/>
      <w:lvlText w:val="%7."/>
      <w:lvlJc w:val="left"/>
      <w:pPr>
        <w:ind w:left="5040" w:hanging="360"/>
      </w:pPr>
      <w:rPr>
        <w:rFonts w:ascii="Arial" w:hAnsi="Arial" w:hint="default"/>
        <w:b w:val="0"/>
        <w:i w:val="0"/>
        <w:sz w:val="20"/>
      </w:r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6" w15:restartNumberingAfterBreak="0">
    <w:nsid w:val="0D7210F9"/>
    <w:multiLevelType w:val="multilevel"/>
    <w:tmpl w:val="583A35FA"/>
    <w:name w:val="MyBullets15"/>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7" w15:restartNumberingAfterBreak="0">
    <w:nsid w:val="0FB2573F"/>
    <w:multiLevelType w:val="multilevel"/>
    <w:tmpl w:val="DE1A4C60"/>
    <w:name w:val="TableFootnotes"/>
    <w:lvl w:ilvl="0">
      <w:start w:val="1"/>
      <w:numFmt w:val="none"/>
      <w:suff w:val="nothing"/>
      <w:lvlText w:val=""/>
      <w:lvlJc w:val="left"/>
      <w:pPr>
        <w:ind w:left="113" w:firstLine="0"/>
      </w:pPr>
      <w:rPr>
        <w:rFonts w:hint="default"/>
        <w:spacing w:val="-10"/>
      </w:rPr>
    </w:lvl>
    <w:lvl w:ilvl="1">
      <w:start w:val="1"/>
      <w:numFmt w:val="decimal"/>
      <w:lvlText w:val="(%2)"/>
      <w:lvlJc w:val="left"/>
      <w:pPr>
        <w:tabs>
          <w:tab w:val="num" w:pos="425"/>
        </w:tabs>
        <w:ind w:left="425" w:hanging="425"/>
      </w:pPr>
      <w:rPr>
        <w:rFonts w:hint="default"/>
        <w:spacing w:val="0"/>
        <w:w w:val="100"/>
        <w:kern w:val="0"/>
        <w:position w:val="0"/>
      </w:rPr>
    </w:lvl>
    <w:lvl w:ilvl="2">
      <w:start w:val="1"/>
      <w:numFmt w:val="none"/>
      <w:lvlRestart w:val="1"/>
      <w:lvlText w:val=""/>
      <w:lvlJc w:val="left"/>
      <w:pPr>
        <w:tabs>
          <w:tab w:val="num" w:pos="284"/>
        </w:tabs>
        <w:ind w:left="284" w:hanging="284"/>
      </w:pPr>
      <w:rPr>
        <w:rFonts w:hint="default"/>
        <w:color w:val="auto"/>
        <w:spacing w:val="-4"/>
      </w:rPr>
    </w:lvl>
    <w:lvl w:ilvl="3">
      <w:start w:val="1"/>
      <w:numFmt w:val="none"/>
      <w:lvlText w:val=""/>
      <w:lvlJc w:val="left"/>
      <w:pPr>
        <w:tabs>
          <w:tab w:val="num" w:pos="0"/>
        </w:tabs>
        <w:ind w:left="-709" w:firstLine="0"/>
      </w:pPr>
      <w:rPr>
        <w:rFonts w:hint="default"/>
        <w:spacing w:val="-10"/>
        <w:w w:val="100"/>
      </w:rPr>
    </w:lvl>
    <w:lvl w:ilvl="4">
      <w:start w:val="1"/>
      <w:numFmt w:val="none"/>
      <w:lvlText w:val=""/>
      <w:lvlJc w:val="left"/>
      <w:pPr>
        <w:tabs>
          <w:tab w:val="num" w:pos="2835"/>
        </w:tabs>
        <w:ind w:left="2835" w:hanging="567"/>
      </w:pPr>
      <w:rPr>
        <w:rFonts w:hint="default"/>
      </w:rPr>
    </w:lvl>
    <w:lvl w:ilvl="5">
      <w:start w:val="1"/>
      <w:numFmt w:val="none"/>
      <w:lvlText w:val=""/>
      <w:lvlJc w:val="left"/>
      <w:pPr>
        <w:tabs>
          <w:tab w:val="num" w:pos="2160"/>
        </w:tabs>
        <w:ind w:left="2016" w:hanging="936"/>
      </w:pPr>
      <w:rPr>
        <w:rFonts w:hint="default"/>
      </w:rPr>
    </w:lvl>
    <w:lvl w:ilvl="6">
      <w:start w:val="1"/>
      <w:numFmt w:val="lowerRoman"/>
      <w:lvlRestart w:val="1"/>
      <w:lvlText w:val="%7"/>
      <w:lvlJc w:val="left"/>
      <w:pPr>
        <w:tabs>
          <w:tab w:val="num" w:pos="369"/>
        </w:tabs>
        <w:ind w:left="369" w:hanging="369"/>
      </w:pPr>
      <w:rPr>
        <w:rFonts w:hint="default"/>
      </w:rPr>
    </w:lvl>
    <w:lvl w:ilvl="7">
      <w:start w:val="1"/>
      <w:numFmt w:val="lowerLetter"/>
      <w:lvlText w:val="%8."/>
      <w:lvlJc w:val="left"/>
      <w:pPr>
        <w:tabs>
          <w:tab w:val="num" w:pos="737"/>
        </w:tabs>
        <w:ind w:left="737" w:hanging="368"/>
      </w:pPr>
      <w:rPr>
        <w:rFonts w:hint="default"/>
        <w:position w:val="0"/>
      </w:rPr>
    </w:lvl>
    <w:lvl w:ilvl="8">
      <w:start w:val="1"/>
      <w:numFmt w:val="bullet"/>
      <w:lvlText w:val=""/>
      <w:lvlJc w:val="left"/>
      <w:pPr>
        <w:tabs>
          <w:tab w:val="num" w:pos="1106"/>
        </w:tabs>
        <w:ind w:left="1106" w:hanging="369"/>
      </w:pPr>
      <w:rPr>
        <w:rFonts w:ascii="Symbol" w:hAnsi="Symbol" w:hint="default"/>
        <w:position w:val="2"/>
        <w:sz w:val="20"/>
        <w:szCs w:val="20"/>
      </w:rPr>
    </w:lvl>
  </w:abstractNum>
  <w:abstractNum w:abstractNumId="8" w15:restartNumberingAfterBreak="0">
    <w:nsid w:val="0FF31932"/>
    <w:multiLevelType w:val="multilevel"/>
    <w:tmpl w:val="583A35FA"/>
    <w:name w:val="MyBullets22"/>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9" w15:restartNumberingAfterBreak="0">
    <w:nsid w:val="11A77141"/>
    <w:multiLevelType w:val="multilevel"/>
    <w:tmpl w:val="583A35FA"/>
    <w:name w:val="MyBullets16"/>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10" w15:restartNumberingAfterBreak="0">
    <w:nsid w:val="126B4FB4"/>
    <w:multiLevelType w:val="multilevel"/>
    <w:tmpl w:val="583A35FA"/>
    <w:name w:val="MyBullets36"/>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11" w15:restartNumberingAfterBreak="0">
    <w:nsid w:val="13111E92"/>
    <w:multiLevelType w:val="multilevel"/>
    <w:tmpl w:val="583A35FA"/>
    <w:name w:val="MyBullets14"/>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12" w15:restartNumberingAfterBreak="0">
    <w:nsid w:val="14890D1D"/>
    <w:multiLevelType w:val="multilevel"/>
    <w:tmpl w:val="583A35FA"/>
    <w:name w:val="MyBullets"/>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13" w15:restartNumberingAfterBreak="0">
    <w:nsid w:val="150E00BA"/>
    <w:multiLevelType w:val="multilevel"/>
    <w:tmpl w:val="583A35FA"/>
    <w:name w:val="MyBullets34"/>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14" w15:restartNumberingAfterBreak="0">
    <w:nsid w:val="174A3534"/>
    <w:multiLevelType w:val="multilevel"/>
    <w:tmpl w:val="583A35FA"/>
    <w:name w:val="MyBullets5"/>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15" w15:restartNumberingAfterBreak="0">
    <w:nsid w:val="18B347EF"/>
    <w:multiLevelType w:val="multilevel"/>
    <w:tmpl w:val="583A35FA"/>
    <w:name w:val="MyBullets33"/>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16" w15:restartNumberingAfterBreak="0">
    <w:nsid w:val="18DB37BE"/>
    <w:multiLevelType w:val="multilevel"/>
    <w:tmpl w:val="59A8F944"/>
    <w:lvl w:ilvl="0">
      <w:start w:val="1"/>
      <w:numFmt w:val="decimal"/>
      <w:lvlText w:val="%1."/>
      <w:lvlJc w:val="left"/>
      <w:pPr>
        <w:ind w:left="360" w:hanging="360"/>
      </w:pPr>
      <w:rPr>
        <w:rFonts w:ascii="Arial" w:hAnsi="Arial" w:hint="default"/>
        <w:b w:val="0"/>
        <w:i w:val="0"/>
        <w:color w:val="auto"/>
        <w:sz w:val="22"/>
        <w:szCs w:val="18"/>
      </w:rPr>
    </w:lvl>
    <w:lvl w:ilvl="1">
      <w:start w:val="1"/>
      <w:numFmt w:val="lowerLetter"/>
      <w:lvlText w:val="(%2)"/>
      <w:lvlJc w:val="left"/>
      <w:pPr>
        <w:ind w:left="714" w:hanging="357"/>
      </w:pPr>
      <w:rPr>
        <w:rFonts w:hint="default"/>
      </w:rPr>
    </w:lvl>
    <w:lvl w:ilvl="2">
      <w:start w:val="1"/>
      <w:numFmt w:val="lowerRoman"/>
      <w:lvlText w:val="%3."/>
      <w:lvlJc w:val="left"/>
      <w:pPr>
        <w:ind w:left="1071" w:hanging="357"/>
      </w:pPr>
      <w:rPr>
        <w:rFonts w:hint="default"/>
      </w:rPr>
    </w:lvl>
    <w:lvl w:ilvl="3">
      <w:start w:val="1"/>
      <w:numFmt w:val="upperLetter"/>
      <w:lvlText w:val="%4."/>
      <w:lvlJc w:val="left"/>
      <w:pPr>
        <w:ind w:left="1428" w:hanging="357"/>
      </w:pPr>
      <w:rPr>
        <w:rFonts w:hint="default"/>
      </w:rPr>
    </w:lvl>
    <w:lvl w:ilvl="4">
      <w:start w:val="1"/>
      <w:numFmt w:val="upperRoman"/>
      <w:lvlText w:val="%5."/>
      <w:lvlJc w:val="left"/>
      <w:pPr>
        <w:ind w:left="1785" w:hanging="357"/>
      </w:pPr>
      <w:rPr>
        <w:rFonts w:hint="default"/>
      </w:rPr>
    </w:lvl>
    <w:lvl w:ilvl="5">
      <w:start w:val="1"/>
      <w:numFmt w:val="lowerRoman"/>
      <w:lvlText w:val="%6."/>
      <w:lvlJc w:val="right"/>
      <w:pPr>
        <w:ind w:left="2142" w:hanging="357"/>
      </w:pPr>
      <w:rPr>
        <w:rFonts w:hint="default"/>
      </w:rPr>
    </w:lvl>
    <w:lvl w:ilvl="6">
      <w:start w:val="1"/>
      <w:numFmt w:val="decimal"/>
      <w:lvlText w:val="%7."/>
      <w:lvlJc w:val="left"/>
      <w:pPr>
        <w:ind w:left="2499" w:hanging="357"/>
      </w:pPr>
      <w:rPr>
        <w:rFonts w:hint="default"/>
      </w:rPr>
    </w:lvl>
    <w:lvl w:ilvl="7">
      <w:start w:val="1"/>
      <w:numFmt w:val="lowerLetter"/>
      <w:lvlText w:val="%8."/>
      <w:lvlJc w:val="left"/>
      <w:pPr>
        <w:ind w:left="2856" w:hanging="357"/>
      </w:pPr>
      <w:rPr>
        <w:rFonts w:hint="default"/>
      </w:rPr>
    </w:lvl>
    <w:lvl w:ilvl="8">
      <w:start w:val="1"/>
      <w:numFmt w:val="lowerRoman"/>
      <w:lvlText w:val="%9."/>
      <w:lvlJc w:val="right"/>
      <w:pPr>
        <w:ind w:left="3213" w:hanging="357"/>
      </w:pPr>
      <w:rPr>
        <w:rFonts w:hint="default"/>
      </w:rPr>
    </w:lvl>
  </w:abstractNum>
  <w:abstractNum w:abstractNumId="17" w15:restartNumberingAfterBreak="0">
    <w:nsid w:val="1CC032E9"/>
    <w:multiLevelType w:val="multilevel"/>
    <w:tmpl w:val="583A35FA"/>
    <w:name w:val="MyBullets27"/>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18" w15:restartNumberingAfterBreak="0">
    <w:nsid w:val="1E752802"/>
    <w:multiLevelType w:val="hybridMultilevel"/>
    <w:tmpl w:val="57084850"/>
    <w:name w:val="MyNumbering33"/>
    <w:lvl w:ilvl="0" w:tplc="62EEBF52">
      <w:start w:val="1"/>
      <w:numFmt w:val="lowerLetter"/>
      <w:lvlText w:val="(%1)"/>
      <w:lvlJc w:val="left"/>
      <w:pPr>
        <w:ind w:left="720" w:hanging="360"/>
      </w:pPr>
      <w:rPr>
        <w:rFonts w:ascii="Arial" w:hAnsi="Arial" w:hint="default"/>
        <w:b w:val="0"/>
        <w:i w:val="0"/>
        <w:color w:val="231F20"/>
        <w:w w:val="100"/>
        <w:sz w:val="22"/>
        <w:szCs w:val="20"/>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9" w15:restartNumberingAfterBreak="0">
    <w:nsid w:val="1FF6579C"/>
    <w:multiLevelType w:val="multilevel"/>
    <w:tmpl w:val="8DF8C6B6"/>
    <w:name w:val="MyNumbering"/>
    <w:lvl w:ilvl="0">
      <w:start w:val="1"/>
      <w:numFmt w:val="decimal"/>
      <w:lvlText w:val="%1."/>
      <w:lvlJc w:val="left"/>
      <w:pPr>
        <w:ind w:left="360" w:hanging="360"/>
      </w:pPr>
      <w:rPr>
        <w:rFonts w:ascii="Arial" w:hAnsi="Arial" w:hint="default"/>
        <w:b w:val="0"/>
        <w:i w:val="0"/>
        <w:color w:val="auto"/>
        <w:sz w:val="22"/>
        <w:szCs w:val="18"/>
      </w:rPr>
    </w:lvl>
    <w:lvl w:ilvl="1">
      <w:start w:val="1"/>
      <w:numFmt w:val="lowerLetter"/>
      <w:lvlText w:val="%2."/>
      <w:lvlJc w:val="left"/>
      <w:pPr>
        <w:ind w:left="714" w:hanging="357"/>
      </w:pPr>
      <w:rPr>
        <w:rFonts w:hint="default"/>
      </w:rPr>
    </w:lvl>
    <w:lvl w:ilvl="2">
      <w:start w:val="1"/>
      <w:numFmt w:val="lowerRoman"/>
      <w:lvlText w:val="%3."/>
      <w:lvlJc w:val="left"/>
      <w:pPr>
        <w:ind w:left="1071" w:hanging="357"/>
      </w:pPr>
      <w:rPr>
        <w:rFonts w:hint="default"/>
      </w:rPr>
    </w:lvl>
    <w:lvl w:ilvl="3">
      <w:start w:val="1"/>
      <w:numFmt w:val="upperLetter"/>
      <w:lvlText w:val="%4."/>
      <w:lvlJc w:val="left"/>
      <w:pPr>
        <w:ind w:left="1428" w:hanging="357"/>
      </w:pPr>
      <w:rPr>
        <w:rFonts w:hint="default"/>
      </w:rPr>
    </w:lvl>
    <w:lvl w:ilvl="4">
      <w:start w:val="1"/>
      <w:numFmt w:val="upperRoman"/>
      <w:lvlText w:val="%5."/>
      <w:lvlJc w:val="left"/>
      <w:pPr>
        <w:ind w:left="1785" w:hanging="357"/>
      </w:pPr>
      <w:rPr>
        <w:rFonts w:hint="default"/>
      </w:rPr>
    </w:lvl>
    <w:lvl w:ilvl="5">
      <w:start w:val="1"/>
      <w:numFmt w:val="lowerRoman"/>
      <w:lvlText w:val="%6."/>
      <w:lvlJc w:val="right"/>
      <w:pPr>
        <w:ind w:left="2142" w:hanging="357"/>
      </w:pPr>
      <w:rPr>
        <w:rFonts w:hint="default"/>
      </w:rPr>
    </w:lvl>
    <w:lvl w:ilvl="6">
      <w:start w:val="1"/>
      <w:numFmt w:val="decimal"/>
      <w:lvlText w:val="%7."/>
      <w:lvlJc w:val="left"/>
      <w:pPr>
        <w:ind w:left="2499" w:hanging="357"/>
      </w:pPr>
      <w:rPr>
        <w:rFonts w:hint="default"/>
      </w:rPr>
    </w:lvl>
    <w:lvl w:ilvl="7">
      <w:start w:val="1"/>
      <w:numFmt w:val="lowerLetter"/>
      <w:lvlText w:val="%8."/>
      <w:lvlJc w:val="left"/>
      <w:pPr>
        <w:ind w:left="2856" w:hanging="357"/>
      </w:pPr>
      <w:rPr>
        <w:rFonts w:hint="default"/>
      </w:rPr>
    </w:lvl>
    <w:lvl w:ilvl="8">
      <w:start w:val="1"/>
      <w:numFmt w:val="lowerRoman"/>
      <w:lvlText w:val="%9."/>
      <w:lvlJc w:val="right"/>
      <w:pPr>
        <w:ind w:left="3213" w:hanging="357"/>
      </w:pPr>
      <w:rPr>
        <w:rFonts w:hint="default"/>
      </w:rPr>
    </w:lvl>
  </w:abstractNum>
  <w:abstractNum w:abstractNumId="20" w15:restartNumberingAfterBreak="0">
    <w:nsid w:val="2051010C"/>
    <w:multiLevelType w:val="hybridMultilevel"/>
    <w:tmpl w:val="8F7E7698"/>
    <w:name w:val="MyNumbering62245"/>
    <w:lvl w:ilvl="0" w:tplc="36F829CA">
      <w:start w:val="1"/>
      <w:numFmt w:val="lowerLetter"/>
      <w:lvlText w:val="(%1)"/>
      <w:lvlJc w:val="left"/>
      <w:pPr>
        <w:ind w:left="720" w:hanging="360"/>
      </w:pPr>
      <w:rPr>
        <w:rFonts w:ascii="Arial" w:hAnsi="Arial" w:hint="default"/>
        <w:b w:val="0"/>
        <w:i w:val="0"/>
        <w:sz w:val="22"/>
        <w:szCs w:val="26"/>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1" w15:restartNumberingAfterBreak="0">
    <w:nsid w:val="21B0106C"/>
    <w:multiLevelType w:val="hybridMultilevel"/>
    <w:tmpl w:val="4B4E4242"/>
    <w:name w:val="MyNumbering62246"/>
    <w:lvl w:ilvl="0" w:tplc="36F829CA">
      <w:start w:val="1"/>
      <w:numFmt w:val="lowerLetter"/>
      <w:lvlText w:val="(%1)"/>
      <w:lvlJc w:val="left"/>
      <w:pPr>
        <w:ind w:left="720" w:hanging="360"/>
      </w:pPr>
      <w:rPr>
        <w:rFonts w:ascii="Arial" w:hAnsi="Arial" w:hint="default"/>
        <w:b w:val="0"/>
        <w:i w:val="0"/>
        <w:sz w:val="22"/>
        <w:szCs w:val="26"/>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2" w15:restartNumberingAfterBreak="0">
    <w:nsid w:val="226A6EE6"/>
    <w:multiLevelType w:val="multilevel"/>
    <w:tmpl w:val="E4FE780E"/>
    <w:lvl w:ilvl="0">
      <w:start w:val="1"/>
      <w:numFmt w:val="bullet"/>
      <w:pStyle w:val="TableBullet1"/>
      <w:lvlText w:val=""/>
      <w:lvlJc w:val="left"/>
      <w:pPr>
        <w:tabs>
          <w:tab w:val="num" w:pos="312"/>
        </w:tabs>
        <w:ind w:left="312" w:hanging="227"/>
      </w:pPr>
      <w:rPr>
        <w:rFonts w:ascii="Wingdings" w:hAnsi="Wingdings" w:hint="default"/>
        <w:color w:val="auto"/>
        <w:position w:val="0"/>
        <w:sz w:val="18"/>
      </w:rPr>
    </w:lvl>
    <w:lvl w:ilvl="1">
      <w:start w:val="1"/>
      <w:numFmt w:val="bullet"/>
      <w:pStyle w:val="TableBullet2"/>
      <w:lvlText w:val="–"/>
      <w:lvlJc w:val="left"/>
      <w:pPr>
        <w:tabs>
          <w:tab w:val="num" w:pos="539"/>
        </w:tabs>
        <w:ind w:left="539" w:hanging="227"/>
      </w:pPr>
      <w:rPr>
        <w:rFonts w:ascii="Arial" w:hAnsi="Arial" w:hint="default"/>
        <w:color w:val="auto"/>
        <w:position w:val="0"/>
        <w:sz w:val="18"/>
      </w:rPr>
    </w:lvl>
    <w:lvl w:ilvl="2">
      <w:start w:val="1"/>
      <w:numFmt w:val="bullet"/>
      <w:pStyle w:val="TableBullet3"/>
      <w:lvlText w:val="•"/>
      <w:lvlJc w:val="left"/>
      <w:pPr>
        <w:tabs>
          <w:tab w:val="num" w:pos="765"/>
        </w:tabs>
        <w:ind w:left="765" w:hanging="226"/>
      </w:pPr>
      <w:rPr>
        <w:rFonts w:ascii="Book Antiqua" w:hAnsi="Book Antiqua" w:hint="default"/>
        <w:color w:val="auto"/>
        <w:position w:val="0"/>
        <w:sz w:val="18"/>
      </w:rPr>
    </w:lvl>
    <w:lvl w:ilvl="3">
      <w:start w:val="1"/>
      <w:numFmt w:val="none"/>
      <w:lvlText w:val=""/>
      <w:lvlJc w:val="left"/>
      <w:pPr>
        <w:tabs>
          <w:tab w:val="num" w:pos="1021"/>
        </w:tabs>
        <w:ind w:left="908" w:hanging="227"/>
      </w:pPr>
      <w:rPr>
        <w:rFonts w:hint="default"/>
        <w:color w:val="214C90" w:themeColor="text2"/>
        <w:sz w:val="16"/>
      </w:rPr>
    </w:lvl>
    <w:lvl w:ilvl="4">
      <w:start w:val="1"/>
      <w:numFmt w:val="none"/>
      <w:lvlText w:val=""/>
      <w:lvlJc w:val="left"/>
      <w:pPr>
        <w:tabs>
          <w:tab w:val="num" w:pos="1248"/>
        </w:tabs>
        <w:ind w:left="1135" w:hanging="227"/>
      </w:pPr>
      <w:rPr>
        <w:rFonts w:hint="default"/>
        <w:color w:val="214C90" w:themeColor="text2"/>
      </w:rPr>
    </w:lvl>
    <w:lvl w:ilvl="5">
      <w:start w:val="1"/>
      <w:numFmt w:val="none"/>
      <w:lvlText w:val=""/>
      <w:lvlJc w:val="left"/>
      <w:pPr>
        <w:tabs>
          <w:tab w:val="num" w:pos="1475"/>
        </w:tabs>
        <w:ind w:left="1362" w:hanging="227"/>
      </w:pPr>
      <w:rPr>
        <w:rFonts w:hint="default"/>
      </w:rPr>
    </w:lvl>
    <w:lvl w:ilvl="6">
      <w:start w:val="1"/>
      <w:numFmt w:val="none"/>
      <w:lvlText w:val=""/>
      <w:lvlJc w:val="left"/>
      <w:pPr>
        <w:tabs>
          <w:tab w:val="num" w:pos="1702"/>
        </w:tabs>
        <w:ind w:left="1589" w:hanging="227"/>
      </w:pPr>
      <w:rPr>
        <w:rFonts w:hint="default"/>
      </w:rPr>
    </w:lvl>
    <w:lvl w:ilvl="7">
      <w:start w:val="1"/>
      <w:numFmt w:val="none"/>
      <w:lvlText w:val=""/>
      <w:lvlJc w:val="left"/>
      <w:pPr>
        <w:tabs>
          <w:tab w:val="num" w:pos="1929"/>
        </w:tabs>
        <w:ind w:left="1816" w:hanging="227"/>
      </w:pPr>
      <w:rPr>
        <w:rFonts w:hint="default"/>
      </w:rPr>
    </w:lvl>
    <w:lvl w:ilvl="8">
      <w:start w:val="1"/>
      <w:numFmt w:val="none"/>
      <w:lvlText w:val=""/>
      <w:lvlJc w:val="left"/>
      <w:pPr>
        <w:tabs>
          <w:tab w:val="num" w:pos="2156"/>
        </w:tabs>
        <w:ind w:left="2043" w:hanging="227"/>
      </w:pPr>
      <w:rPr>
        <w:rFonts w:hint="default"/>
      </w:rPr>
    </w:lvl>
  </w:abstractNum>
  <w:abstractNum w:abstractNumId="23" w15:restartNumberingAfterBreak="0">
    <w:nsid w:val="227B1442"/>
    <w:multiLevelType w:val="hybridMultilevel"/>
    <w:tmpl w:val="9BC435AA"/>
    <w:lvl w:ilvl="0" w:tplc="36F829CA">
      <w:start w:val="1"/>
      <w:numFmt w:val="lowerLetter"/>
      <w:lvlText w:val="(%1)"/>
      <w:lvlJc w:val="left"/>
      <w:pPr>
        <w:ind w:left="720" w:hanging="360"/>
      </w:pPr>
      <w:rPr>
        <w:rFonts w:ascii="Arial" w:hAnsi="Arial" w:hint="default"/>
        <w:b w:val="0"/>
        <w:i w:val="0"/>
        <w:sz w:val="22"/>
        <w:szCs w:val="26"/>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4" w15:restartNumberingAfterBreak="0">
    <w:nsid w:val="254A468D"/>
    <w:multiLevelType w:val="hybridMultilevel"/>
    <w:tmpl w:val="A3568734"/>
    <w:name w:val="MyNumbering32"/>
    <w:lvl w:ilvl="0" w:tplc="A432922E">
      <w:start w:val="1"/>
      <w:numFmt w:val="decimal"/>
      <w:lvlText w:val="(%1)"/>
      <w:lvlJc w:val="left"/>
      <w:pPr>
        <w:ind w:left="720" w:hanging="360"/>
      </w:pPr>
      <w:rPr>
        <w:rFonts w:ascii="Arial" w:hAnsi="Arial" w:hint="default"/>
        <w:b w:val="0"/>
        <w:i w:val="0"/>
        <w:sz w:val="22"/>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5" w15:restartNumberingAfterBreak="0">
    <w:nsid w:val="254B6A47"/>
    <w:multiLevelType w:val="multilevel"/>
    <w:tmpl w:val="305A6728"/>
    <w:name w:val="AlphaList"/>
    <w:lvl w:ilvl="0">
      <w:start w:val="1"/>
      <w:numFmt w:val="lowerLetter"/>
      <w:lvlText w:val="(%1)"/>
      <w:lvlJc w:val="left"/>
      <w:pPr>
        <w:tabs>
          <w:tab w:val="num" w:pos="397"/>
        </w:tabs>
        <w:ind w:left="397" w:hanging="397"/>
      </w:pPr>
      <w:rPr>
        <w:rFonts w:hint="default"/>
      </w:rPr>
    </w:lvl>
    <w:lvl w:ilvl="1">
      <w:start w:val="1"/>
      <w:numFmt w:val="lowerRoman"/>
      <w:lvlText w:val="(%2)"/>
      <w:lvlJc w:val="left"/>
      <w:pPr>
        <w:tabs>
          <w:tab w:val="num" w:pos="794"/>
        </w:tabs>
        <w:ind w:left="794" w:hanging="397"/>
      </w:pPr>
      <w:rPr>
        <w:rFonts w:hint="default"/>
      </w:rPr>
    </w:lvl>
    <w:lvl w:ilvl="2">
      <w:start w:val="1"/>
      <w:numFmt w:val="upperLetter"/>
      <w:lvlText w:val="(%3)"/>
      <w:lvlJc w:val="left"/>
      <w:pPr>
        <w:tabs>
          <w:tab w:val="num" w:pos="1191"/>
        </w:tabs>
        <w:ind w:left="1191" w:hanging="397"/>
      </w:pPr>
      <w:rPr>
        <w:rFonts w:hint="default"/>
      </w:rPr>
    </w:lvl>
    <w:lvl w:ilvl="3">
      <w:start w:val="1"/>
      <w:numFmt w:val="decimal"/>
      <w:lvlText w:val="%4."/>
      <w:lvlJc w:val="left"/>
      <w:pPr>
        <w:tabs>
          <w:tab w:val="num" w:pos="1588"/>
        </w:tabs>
        <w:ind w:left="1588" w:hanging="397"/>
      </w:pPr>
      <w:rPr>
        <w:rFonts w:hint="default"/>
      </w:rPr>
    </w:lvl>
    <w:lvl w:ilvl="4">
      <w:start w:val="1"/>
      <w:numFmt w:val="none"/>
      <w:lvlText w:val=""/>
      <w:lvlJc w:val="left"/>
      <w:pPr>
        <w:tabs>
          <w:tab w:val="num" w:pos="2013"/>
        </w:tabs>
        <w:ind w:left="1985" w:hanging="397"/>
      </w:pPr>
      <w:rPr>
        <w:rFonts w:hint="default"/>
      </w:rPr>
    </w:lvl>
    <w:lvl w:ilvl="5">
      <w:start w:val="1"/>
      <w:numFmt w:val="none"/>
      <w:lvlText w:val=""/>
      <w:lvlJc w:val="left"/>
      <w:pPr>
        <w:tabs>
          <w:tab w:val="num" w:pos="2410"/>
        </w:tabs>
        <w:ind w:left="2382" w:hanging="397"/>
      </w:pPr>
      <w:rPr>
        <w:rFonts w:hint="default"/>
      </w:rPr>
    </w:lvl>
    <w:lvl w:ilvl="6">
      <w:start w:val="1"/>
      <w:numFmt w:val="none"/>
      <w:lvlText w:val=""/>
      <w:lvlJc w:val="left"/>
      <w:pPr>
        <w:tabs>
          <w:tab w:val="num" w:pos="2807"/>
        </w:tabs>
        <w:ind w:left="2779" w:hanging="397"/>
      </w:pPr>
      <w:rPr>
        <w:rFonts w:hint="default"/>
      </w:rPr>
    </w:lvl>
    <w:lvl w:ilvl="7">
      <w:start w:val="1"/>
      <w:numFmt w:val="none"/>
      <w:lvlText w:val=""/>
      <w:lvlJc w:val="left"/>
      <w:pPr>
        <w:tabs>
          <w:tab w:val="num" w:pos="3204"/>
        </w:tabs>
        <w:ind w:left="3176" w:hanging="397"/>
      </w:pPr>
      <w:rPr>
        <w:rFonts w:hint="default"/>
      </w:rPr>
    </w:lvl>
    <w:lvl w:ilvl="8">
      <w:start w:val="1"/>
      <w:numFmt w:val="none"/>
      <w:lvlText w:val=""/>
      <w:lvlJc w:val="left"/>
      <w:pPr>
        <w:tabs>
          <w:tab w:val="num" w:pos="3601"/>
        </w:tabs>
        <w:ind w:left="3573" w:hanging="397"/>
      </w:pPr>
      <w:rPr>
        <w:rFonts w:hint="default"/>
      </w:rPr>
    </w:lvl>
  </w:abstractNum>
  <w:abstractNum w:abstractNumId="26" w15:restartNumberingAfterBreak="0">
    <w:nsid w:val="27C445F5"/>
    <w:multiLevelType w:val="multilevel"/>
    <w:tmpl w:val="0EDEA0D8"/>
    <w:styleLink w:val="HangingList"/>
    <w:lvl w:ilvl="0">
      <w:start w:val="1"/>
      <w:numFmt w:val="none"/>
      <w:suff w:val="nothing"/>
      <w:lvlText w:val=""/>
      <w:lvlJc w:val="left"/>
      <w:pPr>
        <w:ind w:left="992" w:hanging="992"/>
      </w:pPr>
      <w:rPr>
        <w:rFonts w:hint="default"/>
      </w:rPr>
    </w:lvl>
    <w:lvl w:ilvl="1">
      <w:start w:val="1"/>
      <w:numFmt w:val="none"/>
      <w:suff w:val="nothing"/>
      <w:lvlText w:val=""/>
      <w:lvlJc w:val="left"/>
      <w:pPr>
        <w:ind w:left="1701" w:hanging="709"/>
      </w:pPr>
      <w:rPr>
        <w:rFonts w:hint="default"/>
      </w:rPr>
    </w:lvl>
    <w:lvl w:ilvl="2">
      <w:start w:val="1"/>
      <w:numFmt w:val="none"/>
      <w:suff w:val="nothing"/>
      <w:lvlText w:val=""/>
      <w:lvlJc w:val="left"/>
      <w:pPr>
        <w:ind w:left="2410" w:hanging="709"/>
      </w:pPr>
      <w:rPr>
        <w:rFonts w:hint="default"/>
      </w:rPr>
    </w:lvl>
    <w:lvl w:ilvl="3">
      <w:start w:val="1"/>
      <w:numFmt w:val="none"/>
      <w:suff w:val="nothing"/>
      <w:lvlText w:val=""/>
      <w:lvlJc w:val="left"/>
      <w:pPr>
        <w:ind w:left="3119" w:hanging="709"/>
      </w:pPr>
      <w:rPr>
        <w:rFonts w:hint="default"/>
      </w:rPr>
    </w:lvl>
    <w:lvl w:ilvl="4">
      <w:start w:val="1"/>
      <w:numFmt w:val="none"/>
      <w:suff w:val="nothing"/>
      <w:lvlText w:val=""/>
      <w:lvlJc w:val="left"/>
      <w:pPr>
        <w:ind w:left="3828" w:hanging="709"/>
      </w:pPr>
      <w:rPr>
        <w:rFonts w:hint="default"/>
      </w:rPr>
    </w:lvl>
    <w:lvl w:ilvl="5">
      <w:start w:val="1"/>
      <w:numFmt w:val="none"/>
      <w:suff w:val="nothing"/>
      <w:lvlText w:val=""/>
      <w:lvlJc w:val="left"/>
      <w:pPr>
        <w:ind w:left="4537" w:hanging="710"/>
      </w:pPr>
      <w:rPr>
        <w:rFonts w:hint="default"/>
      </w:rPr>
    </w:lvl>
    <w:lvl w:ilvl="6">
      <w:start w:val="1"/>
      <w:numFmt w:val="none"/>
      <w:suff w:val="nothing"/>
      <w:lvlText w:val=""/>
      <w:lvlJc w:val="left"/>
      <w:pPr>
        <w:ind w:left="5246" w:hanging="710"/>
      </w:pPr>
      <w:rPr>
        <w:rFonts w:hint="default"/>
      </w:rPr>
    </w:lvl>
    <w:lvl w:ilvl="7">
      <w:start w:val="1"/>
      <w:numFmt w:val="none"/>
      <w:suff w:val="nothing"/>
      <w:lvlText w:val=""/>
      <w:lvlJc w:val="left"/>
      <w:pPr>
        <w:ind w:left="5955" w:hanging="992"/>
      </w:pPr>
      <w:rPr>
        <w:rFonts w:hint="default"/>
      </w:rPr>
    </w:lvl>
    <w:lvl w:ilvl="8">
      <w:start w:val="1"/>
      <w:numFmt w:val="none"/>
      <w:suff w:val="nothing"/>
      <w:lvlText w:val=""/>
      <w:lvlJc w:val="left"/>
      <w:pPr>
        <w:ind w:left="6664" w:hanging="992"/>
      </w:pPr>
      <w:rPr>
        <w:rFonts w:hint="default"/>
      </w:rPr>
    </w:lvl>
  </w:abstractNum>
  <w:abstractNum w:abstractNumId="27" w15:restartNumberingAfterBreak="0">
    <w:nsid w:val="2911260D"/>
    <w:multiLevelType w:val="multilevel"/>
    <w:tmpl w:val="BB8EE6B2"/>
    <w:lvl w:ilvl="0">
      <w:start w:val="1"/>
      <w:numFmt w:val="decimal"/>
      <w:pStyle w:val="NotesNumbered"/>
      <w:lvlText w:val="%1."/>
      <w:lvlJc w:val="left"/>
      <w:pPr>
        <w:tabs>
          <w:tab w:val="num" w:pos="284"/>
        </w:tabs>
        <w:ind w:left="284" w:hanging="284"/>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8" w15:restartNumberingAfterBreak="0">
    <w:nsid w:val="29E20C04"/>
    <w:multiLevelType w:val="multilevel"/>
    <w:tmpl w:val="775ED5F2"/>
    <w:lvl w:ilvl="0">
      <w:start w:val="1"/>
      <w:numFmt w:val="upperLetter"/>
      <w:pStyle w:val="AppendixLevel1"/>
      <w:lvlText w:val="%1."/>
      <w:lvlJc w:val="left"/>
      <w:pPr>
        <w:ind w:left="1134" w:hanging="1134"/>
      </w:pPr>
    </w:lvl>
    <w:lvl w:ilvl="1">
      <w:start w:val="1"/>
      <w:numFmt w:val="decimal"/>
      <w:pStyle w:val="AppendixLevel2"/>
      <w:lvlText w:val="%1.%2"/>
      <w:lvlJc w:val="left"/>
      <w:pPr>
        <w:ind w:left="1134" w:hanging="1134"/>
      </w:pPr>
    </w:lvl>
    <w:lvl w:ilvl="2">
      <w:start w:val="1"/>
      <w:numFmt w:val="decimal"/>
      <w:pStyle w:val="AppendixLevel3"/>
      <w:lvlText w:val="%1.%2.%3"/>
      <w:lvlJc w:val="left"/>
      <w:pPr>
        <w:ind w:left="1134" w:hanging="1134"/>
      </w:pPr>
    </w:lvl>
    <w:lvl w:ilvl="3">
      <w:start w:val="1"/>
      <w:numFmt w:val="none"/>
      <w:lvlText w:val="(%4)"/>
      <w:lvlJc w:val="left"/>
      <w:pPr>
        <w:ind w:left="1808" w:hanging="737"/>
      </w:pPr>
    </w:lvl>
    <w:lvl w:ilvl="4">
      <w:start w:val="1"/>
      <w:numFmt w:val="lowerLetter"/>
      <w:lvlText w:val="(%5)"/>
      <w:lvlJc w:val="left"/>
      <w:pPr>
        <w:ind w:left="2165" w:hanging="737"/>
      </w:pPr>
    </w:lvl>
    <w:lvl w:ilvl="5">
      <w:start w:val="1"/>
      <w:numFmt w:val="lowerRoman"/>
      <w:lvlText w:val="(%6)"/>
      <w:lvlJc w:val="left"/>
      <w:pPr>
        <w:ind w:left="2522" w:hanging="737"/>
      </w:pPr>
    </w:lvl>
    <w:lvl w:ilvl="6">
      <w:start w:val="1"/>
      <w:numFmt w:val="decimal"/>
      <w:lvlText w:val="%7."/>
      <w:lvlJc w:val="left"/>
      <w:pPr>
        <w:ind w:left="2879" w:hanging="737"/>
      </w:pPr>
    </w:lvl>
    <w:lvl w:ilvl="7">
      <w:start w:val="1"/>
      <w:numFmt w:val="lowerLetter"/>
      <w:lvlText w:val="%8."/>
      <w:lvlJc w:val="left"/>
      <w:pPr>
        <w:ind w:left="3236" w:hanging="737"/>
      </w:pPr>
    </w:lvl>
    <w:lvl w:ilvl="8">
      <w:start w:val="1"/>
      <w:numFmt w:val="lowerRoman"/>
      <w:lvlText w:val="%9."/>
      <w:lvlJc w:val="left"/>
      <w:pPr>
        <w:ind w:left="3593" w:hanging="737"/>
      </w:pPr>
    </w:lvl>
  </w:abstractNum>
  <w:abstractNum w:abstractNumId="29" w15:restartNumberingAfterBreak="0">
    <w:nsid w:val="2C976934"/>
    <w:multiLevelType w:val="multilevel"/>
    <w:tmpl w:val="C9881CB4"/>
    <w:name w:val="TableBullets"/>
    <w:styleLink w:val="TableBullets"/>
    <w:lvl w:ilvl="0">
      <w:start w:val="1"/>
      <w:numFmt w:val="bullet"/>
      <w:suff w:val="nothing"/>
      <w:lvlText w:val=""/>
      <w:lvlJc w:val="left"/>
      <w:pPr>
        <w:ind w:left="284" w:hanging="171"/>
      </w:pPr>
      <w:rPr>
        <w:rFonts w:ascii="Symbol" w:hAnsi="Symbol" w:hint="default"/>
        <w:color w:val="auto"/>
      </w:rPr>
    </w:lvl>
    <w:lvl w:ilvl="1">
      <w:start w:val="1"/>
      <w:numFmt w:val="bullet"/>
      <w:lvlText w:val="–"/>
      <w:lvlJc w:val="left"/>
      <w:pPr>
        <w:ind w:left="454" w:hanging="170"/>
      </w:pPr>
      <w:rPr>
        <w:rFonts w:ascii="Georgia" w:hAnsi="Georgia" w:hint="default"/>
        <w:color w:val="auto"/>
      </w:rPr>
    </w:lvl>
    <w:lvl w:ilvl="2">
      <w:start w:val="1"/>
      <w:numFmt w:val="bullet"/>
      <w:lvlText w:val="o"/>
      <w:lvlJc w:val="left"/>
      <w:pPr>
        <w:tabs>
          <w:tab w:val="num" w:pos="454"/>
        </w:tabs>
        <w:ind w:left="624" w:hanging="170"/>
      </w:pPr>
      <w:rPr>
        <w:rFonts w:ascii="Courier New" w:hAnsi="Courier New" w:hint="default"/>
      </w:rPr>
    </w:lvl>
    <w:lvl w:ilvl="3">
      <w:start w:val="1"/>
      <w:numFmt w:val="none"/>
      <w:lvlText w:val=""/>
      <w:lvlJc w:val="left"/>
      <w:pPr>
        <w:ind w:left="340" w:hanging="340"/>
      </w:pPr>
      <w:rPr>
        <w:rFonts w:hint="default"/>
      </w:rPr>
    </w:lvl>
    <w:lvl w:ilvl="4">
      <w:start w:val="1"/>
      <w:numFmt w:val="none"/>
      <w:lvlText w:val=""/>
      <w:lvlJc w:val="left"/>
      <w:pPr>
        <w:ind w:left="340" w:hanging="340"/>
      </w:pPr>
      <w:rPr>
        <w:rFonts w:hint="default"/>
      </w:rPr>
    </w:lvl>
    <w:lvl w:ilvl="5">
      <w:start w:val="1"/>
      <w:numFmt w:val="none"/>
      <w:lvlText w:val=""/>
      <w:lvlJc w:val="left"/>
      <w:pPr>
        <w:ind w:left="340" w:hanging="340"/>
      </w:pPr>
      <w:rPr>
        <w:rFonts w:hint="default"/>
      </w:rPr>
    </w:lvl>
    <w:lvl w:ilvl="6">
      <w:start w:val="1"/>
      <w:numFmt w:val="none"/>
      <w:lvlText w:val=""/>
      <w:lvlJc w:val="left"/>
      <w:pPr>
        <w:ind w:left="340" w:hanging="340"/>
      </w:pPr>
      <w:rPr>
        <w:rFonts w:hint="default"/>
      </w:rPr>
    </w:lvl>
    <w:lvl w:ilvl="7">
      <w:start w:val="1"/>
      <w:numFmt w:val="none"/>
      <w:lvlText w:val=""/>
      <w:lvlJc w:val="left"/>
      <w:pPr>
        <w:ind w:left="340" w:hanging="340"/>
      </w:pPr>
      <w:rPr>
        <w:rFonts w:hint="default"/>
      </w:rPr>
    </w:lvl>
    <w:lvl w:ilvl="8">
      <w:start w:val="1"/>
      <w:numFmt w:val="none"/>
      <w:lvlText w:val=""/>
      <w:lvlJc w:val="left"/>
      <w:pPr>
        <w:ind w:left="340" w:hanging="340"/>
      </w:pPr>
      <w:rPr>
        <w:rFonts w:hint="default"/>
      </w:rPr>
    </w:lvl>
  </w:abstractNum>
  <w:abstractNum w:abstractNumId="30" w15:restartNumberingAfterBreak="0">
    <w:nsid w:val="2CF45687"/>
    <w:multiLevelType w:val="multilevel"/>
    <w:tmpl w:val="583A35FA"/>
    <w:name w:val="MyBullets4"/>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31" w15:restartNumberingAfterBreak="0">
    <w:nsid w:val="2DCE6818"/>
    <w:multiLevelType w:val="multilevel"/>
    <w:tmpl w:val="583A35FA"/>
    <w:name w:val="MyBullets13"/>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32" w15:restartNumberingAfterBreak="0">
    <w:nsid w:val="315672CA"/>
    <w:multiLevelType w:val="multilevel"/>
    <w:tmpl w:val="938274C0"/>
    <w:name w:val="Table Numbering"/>
    <w:lvl w:ilvl="0">
      <w:start w:val="1"/>
      <w:numFmt w:val="decimal"/>
      <w:lvlText w:val="%1."/>
      <w:lvlJc w:val="left"/>
      <w:pPr>
        <w:tabs>
          <w:tab w:val="num" w:pos="425"/>
        </w:tabs>
        <w:ind w:left="425" w:hanging="425"/>
      </w:pPr>
      <w:rPr>
        <w:rFonts w:hint="default"/>
        <w:b/>
        <w:i w:val="0"/>
        <w:color w:val="auto"/>
      </w:rPr>
    </w:lvl>
    <w:lvl w:ilvl="1">
      <w:start w:val="1"/>
      <w:numFmt w:val="lowerLetter"/>
      <w:lvlText w:val="%2)"/>
      <w:lvlJc w:val="left"/>
      <w:pPr>
        <w:tabs>
          <w:tab w:val="num" w:pos="851"/>
        </w:tabs>
        <w:ind w:left="850" w:hanging="425"/>
      </w:pPr>
      <w:rPr>
        <w:rFonts w:hint="default"/>
        <w:b/>
        <w:i w:val="0"/>
        <w:color w:val="auto"/>
      </w:rPr>
    </w:lvl>
    <w:lvl w:ilvl="2">
      <w:start w:val="1"/>
      <w:numFmt w:val="lowerRoman"/>
      <w:lvlText w:val="%3)"/>
      <w:lvlJc w:val="left"/>
      <w:pPr>
        <w:tabs>
          <w:tab w:val="num" w:pos="1276"/>
        </w:tabs>
        <w:ind w:left="1275" w:hanging="425"/>
      </w:pPr>
      <w:rPr>
        <w:rFonts w:hint="default"/>
        <w:b/>
        <w:i w:val="0"/>
        <w:color w:val="auto"/>
        <w:sz w:val="18"/>
      </w:rPr>
    </w:lvl>
    <w:lvl w:ilvl="3">
      <w:start w:val="1"/>
      <w:numFmt w:val="none"/>
      <w:lvlText w:val="%4"/>
      <w:lvlJc w:val="left"/>
      <w:pPr>
        <w:tabs>
          <w:tab w:val="num" w:pos="1701"/>
        </w:tabs>
        <w:ind w:left="1700" w:hanging="425"/>
      </w:pPr>
      <w:rPr>
        <w:rFonts w:hint="default"/>
        <w:b/>
        <w:i w:val="0"/>
        <w:color w:val="000000" w:themeColor="text1"/>
      </w:rPr>
    </w:lvl>
    <w:lvl w:ilvl="4">
      <w:start w:val="1"/>
      <w:numFmt w:val="none"/>
      <w:lvlText w:val="%5"/>
      <w:lvlJc w:val="left"/>
      <w:pPr>
        <w:tabs>
          <w:tab w:val="num" w:pos="2126"/>
        </w:tabs>
        <w:ind w:left="2125" w:hanging="425"/>
      </w:pPr>
      <w:rPr>
        <w:rFonts w:hint="default"/>
        <w:b/>
        <w:i w:val="0"/>
        <w:color w:val="000000" w:themeColor="text1"/>
      </w:rPr>
    </w:lvl>
    <w:lvl w:ilvl="5">
      <w:start w:val="1"/>
      <w:numFmt w:val="none"/>
      <w:lvlText w:val=""/>
      <w:lvlJc w:val="left"/>
      <w:pPr>
        <w:tabs>
          <w:tab w:val="num" w:pos="2522"/>
        </w:tabs>
        <w:ind w:left="2550" w:hanging="425"/>
      </w:pPr>
      <w:rPr>
        <w:rFonts w:hint="default"/>
      </w:rPr>
    </w:lvl>
    <w:lvl w:ilvl="6">
      <w:start w:val="1"/>
      <w:numFmt w:val="none"/>
      <w:lvlText w:val=""/>
      <w:lvlJc w:val="left"/>
      <w:pPr>
        <w:tabs>
          <w:tab w:val="num" w:pos="2947"/>
        </w:tabs>
        <w:ind w:left="2975" w:hanging="425"/>
      </w:pPr>
      <w:rPr>
        <w:rFonts w:hint="default"/>
      </w:rPr>
    </w:lvl>
    <w:lvl w:ilvl="7">
      <w:start w:val="1"/>
      <w:numFmt w:val="none"/>
      <w:lvlText w:val=""/>
      <w:lvlJc w:val="left"/>
      <w:pPr>
        <w:tabs>
          <w:tab w:val="num" w:pos="3372"/>
        </w:tabs>
        <w:ind w:left="3400" w:hanging="425"/>
      </w:pPr>
      <w:rPr>
        <w:rFonts w:hint="default"/>
      </w:rPr>
    </w:lvl>
    <w:lvl w:ilvl="8">
      <w:start w:val="1"/>
      <w:numFmt w:val="none"/>
      <w:lvlText w:val=""/>
      <w:lvlJc w:val="left"/>
      <w:pPr>
        <w:tabs>
          <w:tab w:val="num" w:pos="3797"/>
        </w:tabs>
        <w:ind w:left="3825" w:hanging="425"/>
      </w:pPr>
      <w:rPr>
        <w:rFonts w:hint="default"/>
      </w:rPr>
    </w:lvl>
  </w:abstractNum>
  <w:abstractNum w:abstractNumId="33" w15:restartNumberingAfterBreak="0">
    <w:nsid w:val="317814DA"/>
    <w:multiLevelType w:val="multilevel"/>
    <w:tmpl w:val="A712FE7C"/>
    <w:lvl w:ilvl="0">
      <w:start w:val="1"/>
      <w:numFmt w:val="decimal"/>
      <w:pStyle w:val="Exhibit"/>
      <w:lvlText w:val="Exhibit %1."/>
      <w:lvlJc w:val="left"/>
      <w:pPr>
        <w:tabs>
          <w:tab w:val="num" w:pos="0"/>
        </w:tabs>
        <w:ind w:left="1440" w:firstLine="0"/>
      </w:pPr>
      <w:rPr>
        <w:rFonts w:hint="default"/>
        <w:b w:val="0"/>
        <w:i/>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34" w15:restartNumberingAfterBreak="0">
    <w:nsid w:val="3192772E"/>
    <w:multiLevelType w:val="multilevel"/>
    <w:tmpl w:val="583A35FA"/>
    <w:name w:val="MyBullets8"/>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35" w15:restartNumberingAfterBreak="0">
    <w:nsid w:val="32F0649C"/>
    <w:multiLevelType w:val="multilevel"/>
    <w:tmpl w:val="583A35FA"/>
    <w:name w:val="MyBullets25"/>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36" w15:restartNumberingAfterBreak="0">
    <w:nsid w:val="353B574C"/>
    <w:multiLevelType w:val="multilevel"/>
    <w:tmpl w:val="583A35FA"/>
    <w:name w:val="MyBullets21"/>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37" w15:restartNumberingAfterBreak="0">
    <w:nsid w:val="37BD00BF"/>
    <w:multiLevelType w:val="multilevel"/>
    <w:tmpl w:val="583A35FA"/>
    <w:name w:val="MyBullets23"/>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38" w15:restartNumberingAfterBreak="0">
    <w:nsid w:val="37E16566"/>
    <w:multiLevelType w:val="multilevel"/>
    <w:tmpl w:val="8DF8C6B6"/>
    <w:name w:val="MyNumbering7"/>
    <w:lvl w:ilvl="0">
      <w:start w:val="1"/>
      <w:numFmt w:val="decimal"/>
      <w:lvlText w:val="%1."/>
      <w:lvlJc w:val="left"/>
      <w:pPr>
        <w:ind w:left="360" w:hanging="360"/>
      </w:pPr>
      <w:rPr>
        <w:rFonts w:ascii="Arial" w:hAnsi="Arial" w:hint="default"/>
        <w:b w:val="0"/>
        <w:i w:val="0"/>
        <w:color w:val="auto"/>
        <w:sz w:val="22"/>
        <w:szCs w:val="18"/>
      </w:rPr>
    </w:lvl>
    <w:lvl w:ilvl="1">
      <w:start w:val="1"/>
      <w:numFmt w:val="lowerLetter"/>
      <w:lvlText w:val="%2."/>
      <w:lvlJc w:val="left"/>
      <w:pPr>
        <w:ind w:left="714" w:hanging="357"/>
      </w:pPr>
      <w:rPr>
        <w:rFonts w:hint="default"/>
      </w:rPr>
    </w:lvl>
    <w:lvl w:ilvl="2">
      <w:start w:val="1"/>
      <w:numFmt w:val="lowerRoman"/>
      <w:lvlText w:val="%3."/>
      <w:lvlJc w:val="left"/>
      <w:pPr>
        <w:ind w:left="1071" w:hanging="357"/>
      </w:pPr>
      <w:rPr>
        <w:rFonts w:hint="default"/>
      </w:rPr>
    </w:lvl>
    <w:lvl w:ilvl="3">
      <w:start w:val="1"/>
      <w:numFmt w:val="upperLetter"/>
      <w:lvlText w:val="%4."/>
      <w:lvlJc w:val="left"/>
      <w:pPr>
        <w:ind w:left="1428" w:hanging="357"/>
      </w:pPr>
      <w:rPr>
        <w:rFonts w:hint="default"/>
      </w:rPr>
    </w:lvl>
    <w:lvl w:ilvl="4">
      <w:start w:val="1"/>
      <w:numFmt w:val="upperRoman"/>
      <w:lvlText w:val="%5."/>
      <w:lvlJc w:val="left"/>
      <w:pPr>
        <w:ind w:left="1785" w:hanging="357"/>
      </w:pPr>
      <w:rPr>
        <w:rFonts w:hint="default"/>
      </w:rPr>
    </w:lvl>
    <w:lvl w:ilvl="5">
      <w:start w:val="1"/>
      <w:numFmt w:val="lowerRoman"/>
      <w:lvlText w:val="%6."/>
      <w:lvlJc w:val="right"/>
      <w:pPr>
        <w:ind w:left="2142" w:hanging="357"/>
      </w:pPr>
      <w:rPr>
        <w:rFonts w:hint="default"/>
      </w:rPr>
    </w:lvl>
    <w:lvl w:ilvl="6">
      <w:start w:val="1"/>
      <w:numFmt w:val="decimal"/>
      <w:lvlText w:val="%7."/>
      <w:lvlJc w:val="left"/>
      <w:pPr>
        <w:ind w:left="2499" w:hanging="357"/>
      </w:pPr>
      <w:rPr>
        <w:rFonts w:hint="default"/>
      </w:rPr>
    </w:lvl>
    <w:lvl w:ilvl="7">
      <w:start w:val="1"/>
      <w:numFmt w:val="lowerLetter"/>
      <w:lvlText w:val="%8."/>
      <w:lvlJc w:val="left"/>
      <w:pPr>
        <w:ind w:left="2856" w:hanging="357"/>
      </w:pPr>
      <w:rPr>
        <w:rFonts w:hint="default"/>
      </w:rPr>
    </w:lvl>
    <w:lvl w:ilvl="8">
      <w:start w:val="1"/>
      <w:numFmt w:val="lowerRoman"/>
      <w:lvlText w:val="%9."/>
      <w:lvlJc w:val="right"/>
      <w:pPr>
        <w:ind w:left="3213" w:hanging="357"/>
      </w:pPr>
      <w:rPr>
        <w:rFonts w:hint="default"/>
      </w:rPr>
    </w:lvl>
  </w:abstractNum>
  <w:abstractNum w:abstractNumId="39" w15:restartNumberingAfterBreak="0">
    <w:nsid w:val="381541A6"/>
    <w:multiLevelType w:val="hybridMultilevel"/>
    <w:tmpl w:val="6206041E"/>
    <w:name w:val="MyNumbering62244"/>
    <w:lvl w:ilvl="0" w:tplc="36F829CA">
      <w:start w:val="1"/>
      <w:numFmt w:val="lowerLetter"/>
      <w:lvlText w:val="(%1)"/>
      <w:lvlJc w:val="left"/>
      <w:pPr>
        <w:ind w:left="720" w:hanging="360"/>
      </w:pPr>
      <w:rPr>
        <w:rFonts w:ascii="Arial" w:hAnsi="Arial" w:hint="default"/>
        <w:b w:val="0"/>
        <w:i w:val="0"/>
        <w:sz w:val="22"/>
        <w:szCs w:val="26"/>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0" w15:restartNumberingAfterBreak="0">
    <w:nsid w:val="39CB5DDF"/>
    <w:multiLevelType w:val="multilevel"/>
    <w:tmpl w:val="583A35FA"/>
    <w:name w:val="MyBullets10"/>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41" w15:restartNumberingAfterBreak="0">
    <w:nsid w:val="3AC734CF"/>
    <w:multiLevelType w:val="hybridMultilevel"/>
    <w:tmpl w:val="6E9E426C"/>
    <w:name w:val="MyNumbering5"/>
    <w:lvl w:ilvl="0" w:tplc="A432922E">
      <w:start w:val="1"/>
      <w:numFmt w:val="decimal"/>
      <w:lvlText w:val="(%1)"/>
      <w:lvlJc w:val="left"/>
      <w:pPr>
        <w:ind w:left="720" w:hanging="360"/>
      </w:pPr>
      <w:rPr>
        <w:rFonts w:ascii="Arial" w:hAnsi="Arial" w:hint="default"/>
        <w:b w:val="0"/>
        <w:i w:val="0"/>
        <w:sz w:val="22"/>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2" w15:restartNumberingAfterBreak="0">
    <w:nsid w:val="3EDB238B"/>
    <w:multiLevelType w:val="multilevel"/>
    <w:tmpl w:val="1ACED732"/>
    <w:lvl w:ilvl="0">
      <w:start w:val="1"/>
      <w:numFmt w:val="decimal"/>
      <w:pStyle w:val="Heading1"/>
      <w:lvlText w:val="%1."/>
      <w:lvlJc w:val="left"/>
      <w:pPr>
        <w:ind w:left="4169" w:hanging="624"/>
      </w:pPr>
      <w:rPr>
        <w:rFonts w:hint="default"/>
      </w:rPr>
    </w:lvl>
    <w:lvl w:ilvl="1">
      <w:start w:val="1"/>
      <w:numFmt w:val="decimal"/>
      <w:pStyle w:val="Heading2"/>
      <w:lvlText w:val="%1.%2"/>
      <w:lvlJc w:val="left"/>
      <w:pPr>
        <w:ind w:left="3744" w:hanging="624"/>
      </w:pPr>
      <w:rPr>
        <w:rFonts w:hint="default"/>
      </w:rPr>
    </w:lvl>
    <w:lvl w:ilvl="2">
      <w:start w:val="1"/>
      <w:numFmt w:val="decimal"/>
      <w:pStyle w:val="Heading3"/>
      <w:lvlText w:val="%1.%2.%3"/>
      <w:lvlJc w:val="left"/>
      <w:pPr>
        <w:ind w:left="624" w:hanging="624"/>
      </w:pPr>
      <w:rPr>
        <w:rFonts w:hint="default"/>
        <w:b/>
      </w:rPr>
    </w:lvl>
    <w:lvl w:ilvl="3">
      <w:start w:val="1"/>
      <w:numFmt w:val="decimal"/>
      <w:pStyle w:val="Heading4"/>
      <w:lvlText w:val="%1.%2.%3.%4"/>
      <w:lvlJc w:val="left"/>
      <w:pPr>
        <w:ind w:left="907" w:hanging="907"/>
      </w:pPr>
      <w:rPr>
        <w:rFonts w:hint="default"/>
      </w:rPr>
    </w:lvl>
    <w:lvl w:ilvl="4">
      <w:start w:val="1"/>
      <w:numFmt w:val="decimal"/>
      <w:pStyle w:val="Heading5"/>
      <w:lvlText w:val="%1.%2.%3.%4.%5"/>
      <w:lvlJc w:val="left"/>
      <w:pPr>
        <w:ind w:left="1134" w:hanging="1134"/>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43" w15:restartNumberingAfterBreak="0">
    <w:nsid w:val="3F240BDB"/>
    <w:multiLevelType w:val="hybridMultilevel"/>
    <w:tmpl w:val="EDE639C2"/>
    <w:name w:val="MyNumbering4"/>
    <w:lvl w:ilvl="0" w:tplc="0C090003">
      <w:start w:val="1"/>
      <w:numFmt w:val="bullet"/>
      <w:lvlText w:val="o"/>
      <w:lvlJc w:val="left"/>
      <w:pPr>
        <w:ind w:left="720" w:hanging="360"/>
      </w:pPr>
      <w:rPr>
        <w:rFonts w:ascii="Courier New" w:hAnsi="Courier New" w:cs="Courier New"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4" w15:restartNumberingAfterBreak="0">
    <w:nsid w:val="3F9D3D47"/>
    <w:multiLevelType w:val="multilevel"/>
    <w:tmpl w:val="583A35FA"/>
    <w:name w:val="MyBullets18"/>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45" w15:restartNumberingAfterBreak="0">
    <w:nsid w:val="4247713B"/>
    <w:multiLevelType w:val="multilevel"/>
    <w:tmpl w:val="277629B6"/>
    <w:name w:val="MyNumbering622"/>
    <w:lvl w:ilvl="0">
      <w:start w:val="1"/>
      <w:numFmt w:val="decimal"/>
      <w:lvlText w:val="%1."/>
      <w:lvlJc w:val="left"/>
      <w:pPr>
        <w:ind w:left="360" w:hanging="360"/>
      </w:pPr>
      <w:rPr>
        <w:rFonts w:ascii="Arial" w:hAnsi="Arial" w:hint="default"/>
        <w:b w:val="0"/>
        <w:i w:val="0"/>
        <w:color w:val="auto"/>
        <w:sz w:val="22"/>
        <w:szCs w:val="18"/>
      </w:rPr>
    </w:lvl>
    <w:lvl w:ilvl="1">
      <w:start w:val="1"/>
      <w:numFmt w:val="lowerLetter"/>
      <w:lvlText w:val="%2."/>
      <w:lvlJc w:val="left"/>
      <w:pPr>
        <w:ind w:left="714" w:hanging="357"/>
      </w:pPr>
      <w:rPr>
        <w:rFonts w:hint="default"/>
      </w:rPr>
    </w:lvl>
    <w:lvl w:ilvl="2">
      <w:start w:val="1"/>
      <w:numFmt w:val="lowerRoman"/>
      <w:lvlText w:val="%3."/>
      <w:lvlJc w:val="left"/>
      <w:pPr>
        <w:ind w:left="1071" w:hanging="357"/>
      </w:pPr>
      <w:rPr>
        <w:rFonts w:hint="default"/>
      </w:rPr>
    </w:lvl>
    <w:lvl w:ilvl="3">
      <w:start w:val="1"/>
      <w:numFmt w:val="upperLetter"/>
      <w:lvlText w:val="%4."/>
      <w:lvlJc w:val="left"/>
      <w:pPr>
        <w:ind w:left="1428" w:hanging="357"/>
      </w:pPr>
      <w:rPr>
        <w:rFonts w:hint="default"/>
      </w:rPr>
    </w:lvl>
    <w:lvl w:ilvl="4">
      <w:start w:val="1"/>
      <w:numFmt w:val="upperRoman"/>
      <w:lvlText w:val="%5."/>
      <w:lvlJc w:val="left"/>
      <w:pPr>
        <w:ind w:left="1785" w:hanging="357"/>
      </w:pPr>
      <w:rPr>
        <w:rFonts w:hint="default"/>
      </w:rPr>
    </w:lvl>
    <w:lvl w:ilvl="5">
      <w:start w:val="1"/>
      <w:numFmt w:val="lowerRoman"/>
      <w:lvlText w:val="%6."/>
      <w:lvlJc w:val="right"/>
      <w:pPr>
        <w:ind w:left="2142" w:hanging="357"/>
      </w:pPr>
      <w:rPr>
        <w:rFonts w:hint="default"/>
      </w:rPr>
    </w:lvl>
    <w:lvl w:ilvl="6">
      <w:start w:val="1"/>
      <w:numFmt w:val="decimal"/>
      <w:lvlText w:val="%7."/>
      <w:lvlJc w:val="left"/>
      <w:pPr>
        <w:ind w:left="2499" w:hanging="357"/>
      </w:pPr>
      <w:rPr>
        <w:rFonts w:hint="default"/>
      </w:rPr>
    </w:lvl>
    <w:lvl w:ilvl="7">
      <w:start w:val="1"/>
      <w:numFmt w:val="lowerLetter"/>
      <w:lvlText w:val="%8."/>
      <w:lvlJc w:val="left"/>
      <w:pPr>
        <w:ind w:left="2856" w:hanging="357"/>
      </w:pPr>
      <w:rPr>
        <w:rFonts w:hint="default"/>
      </w:rPr>
    </w:lvl>
    <w:lvl w:ilvl="8">
      <w:start w:val="1"/>
      <w:numFmt w:val="lowerRoman"/>
      <w:lvlText w:val="%9."/>
      <w:lvlJc w:val="right"/>
      <w:pPr>
        <w:ind w:left="3213" w:hanging="357"/>
      </w:pPr>
      <w:rPr>
        <w:rFonts w:hint="default"/>
      </w:rPr>
    </w:lvl>
  </w:abstractNum>
  <w:abstractNum w:abstractNumId="46" w15:restartNumberingAfterBreak="0">
    <w:nsid w:val="43665411"/>
    <w:multiLevelType w:val="multilevel"/>
    <w:tmpl w:val="583A35FA"/>
    <w:name w:val="MyBullets35"/>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47" w15:restartNumberingAfterBreak="0">
    <w:nsid w:val="45D07742"/>
    <w:multiLevelType w:val="multilevel"/>
    <w:tmpl w:val="8DF8C6B6"/>
    <w:name w:val="MyNumbering9"/>
    <w:lvl w:ilvl="0">
      <w:start w:val="1"/>
      <w:numFmt w:val="decimal"/>
      <w:lvlText w:val="%1."/>
      <w:lvlJc w:val="left"/>
      <w:pPr>
        <w:ind w:left="360" w:hanging="360"/>
      </w:pPr>
      <w:rPr>
        <w:rFonts w:ascii="Arial" w:hAnsi="Arial" w:hint="default"/>
        <w:b w:val="0"/>
        <w:i w:val="0"/>
        <w:color w:val="auto"/>
        <w:sz w:val="22"/>
        <w:szCs w:val="18"/>
      </w:rPr>
    </w:lvl>
    <w:lvl w:ilvl="1">
      <w:start w:val="1"/>
      <w:numFmt w:val="lowerLetter"/>
      <w:lvlText w:val="%2."/>
      <w:lvlJc w:val="left"/>
      <w:pPr>
        <w:ind w:left="714" w:hanging="357"/>
      </w:pPr>
      <w:rPr>
        <w:rFonts w:hint="default"/>
      </w:rPr>
    </w:lvl>
    <w:lvl w:ilvl="2">
      <w:start w:val="1"/>
      <w:numFmt w:val="lowerRoman"/>
      <w:lvlText w:val="%3."/>
      <w:lvlJc w:val="left"/>
      <w:pPr>
        <w:ind w:left="1071" w:hanging="357"/>
      </w:pPr>
      <w:rPr>
        <w:rFonts w:hint="default"/>
      </w:rPr>
    </w:lvl>
    <w:lvl w:ilvl="3">
      <w:start w:val="1"/>
      <w:numFmt w:val="upperLetter"/>
      <w:lvlText w:val="%4."/>
      <w:lvlJc w:val="left"/>
      <w:pPr>
        <w:ind w:left="1428" w:hanging="357"/>
      </w:pPr>
      <w:rPr>
        <w:rFonts w:hint="default"/>
      </w:rPr>
    </w:lvl>
    <w:lvl w:ilvl="4">
      <w:start w:val="1"/>
      <w:numFmt w:val="upperRoman"/>
      <w:lvlText w:val="%5."/>
      <w:lvlJc w:val="left"/>
      <w:pPr>
        <w:ind w:left="1785" w:hanging="357"/>
      </w:pPr>
      <w:rPr>
        <w:rFonts w:hint="default"/>
      </w:rPr>
    </w:lvl>
    <w:lvl w:ilvl="5">
      <w:start w:val="1"/>
      <w:numFmt w:val="lowerRoman"/>
      <w:lvlText w:val="%6."/>
      <w:lvlJc w:val="right"/>
      <w:pPr>
        <w:ind w:left="2142" w:hanging="357"/>
      </w:pPr>
      <w:rPr>
        <w:rFonts w:hint="default"/>
      </w:rPr>
    </w:lvl>
    <w:lvl w:ilvl="6">
      <w:start w:val="1"/>
      <w:numFmt w:val="decimal"/>
      <w:lvlText w:val="%7."/>
      <w:lvlJc w:val="left"/>
      <w:pPr>
        <w:ind w:left="2499" w:hanging="357"/>
      </w:pPr>
      <w:rPr>
        <w:rFonts w:hint="default"/>
      </w:rPr>
    </w:lvl>
    <w:lvl w:ilvl="7">
      <w:start w:val="1"/>
      <w:numFmt w:val="lowerLetter"/>
      <w:lvlText w:val="%8."/>
      <w:lvlJc w:val="left"/>
      <w:pPr>
        <w:ind w:left="2856" w:hanging="357"/>
      </w:pPr>
      <w:rPr>
        <w:rFonts w:hint="default"/>
      </w:rPr>
    </w:lvl>
    <w:lvl w:ilvl="8">
      <w:start w:val="1"/>
      <w:numFmt w:val="lowerRoman"/>
      <w:lvlText w:val="%9."/>
      <w:lvlJc w:val="right"/>
      <w:pPr>
        <w:ind w:left="3213" w:hanging="357"/>
      </w:pPr>
      <w:rPr>
        <w:rFonts w:hint="default"/>
      </w:rPr>
    </w:lvl>
  </w:abstractNum>
  <w:abstractNum w:abstractNumId="48" w15:restartNumberingAfterBreak="0">
    <w:nsid w:val="45FF7C58"/>
    <w:multiLevelType w:val="multilevel"/>
    <w:tmpl w:val="583A35FA"/>
    <w:name w:val="MyBullets19"/>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49" w15:restartNumberingAfterBreak="0">
    <w:nsid w:val="47844F2D"/>
    <w:multiLevelType w:val="multilevel"/>
    <w:tmpl w:val="DC0412A8"/>
    <w:name w:val="items"/>
    <w:lvl w:ilvl="0">
      <w:start w:val="1"/>
      <w:numFmt w:val="decimal"/>
      <w:lvlRestart w:val="0"/>
      <w:lvlText w:val="%1."/>
      <w:lvlJc w:val="left"/>
      <w:pPr>
        <w:ind w:left="624" w:hanging="624"/>
      </w:pPr>
      <w:rPr>
        <w:color w:val="5D89B4" w:themeColor="accent3"/>
        <w:sz w:val="22"/>
        <w:szCs w:val="22"/>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0" w15:restartNumberingAfterBreak="0">
    <w:nsid w:val="49267E33"/>
    <w:multiLevelType w:val="multilevel"/>
    <w:tmpl w:val="583A35FA"/>
    <w:name w:val="MyBullets32"/>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51" w15:restartNumberingAfterBreak="0">
    <w:nsid w:val="495451BC"/>
    <w:multiLevelType w:val="multilevel"/>
    <w:tmpl w:val="583A35FA"/>
    <w:name w:val="MyBullets2"/>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52" w15:restartNumberingAfterBreak="0">
    <w:nsid w:val="49C129F8"/>
    <w:multiLevelType w:val="multilevel"/>
    <w:tmpl w:val="C1568912"/>
    <w:name w:val="HeadingsList"/>
    <w:styleLink w:val="HeadingsList"/>
    <w:lvl w:ilvl="0">
      <w:start w:val="1"/>
      <w:numFmt w:val="decimal"/>
      <w:lvlRestart w:val="0"/>
      <w:lvlText w:val="%1."/>
      <w:lvlJc w:val="left"/>
      <w:pPr>
        <w:ind w:left="936" w:hanging="936"/>
      </w:pPr>
      <w:rPr>
        <w:rFonts w:asciiTheme="majorHAnsi" w:eastAsiaTheme="majorEastAsia" w:hAnsiTheme="majorHAnsi" w:cstheme="majorBidi" w:hint="default"/>
        <w:b/>
        <w:bCs/>
        <w:i w:val="0"/>
        <w:iCs w:val="0"/>
        <w:sz w:val="28"/>
        <w:szCs w:val="28"/>
      </w:rPr>
    </w:lvl>
    <w:lvl w:ilvl="1">
      <w:start w:val="1"/>
      <w:numFmt w:val="decimal"/>
      <w:lvlText w:val="%1.%2."/>
      <w:lvlJc w:val="left"/>
      <w:pPr>
        <w:ind w:left="936" w:hanging="936"/>
      </w:pPr>
      <w:rPr>
        <w:rFonts w:asciiTheme="majorHAnsi" w:eastAsiaTheme="majorEastAsia" w:hAnsiTheme="majorHAnsi" w:cstheme="majorBidi" w:hint="default"/>
        <w:b/>
        <w:bCs/>
        <w:i w:val="0"/>
        <w:iCs w:val="0"/>
        <w:sz w:val="26"/>
        <w:szCs w:val="26"/>
      </w:rPr>
    </w:lvl>
    <w:lvl w:ilvl="2">
      <w:start w:val="1"/>
      <w:numFmt w:val="decimal"/>
      <w:lvlText w:val="%1.%2.%3."/>
      <w:lvlJc w:val="left"/>
      <w:pPr>
        <w:ind w:left="936" w:hanging="936"/>
      </w:pPr>
      <w:rPr>
        <w:rFonts w:asciiTheme="majorHAnsi" w:eastAsiaTheme="majorEastAsia" w:hAnsiTheme="majorHAnsi" w:cstheme="majorBidi" w:hint="default"/>
        <w:b/>
        <w:bCs/>
        <w:i w:val="0"/>
        <w:iCs w:val="0"/>
        <w:sz w:val="24"/>
        <w:szCs w:val="24"/>
      </w:rPr>
    </w:lvl>
    <w:lvl w:ilvl="3">
      <w:start w:val="1"/>
      <w:numFmt w:val="decimal"/>
      <w:lvlText w:val="%1.%2.%3.%4."/>
      <w:lvlJc w:val="left"/>
      <w:pPr>
        <w:ind w:left="1296" w:hanging="1296"/>
      </w:pPr>
      <w:rPr>
        <w:rFonts w:asciiTheme="majorHAnsi" w:eastAsiaTheme="majorEastAsia" w:hAnsiTheme="majorHAnsi" w:cstheme="majorBidi" w:hint="default"/>
        <w:b w:val="0"/>
        <w:bCs w:val="0"/>
        <w:i w:val="0"/>
        <w:iCs w:val="0"/>
        <w:sz w:val="24"/>
        <w:szCs w:val="24"/>
      </w:rPr>
    </w:lvl>
    <w:lvl w:ilvl="4">
      <w:start w:val="1"/>
      <w:numFmt w:val="decimal"/>
      <w:lvlText w:val="%1.%2.%3.%4.%5."/>
      <w:lvlJc w:val="left"/>
      <w:pPr>
        <w:ind w:left="1296" w:hanging="1296"/>
      </w:pPr>
      <w:rPr>
        <w:rFonts w:asciiTheme="majorHAnsi" w:eastAsiaTheme="majorEastAsia" w:hAnsiTheme="majorHAnsi" w:cstheme="majorBidi" w:hint="default"/>
        <w:b w:val="0"/>
        <w:bCs w:val="0"/>
        <w:i/>
        <w:iCs/>
        <w:sz w:val="24"/>
        <w:szCs w:val="24"/>
      </w:rPr>
    </w:lvl>
    <w:lvl w:ilvl="5">
      <w:start w:val="1"/>
      <w:numFmt w:val="decimal"/>
      <w:lvlText w:val="%1.%2.%3.%4.%5.%6."/>
      <w:lvlJc w:val="left"/>
      <w:pPr>
        <w:ind w:left="1296" w:hanging="1296"/>
      </w:pPr>
      <w:rPr>
        <w:rFonts w:hint="default"/>
        <w:b w:val="0"/>
        <w:bCs w:val="0"/>
        <w:i w:val="0"/>
        <w:iCs/>
        <w:sz w:val="24"/>
        <w:szCs w:val="24"/>
      </w:rPr>
    </w:lvl>
    <w:lvl w:ilvl="6">
      <w:start w:val="1"/>
      <w:numFmt w:val="decimal"/>
      <w:lvlText w:val="%1.%2.%3.%4.%5.%6.%7."/>
      <w:lvlJc w:val="left"/>
      <w:pPr>
        <w:ind w:left="1296" w:hanging="1296"/>
      </w:pPr>
      <w:rPr>
        <w:rFonts w:hint="default"/>
        <w:b w:val="0"/>
        <w:bCs w:val="0"/>
        <w:i w:val="0"/>
        <w:iCs/>
        <w:sz w:val="24"/>
        <w:szCs w:val="24"/>
      </w:rPr>
    </w:lvl>
    <w:lvl w:ilvl="7">
      <w:start w:val="1"/>
      <w:numFmt w:val="decimal"/>
      <w:lvlText w:val="%1.%2.%3.%4.%5.%6.%7.%8."/>
      <w:lvlJc w:val="left"/>
      <w:pPr>
        <w:ind w:left="1296" w:hanging="1296"/>
      </w:pPr>
      <w:rPr>
        <w:rFonts w:hint="default"/>
        <w:b w:val="0"/>
        <w:bCs w:val="0"/>
        <w:i w:val="0"/>
        <w:iCs w:val="0"/>
        <w:sz w:val="20"/>
        <w:szCs w:val="24"/>
      </w:rPr>
    </w:lvl>
    <w:lvl w:ilvl="8">
      <w:start w:val="1"/>
      <w:numFmt w:val="decimal"/>
      <w:lvlText w:val="%1.%2.%3.%4.%5.%6.%7.%8.%9."/>
      <w:lvlJc w:val="left"/>
      <w:pPr>
        <w:ind w:left="1296" w:hanging="1296"/>
      </w:pPr>
      <w:rPr>
        <w:rFonts w:hint="default"/>
        <w:b w:val="0"/>
        <w:bCs w:val="0"/>
        <w:i w:val="0"/>
        <w:iCs/>
        <w:sz w:val="20"/>
        <w:szCs w:val="24"/>
      </w:rPr>
    </w:lvl>
  </w:abstractNum>
  <w:abstractNum w:abstractNumId="53" w15:restartNumberingAfterBreak="0">
    <w:nsid w:val="4A9D27B0"/>
    <w:multiLevelType w:val="hybridMultilevel"/>
    <w:tmpl w:val="E27A23E6"/>
    <w:name w:val="MyNumbering62242"/>
    <w:lvl w:ilvl="0" w:tplc="3290243E">
      <w:start w:val="1"/>
      <w:numFmt w:val="lowerLetter"/>
      <w:lvlText w:val="%1"/>
      <w:lvlJc w:val="left"/>
      <w:pPr>
        <w:ind w:left="1077" w:hanging="360"/>
      </w:pPr>
      <w:rPr>
        <w:rFonts w:ascii="Arial" w:hAnsi="Arial" w:hint="default"/>
        <w:b w:val="0"/>
        <w:i w:val="0"/>
        <w:sz w:val="22"/>
        <w:szCs w:val="26"/>
      </w:rPr>
    </w:lvl>
    <w:lvl w:ilvl="1" w:tplc="0C090019" w:tentative="1">
      <w:start w:val="1"/>
      <w:numFmt w:val="lowerLetter"/>
      <w:lvlText w:val="%2."/>
      <w:lvlJc w:val="left"/>
      <w:pPr>
        <w:ind w:left="1797" w:hanging="360"/>
      </w:pPr>
    </w:lvl>
    <w:lvl w:ilvl="2" w:tplc="0C09001B" w:tentative="1">
      <w:start w:val="1"/>
      <w:numFmt w:val="lowerRoman"/>
      <w:lvlText w:val="%3."/>
      <w:lvlJc w:val="right"/>
      <w:pPr>
        <w:ind w:left="2517" w:hanging="180"/>
      </w:pPr>
    </w:lvl>
    <w:lvl w:ilvl="3" w:tplc="0C09000F" w:tentative="1">
      <w:start w:val="1"/>
      <w:numFmt w:val="decimal"/>
      <w:lvlText w:val="%4."/>
      <w:lvlJc w:val="left"/>
      <w:pPr>
        <w:ind w:left="3237" w:hanging="360"/>
      </w:pPr>
    </w:lvl>
    <w:lvl w:ilvl="4" w:tplc="0C090019" w:tentative="1">
      <w:start w:val="1"/>
      <w:numFmt w:val="lowerLetter"/>
      <w:lvlText w:val="%5."/>
      <w:lvlJc w:val="left"/>
      <w:pPr>
        <w:ind w:left="3957" w:hanging="360"/>
      </w:pPr>
    </w:lvl>
    <w:lvl w:ilvl="5" w:tplc="0C09001B" w:tentative="1">
      <w:start w:val="1"/>
      <w:numFmt w:val="lowerRoman"/>
      <w:lvlText w:val="%6."/>
      <w:lvlJc w:val="right"/>
      <w:pPr>
        <w:ind w:left="4677" w:hanging="180"/>
      </w:pPr>
    </w:lvl>
    <w:lvl w:ilvl="6" w:tplc="0C09000F" w:tentative="1">
      <w:start w:val="1"/>
      <w:numFmt w:val="decimal"/>
      <w:lvlText w:val="%7."/>
      <w:lvlJc w:val="left"/>
      <w:pPr>
        <w:ind w:left="5397" w:hanging="360"/>
      </w:pPr>
    </w:lvl>
    <w:lvl w:ilvl="7" w:tplc="0C090019" w:tentative="1">
      <w:start w:val="1"/>
      <w:numFmt w:val="lowerLetter"/>
      <w:lvlText w:val="%8."/>
      <w:lvlJc w:val="left"/>
      <w:pPr>
        <w:ind w:left="6117" w:hanging="360"/>
      </w:pPr>
    </w:lvl>
    <w:lvl w:ilvl="8" w:tplc="0C09001B" w:tentative="1">
      <w:start w:val="1"/>
      <w:numFmt w:val="lowerRoman"/>
      <w:lvlText w:val="%9."/>
      <w:lvlJc w:val="right"/>
      <w:pPr>
        <w:ind w:left="6837" w:hanging="180"/>
      </w:pPr>
    </w:lvl>
  </w:abstractNum>
  <w:abstractNum w:abstractNumId="54" w15:restartNumberingAfterBreak="0">
    <w:nsid w:val="4BFF2C71"/>
    <w:multiLevelType w:val="hybridMultilevel"/>
    <w:tmpl w:val="7160E82E"/>
    <w:name w:val="MyNumbering3"/>
    <w:lvl w:ilvl="0" w:tplc="9036DE78">
      <w:start w:val="1"/>
      <w:numFmt w:val="decimal"/>
      <w:lvlText w:val="(%1)"/>
      <w:lvlJc w:val="left"/>
      <w:pPr>
        <w:ind w:left="720" w:hanging="360"/>
      </w:pPr>
      <w:rPr>
        <w:rFonts w:ascii="Arial" w:hAnsi="Arial" w:hint="default"/>
        <w:b w:val="0"/>
        <w:i w:val="0"/>
        <w:sz w:val="22"/>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55" w15:restartNumberingAfterBreak="0">
    <w:nsid w:val="4EF67232"/>
    <w:multiLevelType w:val="multilevel"/>
    <w:tmpl w:val="100AAA4C"/>
    <w:name w:val="Axiom Appendices"/>
    <w:lvl w:ilvl="0">
      <w:start w:val="1"/>
      <w:numFmt w:val="upperLetter"/>
      <w:lvlRestart w:val="0"/>
      <w:pStyle w:val="Heading9"/>
      <w:lvlText w:val="Appendix %1"/>
      <w:lvlJc w:val="left"/>
      <w:pPr>
        <w:ind w:left="2268" w:hanging="2268"/>
      </w:pPr>
      <w:rPr>
        <w:rFonts w:hint="default"/>
      </w:rPr>
    </w:lvl>
    <w:lvl w:ilvl="1">
      <w:start w:val="1"/>
      <w:numFmt w:val="decimal"/>
      <w:pStyle w:val="AppendixHeading2"/>
      <w:lvlText w:val="%1.%2"/>
      <w:lvlJc w:val="left"/>
      <w:pPr>
        <w:ind w:left="851" w:hanging="851"/>
      </w:pPr>
      <w:rPr>
        <w:rFonts w:hint="default"/>
      </w:rPr>
    </w:lvl>
    <w:lvl w:ilvl="2">
      <w:start w:val="1"/>
      <w:numFmt w:val="decimal"/>
      <w:pStyle w:val="AppendixHeading3"/>
      <w:lvlText w:val="%1.%2.%3"/>
      <w:lvlJc w:val="left"/>
      <w:pPr>
        <w:ind w:left="851" w:hanging="851"/>
      </w:pPr>
      <w:rPr>
        <w:rFonts w:hint="default"/>
      </w:rPr>
    </w:lvl>
    <w:lvl w:ilvl="3">
      <w:start w:val="1"/>
      <w:numFmt w:val="decimal"/>
      <w:pStyle w:val="AppendixHeading4"/>
      <w:lvlText w:val="%1.%2.%3.%4"/>
      <w:lvlJc w:val="left"/>
      <w:pPr>
        <w:ind w:left="851" w:hanging="851"/>
      </w:pPr>
      <w:rPr>
        <w:rFonts w:hint="default"/>
        <w:b/>
        <w:i w:val="0"/>
      </w:rPr>
    </w:lvl>
    <w:lvl w:ilvl="4">
      <w:start w:val="1"/>
      <w:numFmt w:val="none"/>
      <w:suff w:val="space"/>
      <w:lvlText w:val=""/>
      <w:lvlJc w:val="left"/>
      <w:pPr>
        <w:ind w:left="851" w:hanging="851"/>
      </w:pPr>
      <w:rPr>
        <w:rFonts w:hint="default"/>
      </w:rPr>
    </w:lvl>
    <w:lvl w:ilvl="5">
      <w:start w:val="1"/>
      <w:numFmt w:val="none"/>
      <w:lvlText w:val=""/>
      <w:lvlJc w:val="left"/>
      <w:pPr>
        <w:ind w:left="851" w:hanging="851"/>
      </w:pPr>
      <w:rPr>
        <w:rFonts w:hint="default"/>
      </w:rPr>
    </w:lvl>
    <w:lvl w:ilvl="6">
      <w:start w:val="1"/>
      <w:numFmt w:val="none"/>
      <w:lvlText w:val=""/>
      <w:lvlJc w:val="left"/>
      <w:pPr>
        <w:ind w:left="851" w:hanging="851"/>
      </w:pPr>
      <w:rPr>
        <w:rFonts w:hint="default"/>
      </w:rPr>
    </w:lvl>
    <w:lvl w:ilvl="7">
      <w:start w:val="1"/>
      <w:numFmt w:val="none"/>
      <w:lvlText w:val=""/>
      <w:lvlJc w:val="left"/>
      <w:pPr>
        <w:ind w:left="851" w:hanging="851"/>
      </w:pPr>
      <w:rPr>
        <w:rFonts w:hint="default"/>
      </w:rPr>
    </w:lvl>
    <w:lvl w:ilvl="8">
      <w:start w:val="1"/>
      <w:numFmt w:val="none"/>
      <w:lvlText w:val=""/>
      <w:lvlJc w:val="left"/>
      <w:pPr>
        <w:ind w:left="851" w:hanging="851"/>
      </w:pPr>
      <w:rPr>
        <w:rFonts w:hint="default"/>
      </w:rPr>
    </w:lvl>
  </w:abstractNum>
  <w:abstractNum w:abstractNumId="56" w15:restartNumberingAfterBreak="0">
    <w:nsid w:val="4FE25902"/>
    <w:multiLevelType w:val="multilevel"/>
    <w:tmpl w:val="E89892DA"/>
    <w:lvl w:ilvl="0">
      <w:start w:val="1"/>
      <w:numFmt w:val="decimal"/>
      <w:lvlText w:val="%1."/>
      <w:lvlJc w:val="left"/>
      <w:pPr>
        <w:ind w:left="360" w:hanging="360"/>
      </w:pPr>
      <w:rPr>
        <w:rFonts w:ascii="Arial" w:hAnsi="Arial" w:hint="default"/>
        <w:b w:val="0"/>
        <w:i w:val="0"/>
        <w:color w:val="auto"/>
        <w:sz w:val="22"/>
        <w:szCs w:val="18"/>
      </w:rPr>
    </w:lvl>
    <w:lvl w:ilvl="1">
      <w:start w:val="1"/>
      <w:numFmt w:val="lowerLetter"/>
      <w:lvlText w:val="(%2)"/>
      <w:lvlJc w:val="left"/>
      <w:pPr>
        <w:ind w:left="714" w:hanging="357"/>
      </w:pPr>
      <w:rPr>
        <w:rFonts w:hint="default"/>
      </w:rPr>
    </w:lvl>
    <w:lvl w:ilvl="2">
      <w:start w:val="1"/>
      <w:numFmt w:val="lowerRoman"/>
      <w:lvlText w:val="%3."/>
      <w:lvlJc w:val="left"/>
      <w:pPr>
        <w:ind w:left="1071" w:hanging="357"/>
      </w:pPr>
      <w:rPr>
        <w:rFonts w:hint="default"/>
      </w:rPr>
    </w:lvl>
    <w:lvl w:ilvl="3">
      <w:start w:val="1"/>
      <w:numFmt w:val="upperLetter"/>
      <w:lvlText w:val="%4."/>
      <w:lvlJc w:val="left"/>
      <w:pPr>
        <w:ind w:left="1428" w:hanging="357"/>
      </w:pPr>
      <w:rPr>
        <w:rFonts w:hint="default"/>
      </w:rPr>
    </w:lvl>
    <w:lvl w:ilvl="4">
      <w:start w:val="1"/>
      <w:numFmt w:val="upperRoman"/>
      <w:lvlText w:val="%5."/>
      <w:lvlJc w:val="left"/>
      <w:pPr>
        <w:ind w:left="1785" w:hanging="357"/>
      </w:pPr>
      <w:rPr>
        <w:rFonts w:hint="default"/>
      </w:rPr>
    </w:lvl>
    <w:lvl w:ilvl="5">
      <w:start w:val="1"/>
      <w:numFmt w:val="lowerRoman"/>
      <w:lvlText w:val="%6."/>
      <w:lvlJc w:val="right"/>
      <w:pPr>
        <w:ind w:left="2142" w:hanging="357"/>
      </w:pPr>
      <w:rPr>
        <w:rFonts w:hint="default"/>
      </w:rPr>
    </w:lvl>
    <w:lvl w:ilvl="6">
      <w:start w:val="1"/>
      <w:numFmt w:val="decimal"/>
      <w:lvlText w:val="%7."/>
      <w:lvlJc w:val="left"/>
      <w:pPr>
        <w:ind w:left="2499" w:hanging="357"/>
      </w:pPr>
      <w:rPr>
        <w:rFonts w:hint="default"/>
      </w:rPr>
    </w:lvl>
    <w:lvl w:ilvl="7">
      <w:start w:val="1"/>
      <w:numFmt w:val="lowerLetter"/>
      <w:lvlText w:val="%8."/>
      <w:lvlJc w:val="left"/>
      <w:pPr>
        <w:ind w:left="2856" w:hanging="357"/>
      </w:pPr>
      <w:rPr>
        <w:rFonts w:hint="default"/>
      </w:rPr>
    </w:lvl>
    <w:lvl w:ilvl="8">
      <w:start w:val="1"/>
      <w:numFmt w:val="lowerRoman"/>
      <w:lvlText w:val="%9."/>
      <w:lvlJc w:val="right"/>
      <w:pPr>
        <w:ind w:left="3213" w:hanging="357"/>
      </w:pPr>
      <w:rPr>
        <w:rFonts w:hint="default"/>
      </w:rPr>
    </w:lvl>
  </w:abstractNum>
  <w:abstractNum w:abstractNumId="57" w15:restartNumberingAfterBreak="0">
    <w:nsid w:val="4FED0F20"/>
    <w:multiLevelType w:val="multilevel"/>
    <w:tmpl w:val="8FFE7F86"/>
    <w:lvl w:ilvl="0">
      <w:start w:val="1"/>
      <w:numFmt w:val="bullet"/>
      <w:lvlText w:val=""/>
      <w:lvlJc w:val="left"/>
      <w:pPr>
        <w:ind w:left="369" w:hanging="369"/>
      </w:pPr>
      <w:rPr>
        <w:rFonts w:ascii="Wingdings" w:hAnsi="Wingdings" w:hint="default"/>
      </w:rPr>
    </w:lvl>
    <w:lvl w:ilvl="1">
      <w:start w:val="1"/>
      <w:numFmt w:val="bullet"/>
      <w:lvlText w:val="o"/>
      <w:lvlJc w:val="left"/>
      <w:pPr>
        <w:ind w:left="737" w:hanging="368"/>
      </w:pPr>
      <w:rPr>
        <w:rFonts w:ascii="Courier New" w:hAnsi="Courier New" w:cs="Courier New" w:hint="default"/>
      </w:rPr>
    </w:lvl>
    <w:lvl w:ilvl="2">
      <w:start w:val="1"/>
      <w:numFmt w:val="none"/>
      <w:lvlText w:val=":"/>
      <w:lvlJc w:val="left"/>
      <w:pPr>
        <w:ind w:left="1106" w:hanging="369"/>
      </w:pPr>
      <w:rPr>
        <w:rFonts w:hint="default"/>
      </w:rPr>
    </w:lvl>
    <w:lvl w:ilvl="3">
      <w:start w:val="1"/>
      <w:numFmt w:val="none"/>
      <w:lvlText w:val=""/>
      <w:lvlJc w:val="left"/>
      <w:pPr>
        <w:ind w:left="1474" w:hanging="368"/>
      </w:pPr>
      <w:rPr>
        <w:rFonts w:hint="default"/>
        <w:color w:val="auto"/>
      </w:rPr>
    </w:lvl>
    <w:lvl w:ilvl="4">
      <w:start w:val="1"/>
      <w:numFmt w:val="none"/>
      <w:lvlText w:val=""/>
      <w:lvlJc w:val="left"/>
      <w:pPr>
        <w:ind w:left="1800" w:hanging="360"/>
      </w:pPr>
      <w:rPr>
        <w:rFonts w:hint="default"/>
        <w:color w:val="auto"/>
      </w:rPr>
    </w:lvl>
    <w:lvl w:ilvl="5">
      <w:start w:val="1"/>
      <w:numFmt w:val="none"/>
      <w:lvlText w:val=""/>
      <w:lvlJc w:val="left"/>
      <w:pPr>
        <w:ind w:left="2160" w:hanging="360"/>
      </w:pPr>
      <w:rPr>
        <w:rFonts w:hint="default"/>
        <w:color w:val="auto"/>
      </w:rPr>
    </w:lvl>
    <w:lvl w:ilvl="6">
      <w:start w:val="1"/>
      <w:numFmt w:val="none"/>
      <w:lvlText w:val=""/>
      <w:lvlJc w:val="left"/>
      <w:pPr>
        <w:ind w:left="2520" w:hanging="360"/>
      </w:pPr>
      <w:rPr>
        <w:rFonts w:hint="default"/>
        <w:color w:val="auto"/>
      </w:rPr>
    </w:lvl>
    <w:lvl w:ilvl="7">
      <w:start w:val="1"/>
      <w:numFmt w:val="none"/>
      <w:lvlText w:val=""/>
      <w:lvlJc w:val="left"/>
      <w:pPr>
        <w:ind w:left="2880" w:hanging="360"/>
      </w:pPr>
      <w:rPr>
        <w:rFonts w:hint="default"/>
        <w:color w:val="auto"/>
      </w:rPr>
    </w:lvl>
    <w:lvl w:ilvl="8">
      <w:start w:val="1"/>
      <w:numFmt w:val="none"/>
      <w:lvlText w:val=""/>
      <w:lvlJc w:val="left"/>
      <w:pPr>
        <w:ind w:left="3240" w:hanging="360"/>
      </w:pPr>
      <w:rPr>
        <w:rFonts w:hint="default"/>
        <w:color w:val="auto"/>
      </w:rPr>
    </w:lvl>
  </w:abstractNum>
  <w:abstractNum w:abstractNumId="58" w15:restartNumberingAfterBreak="0">
    <w:nsid w:val="512A7060"/>
    <w:multiLevelType w:val="multilevel"/>
    <w:tmpl w:val="583A35FA"/>
    <w:name w:val="MyBullets11"/>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59" w15:restartNumberingAfterBreak="0">
    <w:nsid w:val="51A144D2"/>
    <w:multiLevelType w:val="multilevel"/>
    <w:tmpl w:val="583A35FA"/>
    <w:name w:val="MyBullets29"/>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60" w15:restartNumberingAfterBreak="0">
    <w:nsid w:val="52456C28"/>
    <w:multiLevelType w:val="multilevel"/>
    <w:tmpl w:val="472A8ED0"/>
    <w:name w:val="U1_Legal Numbering"/>
    <w:lvl w:ilvl="0">
      <w:start w:val="1"/>
      <w:numFmt w:val="decimal"/>
      <w:lvlText w:val="%1."/>
      <w:lvlJc w:val="left"/>
      <w:pPr>
        <w:ind w:left="567" w:hanging="567"/>
      </w:pPr>
      <w:rPr>
        <w:rFonts w:hint="default"/>
      </w:rPr>
    </w:lvl>
    <w:lvl w:ilvl="1">
      <w:start w:val="1"/>
      <w:numFmt w:val="decimal"/>
      <w:lvlText w:val="%1.%2"/>
      <w:lvlJc w:val="left"/>
      <w:pPr>
        <w:ind w:left="1134" w:hanging="567"/>
      </w:pPr>
      <w:rPr>
        <w:rFonts w:hint="default"/>
      </w:rPr>
    </w:lvl>
    <w:lvl w:ilvl="2">
      <w:start w:val="1"/>
      <w:numFmt w:val="decimal"/>
      <w:lvlText w:val="%1.%2.%3"/>
      <w:lvlJc w:val="left"/>
      <w:pPr>
        <w:tabs>
          <w:tab w:val="num" w:pos="1134"/>
        </w:tabs>
        <w:ind w:left="1814" w:hanging="680"/>
      </w:pPr>
      <w:rPr>
        <w:rFonts w:hint="default"/>
      </w:rPr>
    </w:lvl>
    <w:lvl w:ilvl="3">
      <w:start w:val="1"/>
      <w:numFmt w:val="decimal"/>
      <w:suff w:val="space"/>
      <w:lvlText w:val="%1.%2.%3.%4  "/>
      <w:lvlJc w:val="left"/>
      <w:pPr>
        <w:ind w:left="2268" w:hanging="454"/>
      </w:pPr>
      <w:rPr>
        <w:rFonts w:hint="default"/>
      </w:rPr>
    </w:lvl>
    <w:lvl w:ilvl="4">
      <w:start w:val="1"/>
      <w:numFmt w:val="none"/>
      <w:suff w:val="space"/>
      <w:lvlText w:val=""/>
      <w:lvlJc w:val="left"/>
      <w:pPr>
        <w:ind w:left="2835" w:hanging="567"/>
      </w:pPr>
      <w:rPr>
        <w:rFonts w:hint="default"/>
      </w:rPr>
    </w:lvl>
    <w:lvl w:ilvl="5">
      <w:start w:val="1"/>
      <w:numFmt w:val="none"/>
      <w:suff w:val="space"/>
      <w:lvlText w:val=""/>
      <w:lvlJc w:val="left"/>
      <w:pPr>
        <w:ind w:left="3402" w:hanging="567"/>
      </w:pPr>
      <w:rPr>
        <w:rFonts w:hint="default"/>
      </w:rPr>
    </w:lvl>
    <w:lvl w:ilvl="6">
      <w:start w:val="1"/>
      <w:numFmt w:val="none"/>
      <w:suff w:val="space"/>
      <w:lvlText w:val=""/>
      <w:lvlJc w:val="left"/>
      <w:pPr>
        <w:ind w:left="3969" w:hanging="567"/>
      </w:pPr>
      <w:rPr>
        <w:rFonts w:hint="default"/>
      </w:rPr>
    </w:lvl>
    <w:lvl w:ilvl="7">
      <w:start w:val="1"/>
      <w:numFmt w:val="none"/>
      <w:suff w:val="space"/>
      <w:lvlText w:val=""/>
      <w:lvlJc w:val="left"/>
      <w:pPr>
        <w:ind w:left="4536" w:hanging="567"/>
      </w:pPr>
      <w:rPr>
        <w:rFonts w:hint="default"/>
      </w:rPr>
    </w:lvl>
    <w:lvl w:ilvl="8">
      <w:start w:val="1"/>
      <w:numFmt w:val="none"/>
      <w:suff w:val="space"/>
      <w:lvlText w:val=""/>
      <w:lvlJc w:val="left"/>
      <w:pPr>
        <w:ind w:left="5103" w:hanging="567"/>
      </w:pPr>
      <w:rPr>
        <w:rFonts w:hint="default"/>
      </w:rPr>
    </w:lvl>
  </w:abstractNum>
  <w:abstractNum w:abstractNumId="61" w15:restartNumberingAfterBreak="0">
    <w:nsid w:val="52890B29"/>
    <w:multiLevelType w:val="hybridMultilevel"/>
    <w:tmpl w:val="067CFC18"/>
    <w:name w:val="MyHeadings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2" w15:restartNumberingAfterBreak="0">
    <w:nsid w:val="55A605C1"/>
    <w:multiLevelType w:val="multilevel"/>
    <w:tmpl w:val="583A35FA"/>
    <w:name w:val="MyBullets20"/>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63" w15:restartNumberingAfterBreak="0">
    <w:nsid w:val="55D6482D"/>
    <w:multiLevelType w:val="multilevel"/>
    <w:tmpl w:val="583A35FA"/>
    <w:name w:val="MyBullets3"/>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64" w15:restartNumberingAfterBreak="0">
    <w:nsid w:val="56C75B88"/>
    <w:multiLevelType w:val="multilevel"/>
    <w:tmpl w:val="9F643D5E"/>
    <w:lvl w:ilvl="0">
      <w:start w:val="1"/>
      <w:numFmt w:val="bullet"/>
      <w:lvlRestart w:val="0"/>
      <w:pStyle w:val="ListBullets"/>
      <w:lvlText w:val=""/>
      <w:lvlJc w:val="left"/>
      <w:pPr>
        <w:tabs>
          <w:tab w:val="num" w:pos="360"/>
        </w:tabs>
        <w:ind w:left="360" w:hanging="360"/>
      </w:pPr>
      <w:rPr>
        <w:rFonts w:ascii="Wingdings" w:hAnsi="Wingdings" w:hint="default"/>
      </w:rPr>
    </w:lvl>
    <w:lvl w:ilvl="1">
      <w:start w:val="1"/>
      <w:numFmt w:val="bullet"/>
      <w:lvlRestart w:val="0"/>
      <w:lvlText w:val=""/>
      <w:lvlJc w:val="left"/>
      <w:pPr>
        <w:tabs>
          <w:tab w:val="num" w:pos="720"/>
        </w:tabs>
        <w:ind w:left="720" w:hanging="360"/>
      </w:pPr>
      <w:rPr>
        <w:rFonts w:ascii="Symbol" w:hAnsi="Symbol" w:hint="default"/>
      </w:rPr>
    </w:lvl>
    <w:lvl w:ilvl="2">
      <w:start w:val="1"/>
      <w:numFmt w:val="bullet"/>
      <w:lvlRestart w:val="0"/>
      <w:lvlText w:val=""/>
      <w:lvlJc w:val="left"/>
      <w:pPr>
        <w:tabs>
          <w:tab w:val="num" w:pos="1080"/>
        </w:tabs>
        <w:ind w:left="1080" w:hanging="360"/>
      </w:pPr>
      <w:rPr>
        <w:rFonts w:ascii="Symbol" w:hAnsi="Symbol"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65" w15:restartNumberingAfterBreak="0">
    <w:nsid w:val="571F7B36"/>
    <w:multiLevelType w:val="multilevel"/>
    <w:tmpl w:val="583A35FA"/>
    <w:name w:val="MyBullets12"/>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66" w15:restartNumberingAfterBreak="0">
    <w:nsid w:val="579363C6"/>
    <w:multiLevelType w:val="hybridMultilevel"/>
    <w:tmpl w:val="96A26B68"/>
    <w:lvl w:ilvl="0" w:tplc="02C8F9CA">
      <w:start w:val="1"/>
      <w:numFmt w:val="lowerLetter"/>
      <w:lvlText w:val="(%1)"/>
      <w:lvlJc w:val="left"/>
      <w:pPr>
        <w:ind w:left="720" w:hanging="360"/>
      </w:pPr>
      <w:rPr>
        <w:rFonts w:ascii="Arial" w:hAnsi="Arial" w:hint="default"/>
        <w:b w:val="0"/>
        <w:i w:val="0"/>
        <w:sz w:val="19"/>
        <w:szCs w:val="26"/>
      </w:rPr>
    </w:lvl>
    <w:lvl w:ilvl="1" w:tplc="0C090019" w:tentative="1">
      <w:start w:val="1"/>
      <w:numFmt w:val="lowerLetter"/>
      <w:lvlText w:val="%2."/>
      <w:lvlJc w:val="left"/>
      <w:pPr>
        <w:ind w:left="1440" w:hanging="360"/>
      </w:pPr>
    </w:lvl>
    <w:lvl w:ilvl="2" w:tplc="36F829CA">
      <w:start w:val="1"/>
      <w:numFmt w:val="lowerLetter"/>
      <w:lvlText w:val="(%3)"/>
      <w:lvlJc w:val="left"/>
      <w:pPr>
        <w:ind w:left="2160" w:hanging="180"/>
      </w:pPr>
      <w:rPr>
        <w:rFonts w:ascii="Arial" w:hAnsi="Arial" w:hint="default"/>
        <w:b w:val="0"/>
        <w:i w:val="0"/>
        <w:sz w:val="22"/>
        <w:szCs w:val="26"/>
      </w:r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67" w15:restartNumberingAfterBreak="0">
    <w:nsid w:val="58741D25"/>
    <w:multiLevelType w:val="multilevel"/>
    <w:tmpl w:val="10107B4A"/>
    <w:name w:val="TableNumbering"/>
    <w:styleLink w:val="TableFootnotes"/>
    <w:lvl w:ilvl="0">
      <w:start w:val="1"/>
      <w:numFmt w:val="none"/>
      <w:suff w:val="nothing"/>
      <w:lvlText w:val=""/>
      <w:lvlJc w:val="left"/>
      <w:pPr>
        <w:ind w:left="0" w:firstLine="0"/>
      </w:pPr>
      <w:rPr>
        <w:rFonts w:hint="default"/>
      </w:rPr>
    </w:lvl>
    <w:lvl w:ilvl="1">
      <w:start w:val="1"/>
      <w:numFmt w:val="decimal"/>
      <w:lvlText w:val="(%2)"/>
      <w:lvlJc w:val="left"/>
      <w:pPr>
        <w:ind w:left="340" w:hanging="340"/>
      </w:pPr>
      <w:rPr>
        <w:rFonts w:hint="default"/>
      </w:rPr>
    </w:lvl>
    <w:lvl w:ilvl="2">
      <w:start w:val="1"/>
      <w:numFmt w:val="none"/>
      <w:lvlText w:val=""/>
      <w:lvlJc w:val="left"/>
      <w:pPr>
        <w:ind w:left="340" w:hanging="340"/>
      </w:pPr>
      <w:rPr>
        <w:rFonts w:hint="default"/>
      </w:rPr>
    </w:lvl>
    <w:lvl w:ilvl="3">
      <w:start w:val="1"/>
      <w:numFmt w:val="none"/>
      <w:lvlText w:val=""/>
      <w:lvlJc w:val="left"/>
      <w:pPr>
        <w:ind w:left="340" w:hanging="340"/>
      </w:pPr>
      <w:rPr>
        <w:rFonts w:hint="default"/>
      </w:rPr>
    </w:lvl>
    <w:lvl w:ilvl="4">
      <w:start w:val="1"/>
      <w:numFmt w:val="none"/>
      <w:lvlText w:val=""/>
      <w:lvlJc w:val="left"/>
      <w:pPr>
        <w:ind w:left="340" w:hanging="340"/>
      </w:pPr>
      <w:rPr>
        <w:rFonts w:hint="default"/>
      </w:rPr>
    </w:lvl>
    <w:lvl w:ilvl="5">
      <w:start w:val="1"/>
      <w:numFmt w:val="none"/>
      <w:lvlText w:val=""/>
      <w:lvlJc w:val="left"/>
      <w:pPr>
        <w:ind w:left="340" w:hanging="340"/>
      </w:pPr>
      <w:rPr>
        <w:rFonts w:hint="default"/>
      </w:rPr>
    </w:lvl>
    <w:lvl w:ilvl="6">
      <w:start w:val="1"/>
      <w:numFmt w:val="none"/>
      <w:lvlText w:val=""/>
      <w:lvlJc w:val="left"/>
      <w:pPr>
        <w:ind w:left="340" w:hanging="340"/>
      </w:pPr>
      <w:rPr>
        <w:rFonts w:hint="default"/>
      </w:rPr>
    </w:lvl>
    <w:lvl w:ilvl="7">
      <w:start w:val="1"/>
      <w:numFmt w:val="none"/>
      <w:lvlText w:val=""/>
      <w:lvlJc w:val="left"/>
      <w:pPr>
        <w:ind w:left="340" w:hanging="340"/>
      </w:pPr>
      <w:rPr>
        <w:rFonts w:hint="default"/>
      </w:rPr>
    </w:lvl>
    <w:lvl w:ilvl="8">
      <w:start w:val="1"/>
      <w:numFmt w:val="none"/>
      <w:lvlText w:val=""/>
      <w:lvlJc w:val="left"/>
      <w:pPr>
        <w:ind w:left="340" w:hanging="340"/>
      </w:pPr>
      <w:rPr>
        <w:rFonts w:hint="default"/>
      </w:rPr>
    </w:lvl>
  </w:abstractNum>
  <w:abstractNum w:abstractNumId="68" w15:restartNumberingAfterBreak="0">
    <w:nsid w:val="593E71A5"/>
    <w:multiLevelType w:val="multilevel"/>
    <w:tmpl w:val="583A35FA"/>
    <w:name w:val="MyBullets26"/>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69" w15:restartNumberingAfterBreak="0">
    <w:nsid w:val="5A5A77E1"/>
    <w:multiLevelType w:val="multilevel"/>
    <w:tmpl w:val="583A35FA"/>
    <w:name w:val="MyBullets6"/>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70" w15:restartNumberingAfterBreak="0">
    <w:nsid w:val="5AE6625A"/>
    <w:multiLevelType w:val="multilevel"/>
    <w:tmpl w:val="FF203CF0"/>
    <w:name w:val="MyHeadings"/>
    <w:lvl w:ilvl="0">
      <w:start w:val="1"/>
      <w:numFmt w:val="decimal"/>
      <w:suff w:val="space"/>
      <w:lvlText w:val="%1."/>
      <w:lvlJc w:val="left"/>
      <w:pPr>
        <w:ind w:left="0" w:firstLine="0"/>
      </w:pPr>
      <w:rPr>
        <w:rFonts w:asciiTheme="majorHAnsi" w:hAnsiTheme="majorHAnsi" w:hint="default"/>
        <w:b/>
        <w:i w:val="0"/>
        <w:color w:val="E1E2E7" w:themeColor="background2"/>
        <w:sz w:val="40"/>
      </w:rPr>
    </w:lvl>
    <w:lvl w:ilvl="1">
      <w:start w:val="1"/>
      <w:numFmt w:val="decimal"/>
      <w:suff w:val="space"/>
      <w:lvlText w:val="%1.%2"/>
      <w:lvlJc w:val="left"/>
      <w:pPr>
        <w:ind w:left="0" w:firstLine="0"/>
      </w:pPr>
      <w:rPr>
        <w:rFonts w:asciiTheme="majorHAnsi" w:hAnsiTheme="majorHAnsi" w:hint="default"/>
        <w:b/>
        <w:i w:val="0"/>
        <w:color w:val="214C90" w:themeColor="text2"/>
        <w:spacing w:val="-6"/>
        <w:sz w:val="32"/>
      </w:rPr>
    </w:lvl>
    <w:lvl w:ilvl="2">
      <w:start w:val="1"/>
      <w:numFmt w:val="decimal"/>
      <w:suff w:val="space"/>
      <w:lvlText w:val="%1.%2.%3"/>
      <w:lvlJc w:val="left"/>
      <w:pPr>
        <w:ind w:left="0" w:firstLine="0"/>
      </w:pPr>
      <w:rPr>
        <w:rFonts w:asciiTheme="majorHAnsi" w:hAnsiTheme="majorHAnsi" w:hint="default"/>
        <w:b/>
        <w:i w:val="0"/>
        <w:color w:val="46A6A9" w:themeColor="accent2"/>
        <w:spacing w:val="-4"/>
        <w:sz w:val="24"/>
      </w:rPr>
    </w:lvl>
    <w:lvl w:ilvl="3">
      <w:start w:val="1"/>
      <w:numFmt w:val="decimal"/>
      <w:suff w:val="space"/>
      <w:lvlText w:val="%1.%2.%3.%4"/>
      <w:lvlJc w:val="left"/>
      <w:pPr>
        <w:ind w:left="0" w:firstLine="0"/>
      </w:pPr>
      <w:rPr>
        <w:rFonts w:asciiTheme="majorHAnsi" w:hAnsiTheme="majorHAnsi" w:hint="default"/>
        <w:b/>
        <w:i w:val="0"/>
        <w:color w:val="auto"/>
        <w:sz w:val="20"/>
      </w:rPr>
    </w:lvl>
    <w:lvl w:ilvl="4">
      <w:start w:val="1"/>
      <w:numFmt w:val="none"/>
      <w:suff w:val="space"/>
      <w:lvlText w:val=""/>
      <w:lvlJc w:val="left"/>
      <w:pPr>
        <w:ind w:left="0" w:firstLine="0"/>
      </w:pPr>
      <w:rPr>
        <w:rFonts w:hint="default"/>
      </w:rPr>
    </w:lvl>
    <w:lvl w:ilvl="5">
      <w:start w:val="1"/>
      <w:numFmt w:val="none"/>
      <w:lvlText w:val=""/>
      <w:lvlJc w:val="left"/>
      <w:pPr>
        <w:tabs>
          <w:tab w:val="num" w:pos="-31680"/>
        </w:tabs>
        <w:ind w:left="0" w:firstLine="0"/>
      </w:pPr>
      <w:rPr>
        <w:rFonts w:hint="default"/>
      </w:rPr>
    </w:lvl>
    <w:lvl w:ilvl="6">
      <w:start w:val="1"/>
      <w:numFmt w:val="none"/>
      <w:lvlText w:val=""/>
      <w:lvlJc w:val="left"/>
      <w:pPr>
        <w:tabs>
          <w:tab w:val="num" w:pos="-31680"/>
        </w:tabs>
        <w:ind w:left="0" w:firstLine="0"/>
      </w:pPr>
      <w:rPr>
        <w:rFonts w:hint="default"/>
      </w:rPr>
    </w:lvl>
    <w:lvl w:ilvl="7">
      <w:start w:val="1"/>
      <w:numFmt w:val="none"/>
      <w:lvlText w:val=""/>
      <w:lvlJc w:val="left"/>
      <w:pPr>
        <w:tabs>
          <w:tab w:val="num" w:pos="-31680"/>
        </w:tabs>
        <w:ind w:left="0" w:firstLine="0"/>
      </w:pPr>
      <w:rPr>
        <w:rFonts w:hint="default"/>
      </w:rPr>
    </w:lvl>
    <w:lvl w:ilvl="8">
      <w:start w:val="1"/>
      <w:numFmt w:val="none"/>
      <w:lvlText w:val=""/>
      <w:lvlJc w:val="left"/>
      <w:pPr>
        <w:tabs>
          <w:tab w:val="num" w:pos="-31680"/>
        </w:tabs>
        <w:ind w:left="0" w:firstLine="0"/>
      </w:pPr>
      <w:rPr>
        <w:rFonts w:hint="default"/>
      </w:rPr>
    </w:lvl>
  </w:abstractNum>
  <w:abstractNum w:abstractNumId="71" w15:restartNumberingAfterBreak="0">
    <w:nsid w:val="5B1D3F52"/>
    <w:multiLevelType w:val="hybridMultilevel"/>
    <w:tmpl w:val="8E18BA3A"/>
    <w:lvl w:ilvl="0" w:tplc="C73CFD8C">
      <w:start w:val="1"/>
      <w:numFmt w:val="bullet"/>
      <w:pStyle w:val="Bullet1"/>
      <w:lvlText w:val=""/>
      <w:lvlJc w:val="left"/>
      <w:pPr>
        <w:ind w:left="2629" w:hanging="360"/>
      </w:pPr>
      <w:rPr>
        <w:rFonts w:ascii="Wingdings" w:hAnsi="Wingdings"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2" w15:restartNumberingAfterBreak="0">
    <w:nsid w:val="5B3A7D91"/>
    <w:multiLevelType w:val="hybridMultilevel"/>
    <w:tmpl w:val="B4C0DA34"/>
    <w:name w:val="MyNumbering2"/>
    <w:lvl w:ilvl="0" w:tplc="77A6A824">
      <w:start w:val="1"/>
      <w:numFmt w:val="bullet"/>
      <w:pStyle w:val="ListBullet2"/>
      <w:lvlText w:val="o"/>
      <w:lvlJc w:val="left"/>
      <w:pPr>
        <w:ind w:left="4330" w:hanging="360"/>
      </w:pPr>
      <w:rPr>
        <w:rFonts w:ascii="Courier New" w:hAnsi="Courier New" w:cs="Courier New"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3" w15:restartNumberingAfterBreak="0">
    <w:nsid w:val="5B8E3352"/>
    <w:multiLevelType w:val="multilevel"/>
    <w:tmpl w:val="583A35FA"/>
    <w:name w:val="MyBullets28"/>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74" w15:restartNumberingAfterBreak="0">
    <w:nsid w:val="5D0540A9"/>
    <w:multiLevelType w:val="multilevel"/>
    <w:tmpl w:val="DBC00818"/>
    <w:name w:val="MyAppendicesNumbering"/>
    <w:lvl w:ilvl="0">
      <w:start w:val="1"/>
      <w:numFmt w:val="upperLetter"/>
      <w:suff w:val="space"/>
      <w:lvlText w:val="Appendix %1."/>
      <w:lvlJc w:val="left"/>
      <w:pPr>
        <w:ind w:left="0" w:firstLine="0"/>
      </w:pPr>
      <w:rPr>
        <w:rFonts w:asciiTheme="majorHAnsi" w:hAnsiTheme="majorHAnsi" w:hint="default"/>
        <w:b/>
        <w:i w:val="0"/>
        <w:sz w:val="40"/>
      </w:rPr>
    </w:lvl>
    <w:lvl w:ilvl="1">
      <w:start w:val="1"/>
      <w:numFmt w:val="decimal"/>
      <w:suff w:val="space"/>
      <w:lvlText w:val="%1.%2"/>
      <w:lvlJc w:val="left"/>
      <w:pPr>
        <w:ind w:left="0" w:firstLine="0"/>
      </w:pPr>
      <w:rPr>
        <w:rFonts w:hint="default"/>
        <w:sz w:val="32"/>
      </w:rPr>
    </w:lvl>
    <w:lvl w:ilvl="2">
      <w:start w:val="1"/>
      <w:numFmt w:val="decimal"/>
      <w:suff w:val="space"/>
      <w:lvlText w:val="%1.%2.%3 "/>
      <w:lvlJc w:val="left"/>
      <w:pPr>
        <w:ind w:left="0" w:firstLine="0"/>
      </w:pPr>
      <w:rPr>
        <w:rFonts w:hint="default"/>
      </w:rPr>
    </w:lvl>
    <w:lvl w:ilvl="3">
      <w:start w:val="1"/>
      <w:numFmt w:val="decimal"/>
      <w:suff w:val="space"/>
      <w:lvlText w:val="%1.%2.%3.%4 "/>
      <w:lvlJc w:val="left"/>
      <w:pPr>
        <w:ind w:left="0" w:firstLine="0"/>
      </w:pPr>
      <w:rPr>
        <w:rFonts w:hint="default"/>
      </w:rPr>
    </w:lvl>
    <w:lvl w:ilvl="4">
      <w:start w:val="1"/>
      <w:numFmt w:val="decimal"/>
      <w:suff w:val="space"/>
      <w:lvlText w:val="%1%2.%3.%4.%5"/>
      <w:lvlJc w:val="left"/>
      <w:pPr>
        <w:ind w:left="0" w:firstLine="0"/>
      </w:pPr>
      <w:rPr>
        <w:rFonts w:hint="default"/>
      </w:rPr>
    </w:lvl>
    <w:lvl w:ilvl="5">
      <w:start w:val="1"/>
      <w:numFmt w:val="none"/>
      <w:lvlText w:val=""/>
      <w:lvlJc w:val="right"/>
      <w:pPr>
        <w:tabs>
          <w:tab w:val="num" w:pos="2268"/>
        </w:tabs>
        <w:ind w:left="0" w:firstLine="0"/>
      </w:pPr>
      <w:rPr>
        <w:rFonts w:hint="default"/>
      </w:rPr>
    </w:lvl>
    <w:lvl w:ilvl="6">
      <w:start w:val="1"/>
      <w:numFmt w:val="none"/>
      <w:lvlText w:val=""/>
      <w:lvlJc w:val="left"/>
      <w:pPr>
        <w:tabs>
          <w:tab w:val="num" w:pos="2268"/>
        </w:tabs>
        <w:ind w:left="0" w:firstLine="0"/>
      </w:pPr>
      <w:rPr>
        <w:rFonts w:hint="default"/>
      </w:rPr>
    </w:lvl>
    <w:lvl w:ilvl="7">
      <w:start w:val="1"/>
      <w:numFmt w:val="none"/>
      <w:lvlText w:val=""/>
      <w:lvlJc w:val="left"/>
      <w:pPr>
        <w:tabs>
          <w:tab w:val="num" w:pos="2268"/>
        </w:tabs>
        <w:ind w:left="0" w:firstLine="0"/>
      </w:pPr>
      <w:rPr>
        <w:rFonts w:hint="default"/>
      </w:rPr>
    </w:lvl>
    <w:lvl w:ilvl="8">
      <w:start w:val="1"/>
      <w:numFmt w:val="none"/>
      <w:lvlText w:val=""/>
      <w:lvlJc w:val="right"/>
      <w:pPr>
        <w:tabs>
          <w:tab w:val="num" w:pos="2268"/>
        </w:tabs>
        <w:ind w:left="0" w:firstLine="0"/>
      </w:pPr>
      <w:rPr>
        <w:rFonts w:hint="default"/>
      </w:rPr>
    </w:lvl>
  </w:abstractNum>
  <w:abstractNum w:abstractNumId="75" w15:restartNumberingAfterBreak="0">
    <w:nsid w:val="5EC860DC"/>
    <w:multiLevelType w:val="multilevel"/>
    <w:tmpl w:val="52749BF4"/>
    <w:name w:val="MyNumbering62"/>
    <w:lvl w:ilvl="0">
      <w:start w:val="1"/>
      <w:numFmt w:val="decimal"/>
      <w:lvlText w:val="%1."/>
      <w:lvlJc w:val="left"/>
      <w:pPr>
        <w:ind w:left="360" w:hanging="360"/>
      </w:pPr>
      <w:rPr>
        <w:rFonts w:ascii="Arial" w:hAnsi="Arial" w:hint="default"/>
        <w:b w:val="0"/>
        <w:i w:val="0"/>
        <w:color w:val="auto"/>
        <w:sz w:val="22"/>
        <w:szCs w:val="18"/>
      </w:rPr>
    </w:lvl>
    <w:lvl w:ilvl="1">
      <w:start w:val="1"/>
      <w:numFmt w:val="lowerLetter"/>
      <w:lvlText w:val="%2."/>
      <w:lvlJc w:val="left"/>
      <w:pPr>
        <w:ind w:left="714" w:hanging="357"/>
      </w:pPr>
      <w:rPr>
        <w:rFonts w:hint="default"/>
      </w:rPr>
    </w:lvl>
    <w:lvl w:ilvl="2">
      <w:start w:val="1"/>
      <w:numFmt w:val="lowerRoman"/>
      <w:lvlText w:val="%3."/>
      <w:lvlJc w:val="left"/>
      <w:pPr>
        <w:ind w:left="1071" w:hanging="357"/>
      </w:pPr>
      <w:rPr>
        <w:rFonts w:hint="default"/>
      </w:rPr>
    </w:lvl>
    <w:lvl w:ilvl="3">
      <w:start w:val="1"/>
      <w:numFmt w:val="upperLetter"/>
      <w:lvlText w:val="%4."/>
      <w:lvlJc w:val="left"/>
      <w:pPr>
        <w:ind w:left="1428" w:hanging="357"/>
      </w:pPr>
      <w:rPr>
        <w:rFonts w:hint="default"/>
      </w:rPr>
    </w:lvl>
    <w:lvl w:ilvl="4">
      <w:start w:val="1"/>
      <w:numFmt w:val="upperRoman"/>
      <w:lvlText w:val="%5."/>
      <w:lvlJc w:val="left"/>
      <w:pPr>
        <w:ind w:left="1785" w:hanging="357"/>
      </w:pPr>
      <w:rPr>
        <w:rFonts w:hint="default"/>
      </w:rPr>
    </w:lvl>
    <w:lvl w:ilvl="5">
      <w:start w:val="1"/>
      <w:numFmt w:val="lowerRoman"/>
      <w:lvlText w:val="%6."/>
      <w:lvlJc w:val="right"/>
      <w:pPr>
        <w:ind w:left="2142" w:hanging="357"/>
      </w:pPr>
      <w:rPr>
        <w:rFonts w:hint="default"/>
      </w:rPr>
    </w:lvl>
    <w:lvl w:ilvl="6">
      <w:start w:val="1"/>
      <w:numFmt w:val="decimal"/>
      <w:lvlText w:val="%7."/>
      <w:lvlJc w:val="left"/>
      <w:pPr>
        <w:ind w:left="2499" w:hanging="357"/>
      </w:pPr>
      <w:rPr>
        <w:rFonts w:hint="default"/>
      </w:rPr>
    </w:lvl>
    <w:lvl w:ilvl="7">
      <w:start w:val="1"/>
      <w:numFmt w:val="lowerLetter"/>
      <w:lvlText w:val="%8."/>
      <w:lvlJc w:val="left"/>
      <w:pPr>
        <w:ind w:left="2856" w:hanging="357"/>
      </w:pPr>
      <w:rPr>
        <w:rFonts w:hint="default"/>
      </w:rPr>
    </w:lvl>
    <w:lvl w:ilvl="8">
      <w:start w:val="1"/>
      <w:numFmt w:val="lowerRoman"/>
      <w:lvlText w:val="%9."/>
      <w:lvlJc w:val="right"/>
      <w:pPr>
        <w:ind w:left="3213" w:hanging="357"/>
      </w:pPr>
      <w:rPr>
        <w:rFonts w:hint="default"/>
      </w:rPr>
    </w:lvl>
  </w:abstractNum>
  <w:abstractNum w:abstractNumId="76" w15:restartNumberingAfterBreak="0">
    <w:nsid w:val="60561366"/>
    <w:multiLevelType w:val="multilevel"/>
    <w:tmpl w:val="088A0D40"/>
    <w:lvl w:ilvl="0">
      <w:start w:val="1"/>
      <w:numFmt w:val="bullet"/>
      <w:pStyle w:val="ListBullet"/>
      <w:lvlText w:val="§"/>
      <w:lvlJc w:val="left"/>
      <w:pPr>
        <w:ind w:left="360" w:hanging="360"/>
      </w:pPr>
      <w:rPr>
        <w:rFonts w:ascii="Wingdings" w:hAnsi="Wingdings" w:hint="default"/>
        <w:sz w:val="18"/>
        <w:szCs w:val="26"/>
      </w:rPr>
    </w:lvl>
    <w:lvl w:ilvl="1">
      <w:start w:val="1"/>
      <w:numFmt w:val="bullet"/>
      <w:lvlText w:val="o"/>
      <w:lvlJc w:val="left"/>
      <w:pPr>
        <w:ind w:left="1080" w:hanging="360"/>
      </w:pPr>
      <w:rPr>
        <w:rFonts w:ascii="Courier New" w:hAnsi="Courier New" w:cs="Courier New" w:hint="default"/>
      </w:rPr>
    </w:lvl>
    <w:lvl w:ilvl="2">
      <w:start w:val="1"/>
      <w:numFmt w:val="lowerLetter"/>
      <w:lvlText w:val="(%3)"/>
      <w:lvlJc w:val="left"/>
      <w:pPr>
        <w:ind w:left="1800" w:hanging="360"/>
      </w:pPr>
      <w:rPr>
        <w:rFont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tentative="1">
      <w:start w:val="1"/>
      <w:numFmt w:val="bullet"/>
      <w:lvlText w:val=""/>
      <w:lvlJc w:val="left"/>
      <w:pPr>
        <w:ind w:left="3960" w:hanging="360"/>
      </w:pPr>
      <w:rPr>
        <w:rFonts w:ascii="Wingdings" w:hAnsi="Wingdings" w:hint="default"/>
      </w:rPr>
    </w:lvl>
    <w:lvl w:ilvl="6" w:tentative="1">
      <w:start w:val="1"/>
      <w:numFmt w:val="bullet"/>
      <w:lvlText w:val=""/>
      <w:lvlJc w:val="left"/>
      <w:pPr>
        <w:ind w:left="4680" w:hanging="360"/>
      </w:pPr>
      <w:rPr>
        <w:rFonts w:ascii="Symbol" w:hAnsi="Symbol" w:hint="default"/>
      </w:rPr>
    </w:lvl>
    <w:lvl w:ilvl="7" w:tentative="1">
      <w:start w:val="1"/>
      <w:numFmt w:val="bullet"/>
      <w:lvlText w:val="o"/>
      <w:lvlJc w:val="left"/>
      <w:pPr>
        <w:ind w:left="5400" w:hanging="360"/>
      </w:pPr>
      <w:rPr>
        <w:rFonts w:ascii="Courier New" w:hAnsi="Courier New" w:cs="Courier New" w:hint="default"/>
      </w:rPr>
    </w:lvl>
    <w:lvl w:ilvl="8" w:tentative="1">
      <w:start w:val="1"/>
      <w:numFmt w:val="bullet"/>
      <w:lvlText w:val=""/>
      <w:lvlJc w:val="left"/>
      <w:pPr>
        <w:ind w:left="6120" w:hanging="360"/>
      </w:pPr>
      <w:rPr>
        <w:rFonts w:ascii="Wingdings" w:hAnsi="Wingdings" w:hint="default"/>
      </w:rPr>
    </w:lvl>
  </w:abstractNum>
  <w:abstractNum w:abstractNumId="77" w15:restartNumberingAfterBreak="0">
    <w:nsid w:val="607E17E0"/>
    <w:multiLevelType w:val="multilevel"/>
    <w:tmpl w:val="583A35FA"/>
    <w:name w:val="MyBullets38"/>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78" w15:restartNumberingAfterBreak="0">
    <w:nsid w:val="62D54977"/>
    <w:multiLevelType w:val="multilevel"/>
    <w:tmpl w:val="4F909688"/>
    <w:lvl w:ilvl="0">
      <w:start w:val="1"/>
      <w:numFmt w:val="decimal"/>
      <w:lvlText w:val="%1."/>
      <w:lvlJc w:val="left"/>
      <w:pPr>
        <w:ind w:left="644" w:hanging="360"/>
      </w:pPr>
      <w:rPr>
        <w:rFonts w:hint="default"/>
        <w:b w:val="0"/>
        <w:i w:val="0"/>
        <w:color w:val="auto"/>
        <w:sz w:val="21"/>
        <w:szCs w:val="21"/>
      </w:rPr>
    </w:lvl>
    <w:lvl w:ilvl="1">
      <w:start w:val="1"/>
      <w:numFmt w:val="lowerLetter"/>
      <w:lvlText w:val="%2."/>
      <w:lvlJc w:val="left"/>
      <w:pPr>
        <w:ind w:left="714" w:hanging="357"/>
      </w:pPr>
      <w:rPr>
        <w:rFonts w:hint="default"/>
      </w:rPr>
    </w:lvl>
    <w:lvl w:ilvl="2">
      <w:start w:val="1"/>
      <w:numFmt w:val="lowerRoman"/>
      <w:lvlText w:val="%3."/>
      <w:lvlJc w:val="left"/>
      <w:pPr>
        <w:ind w:left="1071" w:hanging="357"/>
      </w:pPr>
      <w:rPr>
        <w:rFonts w:hint="default"/>
      </w:rPr>
    </w:lvl>
    <w:lvl w:ilvl="3">
      <w:start w:val="1"/>
      <w:numFmt w:val="upperLetter"/>
      <w:lvlText w:val="%4."/>
      <w:lvlJc w:val="left"/>
      <w:pPr>
        <w:ind w:left="1428" w:hanging="357"/>
      </w:pPr>
      <w:rPr>
        <w:rFonts w:hint="default"/>
      </w:rPr>
    </w:lvl>
    <w:lvl w:ilvl="4">
      <w:start w:val="1"/>
      <w:numFmt w:val="upperRoman"/>
      <w:lvlText w:val="%5."/>
      <w:lvlJc w:val="left"/>
      <w:pPr>
        <w:ind w:left="1785" w:hanging="357"/>
      </w:pPr>
      <w:rPr>
        <w:rFonts w:hint="default"/>
      </w:rPr>
    </w:lvl>
    <w:lvl w:ilvl="5">
      <w:start w:val="1"/>
      <w:numFmt w:val="lowerRoman"/>
      <w:lvlText w:val="%6."/>
      <w:lvlJc w:val="right"/>
      <w:pPr>
        <w:ind w:left="2142" w:hanging="357"/>
      </w:pPr>
      <w:rPr>
        <w:rFonts w:hint="default"/>
      </w:rPr>
    </w:lvl>
    <w:lvl w:ilvl="6">
      <w:start w:val="1"/>
      <w:numFmt w:val="decimal"/>
      <w:lvlText w:val="%7."/>
      <w:lvlJc w:val="left"/>
      <w:pPr>
        <w:ind w:left="2499" w:hanging="357"/>
      </w:pPr>
      <w:rPr>
        <w:rFonts w:hint="default"/>
      </w:rPr>
    </w:lvl>
    <w:lvl w:ilvl="7">
      <w:start w:val="1"/>
      <w:numFmt w:val="lowerLetter"/>
      <w:lvlText w:val="%8."/>
      <w:lvlJc w:val="left"/>
      <w:pPr>
        <w:ind w:left="2856" w:hanging="357"/>
      </w:pPr>
      <w:rPr>
        <w:rFonts w:hint="default"/>
      </w:rPr>
    </w:lvl>
    <w:lvl w:ilvl="8">
      <w:start w:val="1"/>
      <w:numFmt w:val="lowerRoman"/>
      <w:lvlText w:val="%9."/>
      <w:lvlJc w:val="right"/>
      <w:pPr>
        <w:ind w:left="3213" w:hanging="357"/>
      </w:pPr>
      <w:rPr>
        <w:rFonts w:hint="default"/>
      </w:rPr>
    </w:lvl>
  </w:abstractNum>
  <w:abstractNum w:abstractNumId="79" w15:restartNumberingAfterBreak="0">
    <w:nsid w:val="6313234F"/>
    <w:multiLevelType w:val="multilevel"/>
    <w:tmpl w:val="18444FC6"/>
    <w:name w:val="MyNumbering6224"/>
    <w:lvl w:ilvl="0">
      <w:start w:val="1"/>
      <w:numFmt w:val="decimal"/>
      <w:pStyle w:val="ListNumber"/>
      <w:lvlText w:val="%1."/>
      <w:lvlJc w:val="left"/>
      <w:pPr>
        <w:ind w:left="360" w:hanging="360"/>
      </w:pPr>
      <w:rPr>
        <w:rFonts w:ascii="Arial" w:hAnsi="Arial" w:hint="default"/>
        <w:b w:val="0"/>
        <w:i w:val="0"/>
        <w:color w:val="auto"/>
        <w:sz w:val="22"/>
        <w:szCs w:val="18"/>
      </w:rPr>
    </w:lvl>
    <w:lvl w:ilvl="1">
      <w:start w:val="1"/>
      <w:numFmt w:val="lowerLetter"/>
      <w:pStyle w:val="ListNumber2"/>
      <w:lvlText w:val="%2."/>
      <w:lvlJc w:val="left"/>
      <w:pPr>
        <w:ind w:left="714" w:hanging="357"/>
      </w:pPr>
      <w:rPr>
        <w:rFonts w:hint="default"/>
      </w:rPr>
    </w:lvl>
    <w:lvl w:ilvl="2">
      <w:start w:val="1"/>
      <w:numFmt w:val="lowerRoman"/>
      <w:pStyle w:val="ListNumber3"/>
      <w:lvlText w:val="%3."/>
      <w:lvlJc w:val="left"/>
      <w:pPr>
        <w:ind w:left="1071" w:hanging="357"/>
      </w:pPr>
      <w:rPr>
        <w:rFonts w:hint="default"/>
      </w:rPr>
    </w:lvl>
    <w:lvl w:ilvl="3">
      <w:start w:val="1"/>
      <w:numFmt w:val="upperLetter"/>
      <w:pStyle w:val="ListNumber4"/>
      <w:lvlText w:val="%4."/>
      <w:lvlJc w:val="left"/>
      <w:pPr>
        <w:ind w:left="1428" w:hanging="357"/>
      </w:pPr>
      <w:rPr>
        <w:rFonts w:hint="default"/>
      </w:rPr>
    </w:lvl>
    <w:lvl w:ilvl="4">
      <w:start w:val="1"/>
      <w:numFmt w:val="upperRoman"/>
      <w:pStyle w:val="ListNumber5"/>
      <w:lvlText w:val="%5."/>
      <w:lvlJc w:val="left"/>
      <w:pPr>
        <w:ind w:left="1785" w:hanging="357"/>
      </w:pPr>
      <w:rPr>
        <w:rFonts w:hint="default"/>
      </w:rPr>
    </w:lvl>
    <w:lvl w:ilvl="5">
      <w:start w:val="1"/>
      <w:numFmt w:val="lowerRoman"/>
      <w:lvlText w:val="%6."/>
      <w:lvlJc w:val="right"/>
      <w:pPr>
        <w:ind w:left="2142" w:hanging="357"/>
      </w:pPr>
      <w:rPr>
        <w:rFonts w:hint="default"/>
      </w:rPr>
    </w:lvl>
    <w:lvl w:ilvl="6">
      <w:start w:val="1"/>
      <w:numFmt w:val="decimal"/>
      <w:lvlText w:val="%7."/>
      <w:lvlJc w:val="left"/>
      <w:pPr>
        <w:ind w:left="2499" w:hanging="357"/>
      </w:pPr>
      <w:rPr>
        <w:rFonts w:hint="default"/>
      </w:rPr>
    </w:lvl>
    <w:lvl w:ilvl="7">
      <w:start w:val="1"/>
      <w:numFmt w:val="lowerLetter"/>
      <w:lvlText w:val="%8."/>
      <w:lvlJc w:val="left"/>
      <w:pPr>
        <w:ind w:left="2856" w:hanging="357"/>
      </w:pPr>
      <w:rPr>
        <w:rFonts w:hint="default"/>
      </w:rPr>
    </w:lvl>
    <w:lvl w:ilvl="8">
      <w:start w:val="1"/>
      <w:numFmt w:val="lowerRoman"/>
      <w:lvlText w:val="%9."/>
      <w:lvlJc w:val="right"/>
      <w:pPr>
        <w:ind w:left="3213" w:hanging="357"/>
      </w:pPr>
      <w:rPr>
        <w:rFonts w:hint="default"/>
      </w:rPr>
    </w:lvl>
  </w:abstractNum>
  <w:abstractNum w:abstractNumId="80" w15:restartNumberingAfterBreak="0">
    <w:nsid w:val="654852CE"/>
    <w:multiLevelType w:val="multilevel"/>
    <w:tmpl w:val="583A35FA"/>
    <w:name w:val="MyBullets37"/>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81" w15:restartNumberingAfterBreak="0">
    <w:nsid w:val="659B38C9"/>
    <w:multiLevelType w:val="multilevel"/>
    <w:tmpl w:val="5B4E4206"/>
    <w:lvl w:ilvl="0">
      <w:start w:val="1"/>
      <w:numFmt w:val="decimal"/>
      <w:lvlText w:val="%1."/>
      <w:lvlJc w:val="left"/>
      <w:pPr>
        <w:ind w:left="360" w:hanging="360"/>
      </w:pPr>
      <w:rPr>
        <w:rFonts w:ascii="Arial" w:hAnsi="Arial" w:hint="default"/>
        <w:b w:val="0"/>
        <w:i w:val="0"/>
        <w:color w:val="auto"/>
        <w:sz w:val="22"/>
        <w:szCs w:val="18"/>
      </w:rPr>
    </w:lvl>
    <w:lvl w:ilvl="1">
      <w:start w:val="1"/>
      <w:numFmt w:val="lowerLetter"/>
      <w:lvlText w:val="(%2)"/>
      <w:lvlJc w:val="left"/>
      <w:pPr>
        <w:ind w:left="714" w:hanging="357"/>
      </w:pPr>
      <w:rPr>
        <w:rFonts w:hint="default"/>
      </w:rPr>
    </w:lvl>
    <w:lvl w:ilvl="2">
      <w:start w:val="1"/>
      <w:numFmt w:val="lowerRoman"/>
      <w:lvlText w:val="%3."/>
      <w:lvlJc w:val="left"/>
      <w:pPr>
        <w:ind w:left="1071" w:hanging="357"/>
      </w:pPr>
      <w:rPr>
        <w:rFonts w:hint="default"/>
      </w:rPr>
    </w:lvl>
    <w:lvl w:ilvl="3">
      <w:start w:val="1"/>
      <w:numFmt w:val="upperLetter"/>
      <w:lvlText w:val="%4."/>
      <w:lvlJc w:val="left"/>
      <w:pPr>
        <w:ind w:left="1428" w:hanging="357"/>
      </w:pPr>
      <w:rPr>
        <w:rFonts w:hint="default"/>
      </w:rPr>
    </w:lvl>
    <w:lvl w:ilvl="4">
      <w:start w:val="1"/>
      <w:numFmt w:val="upperRoman"/>
      <w:lvlText w:val="%5."/>
      <w:lvlJc w:val="left"/>
      <w:pPr>
        <w:ind w:left="1785" w:hanging="357"/>
      </w:pPr>
      <w:rPr>
        <w:rFonts w:hint="default"/>
      </w:rPr>
    </w:lvl>
    <w:lvl w:ilvl="5">
      <w:start w:val="1"/>
      <w:numFmt w:val="lowerRoman"/>
      <w:lvlText w:val="%6."/>
      <w:lvlJc w:val="right"/>
      <w:pPr>
        <w:ind w:left="2142" w:hanging="357"/>
      </w:pPr>
      <w:rPr>
        <w:rFonts w:hint="default"/>
      </w:rPr>
    </w:lvl>
    <w:lvl w:ilvl="6">
      <w:start w:val="1"/>
      <w:numFmt w:val="decimal"/>
      <w:lvlText w:val="%7."/>
      <w:lvlJc w:val="left"/>
      <w:pPr>
        <w:ind w:left="2499" w:hanging="357"/>
      </w:pPr>
      <w:rPr>
        <w:rFonts w:hint="default"/>
      </w:rPr>
    </w:lvl>
    <w:lvl w:ilvl="7">
      <w:start w:val="1"/>
      <w:numFmt w:val="lowerLetter"/>
      <w:lvlText w:val="%8."/>
      <w:lvlJc w:val="left"/>
      <w:pPr>
        <w:ind w:left="2856" w:hanging="357"/>
      </w:pPr>
      <w:rPr>
        <w:rFonts w:hint="default"/>
      </w:rPr>
    </w:lvl>
    <w:lvl w:ilvl="8">
      <w:start w:val="1"/>
      <w:numFmt w:val="lowerRoman"/>
      <w:lvlText w:val="%9."/>
      <w:lvlJc w:val="right"/>
      <w:pPr>
        <w:ind w:left="3213" w:hanging="357"/>
      </w:pPr>
      <w:rPr>
        <w:rFonts w:hint="default"/>
      </w:rPr>
    </w:lvl>
  </w:abstractNum>
  <w:abstractNum w:abstractNumId="82" w15:restartNumberingAfterBreak="0">
    <w:nsid w:val="67283FA7"/>
    <w:multiLevelType w:val="multilevel"/>
    <w:tmpl w:val="66148666"/>
    <w:name w:val="MyNumbering6"/>
    <w:lvl w:ilvl="0">
      <w:start w:val="1"/>
      <w:numFmt w:val="decimal"/>
      <w:lvlText w:val="%1."/>
      <w:lvlJc w:val="left"/>
      <w:pPr>
        <w:ind w:left="360" w:hanging="360"/>
      </w:pPr>
      <w:rPr>
        <w:rFonts w:ascii="Arial" w:hAnsi="Arial" w:hint="default"/>
        <w:b w:val="0"/>
        <w:i w:val="0"/>
        <w:color w:val="auto"/>
        <w:sz w:val="22"/>
        <w:szCs w:val="18"/>
      </w:rPr>
    </w:lvl>
    <w:lvl w:ilvl="1">
      <w:start w:val="1"/>
      <w:numFmt w:val="lowerLetter"/>
      <w:lvlText w:val="%2."/>
      <w:lvlJc w:val="left"/>
      <w:pPr>
        <w:ind w:left="714" w:hanging="357"/>
      </w:pPr>
      <w:rPr>
        <w:rFonts w:hint="default"/>
      </w:rPr>
    </w:lvl>
    <w:lvl w:ilvl="2">
      <w:start w:val="1"/>
      <w:numFmt w:val="lowerRoman"/>
      <w:lvlText w:val="%3."/>
      <w:lvlJc w:val="left"/>
      <w:pPr>
        <w:ind w:left="1071" w:hanging="357"/>
      </w:pPr>
      <w:rPr>
        <w:rFonts w:hint="default"/>
      </w:rPr>
    </w:lvl>
    <w:lvl w:ilvl="3">
      <w:start w:val="1"/>
      <w:numFmt w:val="upperLetter"/>
      <w:lvlText w:val="%4."/>
      <w:lvlJc w:val="left"/>
      <w:pPr>
        <w:ind w:left="1428" w:hanging="357"/>
      </w:pPr>
      <w:rPr>
        <w:rFonts w:hint="default"/>
      </w:rPr>
    </w:lvl>
    <w:lvl w:ilvl="4">
      <w:start w:val="1"/>
      <w:numFmt w:val="upperRoman"/>
      <w:lvlText w:val="%5."/>
      <w:lvlJc w:val="left"/>
      <w:pPr>
        <w:ind w:left="1785" w:hanging="357"/>
      </w:pPr>
      <w:rPr>
        <w:rFonts w:hint="default"/>
      </w:rPr>
    </w:lvl>
    <w:lvl w:ilvl="5">
      <w:start w:val="1"/>
      <w:numFmt w:val="lowerRoman"/>
      <w:lvlText w:val="%6."/>
      <w:lvlJc w:val="right"/>
      <w:pPr>
        <w:ind w:left="2142" w:hanging="357"/>
      </w:pPr>
      <w:rPr>
        <w:rFonts w:hint="default"/>
      </w:rPr>
    </w:lvl>
    <w:lvl w:ilvl="6">
      <w:start w:val="1"/>
      <w:numFmt w:val="decimal"/>
      <w:lvlText w:val="%7."/>
      <w:lvlJc w:val="left"/>
      <w:pPr>
        <w:ind w:left="2499" w:hanging="357"/>
      </w:pPr>
      <w:rPr>
        <w:rFonts w:hint="default"/>
      </w:rPr>
    </w:lvl>
    <w:lvl w:ilvl="7">
      <w:start w:val="1"/>
      <w:numFmt w:val="lowerLetter"/>
      <w:lvlText w:val="%8."/>
      <w:lvlJc w:val="left"/>
      <w:pPr>
        <w:ind w:left="2856" w:hanging="357"/>
      </w:pPr>
      <w:rPr>
        <w:rFonts w:hint="default"/>
      </w:rPr>
    </w:lvl>
    <w:lvl w:ilvl="8">
      <w:start w:val="1"/>
      <w:numFmt w:val="lowerRoman"/>
      <w:lvlText w:val="%9."/>
      <w:lvlJc w:val="right"/>
      <w:pPr>
        <w:ind w:left="3213" w:hanging="357"/>
      </w:pPr>
      <w:rPr>
        <w:rFonts w:hint="default"/>
      </w:rPr>
    </w:lvl>
  </w:abstractNum>
  <w:abstractNum w:abstractNumId="83" w15:restartNumberingAfterBreak="0">
    <w:nsid w:val="69884CA8"/>
    <w:multiLevelType w:val="multilevel"/>
    <w:tmpl w:val="1716F1D0"/>
    <w:lvl w:ilvl="0">
      <w:start w:val="1"/>
      <w:numFmt w:val="decimal"/>
      <w:lvlText w:val="%1."/>
      <w:lvlJc w:val="left"/>
      <w:pPr>
        <w:ind w:left="360" w:hanging="360"/>
      </w:pPr>
      <w:rPr>
        <w:rFonts w:ascii="Arial" w:hAnsi="Arial" w:hint="default"/>
        <w:b w:val="0"/>
        <w:i w:val="0"/>
        <w:color w:val="auto"/>
        <w:sz w:val="22"/>
        <w:szCs w:val="18"/>
      </w:rPr>
    </w:lvl>
    <w:lvl w:ilvl="1">
      <w:start w:val="1"/>
      <w:numFmt w:val="lowerLetter"/>
      <w:lvlText w:val="(%2)"/>
      <w:lvlJc w:val="left"/>
      <w:pPr>
        <w:ind w:left="714" w:hanging="357"/>
      </w:pPr>
      <w:rPr>
        <w:rFonts w:hint="default"/>
      </w:rPr>
    </w:lvl>
    <w:lvl w:ilvl="2">
      <w:start w:val="1"/>
      <w:numFmt w:val="lowerRoman"/>
      <w:lvlText w:val="%3."/>
      <w:lvlJc w:val="left"/>
      <w:pPr>
        <w:ind w:left="1071" w:hanging="357"/>
      </w:pPr>
      <w:rPr>
        <w:rFonts w:hint="default"/>
      </w:rPr>
    </w:lvl>
    <w:lvl w:ilvl="3">
      <w:start w:val="1"/>
      <w:numFmt w:val="upperLetter"/>
      <w:lvlText w:val="%4."/>
      <w:lvlJc w:val="left"/>
      <w:pPr>
        <w:ind w:left="1428" w:hanging="357"/>
      </w:pPr>
      <w:rPr>
        <w:rFonts w:hint="default"/>
      </w:rPr>
    </w:lvl>
    <w:lvl w:ilvl="4">
      <w:start w:val="1"/>
      <w:numFmt w:val="upperRoman"/>
      <w:lvlText w:val="%5."/>
      <w:lvlJc w:val="left"/>
      <w:pPr>
        <w:ind w:left="1785" w:hanging="357"/>
      </w:pPr>
      <w:rPr>
        <w:rFonts w:hint="default"/>
      </w:rPr>
    </w:lvl>
    <w:lvl w:ilvl="5">
      <w:start w:val="1"/>
      <w:numFmt w:val="lowerRoman"/>
      <w:lvlText w:val="%6."/>
      <w:lvlJc w:val="right"/>
      <w:pPr>
        <w:ind w:left="2142" w:hanging="357"/>
      </w:pPr>
      <w:rPr>
        <w:rFonts w:hint="default"/>
      </w:rPr>
    </w:lvl>
    <w:lvl w:ilvl="6">
      <w:start w:val="1"/>
      <w:numFmt w:val="decimal"/>
      <w:lvlText w:val="%7."/>
      <w:lvlJc w:val="left"/>
      <w:pPr>
        <w:ind w:left="2499" w:hanging="357"/>
      </w:pPr>
      <w:rPr>
        <w:rFonts w:hint="default"/>
      </w:rPr>
    </w:lvl>
    <w:lvl w:ilvl="7">
      <w:start w:val="1"/>
      <w:numFmt w:val="lowerLetter"/>
      <w:lvlText w:val="%8."/>
      <w:lvlJc w:val="left"/>
      <w:pPr>
        <w:ind w:left="2856" w:hanging="357"/>
      </w:pPr>
      <w:rPr>
        <w:rFonts w:hint="default"/>
      </w:rPr>
    </w:lvl>
    <w:lvl w:ilvl="8">
      <w:start w:val="1"/>
      <w:numFmt w:val="lowerRoman"/>
      <w:lvlText w:val="%9."/>
      <w:lvlJc w:val="right"/>
      <w:pPr>
        <w:ind w:left="3213" w:hanging="357"/>
      </w:pPr>
      <w:rPr>
        <w:rFonts w:hint="default"/>
      </w:rPr>
    </w:lvl>
  </w:abstractNum>
  <w:abstractNum w:abstractNumId="84" w15:restartNumberingAfterBreak="0">
    <w:nsid w:val="6CE848E0"/>
    <w:multiLevelType w:val="multilevel"/>
    <w:tmpl w:val="583A35FA"/>
    <w:name w:val="MyBullets17"/>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85" w15:restartNumberingAfterBreak="0">
    <w:nsid w:val="6D56407A"/>
    <w:multiLevelType w:val="multilevel"/>
    <w:tmpl w:val="583A35FA"/>
    <w:name w:val="MyBullets7"/>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86" w15:restartNumberingAfterBreak="0">
    <w:nsid w:val="6F4C0B22"/>
    <w:multiLevelType w:val="multilevel"/>
    <w:tmpl w:val="583A35FA"/>
    <w:name w:val="MyBullets24"/>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87" w15:restartNumberingAfterBreak="0">
    <w:nsid w:val="6FC65F59"/>
    <w:multiLevelType w:val="hybridMultilevel"/>
    <w:tmpl w:val="4622D28A"/>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8" w15:restartNumberingAfterBreak="0">
    <w:nsid w:val="711E56F4"/>
    <w:multiLevelType w:val="multilevel"/>
    <w:tmpl w:val="8DF8C6B6"/>
    <w:name w:val="MyNumbering72"/>
    <w:lvl w:ilvl="0">
      <w:start w:val="1"/>
      <w:numFmt w:val="decimal"/>
      <w:lvlText w:val="%1."/>
      <w:lvlJc w:val="left"/>
      <w:pPr>
        <w:ind w:left="360" w:hanging="360"/>
      </w:pPr>
      <w:rPr>
        <w:rFonts w:ascii="Arial" w:hAnsi="Arial" w:hint="default"/>
        <w:b w:val="0"/>
        <w:i w:val="0"/>
        <w:color w:val="auto"/>
        <w:sz w:val="22"/>
        <w:szCs w:val="18"/>
      </w:rPr>
    </w:lvl>
    <w:lvl w:ilvl="1">
      <w:start w:val="1"/>
      <w:numFmt w:val="lowerLetter"/>
      <w:lvlText w:val="%2."/>
      <w:lvlJc w:val="left"/>
      <w:pPr>
        <w:ind w:left="714" w:hanging="357"/>
      </w:pPr>
      <w:rPr>
        <w:rFonts w:hint="default"/>
      </w:rPr>
    </w:lvl>
    <w:lvl w:ilvl="2">
      <w:start w:val="1"/>
      <w:numFmt w:val="lowerRoman"/>
      <w:lvlText w:val="%3."/>
      <w:lvlJc w:val="left"/>
      <w:pPr>
        <w:ind w:left="1071" w:hanging="357"/>
      </w:pPr>
      <w:rPr>
        <w:rFonts w:hint="default"/>
      </w:rPr>
    </w:lvl>
    <w:lvl w:ilvl="3">
      <w:start w:val="1"/>
      <w:numFmt w:val="upperLetter"/>
      <w:lvlText w:val="%4."/>
      <w:lvlJc w:val="left"/>
      <w:pPr>
        <w:ind w:left="1428" w:hanging="357"/>
      </w:pPr>
      <w:rPr>
        <w:rFonts w:hint="default"/>
      </w:rPr>
    </w:lvl>
    <w:lvl w:ilvl="4">
      <w:start w:val="1"/>
      <w:numFmt w:val="upperRoman"/>
      <w:lvlText w:val="%5."/>
      <w:lvlJc w:val="left"/>
      <w:pPr>
        <w:ind w:left="1785" w:hanging="357"/>
      </w:pPr>
      <w:rPr>
        <w:rFonts w:hint="default"/>
      </w:rPr>
    </w:lvl>
    <w:lvl w:ilvl="5">
      <w:start w:val="1"/>
      <w:numFmt w:val="lowerRoman"/>
      <w:lvlText w:val="%6."/>
      <w:lvlJc w:val="right"/>
      <w:pPr>
        <w:ind w:left="2142" w:hanging="357"/>
      </w:pPr>
      <w:rPr>
        <w:rFonts w:hint="default"/>
      </w:rPr>
    </w:lvl>
    <w:lvl w:ilvl="6">
      <w:start w:val="1"/>
      <w:numFmt w:val="decimal"/>
      <w:lvlText w:val="%7."/>
      <w:lvlJc w:val="left"/>
      <w:pPr>
        <w:ind w:left="2499" w:hanging="357"/>
      </w:pPr>
      <w:rPr>
        <w:rFonts w:hint="default"/>
      </w:rPr>
    </w:lvl>
    <w:lvl w:ilvl="7">
      <w:start w:val="1"/>
      <w:numFmt w:val="lowerLetter"/>
      <w:lvlText w:val="%8."/>
      <w:lvlJc w:val="left"/>
      <w:pPr>
        <w:ind w:left="2856" w:hanging="357"/>
      </w:pPr>
      <w:rPr>
        <w:rFonts w:hint="default"/>
      </w:rPr>
    </w:lvl>
    <w:lvl w:ilvl="8">
      <w:start w:val="1"/>
      <w:numFmt w:val="lowerRoman"/>
      <w:lvlText w:val="%9."/>
      <w:lvlJc w:val="right"/>
      <w:pPr>
        <w:ind w:left="3213" w:hanging="357"/>
      </w:pPr>
      <w:rPr>
        <w:rFonts w:hint="default"/>
      </w:rPr>
    </w:lvl>
  </w:abstractNum>
  <w:abstractNum w:abstractNumId="89" w15:restartNumberingAfterBreak="0">
    <w:nsid w:val="72224F0A"/>
    <w:multiLevelType w:val="multilevel"/>
    <w:tmpl w:val="4F5E492C"/>
    <w:name w:val="Bullets"/>
    <w:lvl w:ilvl="0">
      <w:start w:val="1"/>
      <w:numFmt w:val="bullet"/>
      <w:lvlText w:val=""/>
      <w:lvlJc w:val="left"/>
      <w:pPr>
        <w:tabs>
          <w:tab w:val="num" w:pos="425"/>
        </w:tabs>
        <w:ind w:left="425" w:hanging="425"/>
      </w:pPr>
      <w:rPr>
        <w:rFonts w:ascii="Wingdings" w:hAnsi="Wingdings" w:hint="default"/>
        <w:color w:val="214C90" w:themeColor="text2"/>
        <w:position w:val="0"/>
        <w:sz w:val="20"/>
      </w:rPr>
    </w:lvl>
    <w:lvl w:ilvl="1">
      <w:start w:val="1"/>
      <w:numFmt w:val="bullet"/>
      <w:lvlText w:val=""/>
      <w:lvlJc w:val="left"/>
      <w:pPr>
        <w:tabs>
          <w:tab w:val="num" w:pos="851"/>
        </w:tabs>
        <w:ind w:left="850" w:hanging="425"/>
      </w:pPr>
      <w:rPr>
        <w:rFonts w:ascii="Wingdings" w:hAnsi="Wingdings" w:hint="default"/>
        <w:color w:val="214C90" w:themeColor="text2"/>
      </w:rPr>
    </w:lvl>
    <w:lvl w:ilvl="2">
      <w:start w:val="1"/>
      <w:numFmt w:val="bullet"/>
      <w:lvlText w:val=""/>
      <w:lvlJc w:val="left"/>
      <w:pPr>
        <w:tabs>
          <w:tab w:val="num" w:pos="1276"/>
        </w:tabs>
        <w:ind w:left="1275" w:hanging="425"/>
      </w:pPr>
      <w:rPr>
        <w:rFonts w:ascii="Symbol" w:hAnsi="Symbol" w:hint="default"/>
        <w:color w:val="214C90" w:themeColor="text2"/>
      </w:rPr>
    </w:lvl>
    <w:lvl w:ilvl="3">
      <w:start w:val="1"/>
      <w:numFmt w:val="bullet"/>
      <w:lvlText w:val=""/>
      <w:lvlJc w:val="left"/>
      <w:pPr>
        <w:tabs>
          <w:tab w:val="num" w:pos="1701"/>
        </w:tabs>
        <w:ind w:left="1700" w:hanging="425"/>
      </w:pPr>
      <w:rPr>
        <w:rFonts w:ascii="Symbol" w:hAnsi="Symbol" w:hint="default"/>
        <w:color w:val="214C90" w:themeColor="text2"/>
        <w:sz w:val="20"/>
      </w:rPr>
    </w:lvl>
    <w:lvl w:ilvl="4">
      <w:start w:val="1"/>
      <w:numFmt w:val="bullet"/>
      <w:lvlText w:val=""/>
      <w:lvlJc w:val="left"/>
      <w:pPr>
        <w:tabs>
          <w:tab w:val="num" w:pos="2126"/>
        </w:tabs>
        <w:ind w:left="2125" w:hanging="425"/>
      </w:pPr>
      <w:rPr>
        <w:rFonts w:ascii="Wingdings" w:hAnsi="Wingdings" w:hint="default"/>
        <w:color w:val="214C90" w:themeColor="text2"/>
      </w:rPr>
    </w:lvl>
    <w:lvl w:ilvl="5">
      <w:start w:val="1"/>
      <w:numFmt w:val="lowerRoman"/>
      <w:lvlText w:val="(%6)"/>
      <w:lvlJc w:val="left"/>
      <w:pPr>
        <w:tabs>
          <w:tab w:val="num" w:pos="3630"/>
        </w:tabs>
        <w:ind w:left="2550" w:hanging="425"/>
      </w:pPr>
      <w:rPr>
        <w:rFonts w:hint="default"/>
      </w:rPr>
    </w:lvl>
    <w:lvl w:ilvl="6">
      <w:start w:val="1"/>
      <w:numFmt w:val="decimal"/>
      <w:lvlText w:val="%7."/>
      <w:lvlJc w:val="left"/>
      <w:pPr>
        <w:tabs>
          <w:tab w:val="num" w:pos="4055"/>
        </w:tabs>
        <w:ind w:left="2975" w:hanging="425"/>
      </w:pPr>
      <w:rPr>
        <w:rFonts w:hint="default"/>
      </w:rPr>
    </w:lvl>
    <w:lvl w:ilvl="7">
      <w:start w:val="1"/>
      <w:numFmt w:val="lowerLetter"/>
      <w:lvlText w:val="%8."/>
      <w:lvlJc w:val="left"/>
      <w:pPr>
        <w:tabs>
          <w:tab w:val="num" w:pos="4480"/>
        </w:tabs>
        <w:ind w:left="3400" w:hanging="425"/>
      </w:pPr>
      <w:rPr>
        <w:rFonts w:hint="default"/>
      </w:rPr>
    </w:lvl>
    <w:lvl w:ilvl="8">
      <w:start w:val="1"/>
      <w:numFmt w:val="lowerRoman"/>
      <w:lvlText w:val="%9."/>
      <w:lvlJc w:val="left"/>
      <w:pPr>
        <w:tabs>
          <w:tab w:val="num" w:pos="4905"/>
        </w:tabs>
        <w:ind w:left="3825" w:hanging="425"/>
      </w:pPr>
      <w:rPr>
        <w:rFonts w:hint="default"/>
      </w:rPr>
    </w:lvl>
  </w:abstractNum>
  <w:abstractNum w:abstractNumId="90" w15:restartNumberingAfterBreak="0">
    <w:nsid w:val="762964D5"/>
    <w:multiLevelType w:val="multilevel"/>
    <w:tmpl w:val="E898CC72"/>
    <w:styleLink w:val="KeyPoints"/>
    <w:lvl w:ilvl="0">
      <w:start w:val="1"/>
      <w:numFmt w:val="decimal"/>
      <w:lvlText w:val="%1."/>
      <w:lvlJc w:val="left"/>
      <w:pPr>
        <w:ind w:left="369" w:hanging="369"/>
      </w:pPr>
      <w:rPr>
        <w:rFonts w:ascii="Arial" w:hAnsi="Arial" w:hint="default"/>
        <w:sz w:val="22"/>
      </w:rPr>
    </w:lvl>
    <w:lvl w:ilvl="1">
      <w:start w:val="1"/>
      <w:numFmt w:val="lowerLetter"/>
      <w:lvlText w:val="%2."/>
      <w:lvlJc w:val="left"/>
      <w:pPr>
        <w:ind w:left="738" w:hanging="369"/>
      </w:pPr>
      <w:rPr>
        <w:rFonts w:hint="default"/>
      </w:rPr>
    </w:lvl>
    <w:lvl w:ilvl="2">
      <w:start w:val="1"/>
      <w:numFmt w:val="lowerRoman"/>
      <w:lvlText w:val="%3."/>
      <w:lvlJc w:val="left"/>
      <w:pPr>
        <w:ind w:left="1107" w:hanging="369"/>
      </w:pPr>
      <w:rPr>
        <w:rFonts w:hint="default"/>
      </w:rPr>
    </w:lvl>
    <w:lvl w:ilvl="3">
      <w:start w:val="1"/>
      <w:numFmt w:val="none"/>
      <w:lvlText w:val="%4"/>
      <w:lvlJc w:val="left"/>
      <w:pPr>
        <w:ind w:left="1476" w:hanging="369"/>
      </w:pPr>
      <w:rPr>
        <w:rFonts w:hint="default"/>
      </w:rPr>
    </w:lvl>
    <w:lvl w:ilvl="4">
      <w:start w:val="1"/>
      <w:numFmt w:val="none"/>
      <w:lvlText w:val=""/>
      <w:lvlJc w:val="left"/>
      <w:pPr>
        <w:ind w:left="1845" w:hanging="369"/>
      </w:pPr>
      <w:rPr>
        <w:rFonts w:hint="default"/>
      </w:rPr>
    </w:lvl>
    <w:lvl w:ilvl="5">
      <w:start w:val="1"/>
      <w:numFmt w:val="none"/>
      <w:lvlText w:val=""/>
      <w:lvlJc w:val="left"/>
      <w:pPr>
        <w:ind w:left="2214" w:hanging="369"/>
      </w:pPr>
      <w:rPr>
        <w:rFonts w:hint="default"/>
      </w:rPr>
    </w:lvl>
    <w:lvl w:ilvl="6">
      <w:start w:val="1"/>
      <w:numFmt w:val="none"/>
      <w:lvlText w:val=""/>
      <w:lvlJc w:val="left"/>
      <w:pPr>
        <w:ind w:left="2583" w:hanging="369"/>
      </w:pPr>
      <w:rPr>
        <w:rFonts w:hint="default"/>
      </w:rPr>
    </w:lvl>
    <w:lvl w:ilvl="7">
      <w:start w:val="1"/>
      <w:numFmt w:val="none"/>
      <w:lvlText w:val=""/>
      <w:lvlJc w:val="left"/>
      <w:pPr>
        <w:ind w:left="2952" w:hanging="369"/>
      </w:pPr>
      <w:rPr>
        <w:rFonts w:hint="default"/>
      </w:rPr>
    </w:lvl>
    <w:lvl w:ilvl="8">
      <w:start w:val="1"/>
      <w:numFmt w:val="none"/>
      <w:lvlText w:val=""/>
      <w:lvlJc w:val="left"/>
      <w:pPr>
        <w:ind w:left="3321" w:hanging="369"/>
      </w:pPr>
      <w:rPr>
        <w:rFonts w:hint="default"/>
      </w:rPr>
    </w:lvl>
  </w:abstractNum>
  <w:abstractNum w:abstractNumId="91" w15:restartNumberingAfterBreak="0">
    <w:nsid w:val="77664A87"/>
    <w:multiLevelType w:val="hybridMultilevel"/>
    <w:tmpl w:val="BC4AF7E4"/>
    <w:name w:val="MyNumbering62243"/>
    <w:lvl w:ilvl="0" w:tplc="8F8EC1A6">
      <w:start w:val="1"/>
      <w:numFmt w:val="bullet"/>
      <w:lvlText w:val="-"/>
      <w:lvlJc w:val="left"/>
      <w:pPr>
        <w:ind w:left="720" w:hanging="360"/>
      </w:pPr>
      <w:rPr>
        <w:rFonts w:ascii="Arial" w:hAnsi="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2" w15:restartNumberingAfterBreak="0">
    <w:nsid w:val="7E030DAE"/>
    <w:multiLevelType w:val="multilevel"/>
    <w:tmpl w:val="0C09001D"/>
    <w:name w:val="MyNumbering"/>
    <w:lvl w:ilvl="0">
      <w:start w:val="1"/>
      <w:numFmt w:val="decimal"/>
      <w:lvlText w:val="%1)"/>
      <w:lvlJc w:val="left"/>
      <w:pPr>
        <w:ind w:left="1779" w:hanging="360"/>
      </w:pPr>
      <w:rPr>
        <w:rFonts w:hint="default"/>
        <w:b w:val="0"/>
        <w:i w:val="0"/>
        <w:color w:val="auto"/>
        <w:sz w:val="22"/>
      </w:rPr>
    </w:lvl>
    <w:lvl w:ilvl="1">
      <w:start w:val="1"/>
      <w:numFmt w:val="lowerLetter"/>
      <w:lvlText w:val="%2)"/>
      <w:lvlJc w:val="left"/>
      <w:pPr>
        <w:ind w:left="2139" w:hanging="360"/>
      </w:pPr>
      <w:rPr>
        <w:rFonts w:hint="default"/>
        <w:b w:val="0"/>
        <w:i w:val="0"/>
        <w:color w:val="auto"/>
        <w:sz w:val="22"/>
      </w:rPr>
    </w:lvl>
    <w:lvl w:ilvl="2">
      <w:start w:val="1"/>
      <w:numFmt w:val="lowerRoman"/>
      <w:lvlText w:val="%3)"/>
      <w:lvlJc w:val="left"/>
      <w:pPr>
        <w:ind w:left="2499" w:hanging="360"/>
      </w:pPr>
      <w:rPr>
        <w:rFonts w:hint="default"/>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4)"/>
      <w:lvlJc w:val="left"/>
      <w:pPr>
        <w:ind w:left="2859" w:hanging="360"/>
      </w:pPr>
      <w:rPr>
        <w:rFonts w:hint="default"/>
        <w:b w:val="0"/>
        <w:i w:val="0"/>
        <w:color w:val="auto"/>
      </w:rPr>
    </w:lvl>
    <w:lvl w:ilvl="4">
      <w:start w:val="1"/>
      <w:numFmt w:val="lowerLetter"/>
      <w:lvlText w:val="(%5)"/>
      <w:lvlJc w:val="left"/>
      <w:pPr>
        <w:ind w:left="3219" w:hanging="360"/>
      </w:pPr>
      <w:rPr>
        <w:rFonts w:hint="default"/>
        <w:b w:val="0"/>
        <w:i w:val="0"/>
        <w:color w:val="auto"/>
      </w:rPr>
    </w:lvl>
    <w:lvl w:ilvl="5">
      <w:start w:val="1"/>
      <w:numFmt w:val="lowerRoman"/>
      <w:lvlText w:val="(%6)"/>
      <w:lvlJc w:val="left"/>
      <w:pPr>
        <w:ind w:left="3579" w:hanging="360"/>
      </w:pPr>
      <w:rPr>
        <w:rFonts w:hint="default"/>
      </w:rPr>
    </w:lvl>
    <w:lvl w:ilvl="6">
      <w:start w:val="1"/>
      <w:numFmt w:val="decimal"/>
      <w:lvlText w:val="%7."/>
      <w:lvlJc w:val="left"/>
      <w:pPr>
        <w:ind w:left="3939" w:hanging="360"/>
      </w:pPr>
      <w:rPr>
        <w:rFonts w:hint="default"/>
      </w:rPr>
    </w:lvl>
    <w:lvl w:ilvl="7">
      <w:start w:val="1"/>
      <w:numFmt w:val="lowerLetter"/>
      <w:lvlText w:val="%8."/>
      <w:lvlJc w:val="left"/>
      <w:pPr>
        <w:ind w:left="4299" w:hanging="360"/>
      </w:pPr>
      <w:rPr>
        <w:rFonts w:hint="default"/>
      </w:rPr>
    </w:lvl>
    <w:lvl w:ilvl="8">
      <w:start w:val="1"/>
      <w:numFmt w:val="lowerRoman"/>
      <w:lvlText w:val="%9."/>
      <w:lvlJc w:val="left"/>
      <w:pPr>
        <w:ind w:left="4659" w:hanging="360"/>
      </w:pPr>
      <w:rPr>
        <w:rFonts w:hint="default"/>
      </w:rPr>
    </w:lvl>
  </w:abstractNum>
  <w:abstractNum w:abstractNumId="93" w15:restartNumberingAfterBreak="0">
    <w:nsid w:val="7E2819EC"/>
    <w:multiLevelType w:val="multilevel"/>
    <w:tmpl w:val="1250F310"/>
    <w:lvl w:ilvl="0">
      <w:start w:val="1"/>
      <w:numFmt w:val="bullet"/>
      <w:pStyle w:val="AERbulletlistfirststyle"/>
      <w:lvlText w:val=""/>
      <w:lvlJc w:val="left"/>
      <w:pPr>
        <w:ind w:left="644" w:hanging="360"/>
      </w:pPr>
      <w:rPr>
        <w:rFonts w:ascii="Symbol" w:hAnsi="Symbol"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4" w15:restartNumberingAfterBreak="0">
    <w:nsid w:val="7ED3322D"/>
    <w:multiLevelType w:val="hybridMultilevel"/>
    <w:tmpl w:val="3B047FFC"/>
    <w:name w:val="MyNumbering6223"/>
    <w:lvl w:ilvl="0" w:tplc="BC2EC844">
      <w:start w:val="1"/>
      <w:numFmt w:val="lowerLetter"/>
      <w:lvlText w:val="(%1)"/>
      <w:lvlJc w:val="left"/>
      <w:pPr>
        <w:ind w:left="720" w:hanging="360"/>
      </w:pPr>
      <w:rPr>
        <w:rFonts w:ascii="Arial" w:hAnsi="Arial" w:hint="default"/>
        <w:b w:val="0"/>
        <w:i w:val="0"/>
        <w:sz w:val="22"/>
        <w:szCs w:val="26"/>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num w:numId="1">
    <w:abstractNumId w:val="26"/>
  </w:num>
  <w:num w:numId="2">
    <w:abstractNumId w:val="3"/>
  </w:num>
  <w:num w:numId="3">
    <w:abstractNumId w:val="29"/>
  </w:num>
  <w:num w:numId="4">
    <w:abstractNumId w:val="67"/>
  </w:num>
  <w:num w:numId="5">
    <w:abstractNumId w:val="55"/>
  </w:num>
  <w:num w:numId="6">
    <w:abstractNumId w:val="27"/>
  </w:num>
  <w:num w:numId="7">
    <w:abstractNumId w:val="22"/>
  </w:num>
  <w:num w:numId="8">
    <w:abstractNumId w:val="42"/>
  </w:num>
  <w:num w:numId="9">
    <w:abstractNumId w:val="0"/>
  </w:num>
  <w:num w:numId="10">
    <w:abstractNumId w:val="90"/>
  </w:num>
  <w:num w:numId="11">
    <w:abstractNumId w:val="76"/>
  </w:num>
  <w:num w:numId="12">
    <w:abstractNumId w:val="72"/>
  </w:num>
  <w:num w:numId="13">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57"/>
  </w:num>
  <w:num w:numId="15">
    <w:abstractNumId w:val="87"/>
  </w:num>
  <w:num w:numId="16">
    <w:abstractNumId w:val="16"/>
  </w:num>
  <w:num w:numId="17">
    <w:abstractNumId w:val="56"/>
  </w:num>
  <w:num w:numId="18">
    <w:abstractNumId w:val="83"/>
  </w:num>
  <w:num w:numId="19">
    <w:abstractNumId w:val="81"/>
  </w:num>
  <w:num w:numId="20">
    <w:abstractNumId w:val="78"/>
  </w:num>
  <w:num w:numId="21">
    <w:abstractNumId w:val="79"/>
  </w:num>
  <w:num w:numId="22">
    <w:abstractNumId w:val="93"/>
  </w:num>
  <w:num w:numId="23">
    <w:abstractNumId w:val="51"/>
  </w:num>
  <w:num w:numId="24">
    <w:abstractNumId w:val="66"/>
  </w:num>
  <w:num w:numId="25">
    <w:abstractNumId w:val="63"/>
  </w:num>
  <w:num w:numId="26">
    <w:abstractNumId w:val="77"/>
  </w:num>
  <w:num w:numId="27">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33"/>
  </w:num>
  <w:num w:numId="29">
    <w:abstractNumId w:val="52"/>
  </w:num>
  <w:num w:numId="30">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39"/>
  </w:num>
  <w:num w:numId="33">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1"/>
  </w:num>
  <w:num w:numId="35">
    <w:abstractNumId w:val="23"/>
  </w:num>
  <w:num w:numId="36">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76"/>
    <w:lvlOverride w:ilvl="0"/>
    <w:lvlOverride w:ilvl="1"/>
    <w:lvlOverride w:ilvl="2">
      <w:startOverride w:val="1"/>
    </w:lvlOverride>
    <w:lvlOverride w:ilvl="3"/>
    <w:lvlOverride w:ilvl="4"/>
    <w:lvlOverride w:ilvl="5"/>
    <w:lvlOverride w:ilvl="6"/>
    <w:lvlOverride w:ilvl="7"/>
    <w:lvlOverride w:ilvl="8"/>
  </w:num>
  <w:num w:numId="39">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71"/>
  </w:num>
  <w:num w:numId="42">
    <w:abstractNumId w:val="64"/>
  </w:num>
  <w:num w:numId="43">
    <w:abstractNumId w:val="76"/>
  </w:num>
  <w:num w:numId="44">
    <w:abstractNumId w:val="76"/>
  </w:num>
  <w:num w:numId="45">
    <w:abstractNumId w:val="76"/>
  </w:num>
  <w:num w:numId="46">
    <w:abstractNumId w:val="43"/>
  </w:num>
  <w:num w:numId="47">
    <w:abstractNumId w:val="18"/>
  </w:num>
  <w:num w:numId="48">
    <w:abstractNumId w:val="5"/>
  </w:num>
  <w:num w:numId="49">
    <w:abstractNumId w:val="76"/>
  </w:num>
  <w:numIdMacAtCleanup w:val="4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proofState w:spelling="clean" w:grammar="clean"/>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oNotTrackFormatting/>
  <w:defaultTabStop w:val="720"/>
  <w:clickAndTypeStyle w:val="BodyText"/>
  <w:drawingGridHorizontalSpacing w:val="110"/>
  <w:displayHorizontalDrawingGridEvery w:val="2"/>
  <w:characterSpacingControl w:val="doNotCompress"/>
  <w:hdrShapeDefaults>
    <o:shapedefaults v:ext="edit" spidmax="6146"/>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Abbreviations" w:val="False"/>
    <w:docVar w:name="ABN" w:val="ABN 78 006 769 339"/>
    <w:docVar w:name="Address" w:val="Level 27, Ernst &amp; Young Centre ~680 George Street ~Sydney NSW 2000"/>
    <w:docVar w:name="Branch" w:val="Sydney"/>
    <w:docVar w:name="ContentType" w:val="LTR-"/>
    <w:docVar w:name="Country" w:val="Australia"/>
    <w:docVar w:name="CustomTemplates" w:val="True"/>
    <w:docVar w:name="Discipline" w:val="~"/>
    <w:docVar w:name="DOCID" w:val="72499381"/>
    <w:docVar w:name="DocNameType" w:val="ANZ"/>
    <w:docVar w:name="DocNo" w:val="~"/>
    <w:docVar w:name="Entity" w:val="WSP Structures Pty Ltd"/>
    <w:docVar w:name="ExecutiveSummary" w:val="False"/>
    <w:docVar w:name="Fax" w:val="61 2 9272 5101"/>
    <w:docVar w:name="Glossary" w:val="False"/>
    <w:docVar w:name="isReport" w:val="True"/>
    <w:docVar w:name="Para" w:val="_x000d__x000a_"/>
    <w:docVar w:name="Phone" w:val="61 2 9272 5100"/>
    <w:docVar w:name="Postal" w:val="GPO Box 5394 ~Sydney NSW 2001"/>
    <w:docVar w:name="ProjectCode" w:val="~"/>
    <w:docVar w:name="SimpleOurRef" w:val="~"/>
    <w:docVar w:name="TOC" w:val="True"/>
    <w:docVar w:name="TOCImported" w:val="True"/>
    <w:docVar w:name="TOCNew" w:val="True"/>
    <w:docVar w:name="UpdateTheme" w:val="False"/>
    <w:docVar w:name="VERSIONLABEL" w:val="1"/>
    <w:docVar w:name="WSPAuthor" w:val="FD-"/>
    <w:docVar w:name="WSPContentType" w:val=" FD-"/>
    <w:docVar w:name="WSPDiscipline" w:val=" FD-"/>
    <w:docVar w:name="WSPDocDescription" w:val="FDSFSFS"/>
    <w:docVar w:name="WSPDocNamingDate" w:val="151215-"/>
    <w:docVar w:name="WSPDocNo" w:val=" FDS"/>
    <w:docVar w:name="WSPGeneralOurRef" w:val="barfdsa"/>
    <w:docVar w:name="WSPOfficeCode" w:val="FFDSAFSAFS-"/>
    <w:docVar w:name="WSPOurRef" w:val=" FFDA- FD- FD- FDS Rev FD"/>
    <w:docVar w:name="WSPProjectCode" w:val=" FFDA-"/>
    <w:docVar w:name="WSPRevNo" w:val=" FD"/>
    <w:docVar w:name="xAppendixName" w:val="Appendix"/>
    <w:docVar w:name="xTOCApp" w:val="H"/>
    <w:docVar w:name="xTOCFigure" w:val="H"/>
    <w:docVar w:name="xTOCH2" w:val="Y"/>
    <w:docVar w:name="xTOCH3" w:val="Y"/>
    <w:docVar w:name="xTOCPhoto" w:val="S"/>
    <w:docVar w:name="xTOCTable" w:val="H"/>
  </w:docVars>
  <w:rsids>
    <w:rsidRoot w:val="004C69F6"/>
    <w:rsid w:val="00000093"/>
    <w:rsid w:val="00000194"/>
    <w:rsid w:val="0000032A"/>
    <w:rsid w:val="00000333"/>
    <w:rsid w:val="000009F2"/>
    <w:rsid w:val="00000B9A"/>
    <w:rsid w:val="00000E4C"/>
    <w:rsid w:val="00000F1A"/>
    <w:rsid w:val="00001322"/>
    <w:rsid w:val="0000171C"/>
    <w:rsid w:val="0000189B"/>
    <w:rsid w:val="00001DFB"/>
    <w:rsid w:val="000025DD"/>
    <w:rsid w:val="0000290E"/>
    <w:rsid w:val="00002AD2"/>
    <w:rsid w:val="00002B57"/>
    <w:rsid w:val="00003094"/>
    <w:rsid w:val="000035F6"/>
    <w:rsid w:val="000037E4"/>
    <w:rsid w:val="000038C7"/>
    <w:rsid w:val="00003A67"/>
    <w:rsid w:val="00003E56"/>
    <w:rsid w:val="00004219"/>
    <w:rsid w:val="00004810"/>
    <w:rsid w:val="00004A68"/>
    <w:rsid w:val="0000577C"/>
    <w:rsid w:val="000057E4"/>
    <w:rsid w:val="00005823"/>
    <w:rsid w:val="0000598E"/>
    <w:rsid w:val="00005A5C"/>
    <w:rsid w:val="00006028"/>
    <w:rsid w:val="0000634A"/>
    <w:rsid w:val="000063C4"/>
    <w:rsid w:val="000068B5"/>
    <w:rsid w:val="000069D6"/>
    <w:rsid w:val="00006D53"/>
    <w:rsid w:val="00006DD3"/>
    <w:rsid w:val="00007007"/>
    <w:rsid w:val="0000739E"/>
    <w:rsid w:val="000105A9"/>
    <w:rsid w:val="00010618"/>
    <w:rsid w:val="00010C8A"/>
    <w:rsid w:val="00011733"/>
    <w:rsid w:val="00011772"/>
    <w:rsid w:val="00011A64"/>
    <w:rsid w:val="00011EB4"/>
    <w:rsid w:val="00011F39"/>
    <w:rsid w:val="0001201E"/>
    <w:rsid w:val="00012054"/>
    <w:rsid w:val="00012371"/>
    <w:rsid w:val="000125A5"/>
    <w:rsid w:val="00012827"/>
    <w:rsid w:val="0001322B"/>
    <w:rsid w:val="00013597"/>
    <w:rsid w:val="00013700"/>
    <w:rsid w:val="00013D78"/>
    <w:rsid w:val="00013FB3"/>
    <w:rsid w:val="00014071"/>
    <w:rsid w:val="000140CE"/>
    <w:rsid w:val="00014A34"/>
    <w:rsid w:val="0001545E"/>
    <w:rsid w:val="00015CD4"/>
    <w:rsid w:val="0001614C"/>
    <w:rsid w:val="00016CA2"/>
    <w:rsid w:val="0001718D"/>
    <w:rsid w:val="000171D8"/>
    <w:rsid w:val="000173A1"/>
    <w:rsid w:val="00017BB7"/>
    <w:rsid w:val="00017E18"/>
    <w:rsid w:val="00020425"/>
    <w:rsid w:val="00020547"/>
    <w:rsid w:val="000205FF"/>
    <w:rsid w:val="00020F11"/>
    <w:rsid w:val="00021F13"/>
    <w:rsid w:val="000221B9"/>
    <w:rsid w:val="00022905"/>
    <w:rsid w:val="00022A9D"/>
    <w:rsid w:val="00022B6D"/>
    <w:rsid w:val="00022C5C"/>
    <w:rsid w:val="0002318A"/>
    <w:rsid w:val="000231E0"/>
    <w:rsid w:val="0002337C"/>
    <w:rsid w:val="00023518"/>
    <w:rsid w:val="00023619"/>
    <w:rsid w:val="00023701"/>
    <w:rsid w:val="0002371F"/>
    <w:rsid w:val="00023F61"/>
    <w:rsid w:val="00024007"/>
    <w:rsid w:val="00024931"/>
    <w:rsid w:val="00024AC0"/>
    <w:rsid w:val="00024C3D"/>
    <w:rsid w:val="00024D26"/>
    <w:rsid w:val="00024E5F"/>
    <w:rsid w:val="00024FBE"/>
    <w:rsid w:val="00025161"/>
    <w:rsid w:val="00025438"/>
    <w:rsid w:val="0002642C"/>
    <w:rsid w:val="0002668E"/>
    <w:rsid w:val="00026A90"/>
    <w:rsid w:val="00026B84"/>
    <w:rsid w:val="00026ED5"/>
    <w:rsid w:val="00027800"/>
    <w:rsid w:val="00027BC7"/>
    <w:rsid w:val="00027C6C"/>
    <w:rsid w:val="00027E4A"/>
    <w:rsid w:val="00030349"/>
    <w:rsid w:val="00030444"/>
    <w:rsid w:val="0003062F"/>
    <w:rsid w:val="0003079E"/>
    <w:rsid w:val="00030EA5"/>
    <w:rsid w:val="00031503"/>
    <w:rsid w:val="000318C7"/>
    <w:rsid w:val="00031978"/>
    <w:rsid w:val="000323F1"/>
    <w:rsid w:val="0003249B"/>
    <w:rsid w:val="00032806"/>
    <w:rsid w:val="00032892"/>
    <w:rsid w:val="00032A32"/>
    <w:rsid w:val="00032E8F"/>
    <w:rsid w:val="00033625"/>
    <w:rsid w:val="00033C30"/>
    <w:rsid w:val="000343D3"/>
    <w:rsid w:val="0003553E"/>
    <w:rsid w:val="00035A63"/>
    <w:rsid w:val="000362CA"/>
    <w:rsid w:val="000364F2"/>
    <w:rsid w:val="00036751"/>
    <w:rsid w:val="00036BCF"/>
    <w:rsid w:val="00036C8E"/>
    <w:rsid w:val="00036D45"/>
    <w:rsid w:val="00037286"/>
    <w:rsid w:val="00037486"/>
    <w:rsid w:val="000374E9"/>
    <w:rsid w:val="00037C20"/>
    <w:rsid w:val="00040011"/>
    <w:rsid w:val="0004046E"/>
    <w:rsid w:val="00040531"/>
    <w:rsid w:val="000405AB"/>
    <w:rsid w:val="000406EF"/>
    <w:rsid w:val="00040A04"/>
    <w:rsid w:val="00040FD1"/>
    <w:rsid w:val="00041613"/>
    <w:rsid w:val="00041B06"/>
    <w:rsid w:val="00041CE0"/>
    <w:rsid w:val="00041D53"/>
    <w:rsid w:val="0004222D"/>
    <w:rsid w:val="00042278"/>
    <w:rsid w:val="00042366"/>
    <w:rsid w:val="0004277C"/>
    <w:rsid w:val="00042C9F"/>
    <w:rsid w:val="00042CAF"/>
    <w:rsid w:val="000431D6"/>
    <w:rsid w:val="000438A1"/>
    <w:rsid w:val="00043A10"/>
    <w:rsid w:val="00043AC5"/>
    <w:rsid w:val="00043B16"/>
    <w:rsid w:val="00043B69"/>
    <w:rsid w:val="000443F1"/>
    <w:rsid w:val="00044DCE"/>
    <w:rsid w:val="00044F8F"/>
    <w:rsid w:val="00044FDB"/>
    <w:rsid w:val="00045471"/>
    <w:rsid w:val="00045A2E"/>
    <w:rsid w:val="00045AEF"/>
    <w:rsid w:val="00045D96"/>
    <w:rsid w:val="0004619B"/>
    <w:rsid w:val="000463D7"/>
    <w:rsid w:val="0004747E"/>
    <w:rsid w:val="00047644"/>
    <w:rsid w:val="00047A4F"/>
    <w:rsid w:val="00047C91"/>
    <w:rsid w:val="00050713"/>
    <w:rsid w:val="0005109B"/>
    <w:rsid w:val="000510BB"/>
    <w:rsid w:val="000516BE"/>
    <w:rsid w:val="00051D5C"/>
    <w:rsid w:val="00051F2B"/>
    <w:rsid w:val="0005213F"/>
    <w:rsid w:val="00052454"/>
    <w:rsid w:val="0005252A"/>
    <w:rsid w:val="000525D6"/>
    <w:rsid w:val="00052756"/>
    <w:rsid w:val="0005283A"/>
    <w:rsid w:val="00052A4B"/>
    <w:rsid w:val="0005399F"/>
    <w:rsid w:val="000539FE"/>
    <w:rsid w:val="00053FEC"/>
    <w:rsid w:val="000540B4"/>
    <w:rsid w:val="000542A1"/>
    <w:rsid w:val="00054BE0"/>
    <w:rsid w:val="00055169"/>
    <w:rsid w:val="00055A15"/>
    <w:rsid w:val="00055FA7"/>
    <w:rsid w:val="00056406"/>
    <w:rsid w:val="0005644F"/>
    <w:rsid w:val="00056D39"/>
    <w:rsid w:val="00056D42"/>
    <w:rsid w:val="0005705F"/>
    <w:rsid w:val="00057226"/>
    <w:rsid w:val="00057416"/>
    <w:rsid w:val="000574CC"/>
    <w:rsid w:val="00057571"/>
    <w:rsid w:val="0005762C"/>
    <w:rsid w:val="00057661"/>
    <w:rsid w:val="00057ACD"/>
    <w:rsid w:val="000603EE"/>
    <w:rsid w:val="0006053E"/>
    <w:rsid w:val="000608FB"/>
    <w:rsid w:val="00060B55"/>
    <w:rsid w:val="00060B9F"/>
    <w:rsid w:val="00060D90"/>
    <w:rsid w:val="00061E0A"/>
    <w:rsid w:val="000622CB"/>
    <w:rsid w:val="000623AC"/>
    <w:rsid w:val="00062536"/>
    <w:rsid w:val="0006277B"/>
    <w:rsid w:val="000628AA"/>
    <w:rsid w:val="00062F76"/>
    <w:rsid w:val="000634B5"/>
    <w:rsid w:val="000635DA"/>
    <w:rsid w:val="00063820"/>
    <w:rsid w:val="0006386D"/>
    <w:rsid w:val="00063990"/>
    <w:rsid w:val="000642D2"/>
    <w:rsid w:val="00064444"/>
    <w:rsid w:val="0006590D"/>
    <w:rsid w:val="00065B1F"/>
    <w:rsid w:val="00065CDA"/>
    <w:rsid w:val="00066037"/>
    <w:rsid w:val="00066597"/>
    <w:rsid w:val="000665B5"/>
    <w:rsid w:val="00066710"/>
    <w:rsid w:val="000669A6"/>
    <w:rsid w:val="00066A4B"/>
    <w:rsid w:val="00066CEB"/>
    <w:rsid w:val="00066FB6"/>
    <w:rsid w:val="0006708F"/>
    <w:rsid w:val="000679A1"/>
    <w:rsid w:val="00067A55"/>
    <w:rsid w:val="00067B37"/>
    <w:rsid w:val="00067F43"/>
    <w:rsid w:val="00070500"/>
    <w:rsid w:val="000707E8"/>
    <w:rsid w:val="00070897"/>
    <w:rsid w:val="000709D4"/>
    <w:rsid w:val="0007120B"/>
    <w:rsid w:val="00071584"/>
    <w:rsid w:val="00071915"/>
    <w:rsid w:val="00071A2F"/>
    <w:rsid w:val="00071F31"/>
    <w:rsid w:val="00072942"/>
    <w:rsid w:val="0007368F"/>
    <w:rsid w:val="000738AF"/>
    <w:rsid w:val="00073C88"/>
    <w:rsid w:val="00073DDA"/>
    <w:rsid w:val="000747C4"/>
    <w:rsid w:val="00074C02"/>
    <w:rsid w:val="00074CCC"/>
    <w:rsid w:val="00074E5F"/>
    <w:rsid w:val="00074EF6"/>
    <w:rsid w:val="000755B1"/>
    <w:rsid w:val="00075AB0"/>
    <w:rsid w:val="00075D68"/>
    <w:rsid w:val="000764DD"/>
    <w:rsid w:val="00076A72"/>
    <w:rsid w:val="00076A7D"/>
    <w:rsid w:val="00076CEC"/>
    <w:rsid w:val="000773DF"/>
    <w:rsid w:val="0007772F"/>
    <w:rsid w:val="00077CD3"/>
    <w:rsid w:val="000800F0"/>
    <w:rsid w:val="00080188"/>
    <w:rsid w:val="00080774"/>
    <w:rsid w:val="000809B0"/>
    <w:rsid w:val="0008215B"/>
    <w:rsid w:val="00082339"/>
    <w:rsid w:val="00082CAC"/>
    <w:rsid w:val="00082CF7"/>
    <w:rsid w:val="00083038"/>
    <w:rsid w:val="000831F0"/>
    <w:rsid w:val="000834AE"/>
    <w:rsid w:val="00084311"/>
    <w:rsid w:val="00084B10"/>
    <w:rsid w:val="00084BE8"/>
    <w:rsid w:val="000851F6"/>
    <w:rsid w:val="0008527D"/>
    <w:rsid w:val="00085314"/>
    <w:rsid w:val="00085393"/>
    <w:rsid w:val="000856C4"/>
    <w:rsid w:val="00085D93"/>
    <w:rsid w:val="00086400"/>
    <w:rsid w:val="000866EB"/>
    <w:rsid w:val="00086C5B"/>
    <w:rsid w:val="000870AB"/>
    <w:rsid w:val="000874AC"/>
    <w:rsid w:val="000874D6"/>
    <w:rsid w:val="00087A2D"/>
    <w:rsid w:val="00087AE7"/>
    <w:rsid w:val="00087F6D"/>
    <w:rsid w:val="000905D6"/>
    <w:rsid w:val="00090815"/>
    <w:rsid w:val="0009093C"/>
    <w:rsid w:val="0009097B"/>
    <w:rsid w:val="00090D68"/>
    <w:rsid w:val="00090D84"/>
    <w:rsid w:val="00090E6C"/>
    <w:rsid w:val="0009129D"/>
    <w:rsid w:val="00091B4A"/>
    <w:rsid w:val="00091D20"/>
    <w:rsid w:val="00091E67"/>
    <w:rsid w:val="00091FE2"/>
    <w:rsid w:val="00092080"/>
    <w:rsid w:val="0009208D"/>
    <w:rsid w:val="0009229B"/>
    <w:rsid w:val="00092C7D"/>
    <w:rsid w:val="00092EBC"/>
    <w:rsid w:val="0009364B"/>
    <w:rsid w:val="00093982"/>
    <w:rsid w:val="00093F0B"/>
    <w:rsid w:val="00093F99"/>
    <w:rsid w:val="00094658"/>
    <w:rsid w:val="000948CB"/>
    <w:rsid w:val="00094948"/>
    <w:rsid w:val="000949A1"/>
    <w:rsid w:val="00094AE6"/>
    <w:rsid w:val="00095314"/>
    <w:rsid w:val="00095B22"/>
    <w:rsid w:val="000964E7"/>
    <w:rsid w:val="000968BE"/>
    <w:rsid w:val="000969DE"/>
    <w:rsid w:val="00096E00"/>
    <w:rsid w:val="000977C2"/>
    <w:rsid w:val="00097DD0"/>
    <w:rsid w:val="00097FC2"/>
    <w:rsid w:val="000A043A"/>
    <w:rsid w:val="000A04DF"/>
    <w:rsid w:val="000A0D39"/>
    <w:rsid w:val="000A0E4C"/>
    <w:rsid w:val="000A1058"/>
    <w:rsid w:val="000A115A"/>
    <w:rsid w:val="000A1328"/>
    <w:rsid w:val="000A16D5"/>
    <w:rsid w:val="000A1998"/>
    <w:rsid w:val="000A1A10"/>
    <w:rsid w:val="000A1A4F"/>
    <w:rsid w:val="000A1D36"/>
    <w:rsid w:val="000A1D3A"/>
    <w:rsid w:val="000A1F71"/>
    <w:rsid w:val="000A24D0"/>
    <w:rsid w:val="000A2528"/>
    <w:rsid w:val="000A2949"/>
    <w:rsid w:val="000A2A5F"/>
    <w:rsid w:val="000A3069"/>
    <w:rsid w:val="000A3AF8"/>
    <w:rsid w:val="000A4208"/>
    <w:rsid w:val="000A43D8"/>
    <w:rsid w:val="000A474B"/>
    <w:rsid w:val="000A47B2"/>
    <w:rsid w:val="000A48AC"/>
    <w:rsid w:val="000A4BD4"/>
    <w:rsid w:val="000A4C4A"/>
    <w:rsid w:val="000A4DDA"/>
    <w:rsid w:val="000A4EB8"/>
    <w:rsid w:val="000A4F73"/>
    <w:rsid w:val="000A50F3"/>
    <w:rsid w:val="000A561E"/>
    <w:rsid w:val="000A5C39"/>
    <w:rsid w:val="000A64D2"/>
    <w:rsid w:val="000A712A"/>
    <w:rsid w:val="000A71FC"/>
    <w:rsid w:val="000A7592"/>
    <w:rsid w:val="000A76C7"/>
    <w:rsid w:val="000A7E9C"/>
    <w:rsid w:val="000B111C"/>
    <w:rsid w:val="000B183F"/>
    <w:rsid w:val="000B19B2"/>
    <w:rsid w:val="000B1CB2"/>
    <w:rsid w:val="000B22FB"/>
    <w:rsid w:val="000B2413"/>
    <w:rsid w:val="000B26A4"/>
    <w:rsid w:val="000B30E5"/>
    <w:rsid w:val="000B3476"/>
    <w:rsid w:val="000B35F1"/>
    <w:rsid w:val="000B36A7"/>
    <w:rsid w:val="000B389A"/>
    <w:rsid w:val="000B3B9C"/>
    <w:rsid w:val="000B4921"/>
    <w:rsid w:val="000B492A"/>
    <w:rsid w:val="000B49AE"/>
    <w:rsid w:val="000B4AC7"/>
    <w:rsid w:val="000B51C9"/>
    <w:rsid w:val="000B52BE"/>
    <w:rsid w:val="000B5313"/>
    <w:rsid w:val="000B5663"/>
    <w:rsid w:val="000B59CB"/>
    <w:rsid w:val="000B646C"/>
    <w:rsid w:val="000B6475"/>
    <w:rsid w:val="000B65EE"/>
    <w:rsid w:val="000B6907"/>
    <w:rsid w:val="000B7039"/>
    <w:rsid w:val="000B756F"/>
    <w:rsid w:val="000B76ED"/>
    <w:rsid w:val="000B7A66"/>
    <w:rsid w:val="000B7C10"/>
    <w:rsid w:val="000C036C"/>
    <w:rsid w:val="000C043D"/>
    <w:rsid w:val="000C059C"/>
    <w:rsid w:val="000C2607"/>
    <w:rsid w:val="000C269E"/>
    <w:rsid w:val="000C28DF"/>
    <w:rsid w:val="000C2BCB"/>
    <w:rsid w:val="000C321B"/>
    <w:rsid w:val="000C3390"/>
    <w:rsid w:val="000C3784"/>
    <w:rsid w:val="000C3AA0"/>
    <w:rsid w:val="000C3B23"/>
    <w:rsid w:val="000C3DB5"/>
    <w:rsid w:val="000C4716"/>
    <w:rsid w:val="000C48E8"/>
    <w:rsid w:val="000C4ED6"/>
    <w:rsid w:val="000C5015"/>
    <w:rsid w:val="000C5571"/>
    <w:rsid w:val="000C5778"/>
    <w:rsid w:val="000C5B43"/>
    <w:rsid w:val="000C5BA9"/>
    <w:rsid w:val="000C5F1C"/>
    <w:rsid w:val="000C6237"/>
    <w:rsid w:val="000C68E3"/>
    <w:rsid w:val="000C70ED"/>
    <w:rsid w:val="000C76B8"/>
    <w:rsid w:val="000C7788"/>
    <w:rsid w:val="000C7BB4"/>
    <w:rsid w:val="000D01DB"/>
    <w:rsid w:val="000D024E"/>
    <w:rsid w:val="000D1689"/>
    <w:rsid w:val="000D1849"/>
    <w:rsid w:val="000D19C5"/>
    <w:rsid w:val="000D1DA0"/>
    <w:rsid w:val="000D2354"/>
    <w:rsid w:val="000D271C"/>
    <w:rsid w:val="000D2F86"/>
    <w:rsid w:val="000D36FC"/>
    <w:rsid w:val="000D3881"/>
    <w:rsid w:val="000D38C3"/>
    <w:rsid w:val="000D3AAE"/>
    <w:rsid w:val="000D3E4A"/>
    <w:rsid w:val="000D4049"/>
    <w:rsid w:val="000D4681"/>
    <w:rsid w:val="000D5321"/>
    <w:rsid w:val="000D53CF"/>
    <w:rsid w:val="000D57ED"/>
    <w:rsid w:val="000D5967"/>
    <w:rsid w:val="000D5E74"/>
    <w:rsid w:val="000D60E9"/>
    <w:rsid w:val="000D66AF"/>
    <w:rsid w:val="000D6AF6"/>
    <w:rsid w:val="000D6BEF"/>
    <w:rsid w:val="000D6E50"/>
    <w:rsid w:val="000D73BF"/>
    <w:rsid w:val="000D73CA"/>
    <w:rsid w:val="000D7519"/>
    <w:rsid w:val="000D7723"/>
    <w:rsid w:val="000D77A2"/>
    <w:rsid w:val="000D77B1"/>
    <w:rsid w:val="000D77EE"/>
    <w:rsid w:val="000D797F"/>
    <w:rsid w:val="000D7DC1"/>
    <w:rsid w:val="000E0068"/>
    <w:rsid w:val="000E0775"/>
    <w:rsid w:val="000E0F37"/>
    <w:rsid w:val="000E1102"/>
    <w:rsid w:val="000E1187"/>
    <w:rsid w:val="000E1490"/>
    <w:rsid w:val="000E1770"/>
    <w:rsid w:val="000E1A47"/>
    <w:rsid w:val="000E21F5"/>
    <w:rsid w:val="000E2819"/>
    <w:rsid w:val="000E2A35"/>
    <w:rsid w:val="000E2DEF"/>
    <w:rsid w:val="000E2E35"/>
    <w:rsid w:val="000E2F22"/>
    <w:rsid w:val="000E31CA"/>
    <w:rsid w:val="000E31FF"/>
    <w:rsid w:val="000E326D"/>
    <w:rsid w:val="000E32D8"/>
    <w:rsid w:val="000E3A3C"/>
    <w:rsid w:val="000E3B79"/>
    <w:rsid w:val="000E3C49"/>
    <w:rsid w:val="000E4043"/>
    <w:rsid w:val="000E4840"/>
    <w:rsid w:val="000E4843"/>
    <w:rsid w:val="000E4B5B"/>
    <w:rsid w:val="000E4C56"/>
    <w:rsid w:val="000E4C86"/>
    <w:rsid w:val="000E5431"/>
    <w:rsid w:val="000E5885"/>
    <w:rsid w:val="000E5A00"/>
    <w:rsid w:val="000E5A52"/>
    <w:rsid w:val="000E60DA"/>
    <w:rsid w:val="000E64A9"/>
    <w:rsid w:val="000E6504"/>
    <w:rsid w:val="000E6A17"/>
    <w:rsid w:val="000E6B5A"/>
    <w:rsid w:val="000E6DF0"/>
    <w:rsid w:val="000E72D4"/>
    <w:rsid w:val="000E76D9"/>
    <w:rsid w:val="000E7BC0"/>
    <w:rsid w:val="000E7E62"/>
    <w:rsid w:val="000F0B18"/>
    <w:rsid w:val="000F0DA5"/>
    <w:rsid w:val="000F0DAC"/>
    <w:rsid w:val="000F0FCE"/>
    <w:rsid w:val="000F1017"/>
    <w:rsid w:val="000F13E5"/>
    <w:rsid w:val="000F15C6"/>
    <w:rsid w:val="000F1687"/>
    <w:rsid w:val="000F17C0"/>
    <w:rsid w:val="000F1B74"/>
    <w:rsid w:val="000F20C3"/>
    <w:rsid w:val="000F2FC7"/>
    <w:rsid w:val="000F3362"/>
    <w:rsid w:val="000F3396"/>
    <w:rsid w:val="000F3961"/>
    <w:rsid w:val="000F47F5"/>
    <w:rsid w:val="000F4910"/>
    <w:rsid w:val="000F4BCB"/>
    <w:rsid w:val="000F4CD8"/>
    <w:rsid w:val="000F4D26"/>
    <w:rsid w:val="000F5351"/>
    <w:rsid w:val="000F5626"/>
    <w:rsid w:val="000F59FB"/>
    <w:rsid w:val="000F5E55"/>
    <w:rsid w:val="000F5EA7"/>
    <w:rsid w:val="000F62C7"/>
    <w:rsid w:val="000F631C"/>
    <w:rsid w:val="000F6363"/>
    <w:rsid w:val="000F6433"/>
    <w:rsid w:val="000F656F"/>
    <w:rsid w:val="000F6995"/>
    <w:rsid w:val="000F6CD8"/>
    <w:rsid w:val="000F6CDF"/>
    <w:rsid w:val="000F6F60"/>
    <w:rsid w:val="000F6F9C"/>
    <w:rsid w:val="000F7430"/>
    <w:rsid w:val="000F7466"/>
    <w:rsid w:val="000F7619"/>
    <w:rsid w:val="00101883"/>
    <w:rsid w:val="00101EBF"/>
    <w:rsid w:val="001022DC"/>
    <w:rsid w:val="0010299D"/>
    <w:rsid w:val="0010305B"/>
    <w:rsid w:val="00103077"/>
    <w:rsid w:val="00103449"/>
    <w:rsid w:val="00103624"/>
    <w:rsid w:val="00103964"/>
    <w:rsid w:val="00103B3A"/>
    <w:rsid w:val="001041CD"/>
    <w:rsid w:val="001042E1"/>
    <w:rsid w:val="001044BF"/>
    <w:rsid w:val="001044FD"/>
    <w:rsid w:val="00104E03"/>
    <w:rsid w:val="00105AB9"/>
    <w:rsid w:val="00105C04"/>
    <w:rsid w:val="001065C1"/>
    <w:rsid w:val="001067B2"/>
    <w:rsid w:val="001068FB"/>
    <w:rsid w:val="001075A2"/>
    <w:rsid w:val="001078D4"/>
    <w:rsid w:val="00107EE2"/>
    <w:rsid w:val="0011000B"/>
    <w:rsid w:val="0011052E"/>
    <w:rsid w:val="0011087C"/>
    <w:rsid w:val="001109A0"/>
    <w:rsid w:val="00110A2C"/>
    <w:rsid w:val="00110A83"/>
    <w:rsid w:val="00110EF0"/>
    <w:rsid w:val="0011175D"/>
    <w:rsid w:val="00111BE5"/>
    <w:rsid w:val="001122BF"/>
    <w:rsid w:val="00112941"/>
    <w:rsid w:val="00112A71"/>
    <w:rsid w:val="00112B57"/>
    <w:rsid w:val="001136AD"/>
    <w:rsid w:val="0011371C"/>
    <w:rsid w:val="0011378C"/>
    <w:rsid w:val="00114377"/>
    <w:rsid w:val="001144A5"/>
    <w:rsid w:val="0011526B"/>
    <w:rsid w:val="0011591D"/>
    <w:rsid w:val="00115A93"/>
    <w:rsid w:val="00115C53"/>
    <w:rsid w:val="00115DA7"/>
    <w:rsid w:val="00115DD5"/>
    <w:rsid w:val="00115F76"/>
    <w:rsid w:val="00116264"/>
    <w:rsid w:val="001162AF"/>
    <w:rsid w:val="001163C1"/>
    <w:rsid w:val="00116683"/>
    <w:rsid w:val="00116B5E"/>
    <w:rsid w:val="00116D89"/>
    <w:rsid w:val="001173DF"/>
    <w:rsid w:val="00117629"/>
    <w:rsid w:val="001176AC"/>
    <w:rsid w:val="0011772E"/>
    <w:rsid w:val="00117C80"/>
    <w:rsid w:val="00117FAD"/>
    <w:rsid w:val="00120355"/>
    <w:rsid w:val="001206DB"/>
    <w:rsid w:val="00120706"/>
    <w:rsid w:val="001210DB"/>
    <w:rsid w:val="001211ED"/>
    <w:rsid w:val="00121691"/>
    <w:rsid w:val="0012175D"/>
    <w:rsid w:val="00121D2C"/>
    <w:rsid w:val="00121D83"/>
    <w:rsid w:val="0012201F"/>
    <w:rsid w:val="00122335"/>
    <w:rsid w:val="001225B3"/>
    <w:rsid w:val="001227AB"/>
    <w:rsid w:val="00122EA0"/>
    <w:rsid w:val="001230A0"/>
    <w:rsid w:val="0012313C"/>
    <w:rsid w:val="00123448"/>
    <w:rsid w:val="0012364F"/>
    <w:rsid w:val="0012390B"/>
    <w:rsid w:val="00123B35"/>
    <w:rsid w:val="00123D46"/>
    <w:rsid w:val="00123E7D"/>
    <w:rsid w:val="00124191"/>
    <w:rsid w:val="00124CCE"/>
    <w:rsid w:val="00124D6D"/>
    <w:rsid w:val="0012540B"/>
    <w:rsid w:val="001255AA"/>
    <w:rsid w:val="001256E6"/>
    <w:rsid w:val="00125D09"/>
    <w:rsid w:val="00125DB7"/>
    <w:rsid w:val="00125FCE"/>
    <w:rsid w:val="001262DD"/>
    <w:rsid w:val="0012639B"/>
    <w:rsid w:val="00126476"/>
    <w:rsid w:val="00126E13"/>
    <w:rsid w:val="00127A54"/>
    <w:rsid w:val="00127A79"/>
    <w:rsid w:val="0013024E"/>
    <w:rsid w:val="00130333"/>
    <w:rsid w:val="0013044E"/>
    <w:rsid w:val="00130493"/>
    <w:rsid w:val="00130909"/>
    <w:rsid w:val="00130BED"/>
    <w:rsid w:val="00131307"/>
    <w:rsid w:val="0013164E"/>
    <w:rsid w:val="00131776"/>
    <w:rsid w:val="00131967"/>
    <w:rsid w:val="001320DB"/>
    <w:rsid w:val="001323B8"/>
    <w:rsid w:val="00132418"/>
    <w:rsid w:val="00132471"/>
    <w:rsid w:val="0013250D"/>
    <w:rsid w:val="001326BD"/>
    <w:rsid w:val="0013272F"/>
    <w:rsid w:val="00133305"/>
    <w:rsid w:val="00133412"/>
    <w:rsid w:val="00133C38"/>
    <w:rsid w:val="00133CEB"/>
    <w:rsid w:val="00134014"/>
    <w:rsid w:val="001353CF"/>
    <w:rsid w:val="00135442"/>
    <w:rsid w:val="001356BB"/>
    <w:rsid w:val="00135753"/>
    <w:rsid w:val="00135948"/>
    <w:rsid w:val="00135974"/>
    <w:rsid w:val="00136465"/>
    <w:rsid w:val="00136750"/>
    <w:rsid w:val="0013752B"/>
    <w:rsid w:val="00137655"/>
    <w:rsid w:val="00137A08"/>
    <w:rsid w:val="00137A24"/>
    <w:rsid w:val="00137ACF"/>
    <w:rsid w:val="00137B45"/>
    <w:rsid w:val="00137BC2"/>
    <w:rsid w:val="00137D02"/>
    <w:rsid w:val="00137FAA"/>
    <w:rsid w:val="001404DD"/>
    <w:rsid w:val="0014097B"/>
    <w:rsid w:val="001411AF"/>
    <w:rsid w:val="00141D23"/>
    <w:rsid w:val="00141D2C"/>
    <w:rsid w:val="00142351"/>
    <w:rsid w:val="001428D1"/>
    <w:rsid w:val="001432E0"/>
    <w:rsid w:val="00143437"/>
    <w:rsid w:val="00143F47"/>
    <w:rsid w:val="0014403A"/>
    <w:rsid w:val="001441EE"/>
    <w:rsid w:val="0014471B"/>
    <w:rsid w:val="00144A90"/>
    <w:rsid w:val="00144CFC"/>
    <w:rsid w:val="001451D5"/>
    <w:rsid w:val="0014559D"/>
    <w:rsid w:val="00145982"/>
    <w:rsid w:val="00145D4A"/>
    <w:rsid w:val="00145D7D"/>
    <w:rsid w:val="001460B2"/>
    <w:rsid w:val="00146277"/>
    <w:rsid w:val="0014642B"/>
    <w:rsid w:val="0014650E"/>
    <w:rsid w:val="00146643"/>
    <w:rsid w:val="0014667D"/>
    <w:rsid w:val="001466B3"/>
    <w:rsid w:val="0014693E"/>
    <w:rsid w:val="00146947"/>
    <w:rsid w:val="00146A3F"/>
    <w:rsid w:val="00146C74"/>
    <w:rsid w:val="0014710F"/>
    <w:rsid w:val="0014722D"/>
    <w:rsid w:val="001479A5"/>
    <w:rsid w:val="00147BB6"/>
    <w:rsid w:val="00147EA6"/>
    <w:rsid w:val="00150164"/>
    <w:rsid w:val="00150368"/>
    <w:rsid w:val="00150656"/>
    <w:rsid w:val="00150D9F"/>
    <w:rsid w:val="00151633"/>
    <w:rsid w:val="001516A1"/>
    <w:rsid w:val="001516EC"/>
    <w:rsid w:val="00151A17"/>
    <w:rsid w:val="00151C85"/>
    <w:rsid w:val="00151C91"/>
    <w:rsid w:val="00151DA3"/>
    <w:rsid w:val="00152358"/>
    <w:rsid w:val="0015260C"/>
    <w:rsid w:val="00152758"/>
    <w:rsid w:val="00152AE7"/>
    <w:rsid w:val="00153551"/>
    <w:rsid w:val="001536B2"/>
    <w:rsid w:val="00153800"/>
    <w:rsid w:val="00153B23"/>
    <w:rsid w:val="00154325"/>
    <w:rsid w:val="001550C3"/>
    <w:rsid w:val="001555DE"/>
    <w:rsid w:val="00155ABB"/>
    <w:rsid w:val="00155B41"/>
    <w:rsid w:val="00155D28"/>
    <w:rsid w:val="00156764"/>
    <w:rsid w:val="001568ED"/>
    <w:rsid w:val="00156B5B"/>
    <w:rsid w:val="001571C1"/>
    <w:rsid w:val="00157379"/>
    <w:rsid w:val="001574A5"/>
    <w:rsid w:val="00157D57"/>
    <w:rsid w:val="00157F04"/>
    <w:rsid w:val="00160DE7"/>
    <w:rsid w:val="00161419"/>
    <w:rsid w:val="00161666"/>
    <w:rsid w:val="001616D6"/>
    <w:rsid w:val="001621A3"/>
    <w:rsid w:val="00162508"/>
    <w:rsid w:val="00162678"/>
    <w:rsid w:val="0016271B"/>
    <w:rsid w:val="00162997"/>
    <w:rsid w:val="00162A49"/>
    <w:rsid w:val="00162F3A"/>
    <w:rsid w:val="001631C0"/>
    <w:rsid w:val="00163259"/>
    <w:rsid w:val="001633DF"/>
    <w:rsid w:val="0016341A"/>
    <w:rsid w:val="0016371D"/>
    <w:rsid w:val="00163A67"/>
    <w:rsid w:val="001640C8"/>
    <w:rsid w:val="001643AC"/>
    <w:rsid w:val="00164716"/>
    <w:rsid w:val="00164D13"/>
    <w:rsid w:val="00164E25"/>
    <w:rsid w:val="00164F8C"/>
    <w:rsid w:val="001657F2"/>
    <w:rsid w:val="0016580D"/>
    <w:rsid w:val="00165A12"/>
    <w:rsid w:val="00165E30"/>
    <w:rsid w:val="00165F99"/>
    <w:rsid w:val="00166097"/>
    <w:rsid w:val="0016616C"/>
    <w:rsid w:val="00166229"/>
    <w:rsid w:val="00166491"/>
    <w:rsid w:val="001664D3"/>
    <w:rsid w:val="00166E6D"/>
    <w:rsid w:val="00167820"/>
    <w:rsid w:val="00167B65"/>
    <w:rsid w:val="00170058"/>
    <w:rsid w:val="00170080"/>
    <w:rsid w:val="0017085C"/>
    <w:rsid w:val="001708D3"/>
    <w:rsid w:val="00171873"/>
    <w:rsid w:val="001719B2"/>
    <w:rsid w:val="00171A5E"/>
    <w:rsid w:val="00171D16"/>
    <w:rsid w:val="00171E8A"/>
    <w:rsid w:val="00171F34"/>
    <w:rsid w:val="0017219E"/>
    <w:rsid w:val="0017251D"/>
    <w:rsid w:val="001726D4"/>
    <w:rsid w:val="00172B6D"/>
    <w:rsid w:val="00172C46"/>
    <w:rsid w:val="001732ED"/>
    <w:rsid w:val="00173326"/>
    <w:rsid w:val="0017356C"/>
    <w:rsid w:val="0017370E"/>
    <w:rsid w:val="0017378D"/>
    <w:rsid w:val="00173C32"/>
    <w:rsid w:val="00173F1F"/>
    <w:rsid w:val="00174203"/>
    <w:rsid w:val="0017473C"/>
    <w:rsid w:val="001750A0"/>
    <w:rsid w:val="001750C5"/>
    <w:rsid w:val="00175FA7"/>
    <w:rsid w:val="00176269"/>
    <w:rsid w:val="001764BF"/>
    <w:rsid w:val="001769C9"/>
    <w:rsid w:val="00176E07"/>
    <w:rsid w:val="00177B21"/>
    <w:rsid w:val="00177F40"/>
    <w:rsid w:val="001800D4"/>
    <w:rsid w:val="001805F3"/>
    <w:rsid w:val="00180B1D"/>
    <w:rsid w:val="001817AB"/>
    <w:rsid w:val="00182310"/>
    <w:rsid w:val="001825EE"/>
    <w:rsid w:val="001827CC"/>
    <w:rsid w:val="00182C1A"/>
    <w:rsid w:val="00182E10"/>
    <w:rsid w:val="0018347E"/>
    <w:rsid w:val="0018366A"/>
    <w:rsid w:val="0018426D"/>
    <w:rsid w:val="0018427A"/>
    <w:rsid w:val="00184327"/>
    <w:rsid w:val="001843B1"/>
    <w:rsid w:val="00184490"/>
    <w:rsid w:val="001844C6"/>
    <w:rsid w:val="001845EF"/>
    <w:rsid w:val="001847A9"/>
    <w:rsid w:val="00184AA3"/>
    <w:rsid w:val="00184B22"/>
    <w:rsid w:val="0018544C"/>
    <w:rsid w:val="0018549D"/>
    <w:rsid w:val="00185868"/>
    <w:rsid w:val="00185F1D"/>
    <w:rsid w:val="0018615C"/>
    <w:rsid w:val="001863C4"/>
    <w:rsid w:val="00186850"/>
    <w:rsid w:val="00186A36"/>
    <w:rsid w:val="001874D7"/>
    <w:rsid w:val="001874EB"/>
    <w:rsid w:val="00187658"/>
    <w:rsid w:val="00187681"/>
    <w:rsid w:val="0018787D"/>
    <w:rsid w:val="00187905"/>
    <w:rsid w:val="00187D9F"/>
    <w:rsid w:val="00187E2C"/>
    <w:rsid w:val="00187EB2"/>
    <w:rsid w:val="00187EBF"/>
    <w:rsid w:val="00187F1D"/>
    <w:rsid w:val="001900BE"/>
    <w:rsid w:val="00190145"/>
    <w:rsid w:val="0019042B"/>
    <w:rsid w:val="0019074B"/>
    <w:rsid w:val="001908A8"/>
    <w:rsid w:val="00190B97"/>
    <w:rsid w:val="00190C4D"/>
    <w:rsid w:val="00190CD1"/>
    <w:rsid w:val="00190E12"/>
    <w:rsid w:val="00192407"/>
    <w:rsid w:val="0019286D"/>
    <w:rsid w:val="00193328"/>
    <w:rsid w:val="001933E1"/>
    <w:rsid w:val="00193480"/>
    <w:rsid w:val="00193AD2"/>
    <w:rsid w:val="00193F98"/>
    <w:rsid w:val="00194B60"/>
    <w:rsid w:val="00194D51"/>
    <w:rsid w:val="00194DB0"/>
    <w:rsid w:val="0019530F"/>
    <w:rsid w:val="001955D4"/>
    <w:rsid w:val="00195D19"/>
    <w:rsid w:val="001964B2"/>
    <w:rsid w:val="001968DC"/>
    <w:rsid w:val="00196958"/>
    <w:rsid w:val="00196D8E"/>
    <w:rsid w:val="0019714F"/>
    <w:rsid w:val="001979A7"/>
    <w:rsid w:val="00197B2E"/>
    <w:rsid w:val="00197B79"/>
    <w:rsid w:val="001A01A2"/>
    <w:rsid w:val="001A0286"/>
    <w:rsid w:val="001A0A05"/>
    <w:rsid w:val="001A137F"/>
    <w:rsid w:val="001A1DEE"/>
    <w:rsid w:val="001A201E"/>
    <w:rsid w:val="001A2AEF"/>
    <w:rsid w:val="001A2DE8"/>
    <w:rsid w:val="001A2F93"/>
    <w:rsid w:val="001A321D"/>
    <w:rsid w:val="001A3352"/>
    <w:rsid w:val="001A3420"/>
    <w:rsid w:val="001A353D"/>
    <w:rsid w:val="001A3695"/>
    <w:rsid w:val="001A4DF2"/>
    <w:rsid w:val="001A4EBF"/>
    <w:rsid w:val="001A5078"/>
    <w:rsid w:val="001A5188"/>
    <w:rsid w:val="001A5205"/>
    <w:rsid w:val="001A551E"/>
    <w:rsid w:val="001A55D5"/>
    <w:rsid w:val="001A581E"/>
    <w:rsid w:val="001A5AD3"/>
    <w:rsid w:val="001A6071"/>
    <w:rsid w:val="001A60EA"/>
    <w:rsid w:val="001A6640"/>
    <w:rsid w:val="001A6E48"/>
    <w:rsid w:val="001A729B"/>
    <w:rsid w:val="001A7368"/>
    <w:rsid w:val="001A7909"/>
    <w:rsid w:val="001A79E9"/>
    <w:rsid w:val="001A7C6E"/>
    <w:rsid w:val="001B0076"/>
    <w:rsid w:val="001B00AD"/>
    <w:rsid w:val="001B0447"/>
    <w:rsid w:val="001B071A"/>
    <w:rsid w:val="001B07A7"/>
    <w:rsid w:val="001B07E8"/>
    <w:rsid w:val="001B0E44"/>
    <w:rsid w:val="001B13A0"/>
    <w:rsid w:val="001B13C6"/>
    <w:rsid w:val="001B1519"/>
    <w:rsid w:val="001B17B0"/>
    <w:rsid w:val="001B1992"/>
    <w:rsid w:val="001B1A92"/>
    <w:rsid w:val="001B1B2B"/>
    <w:rsid w:val="001B22F9"/>
    <w:rsid w:val="001B2323"/>
    <w:rsid w:val="001B2481"/>
    <w:rsid w:val="001B31DC"/>
    <w:rsid w:val="001B32B4"/>
    <w:rsid w:val="001B3B88"/>
    <w:rsid w:val="001B3FE6"/>
    <w:rsid w:val="001B40A3"/>
    <w:rsid w:val="001B429E"/>
    <w:rsid w:val="001B453A"/>
    <w:rsid w:val="001B4653"/>
    <w:rsid w:val="001B4907"/>
    <w:rsid w:val="001B49B6"/>
    <w:rsid w:val="001B4BA8"/>
    <w:rsid w:val="001B4CCD"/>
    <w:rsid w:val="001B4FC0"/>
    <w:rsid w:val="001B5085"/>
    <w:rsid w:val="001B520A"/>
    <w:rsid w:val="001B53D2"/>
    <w:rsid w:val="001B56DF"/>
    <w:rsid w:val="001B5836"/>
    <w:rsid w:val="001B5D15"/>
    <w:rsid w:val="001B66CC"/>
    <w:rsid w:val="001B6919"/>
    <w:rsid w:val="001B6BC7"/>
    <w:rsid w:val="001B6CAD"/>
    <w:rsid w:val="001B6D41"/>
    <w:rsid w:val="001B6E81"/>
    <w:rsid w:val="001B702E"/>
    <w:rsid w:val="001B7CE2"/>
    <w:rsid w:val="001B7E7C"/>
    <w:rsid w:val="001C097B"/>
    <w:rsid w:val="001C145F"/>
    <w:rsid w:val="001C1CFF"/>
    <w:rsid w:val="001C201E"/>
    <w:rsid w:val="001C2033"/>
    <w:rsid w:val="001C20BD"/>
    <w:rsid w:val="001C20D9"/>
    <w:rsid w:val="001C2527"/>
    <w:rsid w:val="001C2C24"/>
    <w:rsid w:val="001C2D48"/>
    <w:rsid w:val="001C33AC"/>
    <w:rsid w:val="001C3916"/>
    <w:rsid w:val="001C3968"/>
    <w:rsid w:val="001C3B0B"/>
    <w:rsid w:val="001C3C13"/>
    <w:rsid w:val="001C3F15"/>
    <w:rsid w:val="001C3F4E"/>
    <w:rsid w:val="001C4691"/>
    <w:rsid w:val="001C4739"/>
    <w:rsid w:val="001C48E5"/>
    <w:rsid w:val="001C4E1C"/>
    <w:rsid w:val="001C51CF"/>
    <w:rsid w:val="001C5D5A"/>
    <w:rsid w:val="001C6166"/>
    <w:rsid w:val="001C6C42"/>
    <w:rsid w:val="001C6CEE"/>
    <w:rsid w:val="001C6E63"/>
    <w:rsid w:val="001C729B"/>
    <w:rsid w:val="001C783E"/>
    <w:rsid w:val="001D01A9"/>
    <w:rsid w:val="001D0C43"/>
    <w:rsid w:val="001D1134"/>
    <w:rsid w:val="001D1223"/>
    <w:rsid w:val="001D1732"/>
    <w:rsid w:val="001D1A6F"/>
    <w:rsid w:val="001D1FE1"/>
    <w:rsid w:val="001D2957"/>
    <w:rsid w:val="001D299E"/>
    <w:rsid w:val="001D2A2F"/>
    <w:rsid w:val="001D2B3A"/>
    <w:rsid w:val="001D30DA"/>
    <w:rsid w:val="001D3169"/>
    <w:rsid w:val="001D39F8"/>
    <w:rsid w:val="001D3B02"/>
    <w:rsid w:val="001D3C3A"/>
    <w:rsid w:val="001D3CCF"/>
    <w:rsid w:val="001D46CE"/>
    <w:rsid w:val="001D4D13"/>
    <w:rsid w:val="001D4DE9"/>
    <w:rsid w:val="001D4F12"/>
    <w:rsid w:val="001D4F49"/>
    <w:rsid w:val="001D5B01"/>
    <w:rsid w:val="001D6229"/>
    <w:rsid w:val="001D6234"/>
    <w:rsid w:val="001D62ED"/>
    <w:rsid w:val="001D63D0"/>
    <w:rsid w:val="001D69E8"/>
    <w:rsid w:val="001D71A2"/>
    <w:rsid w:val="001D7362"/>
    <w:rsid w:val="001D73C3"/>
    <w:rsid w:val="001D770E"/>
    <w:rsid w:val="001D7831"/>
    <w:rsid w:val="001D79A7"/>
    <w:rsid w:val="001D7B5F"/>
    <w:rsid w:val="001D7B78"/>
    <w:rsid w:val="001D7C3A"/>
    <w:rsid w:val="001D7CF6"/>
    <w:rsid w:val="001D7D07"/>
    <w:rsid w:val="001D7DBC"/>
    <w:rsid w:val="001E00E9"/>
    <w:rsid w:val="001E01DD"/>
    <w:rsid w:val="001E04BC"/>
    <w:rsid w:val="001E0720"/>
    <w:rsid w:val="001E0A2D"/>
    <w:rsid w:val="001E11DD"/>
    <w:rsid w:val="001E11E2"/>
    <w:rsid w:val="001E159D"/>
    <w:rsid w:val="001E1D0D"/>
    <w:rsid w:val="001E2129"/>
    <w:rsid w:val="001E2259"/>
    <w:rsid w:val="001E2412"/>
    <w:rsid w:val="001E28D4"/>
    <w:rsid w:val="001E2AB6"/>
    <w:rsid w:val="001E2CC1"/>
    <w:rsid w:val="001E2DD7"/>
    <w:rsid w:val="001E2E95"/>
    <w:rsid w:val="001E3159"/>
    <w:rsid w:val="001E3189"/>
    <w:rsid w:val="001E39DD"/>
    <w:rsid w:val="001E3E6C"/>
    <w:rsid w:val="001E426B"/>
    <w:rsid w:val="001E477D"/>
    <w:rsid w:val="001E4B7A"/>
    <w:rsid w:val="001E4C31"/>
    <w:rsid w:val="001E4DC7"/>
    <w:rsid w:val="001E5016"/>
    <w:rsid w:val="001E524C"/>
    <w:rsid w:val="001E5ACD"/>
    <w:rsid w:val="001E5BD6"/>
    <w:rsid w:val="001E6421"/>
    <w:rsid w:val="001E658B"/>
    <w:rsid w:val="001E6595"/>
    <w:rsid w:val="001E6674"/>
    <w:rsid w:val="001E692E"/>
    <w:rsid w:val="001E6A9C"/>
    <w:rsid w:val="001E6C37"/>
    <w:rsid w:val="001E7273"/>
    <w:rsid w:val="001E7CB8"/>
    <w:rsid w:val="001E7E57"/>
    <w:rsid w:val="001E7F43"/>
    <w:rsid w:val="001E7FD1"/>
    <w:rsid w:val="001F01D7"/>
    <w:rsid w:val="001F034A"/>
    <w:rsid w:val="001F042C"/>
    <w:rsid w:val="001F0810"/>
    <w:rsid w:val="001F089D"/>
    <w:rsid w:val="001F0B10"/>
    <w:rsid w:val="001F0E3C"/>
    <w:rsid w:val="001F137E"/>
    <w:rsid w:val="001F156E"/>
    <w:rsid w:val="001F1733"/>
    <w:rsid w:val="001F1C13"/>
    <w:rsid w:val="001F204F"/>
    <w:rsid w:val="001F2191"/>
    <w:rsid w:val="001F28F7"/>
    <w:rsid w:val="001F2B15"/>
    <w:rsid w:val="001F3275"/>
    <w:rsid w:val="001F3378"/>
    <w:rsid w:val="001F35C2"/>
    <w:rsid w:val="001F44D3"/>
    <w:rsid w:val="001F4755"/>
    <w:rsid w:val="001F47CC"/>
    <w:rsid w:val="001F4D34"/>
    <w:rsid w:val="001F5040"/>
    <w:rsid w:val="001F5E51"/>
    <w:rsid w:val="001F6112"/>
    <w:rsid w:val="001F6336"/>
    <w:rsid w:val="001F63DD"/>
    <w:rsid w:val="001F6A93"/>
    <w:rsid w:val="001F7151"/>
    <w:rsid w:val="001F7290"/>
    <w:rsid w:val="001F797E"/>
    <w:rsid w:val="001F79F3"/>
    <w:rsid w:val="0020005A"/>
    <w:rsid w:val="0020006C"/>
    <w:rsid w:val="002004FD"/>
    <w:rsid w:val="00200DCF"/>
    <w:rsid w:val="002012AB"/>
    <w:rsid w:val="0020188A"/>
    <w:rsid w:val="00201CBA"/>
    <w:rsid w:val="00201DE9"/>
    <w:rsid w:val="00201EF9"/>
    <w:rsid w:val="002021BE"/>
    <w:rsid w:val="00202A0D"/>
    <w:rsid w:val="00202C1A"/>
    <w:rsid w:val="00202D57"/>
    <w:rsid w:val="0020374C"/>
    <w:rsid w:val="002038F9"/>
    <w:rsid w:val="002043CC"/>
    <w:rsid w:val="00204710"/>
    <w:rsid w:val="002048E2"/>
    <w:rsid w:val="00204C97"/>
    <w:rsid w:val="00205962"/>
    <w:rsid w:val="00205D13"/>
    <w:rsid w:val="0020602F"/>
    <w:rsid w:val="00206A7F"/>
    <w:rsid w:val="00206FA5"/>
    <w:rsid w:val="002070C8"/>
    <w:rsid w:val="002071C2"/>
    <w:rsid w:val="00207596"/>
    <w:rsid w:val="002077EF"/>
    <w:rsid w:val="00207DB0"/>
    <w:rsid w:val="00207EA2"/>
    <w:rsid w:val="00210064"/>
    <w:rsid w:val="002103EB"/>
    <w:rsid w:val="002108C5"/>
    <w:rsid w:val="00210E4E"/>
    <w:rsid w:val="002114B9"/>
    <w:rsid w:val="00211830"/>
    <w:rsid w:val="00211B05"/>
    <w:rsid w:val="00211B79"/>
    <w:rsid w:val="00211CE6"/>
    <w:rsid w:val="002129A4"/>
    <w:rsid w:val="00212A14"/>
    <w:rsid w:val="0021309A"/>
    <w:rsid w:val="0021323E"/>
    <w:rsid w:val="00213571"/>
    <w:rsid w:val="00213B11"/>
    <w:rsid w:val="00213CBB"/>
    <w:rsid w:val="00213ECF"/>
    <w:rsid w:val="00213EE8"/>
    <w:rsid w:val="0021443A"/>
    <w:rsid w:val="002144C1"/>
    <w:rsid w:val="002146AD"/>
    <w:rsid w:val="00214B0D"/>
    <w:rsid w:val="00214B1F"/>
    <w:rsid w:val="00214ECB"/>
    <w:rsid w:val="00214F01"/>
    <w:rsid w:val="00214FE7"/>
    <w:rsid w:val="002153E1"/>
    <w:rsid w:val="00215754"/>
    <w:rsid w:val="00215C18"/>
    <w:rsid w:val="00216466"/>
    <w:rsid w:val="002164EF"/>
    <w:rsid w:val="00216B82"/>
    <w:rsid w:val="00216CEE"/>
    <w:rsid w:val="00217082"/>
    <w:rsid w:val="0021713C"/>
    <w:rsid w:val="002171E0"/>
    <w:rsid w:val="002173F2"/>
    <w:rsid w:val="00217ACA"/>
    <w:rsid w:val="00217E26"/>
    <w:rsid w:val="00220056"/>
    <w:rsid w:val="002205A4"/>
    <w:rsid w:val="002205EB"/>
    <w:rsid w:val="00220698"/>
    <w:rsid w:val="0022097F"/>
    <w:rsid w:val="0022099B"/>
    <w:rsid w:val="00220A07"/>
    <w:rsid w:val="0022152C"/>
    <w:rsid w:val="00221952"/>
    <w:rsid w:val="00221AD1"/>
    <w:rsid w:val="0022290D"/>
    <w:rsid w:val="00222C12"/>
    <w:rsid w:val="00222E2C"/>
    <w:rsid w:val="00222F3A"/>
    <w:rsid w:val="00223252"/>
    <w:rsid w:val="0022372B"/>
    <w:rsid w:val="002239CD"/>
    <w:rsid w:val="00224671"/>
    <w:rsid w:val="00224A4D"/>
    <w:rsid w:val="00225087"/>
    <w:rsid w:val="00225089"/>
    <w:rsid w:val="002251B8"/>
    <w:rsid w:val="00225414"/>
    <w:rsid w:val="00226225"/>
    <w:rsid w:val="0022637A"/>
    <w:rsid w:val="00226459"/>
    <w:rsid w:val="002272DE"/>
    <w:rsid w:val="002274C1"/>
    <w:rsid w:val="002276FF"/>
    <w:rsid w:val="00230209"/>
    <w:rsid w:val="002303F9"/>
    <w:rsid w:val="00230925"/>
    <w:rsid w:val="00230E9E"/>
    <w:rsid w:val="0023109D"/>
    <w:rsid w:val="00231D84"/>
    <w:rsid w:val="002320B0"/>
    <w:rsid w:val="002321B9"/>
    <w:rsid w:val="002323F4"/>
    <w:rsid w:val="00232D3E"/>
    <w:rsid w:val="00232F96"/>
    <w:rsid w:val="00232FA5"/>
    <w:rsid w:val="002331AE"/>
    <w:rsid w:val="00233547"/>
    <w:rsid w:val="00233571"/>
    <w:rsid w:val="00233D37"/>
    <w:rsid w:val="002343EF"/>
    <w:rsid w:val="002347C4"/>
    <w:rsid w:val="0023503C"/>
    <w:rsid w:val="00235593"/>
    <w:rsid w:val="002355C6"/>
    <w:rsid w:val="0023587F"/>
    <w:rsid w:val="00235905"/>
    <w:rsid w:val="00235BC7"/>
    <w:rsid w:val="0023601B"/>
    <w:rsid w:val="002360FC"/>
    <w:rsid w:val="0023624D"/>
    <w:rsid w:val="002363C2"/>
    <w:rsid w:val="00236C0A"/>
    <w:rsid w:val="00237339"/>
    <w:rsid w:val="002375C1"/>
    <w:rsid w:val="002375CF"/>
    <w:rsid w:val="00237CF3"/>
    <w:rsid w:val="002405F1"/>
    <w:rsid w:val="00240AF3"/>
    <w:rsid w:val="00240D37"/>
    <w:rsid w:val="00240F6F"/>
    <w:rsid w:val="00241020"/>
    <w:rsid w:val="00241092"/>
    <w:rsid w:val="002412D5"/>
    <w:rsid w:val="002414F5"/>
    <w:rsid w:val="0024154A"/>
    <w:rsid w:val="00241D64"/>
    <w:rsid w:val="00241E84"/>
    <w:rsid w:val="00242040"/>
    <w:rsid w:val="002421F8"/>
    <w:rsid w:val="00242224"/>
    <w:rsid w:val="00242254"/>
    <w:rsid w:val="002422A1"/>
    <w:rsid w:val="00243082"/>
    <w:rsid w:val="00243399"/>
    <w:rsid w:val="002438A7"/>
    <w:rsid w:val="00243C88"/>
    <w:rsid w:val="00243EE2"/>
    <w:rsid w:val="002445D7"/>
    <w:rsid w:val="0024464C"/>
    <w:rsid w:val="0024465D"/>
    <w:rsid w:val="002448CB"/>
    <w:rsid w:val="00244AE8"/>
    <w:rsid w:val="00244EF4"/>
    <w:rsid w:val="00244F4A"/>
    <w:rsid w:val="00245558"/>
    <w:rsid w:val="00245DAA"/>
    <w:rsid w:val="0024643C"/>
    <w:rsid w:val="00246458"/>
    <w:rsid w:val="002464C4"/>
    <w:rsid w:val="002468BD"/>
    <w:rsid w:val="00246A9B"/>
    <w:rsid w:val="00246AA6"/>
    <w:rsid w:val="00247019"/>
    <w:rsid w:val="002471B4"/>
    <w:rsid w:val="00247591"/>
    <w:rsid w:val="0024795F"/>
    <w:rsid w:val="00247DAF"/>
    <w:rsid w:val="00247DBA"/>
    <w:rsid w:val="00247F99"/>
    <w:rsid w:val="00250943"/>
    <w:rsid w:val="002509AF"/>
    <w:rsid w:val="00250CEC"/>
    <w:rsid w:val="00251830"/>
    <w:rsid w:val="00251AE0"/>
    <w:rsid w:val="00251BAB"/>
    <w:rsid w:val="00251CA9"/>
    <w:rsid w:val="00252137"/>
    <w:rsid w:val="002528E2"/>
    <w:rsid w:val="00252A97"/>
    <w:rsid w:val="00252C1C"/>
    <w:rsid w:val="00252C93"/>
    <w:rsid w:val="0025316E"/>
    <w:rsid w:val="002533DC"/>
    <w:rsid w:val="0025340F"/>
    <w:rsid w:val="00253A96"/>
    <w:rsid w:val="002541C8"/>
    <w:rsid w:val="00254418"/>
    <w:rsid w:val="002548F2"/>
    <w:rsid w:val="00255643"/>
    <w:rsid w:val="0025626D"/>
    <w:rsid w:val="00256321"/>
    <w:rsid w:val="00256560"/>
    <w:rsid w:val="00256624"/>
    <w:rsid w:val="00256C87"/>
    <w:rsid w:val="00256DDA"/>
    <w:rsid w:val="00256EDB"/>
    <w:rsid w:val="0025744E"/>
    <w:rsid w:val="00257738"/>
    <w:rsid w:val="00257F30"/>
    <w:rsid w:val="00257F46"/>
    <w:rsid w:val="002600AD"/>
    <w:rsid w:val="00260278"/>
    <w:rsid w:val="00260892"/>
    <w:rsid w:val="00260CB3"/>
    <w:rsid w:val="00260FF7"/>
    <w:rsid w:val="002611FB"/>
    <w:rsid w:val="00261317"/>
    <w:rsid w:val="00261321"/>
    <w:rsid w:val="002618F0"/>
    <w:rsid w:val="002619E4"/>
    <w:rsid w:val="002620C0"/>
    <w:rsid w:val="002622B1"/>
    <w:rsid w:val="00262ACE"/>
    <w:rsid w:val="00262EDE"/>
    <w:rsid w:val="00262FDF"/>
    <w:rsid w:val="00263094"/>
    <w:rsid w:val="002632C9"/>
    <w:rsid w:val="002633E5"/>
    <w:rsid w:val="002634B1"/>
    <w:rsid w:val="00263646"/>
    <w:rsid w:val="0026389C"/>
    <w:rsid w:val="002639D5"/>
    <w:rsid w:val="00264319"/>
    <w:rsid w:val="002647C1"/>
    <w:rsid w:val="00264BC6"/>
    <w:rsid w:val="00264E21"/>
    <w:rsid w:val="00265270"/>
    <w:rsid w:val="002657DD"/>
    <w:rsid w:val="002658BA"/>
    <w:rsid w:val="00265B4D"/>
    <w:rsid w:val="00265BC4"/>
    <w:rsid w:val="00265C0D"/>
    <w:rsid w:val="00265F14"/>
    <w:rsid w:val="002663F1"/>
    <w:rsid w:val="0026655E"/>
    <w:rsid w:val="00266A5E"/>
    <w:rsid w:val="00266ACC"/>
    <w:rsid w:val="00266CF8"/>
    <w:rsid w:val="0026795F"/>
    <w:rsid w:val="00267C47"/>
    <w:rsid w:val="00267F2B"/>
    <w:rsid w:val="00270096"/>
    <w:rsid w:val="0027009D"/>
    <w:rsid w:val="002700A1"/>
    <w:rsid w:val="002707A0"/>
    <w:rsid w:val="00270F05"/>
    <w:rsid w:val="0027144D"/>
    <w:rsid w:val="002714C2"/>
    <w:rsid w:val="00271DE1"/>
    <w:rsid w:val="00272037"/>
    <w:rsid w:val="00272332"/>
    <w:rsid w:val="0027240B"/>
    <w:rsid w:val="00272507"/>
    <w:rsid w:val="00272B32"/>
    <w:rsid w:val="00272D81"/>
    <w:rsid w:val="00272F24"/>
    <w:rsid w:val="0027324A"/>
    <w:rsid w:val="00273322"/>
    <w:rsid w:val="002738B5"/>
    <w:rsid w:val="00273900"/>
    <w:rsid w:val="00273FA9"/>
    <w:rsid w:val="002747A2"/>
    <w:rsid w:val="002748A7"/>
    <w:rsid w:val="00274DE8"/>
    <w:rsid w:val="00274DED"/>
    <w:rsid w:val="0027536C"/>
    <w:rsid w:val="002758B4"/>
    <w:rsid w:val="0027593C"/>
    <w:rsid w:val="00276040"/>
    <w:rsid w:val="002760EF"/>
    <w:rsid w:val="00276A82"/>
    <w:rsid w:val="00276C54"/>
    <w:rsid w:val="00276FF5"/>
    <w:rsid w:val="00277289"/>
    <w:rsid w:val="002773F6"/>
    <w:rsid w:val="0027759D"/>
    <w:rsid w:val="00277618"/>
    <w:rsid w:val="002778AD"/>
    <w:rsid w:val="00280220"/>
    <w:rsid w:val="002806F2"/>
    <w:rsid w:val="00280745"/>
    <w:rsid w:val="0028076D"/>
    <w:rsid w:val="00280C5E"/>
    <w:rsid w:val="00280CB0"/>
    <w:rsid w:val="0028139F"/>
    <w:rsid w:val="002818C0"/>
    <w:rsid w:val="00281D9D"/>
    <w:rsid w:val="002820ED"/>
    <w:rsid w:val="00282660"/>
    <w:rsid w:val="002827FE"/>
    <w:rsid w:val="00282A1D"/>
    <w:rsid w:val="00282E1D"/>
    <w:rsid w:val="0028301E"/>
    <w:rsid w:val="00283444"/>
    <w:rsid w:val="0028351E"/>
    <w:rsid w:val="00283565"/>
    <w:rsid w:val="0028382A"/>
    <w:rsid w:val="002839D3"/>
    <w:rsid w:val="00283A30"/>
    <w:rsid w:val="00283A59"/>
    <w:rsid w:val="00283CB4"/>
    <w:rsid w:val="00283EA9"/>
    <w:rsid w:val="0028415A"/>
    <w:rsid w:val="002841C5"/>
    <w:rsid w:val="00284A0E"/>
    <w:rsid w:val="00284BDB"/>
    <w:rsid w:val="00285107"/>
    <w:rsid w:val="00285129"/>
    <w:rsid w:val="00285493"/>
    <w:rsid w:val="002857D1"/>
    <w:rsid w:val="00285A11"/>
    <w:rsid w:val="00285A96"/>
    <w:rsid w:val="002860F2"/>
    <w:rsid w:val="002864BE"/>
    <w:rsid w:val="00287018"/>
    <w:rsid w:val="00287851"/>
    <w:rsid w:val="00290957"/>
    <w:rsid w:val="00290A20"/>
    <w:rsid w:val="00290C12"/>
    <w:rsid w:val="00290C34"/>
    <w:rsid w:val="0029115F"/>
    <w:rsid w:val="002913E4"/>
    <w:rsid w:val="00291D62"/>
    <w:rsid w:val="00291D93"/>
    <w:rsid w:val="00291DBB"/>
    <w:rsid w:val="00292BF8"/>
    <w:rsid w:val="00292E8C"/>
    <w:rsid w:val="002934E1"/>
    <w:rsid w:val="0029372A"/>
    <w:rsid w:val="00293CCF"/>
    <w:rsid w:val="0029403A"/>
    <w:rsid w:val="00294170"/>
    <w:rsid w:val="0029450C"/>
    <w:rsid w:val="00294589"/>
    <w:rsid w:val="00294804"/>
    <w:rsid w:val="002948EB"/>
    <w:rsid w:val="00294BCA"/>
    <w:rsid w:val="00294DCA"/>
    <w:rsid w:val="00295115"/>
    <w:rsid w:val="00295190"/>
    <w:rsid w:val="00295246"/>
    <w:rsid w:val="0029533B"/>
    <w:rsid w:val="002953E2"/>
    <w:rsid w:val="00295A37"/>
    <w:rsid w:val="00295C21"/>
    <w:rsid w:val="00295E80"/>
    <w:rsid w:val="00296065"/>
    <w:rsid w:val="0029619B"/>
    <w:rsid w:val="00296311"/>
    <w:rsid w:val="00296A7A"/>
    <w:rsid w:val="00296C56"/>
    <w:rsid w:val="0029752D"/>
    <w:rsid w:val="00297C2D"/>
    <w:rsid w:val="002A0474"/>
    <w:rsid w:val="002A0A44"/>
    <w:rsid w:val="002A0C1C"/>
    <w:rsid w:val="002A11B8"/>
    <w:rsid w:val="002A120F"/>
    <w:rsid w:val="002A1613"/>
    <w:rsid w:val="002A175E"/>
    <w:rsid w:val="002A19B8"/>
    <w:rsid w:val="002A19FA"/>
    <w:rsid w:val="002A28DF"/>
    <w:rsid w:val="002A2BE2"/>
    <w:rsid w:val="002A2DED"/>
    <w:rsid w:val="002A2E62"/>
    <w:rsid w:val="002A301D"/>
    <w:rsid w:val="002A34B7"/>
    <w:rsid w:val="002A395B"/>
    <w:rsid w:val="002A3B81"/>
    <w:rsid w:val="002A4049"/>
    <w:rsid w:val="002A40EC"/>
    <w:rsid w:val="002A440A"/>
    <w:rsid w:val="002A4637"/>
    <w:rsid w:val="002A466D"/>
    <w:rsid w:val="002A4AEB"/>
    <w:rsid w:val="002A4B4E"/>
    <w:rsid w:val="002A4C3B"/>
    <w:rsid w:val="002A57C6"/>
    <w:rsid w:val="002A5DB0"/>
    <w:rsid w:val="002A633A"/>
    <w:rsid w:val="002A64C3"/>
    <w:rsid w:val="002A662F"/>
    <w:rsid w:val="002A692B"/>
    <w:rsid w:val="002A6C39"/>
    <w:rsid w:val="002A70F0"/>
    <w:rsid w:val="002A732E"/>
    <w:rsid w:val="002A7606"/>
    <w:rsid w:val="002A7D81"/>
    <w:rsid w:val="002B04E3"/>
    <w:rsid w:val="002B05CA"/>
    <w:rsid w:val="002B118F"/>
    <w:rsid w:val="002B1DBC"/>
    <w:rsid w:val="002B23F8"/>
    <w:rsid w:val="002B2E9C"/>
    <w:rsid w:val="002B2EB4"/>
    <w:rsid w:val="002B2F0D"/>
    <w:rsid w:val="002B2FDF"/>
    <w:rsid w:val="002B3418"/>
    <w:rsid w:val="002B373F"/>
    <w:rsid w:val="002B42E1"/>
    <w:rsid w:val="002B44A4"/>
    <w:rsid w:val="002B4A7C"/>
    <w:rsid w:val="002B4B9F"/>
    <w:rsid w:val="002B4D58"/>
    <w:rsid w:val="002B4E6A"/>
    <w:rsid w:val="002B4F61"/>
    <w:rsid w:val="002B4F86"/>
    <w:rsid w:val="002B4F97"/>
    <w:rsid w:val="002B5140"/>
    <w:rsid w:val="002B5FD4"/>
    <w:rsid w:val="002B63BF"/>
    <w:rsid w:val="002B679E"/>
    <w:rsid w:val="002B6B22"/>
    <w:rsid w:val="002B6CB3"/>
    <w:rsid w:val="002B6D00"/>
    <w:rsid w:val="002B71DB"/>
    <w:rsid w:val="002B71E0"/>
    <w:rsid w:val="002B742D"/>
    <w:rsid w:val="002B750E"/>
    <w:rsid w:val="002B7B5A"/>
    <w:rsid w:val="002B7D2E"/>
    <w:rsid w:val="002C00C0"/>
    <w:rsid w:val="002C02B3"/>
    <w:rsid w:val="002C09EB"/>
    <w:rsid w:val="002C0D03"/>
    <w:rsid w:val="002C1717"/>
    <w:rsid w:val="002C1758"/>
    <w:rsid w:val="002C2B76"/>
    <w:rsid w:val="002C37A5"/>
    <w:rsid w:val="002C3AB1"/>
    <w:rsid w:val="002C3B36"/>
    <w:rsid w:val="002C4185"/>
    <w:rsid w:val="002C43DB"/>
    <w:rsid w:val="002C4B01"/>
    <w:rsid w:val="002C4DC4"/>
    <w:rsid w:val="002C4F15"/>
    <w:rsid w:val="002C546E"/>
    <w:rsid w:val="002C567E"/>
    <w:rsid w:val="002C5CA7"/>
    <w:rsid w:val="002C5D2D"/>
    <w:rsid w:val="002C6755"/>
    <w:rsid w:val="002C6963"/>
    <w:rsid w:val="002C7228"/>
    <w:rsid w:val="002C7471"/>
    <w:rsid w:val="002C7694"/>
    <w:rsid w:val="002D01C6"/>
    <w:rsid w:val="002D040A"/>
    <w:rsid w:val="002D0781"/>
    <w:rsid w:val="002D079E"/>
    <w:rsid w:val="002D12E0"/>
    <w:rsid w:val="002D1BFE"/>
    <w:rsid w:val="002D1CB3"/>
    <w:rsid w:val="002D1CCE"/>
    <w:rsid w:val="002D21C9"/>
    <w:rsid w:val="002D2577"/>
    <w:rsid w:val="002D2A80"/>
    <w:rsid w:val="002D2CBE"/>
    <w:rsid w:val="002D2D1D"/>
    <w:rsid w:val="002D2D90"/>
    <w:rsid w:val="002D2F00"/>
    <w:rsid w:val="002D30F2"/>
    <w:rsid w:val="002D3177"/>
    <w:rsid w:val="002D38A2"/>
    <w:rsid w:val="002D38F3"/>
    <w:rsid w:val="002D4010"/>
    <w:rsid w:val="002D40C2"/>
    <w:rsid w:val="002D4174"/>
    <w:rsid w:val="002D4942"/>
    <w:rsid w:val="002D4969"/>
    <w:rsid w:val="002D52F3"/>
    <w:rsid w:val="002D55FC"/>
    <w:rsid w:val="002D5C8A"/>
    <w:rsid w:val="002D621F"/>
    <w:rsid w:val="002D6AAE"/>
    <w:rsid w:val="002D6B21"/>
    <w:rsid w:val="002D6D04"/>
    <w:rsid w:val="002D6E54"/>
    <w:rsid w:val="002D6FFC"/>
    <w:rsid w:val="002D750D"/>
    <w:rsid w:val="002D757C"/>
    <w:rsid w:val="002D7760"/>
    <w:rsid w:val="002D792E"/>
    <w:rsid w:val="002D7AA5"/>
    <w:rsid w:val="002D7E94"/>
    <w:rsid w:val="002E00DA"/>
    <w:rsid w:val="002E0889"/>
    <w:rsid w:val="002E0BA3"/>
    <w:rsid w:val="002E0D48"/>
    <w:rsid w:val="002E0ED2"/>
    <w:rsid w:val="002E0FB3"/>
    <w:rsid w:val="002E1949"/>
    <w:rsid w:val="002E1BA4"/>
    <w:rsid w:val="002E1C79"/>
    <w:rsid w:val="002E22C2"/>
    <w:rsid w:val="002E2336"/>
    <w:rsid w:val="002E2499"/>
    <w:rsid w:val="002E2C77"/>
    <w:rsid w:val="002E2EA6"/>
    <w:rsid w:val="002E3000"/>
    <w:rsid w:val="002E3165"/>
    <w:rsid w:val="002E32D3"/>
    <w:rsid w:val="002E338E"/>
    <w:rsid w:val="002E34C5"/>
    <w:rsid w:val="002E368F"/>
    <w:rsid w:val="002E3829"/>
    <w:rsid w:val="002E3970"/>
    <w:rsid w:val="002E3DA4"/>
    <w:rsid w:val="002E3F4B"/>
    <w:rsid w:val="002E3F60"/>
    <w:rsid w:val="002E4491"/>
    <w:rsid w:val="002E44C4"/>
    <w:rsid w:val="002E4641"/>
    <w:rsid w:val="002E4A88"/>
    <w:rsid w:val="002E4B07"/>
    <w:rsid w:val="002E4E4D"/>
    <w:rsid w:val="002E5052"/>
    <w:rsid w:val="002E5064"/>
    <w:rsid w:val="002E5E0C"/>
    <w:rsid w:val="002E5E25"/>
    <w:rsid w:val="002E60A8"/>
    <w:rsid w:val="002E6323"/>
    <w:rsid w:val="002E6506"/>
    <w:rsid w:val="002E6528"/>
    <w:rsid w:val="002E6550"/>
    <w:rsid w:val="002E6955"/>
    <w:rsid w:val="002E707C"/>
    <w:rsid w:val="002E70BF"/>
    <w:rsid w:val="002E723F"/>
    <w:rsid w:val="002E72DB"/>
    <w:rsid w:val="002E739D"/>
    <w:rsid w:val="002E75A8"/>
    <w:rsid w:val="002E78EB"/>
    <w:rsid w:val="002E7AA3"/>
    <w:rsid w:val="002F01D2"/>
    <w:rsid w:val="002F01F1"/>
    <w:rsid w:val="002F0297"/>
    <w:rsid w:val="002F045C"/>
    <w:rsid w:val="002F0DF6"/>
    <w:rsid w:val="002F0F9F"/>
    <w:rsid w:val="002F150C"/>
    <w:rsid w:val="002F2E67"/>
    <w:rsid w:val="002F2E98"/>
    <w:rsid w:val="002F2ECF"/>
    <w:rsid w:val="002F2F0A"/>
    <w:rsid w:val="002F3298"/>
    <w:rsid w:val="002F35A4"/>
    <w:rsid w:val="002F3625"/>
    <w:rsid w:val="002F3731"/>
    <w:rsid w:val="002F379A"/>
    <w:rsid w:val="002F4591"/>
    <w:rsid w:val="002F4619"/>
    <w:rsid w:val="002F495B"/>
    <w:rsid w:val="002F4F65"/>
    <w:rsid w:val="002F599D"/>
    <w:rsid w:val="002F5B6B"/>
    <w:rsid w:val="002F5BC8"/>
    <w:rsid w:val="002F6102"/>
    <w:rsid w:val="002F6303"/>
    <w:rsid w:val="002F64CD"/>
    <w:rsid w:val="002F6809"/>
    <w:rsid w:val="002F6EE0"/>
    <w:rsid w:val="002F7009"/>
    <w:rsid w:val="002F74E3"/>
    <w:rsid w:val="002F74EF"/>
    <w:rsid w:val="002F7531"/>
    <w:rsid w:val="002F7B3B"/>
    <w:rsid w:val="002F7C11"/>
    <w:rsid w:val="002F7DBC"/>
    <w:rsid w:val="002F7FE7"/>
    <w:rsid w:val="00300022"/>
    <w:rsid w:val="003002FF"/>
    <w:rsid w:val="00300843"/>
    <w:rsid w:val="00300C1A"/>
    <w:rsid w:val="003011BE"/>
    <w:rsid w:val="00301482"/>
    <w:rsid w:val="00301647"/>
    <w:rsid w:val="003019FB"/>
    <w:rsid w:val="00301E77"/>
    <w:rsid w:val="0030259D"/>
    <w:rsid w:val="00302894"/>
    <w:rsid w:val="00302943"/>
    <w:rsid w:val="00302CCD"/>
    <w:rsid w:val="0030357D"/>
    <w:rsid w:val="00303694"/>
    <w:rsid w:val="00303E9C"/>
    <w:rsid w:val="0030427C"/>
    <w:rsid w:val="003042FF"/>
    <w:rsid w:val="003045FC"/>
    <w:rsid w:val="00304BD4"/>
    <w:rsid w:val="00305176"/>
    <w:rsid w:val="0030521E"/>
    <w:rsid w:val="00305B43"/>
    <w:rsid w:val="00305BB8"/>
    <w:rsid w:val="00305DE1"/>
    <w:rsid w:val="0030613F"/>
    <w:rsid w:val="00306444"/>
    <w:rsid w:val="00306892"/>
    <w:rsid w:val="00306BBB"/>
    <w:rsid w:val="003076F2"/>
    <w:rsid w:val="003077BC"/>
    <w:rsid w:val="00307881"/>
    <w:rsid w:val="003101A2"/>
    <w:rsid w:val="00310334"/>
    <w:rsid w:val="00310968"/>
    <w:rsid w:val="00310B88"/>
    <w:rsid w:val="00310B91"/>
    <w:rsid w:val="00310E60"/>
    <w:rsid w:val="003110AA"/>
    <w:rsid w:val="00311385"/>
    <w:rsid w:val="0031211F"/>
    <w:rsid w:val="00312218"/>
    <w:rsid w:val="0031270D"/>
    <w:rsid w:val="003135B3"/>
    <w:rsid w:val="00313CA4"/>
    <w:rsid w:val="0031429A"/>
    <w:rsid w:val="0031470D"/>
    <w:rsid w:val="00314AC9"/>
    <w:rsid w:val="00315186"/>
    <w:rsid w:val="00315198"/>
    <w:rsid w:val="0031522A"/>
    <w:rsid w:val="003157EA"/>
    <w:rsid w:val="00315B52"/>
    <w:rsid w:val="0031633B"/>
    <w:rsid w:val="003165F4"/>
    <w:rsid w:val="00317218"/>
    <w:rsid w:val="003172A7"/>
    <w:rsid w:val="00317665"/>
    <w:rsid w:val="00317857"/>
    <w:rsid w:val="00317B7C"/>
    <w:rsid w:val="00317D2D"/>
    <w:rsid w:val="00320188"/>
    <w:rsid w:val="003201BC"/>
    <w:rsid w:val="003212C2"/>
    <w:rsid w:val="00321590"/>
    <w:rsid w:val="0032168C"/>
    <w:rsid w:val="00321765"/>
    <w:rsid w:val="00321B2F"/>
    <w:rsid w:val="00322371"/>
    <w:rsid w:val="0032239E"/>
    <w:rsid w:val="003225A7"/>
    <w:rsid w:val="00322C60"/>
    <w:rsid w:val="00323279"/>
    <w:rsid w:val="0032337F"/>
    <w:rsid w:val="003237B6"/>
    <w:rsid w:val="0032390B"/>
    <w:rsid w:val="00323D64"/>
    <w:rsid w:val="00323DC1"/>
    <w:rsid w:val="0032452D"/>
    <w:rsid w:val="00324699"/>
    <w:rsid w:val="0032492C"/>
    <w:rsid w:val="00324ED9"/>
    <w:rsid w:val="00325018"/>
    <w:rsid w:val="00325069"/>
    <w:rsid w:val="00325136"/>
    <w:rsid w:val="00325572"/>
    <w:rsid w:val="003255DA"/>
    <w:rsid w:val="00325884"/>
    <w:rsid w:val="003258F0"/>
    <w:rsid w:val="003259D7"/>
    <w:rsid w:val="00325E0A"/>
    <w:rsid w:val="00326269"/>
    <w:rsid w:val="0032641A"/>
    <w:rsid w:val="00326432"/>
    <w:rsid w:val="003268E7"/>
    <w:rsid w:val="00326B06"/>
    <w:rsid w:val="00326B30"/>
    <w:rsid w:val="00326E4B"/>
    <w:rsid w:val="00326E64"/>
    <w:rsid w:val="003273C1"/>
    <w:rsid w:val="003277C5"/>
    <w:rsid w:val="00327C3B"/>
    <w:rsid w:val="00327C8E"/>
    <w:rsid w:val="00327D0E"/>
    <w:rsid w:val="00330865"/>
    <w:rsid w:val="00330913"/>
    <w:rsid w:val="00330A7A"/>
    <w:rsid w:val="003312AE"/>
    <w:rsid w:val="00331625"/>
    <w:rsid w:val="00331931"/>
    <w:rsid w:val="00331E8A"/>
    <w:rsid w:val="00332060"/>
    <w:rsid w:val="00332132"/>
    <w:rsid w:val="00332ADB"/>
    <w:rsid w:val="00332B93"/>
    <w:rsid w:val="003332DD"/>
    <w:rsid w:val="00333567"/>
    <w:rsid w:val="003335B4"/>
    <w:rsid w:val="003337C6"/>
    <w:rsid w:val="00333A7B"/>
    <w:rsid w:val="00333DA0"/>
    <w:rsid w:val="003347F7"/>
    <w:rsid w:val="0033483D"/>
    <w:rsid w:val="0033561D"/>
    <w:rsid w:val="0033561E"/>
    <w:rsid w:val="003359D7"/>
    <w:rsid w:val="00335F1C"/>
    <w:rsid w:val="00335F33"/>
    <w:rsid w:val="00336245"/>
    <w:rsid w:val="00337017"/>
    <w:rsid w:val="003371D4"/>
    <w:rsid w:val="00337BE5"/>
    <w:rsid w:val="00337DDB"/>
    <w:rsid w:val="0034071E"/>
    <w:rsid w:val="003409C0"/>
    <w:rsid w:val="00340F88"/>
    <w:rsid w:val="003416C5"/>
    <w:rsid w:val="003419CC"/>
    <w:rsid w:val="00341AAE"/>
    <w:rsid w:val="00341D4C"/>
    <w:rsid w:val="003425C3"/>
    <w:rsid w:val="00342A07"/>
    <w:rsid w:val="00343100"/>
    <w:rsid w:val="003438B3"/>
    <w:rsid w:val="00343DBB"/>
    <w:rsid w:val="00343F71"/>
    <w:rsid w:val="00343F93"/>
    <w:rsid w:val="003441FE"/>
    <w:rsid w:val="00344367"/>
    <w:rsid w:val="0034474D"/>
    <w:rsid w:val="00344A4A"/>
    <w:rsid w:val="00344DAB"/>
    <w:rsid w:val="00345664"/>
    <w:rsid w:val="003457C5"/>
    <w:rsid w:val="00345BF1"/>
    <w:rsid w:val="003465E9"/>
    <w:rsid w:val="003465FA"/>
    <w:rsid w:val="00346ADF"/>
    <w:rsid w:val="0034718F"/>
    <w:rsid w:val="003471A8"/>
    <w:rsid w:val="003474C4"/>
    <w:rsid w:val="00347812"/>
    <w:rsid w:val="00347E5F"/>
    <w:rsid w:val="00347F2B"/>
    <w:rsid w:val="00350E30"/>
    <w:rsid w:val="00350E40"/>
    <w:rsid w:val="003511E3"/>
    <w:rsid w:val="00351341"/>
    <w:rsid w:val="003514A9"/>
    <w:rsid w:val="003516DA"/>
    <w:rsid w:val="00351989"/>
    <w:rsid w:val="0035206E"/>
    <w:rsid w:val="003529C7"/>
    <w:rsid w:val="00352A74"/>
    <w:rsid w:val="003531FF"/>
    <w:rsid w:val="00353BAE"/>
    <w:rsid w:val="00353FA1"/>
    <w:rsid w:val="003544A7"/>
    <w:rsid w:val="0035450B"/>
    <w:rsid w:val="00354603"/>
    <w:rsid w:val="003547A1"/>
    <w:rsid w:val="003548C6"/>
    <w:rsid w:val="003549D7"/>
    <w:rsid w:val="00354A5A"/>
    <w:rsid w:val="003553BA"/>
    <w:rsid w:val="0035563B"/>
    <w:rsid w:val="0035572D"/>
    <w:rsid w:val="00355921"/>
    <w:rsid w:val="00355E2A"/>
    <w:rsid w:val="00356162"/>
    <w:rsid w:val="003563BB"/>
    <w:rsid w:val="003563BC"/>
    <w:rsid w:val="0035688B"/>
    <w:rsid w:val="00356A63"/>
    <w:rsid w:val="00356D89"/>
    <w:rsid w:val="0035727D"/>
    <w:rsid w:val="003601E1"/>
    <w:rsid w:val="003603C1"/>
    <w:rsid w:val="003604E5"/>
    <w:rsid w:val="00360B16"/>
    <w:rsid w:val="003613E3"/>
    <w:rsid w:val="00361ECA"/>
    <w:rsid w:val="00362070"/>
    <w:rsid w:val="0036224B"/>
    <w:rsid w:val="00362583"/>
    <w:rsid w:val="0036258B"/>
    <w:rsid w:val="00362A4A"/>
    <w:rsid w:val="00362B0F"/>
    <w:rsid w:val="00362D0A"/>
    <w:rsid w:val="00362FDF"/>
    <w:rsid w:val="00363254"/>
    <w:rsid w:val="00363448"/>
    <w:rsid w:val="00363B33"/>
    <w:rsid w:val="003649DA"/>
    <w:rsid w:val="00364EC2"/>
    <w:rsid w:val="00365367"/>
    <w:rsid w:val="003654F4"/>
    <w:rsid w:val="003657BB"/>
    <w:rsid w:val="003664C4"/>
    <w:rsid w:val="00366521"/>
    <w:rsid w:val="00366821"/>
    <w:rsid w:val="00366E1B"/>
    <w:rsid w:val="00367497"/>
    <w:rsid w:val="0036774F"/>
    <w:rsid w:val="00370000"/>
    <w:rsid w:val="00370341"/>
    <w:rsid w:val="003710C3"/>
    <w:rsid w:val="003717D4"/>
    <w:rsid w:val="00371E13"/>
    <w:rsid w:val="00372030"/>
    <w:rsid w:val="003721CD"/>
    <w:rsid w:val="003722FF"/>
    <w:rsid w:val="0037233C"/>
    <w:rsid w:val="003727EE"/>
    <w:rsid w:val="00372959"/>
    <w:rsid w:val="00372CAF"/>
    <w:rsid w:val="00373AA3"/>
    <w:rsid w:val="00373C41"/>
    <w:rsid w:val="003740F6"/>
    <w:rsid w:val="003742BA"/>
    <w:rsid w:val="00374482"/>
    <w:rsid w:val="00374529"/>
    <w:rsid w:val="003749F4"/>
    <w:rsid w:val="00374D48"/>
    <w:rsid w:val="00374EF9"/>
    <w:rsid w:val="003752EB"/>
    <w:rsid w:val="003756A1"/>
    <w:rsid w:val="003756C4"/>
    <w:rsid w:val="00375747"/>
    <w:rsid w:val="00375A2D"/>
    <w:rsid w:val="0037614D"/>
    <w:rsid w:val="003763C4"/>
    <w:rsid w:val="00376458"/>
    <w:rsid w:val="00376D4E"/>
    <w:rsid w:val="00376F6B"/>
    <w:rsid w:val="00376F78"/>
    <w:rsid w:val="0037730A"/>
    <w:rsid w:val="0037738A"/>
    <w:rsid w:val="00377C21"/>
    <w:rsid w:val="00377EC4"/>
    <w:rsid w:val="00380138"/>
    <w:rsid w:val="003803CA"/>
    <w:rsid w:val="00380679"/>
    <w:rsid w:val="0038095A"/>
    <w:rsid w:val="003809E8"/>
    <w:rsid w:val="00380B3B"/>
    <w:rsid w:val="0038125F"/>
    <w:rsid w:val="0038160D"/>
    <w:rsid w:val="00381626"/>
    <w:rsid w:val="00381F41"/>
    <w:rsid w:val="003820A2"/>
    <w:rsid w:val="003824AA"/>
    <w:rsid w:val="003824E2"/>
    <w:rsid w:val="003827E9"/>
    <w:rsid w:val="00383AB0"/>
    <w:rsid w:val="00383E80"/>
    <w:rsid w:val="00383F0E"/>
    <w:rsid w:val="00384E72"/>
    <w:rsid w:val="00384E82"/>
    <w:rsid w:val="003853A3"/>
    <w:rsid w:val="00385418"/>
    <w:rsid w:val="00385D41"/>
    <w:rsid w:val="00386110"/>
    <w:rsid w:val="003863CD"/>
    <w:rsid w:val="003867F0"/>
    <w:rsid w:val="00386AAD"/>
    <w:rsid w:val="00386B5F"/>
    <w:rsid w:val="00386BAA"/>
    <w:rsid w:val="00386C9A"/>
    <w:rsid w:val="00386DA2"/>
    <w:rsid w:val="00387811"/>
    <w:rsid w:val="00390055"/>
    <w:rsid w:val="00390560"/>
    <w:rsid w:val="003906C9"/>
    <w:rsid w:val="00390A82"/>
    <w:rsid w:val="00390E2A"/>
    <w:rsid w:val="00390FE6"/>
    <w:rsid w:val="003913A4"/>
    <w:rsid w:val="003917A7"/>
    <w:rsid w:val="003917DE"/>
    <w:rsid w:val="00391BDC"/>
    <w:rsid w:val="00392218"/>
    <w:rsid w:val="0039222A"/>
    <w:rsid w:val="00392534"/>
    <w:rsid w:val="00392885"/>
    <w:rsid w:val="00392C30"/>
    <w:rsid w:val="00392F1B"/>
    <w:rsid w:val="00393AC3"/>
    <w:rsid w:val="00393FB6"/>
    <w:rsid w:val="0039425E"/>
    <w:rsid w:val="0039477E"/>
    <w:rsid w:val="0039484E"/>
    <w:rsid w:val="003948B8"/>
    <w:rsid w:val="003949FF"/>
    <w:rsid w:val="00394B7E"/>
    <w:rsid w:val="00394E2D"/>
    <w:rsid w:val="00394F92"/>
    <w:rsid w:val="003957AA"/>
    <w:rsid w:val="00395A4B"/>
    <w:rsid w:val="003960ED"/>
    <w:rsid w:val="00396529"/>
    <w:rsid w:val="00396877"/>
    <w:rsid w:val="00396913"/>
    <w:rsid w:val="00396EC5"/>
    <w:rsid w:val="0039726C"/>
    <w:rsid w:val="003972DF"/>
    <w:rsid w:val="003974E4"/>
    <w:rsid w:val="003975C3"/>
    <w:rsid w:val="003976B4"/>
    <w:rsid w:val="0039772E"/>
    <w:rsid w:val="00397B30"/>
    <w:rsid w:val="00397DB2"/>
    <w:rsid w:val="00397E74"/>
    <w:rsid w:val="00397ECE"/>
    <w:rsid w:val="00397FA2"/>
    <w:rsid w:val="003A00BE"/>
    <w:rsid w:val="003A014C"/>
    <w:rsid w:val="003A0279"/>
    <w:rsid w:val="003A05D3"/>
    <w:rsid w:val="003A062D"/>
    <w:rsid w:val="003A066D"/>
    <w:rsid w:val="003A076D"/>
    <w:rsid w:val="003A0C77"/>
    <w:rsid w:val="003A11E3"/>
    <w:rsid w:val="003A15BA"/>
    <w:rsid w:val="003A1806"/>
    <w:rsid w:val="003A185A"/>
    <w:rsid w:val="003A1D52"/>
    <w:rsid w:val="003A2CCF"/>
    <w:rsid w:val="003A373E"/>
    <w:rsid w:val="003A3A56"/>
    <w:rsid w:val="003A3EDD"/>
    <w:rsid w:val="003A4633"/>
    <w:rsid w:val="003A4666"/>
    <w:rsid w:val="003A4AD1"/>
    <w:rsid w:val="003A5D86"/>
    <w:rsid w:val="003A60CD"/>
    <w:rsid w:val="003A62CF"/>
    <w:rsid w:val="003A66F9"/>
    <w:rsid w:val="003A686F"/>
    <w:rsid w:val="003A68B5"/>
    <w:rsid w:val="003A690E"/>
    <w:rsid w:val="003A6993"/>
    <w:rsid w:val="003A6BD8"/>
    <w:rsid w:val="003A725F"/>
    <w:rsid w:val="003A72F2"/>
    <w:rsid w:val="003A7355"/>
    <w:rsid w:val="003A7755"/>
    <w:rsid w:val="003A7785"/>
    <w:rsid w:val="003A798C"/>
    <w:rsid w:val="003A7E6D"/>
    <w:rsid w:val="003B0121"/>
    <w:rsid w:val="003B0201"/>
    <w:rsid w:val="003B02F9"/>
    <w:rsid w:val="003B038E"/>
    <w:rsid w:val="003B0606"/>
    <w:rsid w:val="003B06D0"/>
    <w:rsid w:val="003B06D8"/>
    <w:rsid w:val="003B0740"/>
    <w:rsid w:val="003B076B"/>
    <w:rsid w:val="003B0C17"/>
    <w:rsid w:val="003B10F6"/>
    <w:rsid w:val="003B18A0"/>
    <w:rsid w:val="003B1932"/>
    <w:rsid w:val="003B1C54"/>
    <w:rsid w:val="003B1D62"/>
    <w:rsid w:val="003B2007"/>
    <w:rsid w:val="003B208D"/>
    <w:rsid w:val="003B21BA"/>
    <w:rsid w:val="003B2B65"/>
    <w:rsid w:val="003B2E0D"/>
    <w:rsid w:val="003B32D3"/>
    <w:rsid w:val="003B3BAA"/>
    <w:rsid w:val="003B3CAC"/>
    <w:rsid w:val="003B3DAA"/>
    <w:rsid w:val="003B401F"/>
    <w:rsid w:val="003B41DA"/>
    <w:rsid w:val="003B42D7"/>
    <w:rsid w:val="003B442D"/>
    <w:rsid w:val="003B4604"/>
    <w:rsid w:val="003B4729"/>
    <w:rsid w:val="003B4D3F"/>
    <w:rsid w:val="003B5342"/>
    <w:rsid w:val="003B53BD"/>
    <w:rsid w:val="003B55A9"/>
    <w:rsid w:val="003B56DB"/>
    <w:rsid w:val="003B5806"/>
    <w:rsid w:val="003B5892"/>
    <w:rsid w:val="003B5EEF"/>
    <w:rsid w:val="003B6692"/>
    <w:rsid w:val="003B6B57"/>
    <w:rsid w:val="003B6CE2"/>
    <w:rsid w:val="003B6D60"/>
    <w:rsid w:val="003B74BE"/>
    <w:rsid w:val="003B75B1"/>
    <w:rsid w:val="003B7A23"/>
    <w:rsid w:val="003C00D0"/>
    <w:rsid w:val="003C0BC8"/>
    <w:rsid w:val="003C0C05"/>
    <w:rsid w:val="003C1105"/>
    <w:rsid w:val="003C14B5"/>
    <w:rsid w:val="003C187B"/>
    <w:rsid w:val="003C19C4"/>
    <w:rsid w:val="003C25F9"/>
    <w:rsid w:val="003C27A5"/>
    <w:rsid w:val="003C2968"/>
    <w:rsid w:val="003C2C0D"/>
    <w:rsid w:val="003C2C66"/>
    <w:rsid w:val="003C2DC3"/>
    <w:rsid w:val="003C2F1C"/>
    <w:rsid w:val="003C300B"/>
    <w:rsid w:val="003C3102"/>
    <w:rsid w:val="003C37DD"/>
    <w:rsid w:val="003C391B"/>
    <w:rsid w:val="003C3A8F"/>
    <w:rsid w:val="003C3B57"/>
    <w:rsid w:val="003C3C7D"/>
    <w:rsid w:val="003C49AA"/>
    <w:rsid w:val="003C567D"/>
    <w:rsid w:val="003C5C66"/>
    <w:rsid w:val="003C634C"/>
    <w:rsid w:val="003C6C8E"/>
    <w:rsid w:val="003C71C0"/>
    <w:rsid w:val="003C73E1"/>
    <w:rsid w:val="003C757A"/>
    <w:rsid w:val="003C7AF9"/>
    <w:rsid w:val="003C7C59"/>
    <w:rsid w:val="003C7DAD"/>
    <w:rsid w:val="003D03E3"/>
    <w:rsid w:val="003D0CB1"/>
    <w:rsid w:val="003D0F60"/>
    <w:rsid w:val="003D133D"/>
    <w:rsid w:val="003D13D0"/>
    <w:rsid w:val="003D1B6E"/>
    <w:rsid w:val="003D1B95"/>
    <w:rsid w:val="003D2092"/>
    <w:rsid w:val="003D22F2"/>
    <w:rsid w:val="003D2562"/>
    <w:rsid w:val="003D2757"/>
    <w:rsid w:val="003D2777"/>
    <w:rsid w:val="003D2DEC"/>
    <w:rsid w:val="003D306C"/>
    <w:rsid w:val="003D3CF5"/>
    <w:rsid w:val="003D3EC8"/>
    <w:rsid w:val="003D40C5"/>
    <w:rsid w:val="003D412D"/>
    <w:rsid w:val="003D4747"/>
    <w:rsid w:val="003D48B7"/>
    <w:rsid w:val="003D4DAC"/>
    <w:rsid w:val="003D4E10"/>
    <w:rsid w:val="003D64F6"/>
    <w:rsid w:val="003D661B"/>
    <w:rsid w:val="003D67E8"/>
    <w:rsid w:val="003D70B4"/>
    <w:rsid w:val="003D70C8"/>
    <w:rsid w:val="003D738B"/>
    <w:rsid w:val="003D759B"/>
    <w:rsid w:val="003D7CC3"/>
    <w:rsid w:val="003E002F"/>
    <w:rsid w:val="003E05A8"/>
    <w:rsid w:val="003E05CF"/>
    <w:rsid w:val="003E1BAD"/>
    <w:rsid w:val="003E1D34"/>
    <w:rsid w:val="003E27BA"/>
    <w:rsid w:val="003E28ED"/>
    <w:rsid w:val="003E297C"/>
    <w:rsid w:val="003E329A"/>
    <w:rsid w:val="003E329B"/>
    <w:rsid w:val="003E376A"/>
    <w:rsid w:val="003E41DD"/>
    <w:rsid w:val="003E4715"/>
    <w:rsid w:val="003E4809"/>
    <w:rsid w:val="003E48D8"/>
    <w:rsid w:val="003E48EF"/>
    <w:rsid w:val="003E5011"/>
    <w:rsid w:val="003E51CD"/>
    <w:rsid w:val="003E55A4"/>
    <w:rsid w:val="003E578C"/>
    <w:rsid w:val="003E5EDD"/>
    <w:rsid w:val="003E5F52"/>
    <w:rsid w:val="003E60AC"/>
    <w:rsid w:val="003E629A"/>
    <w:rsid w:val="003E6482"/>
    <w:rsid w:val="003E716A"/>
    <w:rsid w:val="003E7234"/>
    <w:rsid w:val="003E7504"/>
    <w:rsid w:val="003E752A"/>
    <w:rsid w:val="003E7774"/>
    <w:rsid w:val="003F0473"/>
    <w:rsid w:val="003F093B"/>
    <w:rsid w:val="003F09FF"/>
    <w:rsid w:val="003F0C6C"/>
    <w:rsid w:val="003F0C9C"/>
    <w:rsid w:val="003F0DFD"/>
    <w:rsid w:val="003F0E7A"/>
    <w:rsid w:val="003F0ED1"/>
    <w:rsid w:val="003F10B9"/>
    <w:rsid w:val="003F121E"/>
    <w:rsid w:val="003F176B"/>
    <w:rsid w:val="003F1930"/>
    <w:rsid w:val="003F1A32"/>
    <w:rsid w:val="003F1A61"/>
    <w:rsid w:val="003F1B96"/>
    <w:rsid w:val="003F1FE5"/>
    <w:rsid w:val="003F2850"/>
    <w:rsid w:val="003F2EA4"/>
    <w:rsid w:val="003F38A2"/>
    <w:rsid w:val="003F41AE"/>
    <w:rsid w:val="003F47F1"/>
    <w:rsid w:val="003F49AD"/>
    <w:rsid w:val="003F4E97"/>
    <w:rsid w:val="003F5238"/>
    <w:rsid w:val="003F56D8"/>
    <w:rsid w:val="003F65E7"/>
    <w:rsid w:val="003F6EBE"/>
    <w:rsid w:val="003F705B"/>
    <w:rsid w:val="003F73A2"/>
    <w:rsid w:val="003F75E6"/>
    <w:rsid w:val="003F782D"/>
    <w:rsid w:val="003F7DDE"/>
    <w:rsid w:val="00400210"/>
    <w:rsid w:val="004006EF"/>
    <w:rsid w:val="00400AC3"/>
    <w:rsid w:val="00400B30"/>
    <w:rsid w:val="00400BA1"/>
    <w:rsid w:val="00400EA2"/>
    <w:rsid w:val="00402105"/>
    <w:rsid w:val="0040292D"/>
    <w:rsid w:val="00402C33"/>
    <w:rsid w:val="00402F91"/>
    <w:rsid w:val="00402FAD"/>
    <w:rsid w:val="00403099"/>
    <w:rsid w:val="0040325C"/>
    <w:rsid w:val="00403274"/>
    <w:rsid w:val="00403D55"/>
    <w:rsid w:val="00404230"/>
    <w:rsid w:val="00404BF4"/>
    <w:rsid w:val="00404DB2"/>
    <w:rsid w:val="004051C3"/>
    <w:rsid w:val="00405202"/>
    <w:rsid w:val="004052AB"/>
    <w:rsid w:val="00405328"/>
    <w:rsid w:val="004064F6"/>
    <w:rsid w:val="00406AA0"/>
    <w:rsid w:val="00406B39"/>
    <w:rsid w:val="00407016"/>
    <w:rsid w:val="0040743E"/>
    <w:rsid w:val="004076E7"/>
    <w:rsid w:val="00407885"/>
    <w:rsid w:val="00407AFB"/>
    <w:rsid w:val="00407FF7"/>
    <w:rsid w:val="00410077"/>
    <w:rsid w:val="004100F3"/>
    <w:rsid w:val="0041023F"/>
    <w:rsid w:val="00410766"/>
    <w:rsid w:val="00411440"/>
    <w:rsid w:val="004114F9"/>
    <w:rsid w:val="004116D9"/>
    <w:rsid w:val="004119E4"/>
    <w:rsid w:val="00411F87"/>
    <w:rsid w:val="004126AB"/>
    <w:rsid w:val="00412820"/>
    <w:rsid w:val="00412ABA"/>
    <w:rsid w:val="004134FB"/>
    <w:rsid w:val="0041356A"/>
    <w:rsid w:val="00413A28"/>
    <w:rsid w:val="00413CFC"/>
    <w:rsid w:val="004141F0"/>
    <w:rsid w:val="00414809"/>
    <w:rsid w:val="00414878"/>
    <w:rsid w:val="00414976"/>
    <w:rsid w:val="00414C7D"/>
    <w:rsid w:val="00414F69"/>
    <w:rsid w:val="00414FB3"/>
    <w:rsid w:val="004151CC"/>
    <w:rsid w:val="004153F7"/>
    <w:rsid w:val="004154A3"/>
    <w:rsid w:val="00415648"/>
    <w:rsid w:val="00415846"/>
    <w:rsid w:val="004158D2"/>
    <w:rsid w:val="00415B41"/>
    <w:rsid w:val="00415BD4"/>
    <w:rsid w:val="00415D38"/>
    <w:rsid w:val="00415DDD"/>
    <w:rsid w:val="00416B61"/>
    <w:rsid w:val="00416D9C"/>
    <w:rsid w:val="00417333"/>
    <w:rsid w:val="004176B5"/>
    <w:rsid w:val="004178B0"/>
    <w:rsid w:val="00417A53"/>
    <w:rsid w:val="00417AB7"/>
    <w:rsid w:val="00417EBE"/>
    <w:rsid w:val="0042045C"/>
    <w:rsid w:val="004204C0"/>
    <w:rsid w:val="004207D1"/>
    <w:rsid w:val="00420EBC"/>
    <w:rsid w:val="004212A3"/>
    <w:rsid w:val="00421450"/>
    <w:rsid w:val="00421614"/>
    <w:rsid w:val="0042162D"/>
    <w:rsid w:val="00421B7A"/>
    <w:rsid w:val="00423901"/>
    <w:rsid w:val="00423F02"/>
    <w:rsid w:val="0042461D"/>
    <w:rsid w:val="00424A4B"/>
    <w:rsid w:val="00424EB0"/>
    <w:rsid w:val="00425188"/>
    <w:rsid w:val="0042566E"/>
    <w:rsid w:val="0042583F"/>
    <w:rsid w:val="004258EF"/>
    <w:rsid w:val="00425A7C"/>
    <w:rsid w:val="00425E6B"/>
    <w:rsid w:val="00426268"/>
    <w:rsid w:val="004264F6"/>
    <w:rsid w:val="004270D3"/>
    <w:rsid w:val="004276AC"/>
    <w:rsid w:val="00430035"/>
    <w:rsid w:val="004302DE"/>
    <w:rsid w:val="00430335"/>
    <w:rsid w:val="00430AF0"/>
    <w:rsid w:val="00430D04"/>
    <w:rsid w:val="0043127F"/>
    <w:rsid w:val="004318E7"/>
    <w:rsid w:val="0043198C"/>
    <w:rsid w:val="00431B3C"/>
    <w:rsid w:val="004325C6"/>
    <w:rsid w:val="00432D12"/>
    <w:rsid w:val="00432D3D"/>
    <w:rsid w:val="00433266"/>
    <w:rsid w:val="004332D1"/>
    <w:rsid w:val="004334B2"/>
    <w:rsid w:val="004335DB"/>
    <w:rsid w:val="00433D0D"/>
    <w:rsid w:val="00433E06"/>
    <w:rsid w:val="00433F43"/>
    <w:rsid w:val="004340F6"/>
    <w:rsid w:val="0043439D"/>
    <w:rsid w:val="00434606"/>
    <w:rsid w:val="004346DC"/>
    <w:rsid w:val="004348BF"/>
    <w:rsid w:val="00434F85"/>
    <w:rsid w:val="00435178"/>
    <w:rsid w:val="004354FA"/>
    <w:rsid w:val="0043556F"/>
    <w:rsid w:val="00435F16"/>
    <w:rsid w:val="00436175"/>
    <w:rsid w:val="004364F6"/>
    <w:rsid w:val="0043718F"/>
    <w:rsid w:val="0043720A"/>
    <w:rsid w:val="00437445"/>
    <w:rsid w:val="004376C7"/>
    <w:rsid w:val="004376D3"/>
    <w:rsid w:val="00437842"/>
    <w:rsid w:val="004378BD"/>
    <w:rsid w:val="00437DC2"/>
    <w:rsid w:val="00437FF3"/>
    <w:rsid w:val="00440653"/>
    <w:rsid w:val="00440AF0"/>
    <w:rsid w:val="00440C07"/>
    <w:rsid w:val="00440F4B"/>
    <w:rsid w:val="004410F1"/>
    <w:rsid w:val="0044145F"/>
    <w:rsid w:val="00441F48"/>
    <w:rsid w:val="004421F1"/>
    <w:rsid w:val="004423A6"/>
    <w:rsid w:val="00442419"/>
    <w:rsid w:val="00442495"/>
    <w:rsid w:val="004425B3"/>
    <w:rsid w:val="004425CD"/>
    <w:rsid w:val="004426D8"/>
    <w:rsid w:val="004428C5"/>
    <w:rsid w:val="004429BF"/>
    <w:rsid w:val="00442D93"/>
    <w:rsid w:val="0044315F"/>
    <w:rsid w:val="00443305"/>
    <w:rsid w:val="004435BE"/>
    <w:rsid w:val="004438E2"/>
    <w:rsid w:val="00444185"/>
    <w:rsid w:val="004445FF"/>
    <w:rsid w:val="0044492F"/>
    <w:rsid w:val="00444E5D"/>
    <w:rsid w:val="0044504D"/>
    <w:rsid w:val="0044582B"/>
    <w:rsid w:val="00445A6D"/>
    <w:rsid w:val="00445B59"/>
    <w:rsid w:val="00445FC0"/>
    <w:rsid w:val="004464F3"/>
    <w:rsid w:val="00446745"/>
    <w:rsid w:val="004467E7"/>
    <w:rsid w:val="0044693C"/>
    <w:rsid w:val="004469F5"/>
    <w:rsid w:val="00446B58"/>
    <w:rsid w:val="00446E25"/>
    <w:rsid w:val="00446F34"/>
    <w:rsid w:val="00447150"/>
    <w:rsid w:val="00447256"/>
    <w:rsid w:val="004476B0"/>
    <w:rsid w:val="004478E0"/>
    <w:rsid w:val="00447941"/>
    <w:rsid w:val="00447FE6"/>
    <w:rsid w:val="0045025E"/>
    <w:rsid w:val="00450324"/>
    <w:rsid w:val="00450486"/>
    <w:rsid w:val="00450DBA"/>
    <w:rsid w:val="00451299"/>
    <w:rsid w:val="00451A01"/>
    <w:rsid w:val="00451AED"/>
    <w:rsid w:val="00451B5A"/>
    <w:rsid w:val="00451E05"/>
    <w:rsid w:val="00452294"/>
    <w:rsid w:val="00452568"/>
    <w:rsid w:val="0045293D"/>
    <w:rsid w:val="00452A1D"/>
    <w:rsid w:val="00452E80"/>
    <w:rsid w:val="004540F0"/>
    <w:rsid w:val="004543BE"/>
    <w:rsid w:val="004546BE"/>
    <w:rsid w:val="004547DD"/>
    <w:rsid w:val="004548A6"/>
    <w:rsid w:val="00454A8F"/>
    <w:rsid w:val="004554AA"/>
    <w:rsid w:val="004556FE"/>
    <w:rsid w:val="004558E4"/>
    <w:rsid w:val="00455994"/>
    <w:rsid w:val="00455C55"/>
    <w:rsid w:val="00456210"/>
    <w:rsid w:val="00456780"/>
    <w:rsid w:val="0045687C"/>
    <w:rsid w:val="0045782F"/>
    <w:rsid w:val="0045794A"/>
    <w:rsid w:val="0045796F"/>
    <w:rsid w:val="00457E48"/>
    <w:rsid w:val="00457F6F"/>
    <w:rsid w:val="004602AA"/>
    <w:rsid w:val="004603CC"/>
    <w:rsid w:val="00460B70"/>
    <w:rsid w:val="00460DE0"/>
    <w:rsid w:val="0046102E"/>
    <w:rsid w:val="004612C3"/>
    <w:rsid w:val="0046187D"/>
    <w:rsid w:val="0046188C"/>
    <w:rsid w:val="00461991"/>
    <w:rsid w:val="004620C7"/>
    <w:rsid w:val="00462210"/>
    <w:rsid w:val="0046221A"/>
    <w:rsid w:val="00462464"/>
    <w:rsid w:val="00462AF0"/>
    <w:rsid w:val="00462BEC"/>
    <w:rsid w:val="0046344D"/>
    <w:rsid w:val="004637DC"/>
    <w:rsid w:val="00463BBC"/>
    <w:rsid w:val="00463E1E"/>
    <w:rsid w:val="004646E4"/>
    <w:rsid w:val="0046474B"/>
    <w:rsid w:val="004649D4"/>
    <w:rsid w:val="00464A85"/>
    <w:rsid w:val="00465134"/>
    <w:rsid w:val="0046529F"/>
    <w:rsid w:val="004652B7"/>
    <w:rsid w:val="00465A2D"/>
    <w:rsid w:val="00465BD9"/>
    <w:rsid w:val="00465CBD"/>
    <w:rsid w:val="00466199"/>
    <w:rsid w:val="0046621E"/>
    <w:rsid w:val="004664E1"/>
    <w:rsid w:val="004664F8"/>
    <w:rsid w:val="00466504"/>
    <w:rsid w:val="00466CDD"/>
    <w:rsid w:val="0046714A"/>
    <w:rsid w:val="004674AD"/>
    <w:rsid w:val="00467742"/>
    <w:rsid w:val="00467DB2"/>
    <w:rsid w:val="00467F25"/>
    <w:rsid w:val="00470069"/>
    <w:rsid w:val="00470926"/>
    <w:rsid w:val="004713FB"/>
    <w:rsid w:val="00472602"/>
    <w:rsid w:val="004726B7"/>
    <w:rsid w:val="004726CE"/>
    <w:rsid w:val="00472BB2"/>
    <w:rsid w:val="00472E7C"/>
    <w:rsid w:val="00472F38"/>
    <w:rsid w:val="004732D1"/>
    <w:rsid w:val="004735EC"/>
    <w:rsid w:val="00473982"/>
    <w:rsid w:val="00473CD3"/>
    <w:rsid w:val="0047410F"/>
    <w:rsid w:val="004744DC"/>
    <w:rsid w:val="004745F6"/>
    <w:rsid w:val="00474714"/>
    <w:rsid w:val="00474A0B"/>
    <w:rsid w:val="00474C5F"/>
    <w:rsid w:val="00474DDB"/>
    <w:rsid w:val="00474E91"/>
    <w:rsid w:val="00474F66"/>
    <w:rsid w:val="00475088"/>
    <w:rsid w:val="00475145"/>
    <w:rsid w:val="0047517F"/>
    <w:rsid w:val="00475624"/>
    <w:rsid w:val="00475670"/>
    <w:rsid w:val="00475A7E"/>
    <w:rsid w:val="0047603B"/>
    <w:rsid w:val="00476B9D"/>
    <w:rsid w:val="00476D8D"/>
    <w:rsid w:val="00477263"/>
    <w:rsid w:val="0047727F"/>
    <w:rsid w:val="00477844"/>
    <w:rsid w:val="00477FE9"/>
    <w:rsid w:val="00480149"/>
    <w:rsid w:val="0048036E"/>
    <w:rsid w:val="00480AF1"/>
    <w:rsid w:val="00480F49"/>
    <w:rsid w:val="00481240"/>
    <w:rsid w:val="00481819"/>
    <w:rsid w:val="00481855"/>
    <w:rsid w:val="004818CF"/>
    <w:rsid w:val="004818F3"/>
    <w:rsid w:val="00481A08"/>
    <w:rsid w:val="00481BD7"/>
    <w:rsid w:val="00482534"/>
    <w:rsid w:val="0048263F"/>
    <w:rsid w:val="004826B5"/>
    <w:rsid w:val="00482FD6"/>
    <w:rsid w:val="00483025"/>
    <w:rsid w:val="004831EF"/>
    <w:rsid w:val="004833C9"/>
    <w:rsid w:val="004833F1"/>
    <w:rsid w:val="0048370C"/>
    <w:rsid w:val="00483CE2"/>
    <w:rsid w:val="00483D17"/>
    <w:rsid w:val="004846D9"/>
    <w:rsid w:val="00484F7A"/>
    <w:rsid w:val="00485496"/>
    <w:rsid w:val="004854CC"/>
    <w:rsid w:val="004859A8"/>
    <w:rsid w:val="00485C23"/>
    <w:rsid w:val="00486499"/>
    <w:rsid w:val="0048667B"/>
    <w:rsid w:val="00486789"/>
    <w:rsid w:val="00486E56"/>
    <w:rsid w:val="00486FE9"/>
    <w:rsid w:val="00487007"/>
    <w:rsid w:val="00487817"/>
    <w:rsid w:val="0048783D"/>
    <w:rsid w:val="004900DF"/>
    <w:rsid w:val="004902B5"/>
    <w:rsid w:val="004902E1"/>
    <w:rsid w:val="0049048D"/>
    <w:rsid w:val="00490510"/>
    <w:rsid w:val="004908FE"/>
    <w:rsid w:val="00490AEC"/>
    <w:rsid w:val="00490D09"/>
    <w:rsid w:val="00490D35"/>
    <w:rsid w:val="00490EBB"/>
    <w:rsid w:val="00491BD0"/>
    <w:rsid w:val="00491F57"/>
    <w:rsid w:val="0049219A"/>
    <w:rsid w:val="004921AF"/>
    <w:rsid w:val="004926ED"/>
    <w:rsid w:val="0049294B"/>
    <w:rsid w:val="00493297"/>
    <w:rsid w:val="00493401"/>
    <w:rsid w:val="004934EA"/>
    <w:rsid w:val="0049389F"/>
    <w:rsid w:val="00494330"/>
    <w:rsid w:val="00494580"/>
    <w:rsid w:val="0049484B"/>
    <w:rsid w:val="00494B16"/>
    <w:rsid w:val="00494D37"/>
    <w:rsid w:val="00494FA3"/>
    <w:rsid w:val="004953E2"/>
    <w:rsid w:val="004954FE"/>
    <w:rsid w:val="0049570C"/>
    <w:rsid w:val="00495EE8"/>
    <w:rsid w:val="00496481"/>
    <w:rsid w:val="0049723A"/>
    <w:rsid w:val="0049733A"/>
    <w:rsid w:val="00497C6C"/>
    <w:rsid w:val="004A0593"/>
    <w:rsid w:val="004A0789"/>
    <w:rsid w:val="004A0BEE"/>
    <w:rsid w:val="004A0E3E"/>
    <w:rsid w:val="004A12A0"/>
    <w:rsid w:val="004A18C6"/>
    <w:rsid w:val="004A19BF"/>
    <w:rsid w:val="004A1ECB"/>
    <w:rsid w:val="004A2220"/>
    <w:rsid w:val="004A25B5"/>
    <w:rsid w:val="004A2ED8"/>
    <w:rsid w:val="004A3610"/>
    <w:rsid w:val="004A386C"/>
    <w:rsid w:val="004A395E"/>
    <w:rsid w:val="004A3AF6"/>
    <w:rsid w:val="004A3CBE"/>
    <w:rsid w:val="004A3ECC"/>
    <w:rsid w:val="004A4235"/>
    <w:rsid w:val="004A42A8"/>
    <w:rsid w:val="004A4666"/>
    <w:rsid w:val="004A4B11"/>
    <w:rsid w:val="004A5A80"/>
    <w:rsid w:val="004A5E24"/>
    <w:rsid w:val="004A61D9"/>
    <w:rsid w:val="004A61F4"/>
    <w:rsid w:val="004A6593"/>
    <w:rsid w:val="004A6AB5"/>
    <w:rsid w:val="004A6F49"/>
    <w:rsid w:val="004A7033"/>
    <w:rsid w:val="004A752F"/>
    <w:rsid w:val="004A7D3E"/>
    <w:rsid w:val="004A7DBF"/>
    <w:rsid w:val="004A7F3E"/>
    <w:rsid w:val="004B0132"/>
    <w:rsid w:val="004B0246"/>
    <w:rsid w:val="004B0722"/>
    <w:rsid w:val="004B0969"/>
    <w:rsid w:val="004B0BD0"/>
    <w:rsid w:val="004B0E20"/>
    <w:rsid w:val="004B0FC5"/>
    <w:rsid w:val="004B1217"/>
    <w:rsid w:val="004B1845"/>
    <w:rsid w:val="004B1F0E"/>
    <w:rsid w:val="004B229C"/>
    <w:rsid w:val="004B26E7"/>
    <w:rsid w:val="004B2721"/>
    <w:rsid w:val="004B2AE0"/>
    <w:rsid w:val="004B2D99"/>
    <w:rsid w:val="004B308D"/>
    <w:rsid w:val="004B335F"/>
    <w:rsid w:val="004B39AE"/>
    <w:rsid w:val="004B3A17"/>
    <w:rsid w:val="004B3D51"/>
    <w:rsid w:val="004B3D6E"/>
    <w:rsid w:val="004B3F0E"/>
    <w:rsid w:val="004B40AB"/>
    <w:rsid w:val="004B43A4"/>
    <w:rsid w:val="004B44BF"/>
    <w:rsid w:val="004B4640"/>
    <w:rsid w:val="004B46F1"/>
    <w:rsid w:val="004B4F74"/>
    <w:rsid w:val="004B52B4"/>
    <w:rsid w:val="004B5875"/>
    <w:rsid w:val="004B5C8D"/>
    <w:rsid w:val="004B60A3"/>
    <w:rsid w:val="004B6232"/>
    <w:rsid w:val="004B668D"/>
    <w:rsid w:val="004B6883"/>
    <w:rsid w:val="004B6C67"/>
    <w:rsid w:val="004B6F02"/>
    <w:rsid w:val="004B6F19"/>
    <w:rsid w:val="004B6F45"/>
    <w:rsid w:val="004B733A"/>
    <w:rsid w:val="004B7485"/>
    <w:rsid w:val="004B772D"/>
    <w:rsid w:val="004B7C73"/>
    <w:rsid w:val="004C00BE"/>
    <w:rsid w:val="004C08A2"/>
    <w:rsid w:val="004C0F7F"/>
    <w:rsid w:val="004C14A6"/>
    <w:rsid w:val="004C1AB9"/>
    <w:rsid w:val="004C1EF9"/>
    <w:rsid w:val="004C20EB"/>
    <w:rsid w:val="004C2263"/>
    <w:rsid w:val="004C227F"/>
    <w:rsid w:val="004C23C4"/>
    <w:rsid w:val="004C2A2C"/>
    <w:rsid w:val="004C2EDF"/>
    <w:rsid w:val="004C3117"/>
    <w:rsid w:val="004C313A"/>
    <w:rsid w:val="004C33C0"/>
    <w:rsid w:val="004C3A25"/>
    <w:rsid w:val="004C3BB4"/>
    <w:rsid w:val="004C3FE0"/>
    <w:rsid w:val="004C4381"/>
    <w:rsid w:val="004C4A5D"/>
    <w:rsid w:val="004C4A76"/>
    <w:rsid w:val="004C57CB"/>
    <w:rsid w:val="004C5A70"/>
    <w:rsid w:val="004C5E2B"/>
    <w:rsid w:val="004C5F06"/>
    <w:rsid w:val="004C6049"/>
    <w:rsid w:val="004C62AE"/>
    <w:rsid w:val="004C675D"/>
    <w:rsid w:val="004C6941"/>
    <w:rsid w:val="004C69F6"/>
    <w:rsid w:val="004C6B7E"/>
    <w:rsid w:val="004C6CAA"/>
    <w:rsid w:val="004C6DD3"/>
    <w:rsid w:val="004C6E0D"/>
    <w:rsid w:val="004C7499"/>
    <w:rsid w:val="004C7630"/>
    <w:rsid w:val="004D013E"/>
    <w:rsid w:val="004D063E"/>
    <w:rsid w:val="004D085E"/>
    <w:rsid w:val="004D1A8C"/>
    <w:rsid w:val="004D1BD5"/>
    <w:rsid w:val="004D1CDF"/>
    <w:rsid w:val="004D2328"/>
    <w:rsid w:val="004D24CD"/>
    <w:rsid w:val="004D26A8"/>
    <w:rsid w:val="004D273F"/>
    <w:rsid w:val="004D2856"/>
    <w:rsid w:val="004D2ADA"/>
    <w:rsid w:val="004D2DAF"/>
    <w:rsid w:val="004D2F50"/>
    <w:rsid w:val="004D3519"/>
    <w:rsid w:val="004D4427"/>
    <w:rsid w:val="004D4FAB"/>
    <w:rsid w:val="004D52B4"/>
    <w:rsid w:val="004D52BF"/>
    <w:rsid w:val="004D555A"/>
    <w:rsid w:val="004D5708"/>
    <w:rsid w:val="004D5882"/>
    <w:rsid w:val="004D591C"/>
    <w:rsid w:val="004D5A8C"/>
    <w:rsid w:val="004D5AA8"/>
    <w:rsid w:val="004D6AE9"/>
    <w:rsid w:val="004D6D26"/>
    <w:rsid w:val="004D6D3F"/>
    <w:rsid w:val="004D73D8"/>
    <w:rsid w:val="004D7494"/>
    <w:rsid w:val="004D7652"/>
    <w:rsid w:val="004D7B5A"/>
    <w:rsid w:val="004D7B62"/>
    <w:rsid w:val="004E063D"/>
    <w:rsid w:val="004E0BB4"/>
    <w:rsid w:val="004E0BD3"/>
    <w:rsid w:val="004E0CBC"/>
    <w:rsid w:val="004E1432"/>
    <w:rsid w:val="004E1521"/>
    <w:rsid w:val="004E1FBF"/>
    <w:rsid w:val="004E25AF"/>
    <w:rsid w:val="004E27FC"/>
    <w:rsid w:val="004E2ACA"/>
    <w:rsid w:val="004E2D09"/>
    <w:rsid w:val="004E36D4"/>
    <w:rsid w:val="004E4494"/>
    <w:rsid w:val="004E4A9A"/>
    <w:rsid w:val="004E4E6D"/>
    <w:rsid w:val="004E50FA"/>
    <w:rsid w:val="004E522A"/>
    <w:rsid w:val="004E53F9"/>
    <w:rsid w:val="004E598D"/>
    <w:rsid w:val="004E5AC7"/>
    <w:rsid w:val="004E5C06"/>
    <w:rsid w:val="004E5F4C"/>
    <w:rsid w:val="004E60D2"/>
    <w:rsid w:val="004E60F4"/>
    <w:rsid w:val="004E61FB"/>
    <w:rsid w:val="004E663A"/>
    <w:rsid w:val="004E68E7"/>
    <w:rsid w:val="004E6C19"/>
    <w:rsid w:val="004E6DF8"/>
    <w:rsid w:val="004E7423"/>
    <w:rsid w:val="004E7714"/>
    <w:rsid w:val="004E7751"/>
    <w:rsid w:val="004E78B5"/>
    <w:rsid w:val="004E7B8F"/>
    <w:rsid w:val="004E7BC5"/>
    <w:rsid w:val="004F00AC"/>
    <w:rsid w:val="004F0137"/>
    <w:rsid w:val="004F03C8"/>
    <w:rsid w:val="004F03F3"/>
    <w:rsid w:val="004F06F2"/>
    <w:rsid w:val="004F195E"/>
    <w:rsid w:val="004F2086"/>
    <w:rsid w:val="004F22F2"/>
    <w:rsid w:val="004F2815"/>
    <w:rsid w:val="004F28D7"/>
    <w:rsid w:val="004F2942"/>
    <w:rsid w:val="004F2A76"/>
    <w:rsid w:val="004F2B64"/>
    <w:rsid w:val="004F2C14"/>
    <w:rsid w:val="004F310F"/>
    <w:rsid w:val="004F3189"/>
    <w:rsid w:val="004F356F"/>
    <w:rsid w:val="004F364E"/>
    <w:rsid w:val="004F36FB"/>
    <w:rsid w:val="004F3731"/>
    <w:rsid w:val="004F374B"/>
    <w:rsid w:val="004F37D8"/>
    <w:rsid w:val="004F3C0F"/>
    <w:rsid w:val="004F3EAF"/>
    <w:rsid w:val="004F46D1"/>
    <w:rsid w:val="004F4B7F"/>
    <w:rsid w:val="004F4D18"/>
    <w:rsid w:val="004F4DA4"/>
    <w:rsid w:val="004F4ED4"/>
    <w:rsid w:val="004F52B5"/>
    <w:rsid w:val="004F5412"/>
    <w:rsid w:val="004F542A"/>
    <w:rsid w:val="004F575B"/>
    <w:rsid w:val="004F5B4B"/>
    <w:rsid w:val="004F61E2"/>
    <w:rsid w:val="004F6DC1"/>
    <w:rsid w:val="004F7523"/>
    <w:rsid w:val="004F7A92"/>
    <w:rsid w:val="004F7B9E"/>
    <w:rsid w:val="004F7DE8"/>
    <w:rsid w:val="004F7F03"/>
    <w:rsid w:val="00500192"/>
    <w:rsid w:val="00500318"/>
    <w:rsid w:val="00500458"/>
    <w:rsid w:val="00500589"/>
    <w:rsid w:val="00500689"/>
    <w:rsid w:val="005008CD"/>
    <w:rsid w:val="00500A43"/>
    <w:rsid w:val="00500C6B"/>
    <w:rsid w:val="005010BD"/>
    <w:rsid w:val="005017A2"/>
    <w:rsid w:val="005019B4"/>
    <w:rsid w:val="00501E14"/>
    <w:rsid w:val="00502196"/>
    <w:rsid w:val="005021BD"/>
    <w:rsid w:val="00502666"/>
    <w:rsid w:val="005026DD"/>
    <w:rsid w:val="00502721"/>
    <w:rsid w:val="0050313D"/>
    <w:rsid w:val="0050349D"/>
    <w:rsid w:val="00503592"/>
    <w:rsid w:val="00503A1B"/>
    <w:rsid w:val="00503AA3"/>
    <w:rsid w:val="00503F6A"/>
    <w:rsid w:val="00503F8E"/>
    <w:rsid w:val="00503FB6"/>
    <w:rsid w:val="00504037"/>
    <w:rsid w:val="005040D3"/>
    <w:rsid w:val="00504364"/>
    <w:rsid w:val="00504664"/>
    <w:rsid w:val="0050475F"/>
    <w:rsid w:val="005047D7"/>
    <w:rsid w:val="005049B5"/>
    <w:rsid w:val="00504AF5"/>
    <w:rsid w:val="00504EEE"/>
    <w:rsid w:val="00505A9A"/>
    <w:rsid w:val="00505FFB"/>
    <w:rsid w:val="00506569"/>
    <w:rsid w:val="005067E5"/>
    <w:rsid w:val="005069E5"/>
    <w:rsid w:val="0050711A"/>
    <w:rsid w:val="00507206"/>
    <w:rsid w:val="005074FD"/>
    <w:rsid w:val="00507966"/>
    <w:rsid w:val="00507A21"/>
    <w:rsid w:val="0051037F"/>
    <w:rsid w:val="00510729"/>
    <w:rsid w:val="00511009"/>
    <w:rsid w:val="0051132A"/>
    <w:rsid w:val="00511349"/>
    <w:rsid w:val="005117D3"/>
    <w:rsid w:val="005122AE"/>
    <w:rsid w:val="0051273F"/>
    <w:rsid w:val="00512A5A"/>
    <w:rsid w:val="00512AAF"/>
    <w:rsid w:val="00512D92"/>
    <w:rsid w:val="00513013"/>
    <w:rsid w:val="0051306A"/>
    <w:rsid w:val="005130B5"/>
    <w:rsid w:val="00513153"/>
    <w:rsid w:val="00513214"/>
    <w:rsid w:val="00513886"/>
    <w:rsid w:val="00513898"/>
    <w:rsid w:val="00513B6A"/>
    <w:rsid w:val="00513D22"/>
    <w:rsid w:val="00513D2A"/>
    <w:rsid w:val="00513F07"/>
    <w:rsid w:val="00513FCF"/>
    <w:rsid w:val="005143D4"/>
    <w:rsid w:val="00514861"/>
    <w:rsid w:val="00514900"/>
    <w:rsid w:val="00514A77"/>
    <w:rsid w:val="00514CB4"/>
    <w:rsid w:val="00514F0B"/>
    <w:rsid w:val="005153BB"/>
    <w:rsid w:val="0051584C"/>
    <w:rsid w:val="0051651B"/>
    <w:rsid w:val="00516AC3"/>
    <w:rsid w:val="00516B48"/>
    <w:rsid w:val="00516BAA"/>
    <w:rsid w:val="00516BE0"/>
    <w:rsid w:val="00516E5B"/>
    <w:rsid w:val="00517431"/>
    <w:rsid w:val="005175A0"/>
    <w:rsid w:val="0052020C"/>
    <w:rsid w:val="00520485"/>
    <w:rsid w:val="00520511"/>
    <w:rsid w:val="005206A8"/>
    <w:rsid w:val="0052087B"/>
    <w:rsid w:val="00520EF9"/>
    <w:rsid w:val="005212A2"/>
    <w:rsid w:val="005215A0"/>
    <w:rsid w:val="00521AEA"/>
    <w:rsid w:val="0052256A"/>
    <w:rsid w:val="00522628"/>
    <w:rsid w:val="00522D92"/>
    <w:rsid w:val="005234B7"/>
    <w:rsid w:val="00523FE8"/>
    <w:rsid w:val="0052436B"/>
    <w:rsid w:val="005243E4"/>
    <w:rsid w:val="00524743"/>
    <w:rsid w:val="00524AB7"/>
    <w:rsid w:val="00525115"/>
    <w:rsid w:val="0052522B"/>
    <w:rsid w:val="005253E2"/>
    <w:rsid w:val="005257FF"/>
    <w:rsid w:val="00526CA4"/>
    <w:rsid w:val="00527417"/>
    <w:rsid w:val="00530153"/>
    <w:rsid w:val="005305D4"/>
    <w:rsid w:val="005307A3"/>
    <w:rsid w:val="00530880"/>
    <w:rsid w:val="005308BB"/>
    <w:rsid w:val="00531510"/>
    <w:rsid w:val="00531539"/>
    <w:rsid w:val="00531BE4"/>
    <w:rsid w:val="00532004"/>
    <w:rsid w:val="00532364"/>
    <w:rsid w:val="005327B9"/>
    <w:rsid w:val="00532B6D"/>
    <w:rsid w:val="00532D87"/>
    <w:rsid w:val="00533113"/>
    <w:rsid w:val="00533C69"/>
    <w:rsid w:val="00533E61"/>
    <w:rsid w:val="00534233"/>
    <w:rsid w:val="0053440D"/>
    <w:rsid w:val="00534453"/>
    <w:rsid w:val="005353F0"/>
    <w:rsid w:val="00535A55"/>
    <w:rsid w:val="00535B40"/>
    <w:rsid w:val="0053671B"/>
    <w:rsid w:val="00536878"/>
    <w:rsid w:val="00536AD2"/>
    <w:rsid w:val="00536AF7"/>
    <w:rsid w:val="00536B92"/>
    <w:rsid w:val="00536D6E"/>
    <w:rsid w:val="0053703D"/>
    <w:rsid w:val="005371E5"/>
    <w:rsid w:val="0053773E"/>
    <w:rsid w:val="00537910"/>
    <w:rsid w:val="005401D7"/>
    <w:rsid w:val="00540929"/>
    <w:rsid w:val="00540A8B"/>
    <w:rsid w:val="00540F28"/>
    <w:rsid w:val="00541385"/>
    <w:rsid w:val="005416D0"/>
    <w:rsid w:val="00541973"/>
    <w:rsid w:val="00542301"/>
    <w:rsid w:val="005423F5"/>
    <w:rsid w:val="0054259E"/>
    <w:rsid w:val="00542A09"/>
    <w:rsid w:val="00542D07"/>
    <w:rsid w:val="005439D6"/>
    <w:rsid w:val="00544143"/>
    <w:rsid w:val="00544662"/>
    <w:rsid w:val="00544D97"/>
    <w:rsid w:val="00544E62"/>
    <w:rsid w:val="00545012"/>
    <w:rsid w:val="00545A90"/>
    <w:rsid w:val="005465C0"/>
    <w:rsid w:val="00546933"/>
    <w:rsid w:val="00546986"/>
    <w:rsid w:val="00547433"/>
    <w:rsid w:val="005476BD"/>
    <w:rsid w:val="005477B5"/>
    <w:rsid w:val="005478DC"/>
    <w:rsid w:val="00547998"/>
    <w:rsid w:val="00547BB6"/>
    <w:rsid w:val="00547C61"/>
    <w:rsid w:val="00550005"/>
    <w:rsid w:val="00550076"/>
    <w:rsid w:val="0055012B"/>
    <w:rsid w:val="00550196"/>
    <w:rsid w:val="00550220"/>
    <w:rsid w:val="0055034B"/>
    <w:rsid w:val="005505AF"/>
    <w:rsid w:val="00550705"/>
    <w:rsid w:val="00550FE9"/>
    <w:rsid w:val="00551203"/>
    <w:rsid w:val="0055144A"/>
    <w:rsid w:val="005515AC"/>
    <w:rsid w:val="005516A4"/>
    <w:rsid w:val="00551761"/>
    <w:rsid w:val="00552F3A"/>
    <w:rsid w:val="005535AA"/>
    <w:rsid w:val="005535CA"/>
    <w:rsid w:val="00553A48"/>
    <w:rsid w:val="00553CC2"/>
    <w:rsid w:val="00553E52"/>
    <w:rsid w:val="00553F2B"/>
    <w:rsid w:val="005542F9"/>
    <w:rsid w:val="00554A12"/>
    <w:rsid w:val="00554D69"/>
    <w:rsid w:val="00555569"/>
    <w:rsid w:val="00555669"/>
    <w:rsid w:val="00555699"/>
    <w:rsid w:val="0055571A"/>
    <w:rsid w:val="0055584D"/>
    <w:rsid w:val="00555E6A"/>
    <w:rsid w:val="00556573"/>
    <w:rsid w:val="005568FF"/>
    <w:rsid w:val="00556CDC"/>
    <w:rsid w:val="00556D96"/>
    <w:rsid w:val="00560199"/>
    <w:rsid w:val="00560B95"/>
    <w:rsid w:val="0056126E"/>
    <w:rsid w:val="00561337"/>
    <w:rsid w:val="005615E7"/>
    <w:rsid w:val="00561B2B"/>
    <w:rsid w:val="00561C3A"/>
    <w:rsid w:val="00562285"/>
    <w:rsid w:val="005627D8"/>
    <w:rsid w:val="00562E1C"/>
    <w:rsid w:val="00563040"/>
    <w:rsid w:val="0056310A"/>
    <w:rsid w:val="00563577"/>
    <w:rsid w:val="005635CA"/>
    <w:rsid w:val="00563779"/>
    <w:rsid w:val="00563AA1"/>
    <w:rsid w:val="00563C7C"/>
    <w:rsid w:val="005640B7"/>
    <w:rsid w:val="005641FC"/>
    <w:rsid w:val="00564363"/>
    <w:rsid w:val="00564A3A"/>
    <w:rsid w:val="00564AA6"/>
    <w:rsid w:val="00565168"/>
    <w:rsid w:val="005653AD"/>
    <w:rsid w:val="00565462"/>
    <w:rsid w:val="00565AF5"/>
    <w:rsid w:val="00565CA0"/>
    <w:rsid w:val="00565D8F"/>
    <w:rsid w:val="00565DD8"/>
    <w:rsid w:val="00565E9C"/>
    <w:rsid w:val="005663EA"/>
    <w:rsid w:val="005664B7"/>
    <w:rsid w:val="0056671D"/>
    <w:rsid w:val="00566BA3"/>
    <w:rsid w:val="00566C6B"/>
    <w:rsid w:val="00566E04"/>
    <w:rsid w:val="00566E07"/>
    <w:rsid w:val="00566EED"/>
    <w:rsid w:val="00567180"/>
    <w:rsid w:val="005673FE"/>
    <w:rsid w:val="00567453"/>
    <w:rsid w:val="00567529"/>
    <w:rsid w:val="00567BC7"/>
    <w:rsid w:val="00567FA5"/>
    <w:rsid w:val="005701E6"/>
    <w:rsid w:val="0057020B"/>
    <w:rsid w:val="005702C7"/>
    <w:rsid w:val="00570893"/>
    <w:rsid w:val="0057098B"/>
    <w:rsid w:val="00570A9D"/>
    <w:rsid w:val="00570C9A"/>
    <w:rsid w:val="0057113C"/>
    <w:rsid w:val="0057191E"/>
    <w:rsid w:val="0057197F"/>
    <w:rsid w:val="00572016"/>
    <w:rsid w:val="00572133"/>
    <w:rsid w:val="005724BE"/>
    <w:rsid w:val="00572F4C"/>
    <w:rsid w:val="0057326F"/>
    <w:rsid w:val="00573AA7"/>
    <w:rsid w:val="00573BD1"/>
    <w:rsid w:val="00573E71"/>
    <w:rsid w:val="00573F9B"/>
    <w:rsid w:val="0057458D"/>
    <w:rsid w:val="0057474C"/>
    <w:rsid w:val="0057481F"/>
    <w:rsid w:val="0057498E"/>
    <w:rsid w:val="00574F1B"/>
    <w:rsid w:val="00575020"/>
    <w:rsid w:val="005752C5"/>
    <w:rsid w:val="00575350"/>
    <w:rsid w:val="00575663"/>
    <w:rsid w:val="00575C54"/>
    <w:rsid w:val="00575EEC"/>
    <w:rsid w:val="0057640D"/>
    <w:rsid w:val="00576762"/>
    <w:rsid w:val="0057787B"/>
    <w:rsid w:val="00577A6A"/>
    <w:rsid w:val="005806D3"/>
    <w:rsid w:val="005808C1"/>
    <w:rsid w:val="00580A62"/>
    <w:rsid w:val="00580F4E"/>
    <w:rsid w:val="00580F89"/>
    <w:rsid w:val="00581033"/>
    <w:rsid w:val="00581037"/>
    <w:rsid w:val="005810FF"/>
    <w:rsid w:val="00581557"/>
    <w:rsid w:val="00581807"/>
    <w:rsid w:val="00581901"/>
    <w:rsid w:val="005820AB"/>
    <w:rsid w:val="00582406"/>
    <w:rsid w:val="005828C5"/>
    <w:rsid w:val="00582B69"/>
    <w:rsid w:val="00582EAD"/>
    <w:rsid w:val="0058379D"/>
    <w:rsid w:val="00583B4D"/>
    <w:rsid w:val="00583B4E"/>
    <w:rsid w:val="00583D9B"/>
    <w:rsid w:val="00583F4C"/>
    <w:rsid w:val="00584219"/>
    <w:rsid w:val="005845E6"/>
    <w:rsid w:val="0058460E"/>
    <w:rsid w:val="00584ED3"/>
    <w:rsid w:val="005854E5"/>
    <w:rsid w:val="00585734"/>
    <w:rsid w:val="00585CFB"/>
    <w:rsid w:val="00585D6E"/>
    <w:rsid w:val="00585E31"/>
    <w:rsid w:val="00585ED8"/>
    <w:rsid w:val="0058654B"/>
    <w:rsid w:val="00586559"/>
    <w:rsid w:val="0058657E"/>
    <w:rsid w:val="00586EC0"/>
    <w:rsid w:val="0058705F"/>
    <w:rsid w:val="00587167"/>
    <w:rsid w:val="005871CC"/>
    <w:rsid w:val="0058786F"/>
    <w:rsid w:val="00587DFD"/>
    <w:rsid w:val="00587F14"/>
    <w:rsid w:val="00590193"/>
    <w:rsid w:val="00590A64"/>
    <w:rsid w:val="00590CE5"/>
    <w:rsid w:val="00590E44"/>
    <w:rsid w:val="005918EC"/>
    <w:rsid w:val="00591AFC"/>
    <w:rsid w:val="00591D1A"/>
    <w:rsid w:val="00591DF7"/>
    <w:rsid w:val="0059205E"/>
    <w:rsid w:val="00592951"/>
    <w:rsid w:val="005929B3"/>
    <w:rsid w:val="00592CD2"/>
    <w:rsid w:val="00592D23"/>
    <w:rsid w:val="005931D2"/>
    <w:rsid w:val="00593334"/>
    <w:rsid w:val="0059378B"/>
    <w:rsid w:val="00593814"/>
    <w:rsid w:val="00593952"/>
    <w:rsid w:val="00593DC6"/>
    <w:rsid w:val="00593EF8"/>
    <w:rsid w:val="0059404D"/>
    <w:rsid w:val="00594844"/>
    <w:rsid w:val="0059489A"/>
    <w:rsid w:val="00594B25"/>
    <w:rsid w:val="005952D3"/>
    <w:rsid w:val="005958FF"/>
    <w:rsid w:val="005962CA"/>
    <w:rsid w:val="0059663C"/>
    <w:rsid w:val="00596FEE"/>
    <w:rsid w:val="00596FF9"/>
    <w:rsid w:val="00597709"/>
    <w:rsid w:val="005978C0"/>
    <w:rsid w:val="00597BD7"/>
    <w:rsid w:val="00597DE7"/>
    <w:rsid w:val="005A0196"/>
    <w:rsid w:val="005A047A"/>
    <w:rsid w:val="005A09FD"/>
    <w:rsid w:val="005A0A0D"/>
    <w:rsid w:val="005A0F86"/>
    <w:rsid w:val="005A1021"/>
    <w:rsid w:val="005A1C45"/>
    <w:rsid w:val="005A21F4"/>
    <w:rsid w:val="005A2289"/>
    <w:rsid w:val="005A2716"/>
    <w:rsid w:val="005A277E"/>
    <w:rsid w:val="005A27CB"/>
    <w:rsid w:val="005A2B15"/>
    <w:rsid w:val="005A2CFF"/>
    <w:rsid w:val="005A3A4E"/>
    <w:rsid w:val="005A3B3E"/>
    <w:rsid w:val="005A3DCB"/>
    <w:rsid w:val="005A43C4"/>
    <w:rsid w:val="005A46E2"/>
    <w:rsid w:val="005A4966"/>
    <w:rsid w:val="005A4FB8"/>
    <w:rsid w:val="005A580B"/>
    <w:rsid w:val="005A58DC"/>
    <w:rsid w:val="005A5964"/>
    <w:rsid w:val="005A62F9"/>
    <w:rsid w:val="005A63A8"/>
    <w:rsid w:val="005A6AB7"/>
    <w:rsid w:val="005A7231"/>
    <w:rsid w:val="005A74AC"/>
    <w:rsid w:val="005A799E"/>
    <w:rsid w:val="005A7BE7"/>
    <w:rsid w:val="005B040B"/>
    <w:rsid w:val="005B07F8"/>
    <w:rsid w:val="005B09EB"/>
    <w:rsid w:val="005B0E1A"/>
    <w:rsid w:val="005B159F"/>
    <w:rsid w:val="005B1749"/>
    <w:rsid w:val="005B1992"/>
    <w:rsid w:val="005B1D5F"/>
    <w:rsid w:val="005B1E85"/>
    <w:rsid w:val="005B1FB7"/>
    <w:rsid w:val="005B212A"/>
    <w:rsid w:val="005B2D40"/>
    <w:rsid w:val="005B364C"/>
    <w:rsid w:val="005B47B1"/>
    <w:rsid w:val="005B538F"/>
    <w:rsid w:val="005B542A"/>
    <w:rsid w:val="005B56A8"/>
    <w:rsid w:val="005B56E9"/>
    <w:rsid w:val="005B57B9"/>
    <w:rsid w:val="005B5B33"/>
    <w:rsid w:val="005B5EA5"/>
    <w:rsid w:val="005B658E"/>
    <w:rsid w:val="005B6854"/>
    <w:rsid w:val="005B6B04"/>
    <w:rsid w:val="005B6B22"/>
    <w:rsid w:val="005B6E4E"/>
    <w:rsid w:val="005B71E3"/>
    <w:rsid w:val="005B7B1A"/>
    <w:rsid w:val="005C0DAF"/>
    <w:rsid w:val="005C1816"/>
    <w:rsid w:val="005C1E38"/>
    <w:rsid w:val="005C1E85"/>
    <w:rsid w:val="005C26E2"/>
    <w:rsid w:val="005C28E8"/>
    <w:rsid w:val="005C2CD3"/>
    <w:rsid w:val="005C2E04"/>
    <w:rsid w:val="005C2E61"/>
    <w:rsid w:val="005C3386"/>
    <w:rsid w:val="005C3A16"/>
    <w:rsid w:val="005C3B66"/>
    <w:rsid w:val="005C3BB7"/>
    <w:rsid w:val="005C3EF5"/>
    <w:rsid w:val="005C3F9D"/>
    <w:rsid w:val="005C424B"/>
    <w:rsid w:val="005C437A"/>
    <w:rsid w:val="005C43D5"/>
    <w:rsid w:val="005C46A4"/>
    <w:rsid w:val="005C4789"/>
    <w:rsid w:val="005C4988"/>
    <w:rsid w:val="005C49EA"/>
    <w:rsid w:val="005C542F"/>
    <w:rsid w:val="005C56EB"/>
    <w:rsid w:val="005C639B"/>
    <w:rsid w:val="005C63EA"/>
    <w:rsid w:val="005C660B"/>
    <w:rsid w:val="005C66D0"/>
    <w:rsid w:val="005C6C6C"/>
    <w:rsid w:val="005C6CB1"/>
    <w:rsid w:val="005D02DD"/>
    <w:rsid w:val="005D0C2E"/>
    <w:rsid w:val="005D0D40"/>
    <w:rsid w:val="005D1297"/>
    <w:rsid w:val="005D12CC"/>
    <w:rsid w:val="005D15AB"/>
    <w:rsid w:val="005D1C18"/>
    <w:rsid w:val="005D21B8"/>
    <w:rsid w:val="005D2666"/>
    <w:rsid w:val="005D2700"/>
    <w:rsid w:val="005D2E74"/>
    <w:rsid w:val="005D313B"/>
    <w:rsid w:val="005D3322"/>
    <w:rsid w:val="005D35DA"/>
    <w:rsid w:val="005D3751"/>
    <w:rsid w:val="005D3BC1"/>
    <w:rsid w:val="005D3BC3"/>
    <w:rsid w:val="005D3C93"/>
    <w:rsid w:val="005D3D8C"/>
    <w:rsid w:val="005D3E04"/>
    <w:rsid w:val="005D44D5"/>
    <w:rsid w:val="005D4AE4"/>
    <w:rsid w:val="005D4B96"/>
    <w:rsid w:val="005D4C02"/>
    <w:rsid w:val="005D52F0"/>
    <w:rsid w:val="005D5588"/>
    <w:rsid w:val="005D59E8"/>
    <w:rsid w:val="005D6218"/>
    <w:rsid w:val="005D691E"/>
    <w:rsid w:val="005D6AE7"/>
    <w:rsid w:val="005D71A2"/>
    <w:rsid w:val="005D71D0"/>
    <w:rsid w:val="005E08EA"/>
    <w:rsid w:val="005E0A7E"/>
    <w:rsid w:val="005E0CD4"/>
    <w:rsid w:val="005E0FF0"/>
    <w:rsid w:val="005E172E"/>
    <w:rsid w:val="005E188C"/>
    <w:rsid w:val="005E1903"/>
    <w:rsid w:val="005E1A2A"/>
    <w:rsid w:val="005E2173"/>
    <w:rsid w:val="005E2460"/>
    <w:rsid w:val="005E2AA8"/>
    <w:rsid w:val="005E304F"/>
    <w:rsid w:val="005E3188"/>
    <w:rsid w:val="005E3347"/>
    <w:rsid w:val="005E3D4E"/>
    <w:rsid w:val="005E3E2D"/>
    <w:rsid w:val="005E412A"/>
    <w:rsid w:val="005E43CB"/>
    <w:rsid w:val="005E46F8"/>
    <w:rsid w:val="005E48D8"/>
    <w:rsid w:val="005E544F"/>
    <w:rsid w:val="005E58FF"/>
    <w:rsid w:val="005E61F5"/>
    <w:rsid w:val="005E625E"/>
    <w:rsid w:val="005E69D4"/>
    <w:rsid w:val="005E72F4"/>
    <w:rsid w:val="005E77ED"/>
    <w:rsid w:val="005E78A3"/>
    <w:rsid w:val="005E7B94"/>
    <w:rsid w:val="005F0030"/>
    <w:rsid w:val="005F04BD"/>
    <w:rsid w:val="005F04E4"/>
    <w:rsid w:val="005F0649"/>
    <w:rsid w:val="005F1263"/>
    <w:rsid w:val="005F1675"/>
    <w:rsid w:val="005F1C89"/>
    <w:rsid w:val="005F242A"/>
    <w:rsid w:val="005F28F9"/>
    <w:rsid w:val="005F2B09"/>
    <w:rsid w:val="005F2FD2"/>
    <w:rsid w:val="005F30C1"/>
    <w:rsid w:val="005F3471"/>
    <w:rsid w:val="005F37EF"/>
    <w:rsid w:val="005F38C8"/>
    <w:rsid w:val="005F3BFD"/>
    <w:rsid w:val="005F4284"/>
    <w:rsid w:val="005F455E"/>
    <w:rsid w:val="005F4660"/>
    <w:rsid w:val="005F4A5C"/>
    <w:rsid w:val="005F4F76"/>
    <w:rsid w:val="005F4FE9"/>
    <w:rsid w:val="005F545F"/>
    <w:rsid w:val="005F5D78"/>
    <w:rsid w:val="005F61C7"/>
    <w:rsid w:val="005F6236"/>
    <w:rsid w:val="005F62F2"/>
    <w:rsid w:val="005F64AA"/>
    <w:rsid w:val="005F672A"/>
    <w:rsid w:val="005F6924"/>
    <w:rsid w:val="005F6BA2"/>
    <w:rsid w:val="005F7365"/>
    <w:rsid w:val="005F73A3"/>
    <w:rsid w:val="005F73D5"/>
    <w:rsid w:val="005F7634"/>
    <w:rsid w:val="005F7760"/>
    <w:rsid w:val="005F7FBB"/>
    <w:rsid w:val="0060001D"/>
    <w:rsid w:val="0060068E"/>
    <w:rsid w:val="006007EC"/>
    <w:rsid w:val="0060081E"/>
    <w:rsid w:val="006008A5"/>
    <w:rsid w:val="006008BD"/>
    <w:rsid w:val="00600A13"/>
    <w:rsid w:val="00600E41"/>
    <w:rsid w:val="00600F0D"/>
    <w:rsid w:val="0060152F"/>
    <w:rsid w:val="006017F8"/>
    <w:rsid w:val="00601890"/>
    <w:rsid w:val="006019F4"/>
    <w:rsid w:val="00601A3F"/>
    <w:rsid w:val="00601E71"/>
    <w:rsid w:val="006026E0"/>
    <w:rsid w:val="006027C0"/>
    <w:rsid w:val="006039AA"/>
    <w:rsid w:val="006039BA"/>
    <w:rsid w:val="006039DD"/>
    <w:rsid w:val="00603CE8"/>
    <w:rsid w:val="00603EC6"/>
    <w:rsid w:val="00603F52"/>
    <w:rsid w:val="0060450C"/>
    <w:rsid w:val="00604B4C"/>
    <w:rsid w:val="00604D12"/>
    <w:rsid w:val="006051BF"/>
    <w:rsid w:val="00605A86"/>
    <w:rsid w:val="00605ECF"/>
    <w:rsid w:val="0060640A"/>
    <w:rsid w:val="0060670F"/>
    <w:rsid w:val="006067BE"/>
    <w:rsid w:val="00606864"/>
    <w:rsid w:val="00606C29"/>
    <w:rsid w:val="00606E4C"/>
    <w:rsid w:val="00606F9A"/>
    <w:rsid w:val="00607178"/>
    <w:rsid w:val="006074CE"/>
    <w:rsid w:val="006077C5"/>
    <w:rsid w:val="0060797D"/>
    <w:rsid w:val="00607B66"/>
    <w:rsid w:val="00607C05"/>
    <w:rsid w:val="00607CF2"/>
    <w:rsid w:val="00607CFE"/>
    <w:rsid w:val="00607DAC"/>
    <w:rsid w:val="00610057"/>
    <w:rsid w:val="006104B2"/>
    <w:rsid w:val="006104EC"/>
    <w:rsid w:val="00610636"/>
    <w:rsid w:val="00610646"/>
    <w:rsid w:val="006107F0"/>
    <w:rsid w:val="00610FD3"/>
    <w:rsid w:val="00611193"/>
    <w:rsid w:val="006111E1"/>
    <w:rsid w:val="006114F7"/>
    <w:rsid w:val="00611523"/>
    <w:rsid w:val="00611544"/>
    <w:rsid w:val="0061169F"/>
    <w:rsid w:val="0061177E"/>
    <w:rsid w:val="00611CD7"/>
    <w:rsid w:val="00611D35"/>
    <w:rsid w:val="00611F0C"/>
    <w:rsid w:val="00611FB4"/>
    <w:rsid w:val="00612169"/>
    <w:rsid w:val="00612A69"/>
    <w:rsid w:val="006130F3"/>
    <w:rsid w:val="0061347C"/>
    <w:rsid w:val="006135E3"/>
    <w:rsid w:val="0061394B"/>
    <w:rsid w:val="00613E2F"/>
    <w:rsid w:val="00613F4D"/>
    <w:rsid w:val="006142DD"/>
    <w:rsid w:val="006155C3"/>
    <w:rsid w:val="00615D11"/>
    <w:rsid w:val="00615D6F"/>
    <w:rsid w:val="00615DA6"/>
    <w:rsid w:val="006163BB"/>
    <w:rsid w:val="00616561"/>
    <w:rsid w:val="00616A70"/>
    <w:rsid w:val="00616B0F"/>
    <w:rsid w:val="00616D97"/>
    <w:rsid w:val="006177D0"/>
    <w:rsid w:val="00617869"/>
    <w:rsid w:val="006178F2"/>
    <w:rsid w:val="00617A35"/>
    <w:rsid w:val="00617CFB"/>
    <w:rsid w:val="006203F0"/>
    <w:rsid w:val="00620B5C"/>
    <w:rsid w:val="00620E1B"/>
    <w:rsid w:val="00620F20"/>
    <w:rsid w:val="00621870"/>
    <w:rsid w:val="00621D3C"/>
    <w:rsid w:val="00621E6D"/>
    <w:rsid w:val="00622263"/>
    <w:rsid w:val="006222E3"/>
    <w:rsid w:val="00622747"/>
    <w:rsid w:val="0062295E"/>
    <w:rsid w:val="00622A6A"/>
    <w:rsid w:val="00622C6D"/>
    <w:rsid w:val="00622CE8"/>
    <w:rsid w:val="00622F2A"/>
    <w:rsid w:val="00622F6F"/>
    <w:rsid w:val="00623492"/>
    <w:rsid w:val="006239C1"/>
    <w:rsid w:val="00623A50"/>
    <w:rsid w:val="00623B58"/>
    <w:rsid w:val="00623BA8"/>
    <w:rsid w:val="00624217"/>
    <w:rsid w:val="006258D4"/>
    <w:rsid w:val="00625F5E"/>
    <w:rsid w:val="00626681"/>
    <w:rsid w:val="0062674A"/>
    <w:rsid w:val="00626A54"/>
    <w:rsid w:val="00626FFB"/>
    <w:rsid w:val="00627729"/>
    <w:rsid w:val="00630287"/>
    <w:rsid w:val="00630554"/>
    <w:rsid w:val="00630A96"/>
    <w:rsid w:val="00630F52"/>
    <w:rsid w:val="0063145A"/>
    <w:rsid w:val="006318FD"/>
    <w:rsid w:val="00631CE7"/>
    <w:rsid w:val="00631DAD"/>
    <w:rsid w:val="006320C1"/>
    <w:rsid w:val="00632211"/>
    <w:rsid w:val="00632257"/>
    <w:rsid w:val="006324DB"/>
    <w:rsid w:val="00632F20"/>
    <w:rsid w:val="00632F36"/>
    <w:rsid w:val="006334D3"/>
    <w:rsid w:val="006336BF"/>
    <w:rsid w:val="0063371A"/>
    <w:rsid w:val="00633828"/>
    <w:rsid w:val="00633B7A"/>
    <w:rsid w:val="0063441A"/>
    <w:rsid w:val="00634483"/>
    <w:rsid w:val="006344FA"/>
    <w:rsid w:val="00634609"/>
    <w:rsid w:val="00634C8C"/>
    <w:rsid w:val="00635272"/>
    <w:rsid w:val="006356DF"/>
    <w:rsid w:val="006356E3"/>
    <w:rsid w:val="00635742"/>
    <w:rsid w:val="006357C9"/>
    <w:rsid w:val="00635A49"/>
    <w:rsid w:val="00635B95"/>
    <w:rsid w:val="00636043"/>
    <w:rsid w:val="006364F7"/>
    <w:rsid w:val="006369E9"/>
    <w:rsid w:val="00636AC6"/>
    <w:rsid w:val="00636BED"/>
    <w:rsid w:val="00636F11"/>
    <w:rsid w:val="00637609"/>
    <w:rsid w:val="00637BBF"/>
    <w:rsid w:val="00637DB2"/>
    <w:rsid w:val="00637E93"/>
    <w:rsid w:val="00640D22"/>
    <w:rsid w:val="0064109B"/>
    <w:rsid w:val="00641114"/>
    <w:rsid w:val="00641511"/>
    <w:rsid w:val="00641748"/>
    <w:rsid w:val="0064191E"/>
    <w:rsid w:val="006419C0"/>
    <w:rsid w:val="00641C88"/>
    <w:rsid w:val="00641CB0"/>
    <w:rsid w:val="00641D52"/>
    <w:rsid w:val="00641DFE"/>
    <w:rsid w:val="00641ED0"/>
    <w:rsid w:val="00642421"/>
    <w:rsid w:val="00642811"/>
    <w:rsid w:val="00642E8E"/>
    <w:rsid w:val="00643282"/>
    <w:rsid w:val="00643B8D"/>
    <w:rsid w:val="006443E1"/>
    <w:rsid w:val="006445AD"/>
    <w:rsid w:val="006448F4"/>
    <w:rsid w:val="0064507E"/>
    <w:rsid w:val="006451D0"/>
    <w:rsid w:val="00646061"/>
    <w:rsid w:val="006463C3"/>
    <w:rsid w:val="00646736"/>
    <w:rsid w:val="00646B60"/>
    <w:rsid w:val="00646F2E"/>
    <w:rsid w:val="00647410"/>
    <w:rsid w:val="0064766D"/>
    <w:rsid w:val="00650308"/>
    <w:rsid w:val="006505A6"/>
    <w:rsid w:val="006506B9"/>
    <w:rsid w:val="006509CD"/>
    <w:rsid w:val="00650C5A"/>
    <w:rsid w:val="00650CDB"/>
    <w:rsid w:val="00650F8A"/>
    <w:rsid w:val="00651009"/>
    <w:rsid w:val="00651239"/>
    <w:rsid w:val="006512D9"/>
    <w:rsid w:val="0065151A"/>
    <w:rsid w:val="00651999"/>
    <w:rsid w:val="00651D5F"/>
    <w:rsid w:val="00651FE4"/>
    <w:rsid w:val="00652F67"/>
    <w:rsid w:val="006531AA"/>
    <w:rsid w:val="00653B1B"/>
    <w:rsid w:val="00653B99"/>
    <w:rsid w:val="006542F6"/>
    <w:rsid w:val="00654620"/>
    <w:rsid w:val="0065529C"/>
    <w:rsid w:val="00655504"/>
    <w:rsid w:val="00655DF1"/>
    <w:rsid w:val="00655E96"/>
    <w:rsid w:val="00656089"/>
    <w:rsid w:val="00656477"/>
    <w:rsid w:val="006566F5"/>
    <w:rsid w:val="006568DC"/>
    <w:rsid w:val="006575A7"/>
    <w:rsid w:val="00657E03"/>
    <w:rsid w:val="00657E9B"/>
    <w:rsid w:val="00657F69"/>
    <w:rsid w:val="0066034F"/>
    <w:rsid w:val="00660650"/>
    <w:rsid w:val="0066072A"/>
    <w:rsid w:val="006608BC"/>
    <w:rsid w:val="00660A56"/>
    <w:rsid w:val="00660F61"/>
    <w:rsid w:val="006610EF"/>
    <w:rsid w:val="00661269"/>
    <w:rsid w:val="006615FB"/>
    <w:rsid w:val="0066174B"/>
    <w:rsid w:val="0066194A"/>
    <w:rsid w:val="00661B19"/>
    <w:rsid w:val="006620F9"/>
    <w:rsid w:val="0066236C"/>
    <w:rsid w:val="00662B04"/>
    <w:rsid w:val="00662B32"/>
    <w:rsid w:val="00662CF9"/>
    <w:rsid w:val="0066320B"/>
    <w:rsid w:val="00663AF1"/>
    <w:rsid w:val="00663D4E"/>
    <w:rsid w:val="00664075"/>
    <w:rsid w:val="0066570D"/>
    <w:rsid w:val="006657CA"/>
    <w:rsid w:val="006658F8"/>
    <w:rsid w:val="00665B44"/>
    <w:rsid w:val="00665B70"/>
    <w:rsid w:val="00665C8E"/>
    <w:rsid w:val="00665EFC"/>
    <w:rsid w:val="00666162"/>
    <w:rsid w:val="006662CC"/>
    <w:rsid w:val="006664E8"/>
    <w:rsid w:val="00666B52"/>
    <w:rsid w:val="00667016"/>
    <w:rsid w:val="00667343"/>
    <w:rsid w:val="00667458"/>
    <w:rsid w:val="006676B1"/>
    <w:rsid w:val="00667E68"/>
    <w:rsid w:val="00670115"/>
    <w:rsid w:val="006702E4"/>
    <w:rsid w:val="00670D17"/>
    <w:rsid w:val="00670EBB"/>
    <w:rsid w:val="00671154"/>
    <w:rsid w:val="0067129B"/>
    <w:rsid w:val="00671371"/>
    <w:rsid w:val="006720CC"/>
    <w:rsid w:val="006720D8"/>
    <w:rsid w:val="006720EA"/>
    <w:rsid w:val="00672CEF"/>
    <w:rsid w:val="00672F1B"/>
    <w:rsid w:val="006730D3"/>
    <w:rsid w:val="00673285"/>
    <w:rsid w:val="006736FE"/>
    <w:rsid w:val="006738E0"/>
    <w:rsid w:val="00673C98"/>
    <w:rsid w:val="00673F58"/>
    <w:rsid w:val="006740CC"/>
    <w:rsid w:val="00674584"/>
    <w:rsid w:val="0067478C"/>
    <w:rsid w:val="00674898"/>
    <w:rsid w:val="00674921"/>
    <w:rsid w:val="006749B7"/>
    <w:rsid w:val="00674B94"/>
    <w:rsid w:val="00674C00"/>
    <w:rsid w:val="00674E07"/>
    <w:rsid w:val="00674F2D"/>
    <w:rsid w:val="006757AD"/>
    <w:rsid w:val="00675968"/>
    <w:rsid w:val="00675EC2"/>
    <w:rsid w:val="00675F7A"/>
    <w:rsid w:val="006763CF"/>
    <w:rsid w:val="006768B6"/>
    <w:rsid w:val="00677476"/>
    <w:rsid w:val="0067785A"/>
    <w:rsid w:val="00677AAE"/>
    <w:rsid w:val="00677CF9"/>
    <w:rsid w:val="006803BB"/>
    <w:rsid w:val="00680DF3"/>
    <w:rsid w:val="00680E60"/>
    <w:rsid w:val="00680F3D"/>
    <w:rsid w:val="00680F4D"/>
    <w:rsid w:val="006813DB"/>
    <w:rsid w:val="006817F4"/>
    <w:rsid w:val="006819FF"/>
    <w:rsid w:val="00681C8D"/>
    <w:rsid w:val="00681EC1"/>
    <w:rsid w:val="00681F26"/>
    <w:rsid w:val="00682AF3"/>
    <w:rsid w:val="00682CDC"/>
    <w:rsid w:val="00682DED"/>
    <w:rsid w:val="006838F2"/>
    <w:rsid w:val="00684344"/>
    <w:rsid w:val="00684640"/>
    <w:rsid w:val="00684AB8"/>
    <w:rsid w:val="00684B88"/>
    <w:rsid w:val="00685376"/>
    <w:rsid w:val="006854A5"/>
    <w:rsid w:val="00685797"/>
    <w:rsid w:val="00685855"/>
    <w:rsid w:val="00685CEE"/>
    <w:rsid w:val="00686058"/>
    <w:rsid w:val="0068612D"/>
    <w:rsid w:val="006861CF"/>
    <w:rsid w:val="00686324"/>
    <w:rsid w:val="00686476"/>
    <w:rsid w:val="0068693A"/>
    <w:rsid w:val="00686A0D"/>
    <w:rsid w:val="00686BD6"/>
    <w:rsid w:val="00686CD1"/>
    <w:rsid w:val="0068770A"/>
    <w:rsid w:val="006878B5"/>
    <w:rsid w:val="00687B5E"/>
    <w:rsid w:val="0069039B"/>
    <w:rsid w:val="00690683"/>
    <w:rsid w:val="00690990"/>
    <w:rsid w:val="00690A58"/>
    <w:rsid w:val="00690A83"/>
    <w:rsid w:val="00690F74"/>
    <w:rsid w:val="0069115D"/>
    <w:rsid w:val="00691348"/>
    <w:rsid w:val="00691F19"/>
    <w:rsid w:val="00691FAF"/>
    <w:rsid w:val="00692141"/>
    <w:rsid w:val="006922FA"/>
    <w:rsid w:val="00692433"/>
    <w:rsid w:val="00692A2E"/>
    <w:rsid w:val="00693D35"/>
    <w:rsid w:val="00693F5A"/>
    <w:rsid w:val="00693FAD"/>
    <w:rsid w:val="0069409B"/>
    <w:rsid w:val="006944CE"/>
    <w:rsid w:val="0069452D"/>
    <w:rsid w:val="00694680"/>
    <w:rsid w:val="006947A8"/>
    <w:rsid w:val="006947E6"/>
    <w:rsid w:val="006948F7"/>
    <w:rsid w:val="00694A70"/>
    <w:rsid w:val="00694B6F"/>
    <w:rsid w:val="00694BB5"/>
    <w:rsid w:val="00695629"/>
    <w:rsid w:val="0069567B"/>
    <w:rsid w:val="006957DC"/>
    <w:rsid w:val="00695B88"/>
    <w:rsid w:val="00695E47"/>
    <w:rsid w:val="006962C8"/>
    <w:rsid w:val="006966AF"/>
    <w:rsid w:val="00696951"/>
    <w:rsid w:val="00696FA5"/>
    <w:rsid w:val="00697042"/>
    <w:rsid w:val="006973ED"/>
    <w:rsid w:val="0069763A"/>
    <w:rsid w:val="00697923"/>
    <w:rsid w:val="00697ADE"/>
    <w:rsid w:val="006A01E3"/>
    <w:rsid w:val="006A0A53"/>
    <w:rsid w:val="006A0A8A"/>
    <w:rsid w:val="006A0EE1"/>
    <w:rsid w:val="006A14B0"/>
    <w:rsid w:val="006A1504"/>
    <w:rsid w:val="006A19A1"/>
    <w:rsid w:val="006A1B96"/>
    <w:rsid w:val="006A1BCD"/>
    <w:rsid w:val="006A1F2D"/>
    <w:rsid w:val="006A2592"/>
    <w:rsid w:val="006A2907"/>
    <w:rsid w:val="006A2F9F"/>
    <w:rsid w:val="006A30E7"/>
    <w:rsid w:val="006A3781"/>
    <w:rsid w:val="006A382D"/>
    <w:rsid w:val="006A384C"/>
    <w:rsid w:val="006A3CD2"/>
    <w:rsid w:val="006A4526"/>
    <w:rsid w:val="006A457C"/>
    <w:rsid w:val="006A48D7"/>
    <w:rsid w:val="006A5094"/>
    <w:rsid w:val="006A5095"/>
    <w:rsid w:val="006A516A"/>
    <w:rsid w:val="006A5405"/>
    <w:rsid w:val="006A5769"/>
    <w:rsid w:val="006A5CCD"/>
    <w:rsid w:val="006A5FBF"/>
    <w:rsid w:val="006A608A"/>
    <w:rsid w:val="006A68F8"/>
    <w:rsid w:val="006A6D18"/>
    <w:rsid w:val="006A70C2"/>
    <w:rsid w:val="006A7251"/>
    <w:rsid w:val="006A7CAE"/>
    <w:rsid w:val="006B037A"/>
    <w:rsid w:val="006B0408"/>
    <w:rsid w:val="006B0AFA"/>
    <w:rsid w:val="006B0CFE"/>
    <w:rsid w:val="006B0DE2"/>
    <w:rsid w:val="006B1537"/>
    <w:rsid w:val="006B1A89"/>
    <w:rsid w:val="006B1D5E"/>
    <w:rsid w:val="006B286A"/>
    <w:rsid w:val="006B3437"/>
    <w:rsid w:val="006B3497"/>
    <w:rsid w:val="006B3513"/>
    <w:rsid w:val="006B3656"/>
    <w:rsid w:val="006B36B1"/>
    <w:rsid w:val="006B36BE"/>
    <w:rsid w:val="006B37D9"/>
    <w:rsid w:val="006B38E0"/>
    <w:rsid w:val="006B3A87"/>
    <w:rsid w:val="006B3BF1"/>
    <w:rsid w:val="006B4337"/>
    <w:rsid w:val="006B443C"/>
    <w:rsid w:val="006B44C2"/>
    <w:rsid w:val="006B45FE"/>
    <w:rsid w:val="006B46E3"/>
    <w:rsid w:val="006B488E"/>
    <w:rsid w:val="006B4CED"/>
    <w:rsid w:val="006B5022"/>
    <w:rsid w:val="006B50A1"/>
    <w:rsid w:val="006B511E"/>
    <w:rsid w:val="006B5193"/>
    <w:rsid w:val="006B56B7"/>
    <w:rsid w:val="006B57A7"/>
    <w:rsid w:val="006B5F5F"/>
    <w:rsid w:val="006B60A3"/>
    <w:rsid w:val="006B6285"/>
    <w:rsid w:val="006B691F"/>
    <w:rsid w:val="006B6A6F"/>
    <w:rsid w:val="006B6CBE"/>
    <w:rsid w:val="006B70E7"/>
    <w:rsid w:val="006B7380"/>
    <w:rsid w:val="006B75DC"/>
    <w:rsid w:val="006B772C"/>
    <w:rsid w:val="006B7AC6"/>
    <w:rsid w:val="006B7FB7"/>
    <w:rsid w:val="006B7FE3"/>
    <w:rsid w:val="006C0989"/>
    <w:rsid w:val="006C0B33"/>
    <w:rsid w:val="006C0DCB"/>
    <w:rsid w:val="006C13EC"/>
    <w:rsid w:val="006C155B"/>
    <w:rsid w:val="006C1650"/>
    <w:rsid w:val="006C18FF"/>
    <w:rsid w:val="006C197E"/>
    <w:rsid w:val="006C20B6"/>
    <w:rsid w:val="006C245E"/>
    <w:rsid w:val="006C287F"/>
    <w:rsid w:val="006C3467"/>
    <w:rsid w:val="006C3638"/>
    <w:rsid w:val="006C38A8"/>
    <w:rsid w:val="006C3D68"/>
    <w:rsid w:val="006C3F38"/>
    <w:rsid w:val="006C3F39"/>
    <w:rsid w:val="006C415F"/>
    <w:rsid w:val="006C4547"/>
    <w:rsid w:val="006C47AB"/>
    <w:rsid w:val="006C49D7"/>
    <w:rsid w:val="006C5030"/>
    <w:rsid w:val="006C5214"/>
    <w:rsid w:val="006C56E6"/>
    <w:rsid w:val="006C5874"/>
    <w:rsid w:val="006C5DD2"/>
    <w:rsid w:val="006C5FC0"/>
    <w:rsid w:val="006C6243"/>
    <w:rsid w:val="006C6250"/>
    <w:rsid w:val="006C651F"/>
    <w:rsid w:val="006C656B"/>
    <w:rsid w:val="006C671A"/>
    <w:rsid w:val="006C6F24"/>
    <w:rsid w:val="006C7061"/>
    <w:rsid w:val="006D0193"/>
    <w:rsid w:val="006D01F5"/>
    <w:rsid w:val="006D03E1"/>
    <w:rsid w:val="006D0618"/>
    <w:rsid w:val="006D0973"/>
    <w:rsid w:val="006D0F04"/>
    <w:rsid w:val="006D0FDD"/>
    <w:rsid w:val="006D1319"/>
    <w:rsid w:val="006D147C"/>
    <w:rsid w:val="006D170D"/>
    <w:rsid w:val="006D1926"/>
    <w:rsid w:val="006D1AE2"/>
    <w:rsid w:val="006D1BCB"/>
    <w:rsid w:val="006D1E34"/>
    <w:rsid w:val="006D25A3"/>
    <w:rsid w:val="006D2896"/>
    <w:rsid w:val="006D28B1"/>
    <w:rsid w:val="006D2FCD"/>
    <w:rsid w:val="006D306C"/>
    <w:rsid w:val="006D35BD"/>
    <w:rsid w:val="006D35DB"/>
    <w:rsid w:val="006D372D"/>
    <w:rsid w:val="006D37D2"/>
    <w:rsid w:val="006D3C31"/>
    <w:rsid w:val="006D3E0F"/>
    <w:rsid w:val="006D3E91"/>
    <w:rsid w:val="006D41D6"/>
    <w:rsid w:val="006D44AB"/>
    <w:rsid w:val="006D48B9"/>
    <w:rsid w:val="006D4A88"/>
    <w:rsid w:val="006D4CFD"/>
    <w:rsid w:val="006D4E59"/>
    <w:rsid w:val="006D4ED8"/>
    <w:rsid w:val="006D4F8F"/>
    <w:rsid w:val="006D51BE"/>
    <w:rsid w:val="006D52EA"/>
    <w:rsid w:val="006D54DB"/>
    <w:rsid w:val="006D5D94"/>
    <w:rsid w:val="006D5DAD"/>
    <w:rsid w:val="006D73DB"/>
    <w:rsid w:val="006E02E3"/>
    <w:rsid w:val="006E0CF3"/>
    <w:rsid w:val="006E0FAB"/>
    <w:rsid w:val="006E11DF"/>
    <w:rsid w:val="006E1708"/>
    <w:rsid w:val="006E1972"/>
    <w:rsid w:val="006E1B78"/>
    <w:rsid w:val="006E1CCE"/>
    <w:rsid w:val="006E1EA3"/>
    <w:rsid w:val="006E1F89"/>
    <w:rsid w:val="006E2604"/>
    <w:rsid w:val="006E2988"/>
    <w:rsid w:val="006E2B0D"/>
    <w:rsid w:val="006E2ED6"/>
    <w:rsid w:val="006E2F4F"/>
    <w:rsid w:val="006E3598"/>
    <w:rsid w:val="006E363A"/>
    <w:rsid w:val="006E37AA"/>
    <w:rsid w:val="006E3BB1"/>
    <w:rsid w:val="006E4115"/>
    <w:rsid w:val="006E43BB"/>
    <w:rsid w:val="006E4AD4"/>
    <w:rsid w:val="006E4D04"/>
    <w:rsid w:val="006E53AF"/>
    <w:rsid w:val="006E5608"/>
    <w:rsid w:val="006E584A"/>
    <w:rsid w:val="006E5BD3"/>
    <w:rsid w:val="006E6002"/>
    <w:rsid w:val="006E619F"/>
    <w:rsid w:val="006E624D"/>
    <w:rsid w:val="006E6765"/>
    <w:rsid w:val="006E691A"/>
    <w:rsid w:val="006E6A0C"/>
    <w:rsid w:val="006E6A33"/>
    <w:rsid w:val="006E6B48"/>
    <w:rsid w:val="006E6C03"/>
    <w:rsid w:val="006E6D63"/>
    <w:rsid w:val="006E6F2C"/>
    <w:rsid w:val="006E6FF1"/>
    <w:rsid w:val="006E7180"/>
    <w:rsid w:val="006E721F"/>
    <w:rsid w:val="006E72AB"/>
    <w:rsid w:val="006E75F9"/>
    <w:rsid w:val="006E774A"/>
    <w:rsid w:val="006E7B58"/>
    <w:rsid w:val="006E7C93"/>
    <w:rsid w:val="006E7C95"/>
    <w:rsid w:val="006F04BD"/>
    <w:rsid w:val="006F1656"/>
    <w:rsid w:val="006F18B4"/>
    <w:rsid w:val="006F1DED"/>
    <w:rsid w:val="006F21A5"/>
    <w:rsid w:val="006F250E"/>
    <w:rsid w:val="006F27D9"/>
    <w:rsid w:val="006F27DA"/>
    <w:rsid w:val="006F2A01"/>
    <w:rsid w:val="006F2B3C"/>
    <w:rsid w:val="006F2B50"/>
    <w:rsid w:val="006F2D87"/>
    <w:rsid w:val="006F2ECF"/>
    <w:rsid w:val="006F3444"/>
    <w:rsid w:val="006F351E"/>
    <w:rsid w:val="006F354E"/>
    <w:rsid w:val="006F3779"/>
    <w:rsid w:val="006F3E5A"/>
    <w:rsid w:val="006F4220"/>
    <w:rsid w:val="006F433B"/>
    <w:rsid w:val="006F46E0"/>
    <w:rsid w:val="006F5054"/>
    <w:rsid w:val="006F5194"/>
    <w:rsid w:val="006F5319"/>
    <w:rsid w:val="006F556F"/>
    <w:rsid w:val="006F55F6"/>
    <w:rsid w:val="006F5B92"/>
    <w:rsid w:val="006F65AD"/>
    <w:rsid w:val="006F66D8"/>
    <w:rsid w:val="006F6BD5"/>
    <w:rsid w:val="006F6D37"/>
    <w:rsid w:val="006F7012"/>
    <w:rsid w:val="006F7104"/>
    <w:rsid w:val="006F7A5B"/>
    <w:rsid w:val="006F7B71"/>
    <w:rsid w:val="00700020"/>
    <w:rsid w:val="00700040"/>
    <w:rsid w:val="007005ED"/>
    <w:rsid w:val="0070090A"/>
    <w:rsid w:val="00700F09"/>
    <w:rsid w:val="00701020"/>
    <w:rsid w:val="007011BA"/>
    <w:rsid w:val="007011CA"/>
    <w:rsid w:val="00701467"/>
    <w:rsid w:val="007019EA"/>
    <w:rsid w:val="00701F3E"/>
    <w:rsid w:val="007027D3"/>
    <w:rsid w:val="00702F99"/>
    <w:rsid w:val="00702FDF"/>
    <w:rsid w:val="00703455"/>
    <w:rsid w:val="007039FB"/>
    <w:rsid w:val="00703CB5"/>
    <w:rsid w:val="00704174"/>
    <w:rsid w:val="007045F2"/>
    <w:rsid w:val="00704849"/>
    <w:rsid w:val="00704A07"/>
    <w:rsid w:val="00704BD1"/>
    <w:rsid w:val="00704C1B"/>
    <w:rsid w:val="00704F7F"/>
    <w:rsid w:val="00704F98"/>
    <w:rsid w:val="00704FD2"/>
    <w:rsid w:val="0070517F"/>
    <w:rsid w:val="00705190"/>
    <w:rsid w:val="007052FB"/>
    <w:rsid w:val="007058A5"/>
    <w:rsid w:val="00705B0A"/>
    <w:rsid w:val="00706286"/>
    <w:rsid w:val="00706656"/>
    <w:rsid w:val="00706CDC"/>
    <w:rsid w:val="00706D14"/>
    <w:rsid w:val="00706D16"/>
    <w:rsid w:val="00706DFF"/>
    <w:rsid w:val="00707575"/>
    <w:rsid w:val="00707868"/>
    <w:rsid w:val="007079B9"/>
    <w:rsid w:val="00707AAB"/>
    <w:rsid w:val="00707D68"/>
    <w:rsid w:val="007103D3"/>
    <w:rsid w:val="00710719"/>
    <w:rsid w:val="00710CCA"/>
    <w:rsid w:val="0071114F"/>
    <w:rsid w:val="007113CC"/>
    <w:rsid w:val="007113ED"/>
    <w:rsid w:val="00711CA7"/>
    <w:rsid w:val="00711DA3"/>
    <w:rsid w:val="00712060"/>
    <w:rsid w:val="00712277"/>
    <w:rsid w:val="0071228A"/>
    <w:rsid w:val="00712433"/>
    <w:rsid w:val="00712852"/>
    <w:rsid w:val="007128BF"/>
    <w:rsid w:val="00712FEC"/>
    <w:rsid w:val="007133FD"/>
    <w:rsid w:val="00714368"/>
    <w:rsid w:val="00714372"/>
    <w:rsid w:val="007145C1"/>
    <w:rsid w:val="00714635"/>
    <w:rsid w:val="00714715"/>
    <w:rsid w:val="00715639"/>
    <w:rsid w:val="0071579D"/>
    <w:rsid w:val="00715904"/>
    <w:rsid w:val="00715D21"/>
    <w:rsid w:val="00715DF2"/>
    <w:rsid w:val="00715F46"/>
    <w:rsid w:val="007164A3"/>
    <w:rsid w:val="007168D3"/>
    <w:rsid w:val="00716B9E"/>
    <w:rsid w:val="007170FF"/>
    <w:rsid w:val="0071713A"/>
    <w:rsid w:val="007173B3"/>
    <w:rsid w:val="00717478"/>
    <w:rsid w:val="0071751B"/>
    <w:rsid w:val="007177BF"/>
    <w:rsid w:val="00717A36"/>
    <w:rsid w:val="00717A64"/>
    <w:rsid w:val="00717AA7"/>
    <w:rsid w:val="00720E9A"/>
    <w:rsid w:val="00720F52"/>
    <w:rsid w:val="007213D0"/>
    <w:rsid w:val="007215B5"/>
    <w:rsid w:val="00721A02"/>
    <w:rsid w:val="00721BF0"/>
    <w:rsid w:val="00721CA1"/>
    <w:rsid w:val="00722010"/>
    <w:rsid w:val="007220F7"/>
    <w:rsid w:val="0072228E"/>
    <w:rsid w:val="00722328"/>
    <w:rsid w:val="007226E6"/>
    <w:rsid w:val="00722DAE"/>
    <w:rsid w:val="0072309A"/>
    <w:rsid w:val="007234AB"/>
    <w:rsid w:val="00723C4D"/>
    <w:rsid w:val="00724339"/>
    <w:rsid w:val="0072442F"/>
    <w:rsid w:val="00724623"/>
    <w:rsid w:val="0072483E"/>
    <w:rsid w:val="00724B21"/>
    <w:rsid w:val="00724D9D"/>
    <w:rsid w:val="00724E16"/>
    <w:rsid w:val="007256E5"/>
    <w:rsid w:val="007257E3"/>
    <w:rsid w:val="00725A9A"/>
    <w:rsid w:val="00725E20"/>
    <w:rsid w:val="00726441"/>
    <w:rsid w:val="00726D20"/>
    <w:rsid w:val="00727446"/>
    <w:rsid w:val="00727522"/>
    <w:rsid w:val="007276C8"/>
    <w:rsid w:val="00727F09"/>
    <w:rsid w:val="00730093"/>
    <w:rsid w:val="007308CC"/>
    <w:rsid w:val="007309ED"/>
    <w:rsid w:val="00731437"/>
    <w:rsid w:val="0073144F"/>
    <w:rsid w:val="00731776"/>
    <w:rsid w:val="00731DF4"/>
    <w:rsid w:val="00731F7D"/>
    <w:rsid w:val="00732389"/>
    <w:rsid w:val="00732488"/>
    <w:rsid w:val="00732912"/>
    <w:rsid w:val="00732D9E"/>
    <w:rsid w:val="00732ECD"/>
    <w:rsid w:val="007332E1"/>
    <w:rsid w:val="00733331"/>
    <w:rsid w:val="00733365"/>
    <w:rsid w:val="007336AA"/>
    <w:rsid w:val="007336F8"/>
    <w:rsid w:val="007339D7"/>
    <w:rsid w:val="00734391"/>
    <w:rsid w:val="00734F1F"/>
    <w:rsid w:val="00735607"/>
    <w:rsid w:val="007358B2"/>
    <w:rsid w:val="007359B3"/>
    <w:rsid w:val="00735C04"/>
    <w:rsid w:val="00735D19"/>
    <w:rsid w:val="00736006"/>
    <w:rsid w:val="0073629D"/>
    <w:rsid w:val="0073663C"/>
    <w:rsid w:val="00736BE5"/>
    <w:rsid w:val="00736BED"/>
    <w:rsid w:val="00736BF9"/>
    <w:rsid w:val="007372B2"/>
    <w:rsid w:val="00737BC7"/>
    <w:rsid w:val="00737F14"/>
    <w:rsid w:val="0074001F"/>
    <w:rsid w:val="00740AE3"/>
    <w:rsid w:val="00740DBD"/>
    <w:rsid w:val="00740F8A"/>
    <w:rsid w:val="0074142B"/>
    <w:rsid w:val="00741DDE"/>
    <w:rsid w:val="00741E10"/>
    <w:rsid w:val="007421C1"/>
    <w:rsid w:val="0074243B"/>
    <w:rsid w:val="0074268D"/>
    <w:rsid w:val="00742868"/>
    <w:rsid w:val="00743042"/>
    <w:rsid w:val="0074307C"/>
    <w:rsid w:val="0074325B"/>
    <w:rsid w:val="00743E8C"/>
    <w:rsid w:val="00744138"/>
    <w:rsid w:val="007447D4"/>
    <w:rsid w:val="00744A3C"/>
    <w:rsid w:val="00744C72"/>
    <w:rsid w:val="00744C85"/>
    <w:rsid w:val="007453B2"/>
    <w:rsid w:val="00745781"/>
    <w:rsid w:val="00745853"/>
    <w:rsid w:val="00745894"/>
    <w:rsid w:val="007458A1"/>
    <w:rsid w:val="00746385"/>
    <w:rsid w:val="007465CD"/>
    <w:rsid w:val="00746A02"/>
    <w:rsid w:val="00746A65"/>
    <w:rsid w:val="00747052"/>
    <w:rsid w:val="00747095"/>
    <w:rsid w:val="00747173"/>
    <w:rsid w:val="00747286"/>
    <w:rsid w:val="00747296"/>
    <w:rsid w:val="007472D2"/>
    <w:rsid w:val="007472EA"/>
    <w:rsid w:val="007474FC"/>
    <w:rsid w:val="007475B7"/>
    <w:rsid w:val="00747643"/>
    <w:rsid w:val="00747925"/>
    <w:rsid w:val="00747CB9"/>
    <w:rsid w:val="00747D8C"/>
    <w:rsid w:val="00747E21"/>
    <w:rsid w:val="00747E43"/>
    <w:rsid w:val="00750067"/>
    <w:rsid w:val="00750192"/>
    <w:rsid w:val="00750254"/>
    <w:rsid w:val="007508B8"/>
    <w:rsid w:val="00750FE3"/>
    <w:rsid w:val="00751660"/>
    <w:rsid w:val="00751956"/>
    <w:rsid w:val="00751A24"/>
    <w:rsid w:val="00751AB8"/>
    <w:rsid w:val="00751EE2"/>
    <w:rsid w:val="00751F02"/>
    <w:rsid w:val="00752700"/>
    <w:rsid w:val="00752799"/>
    <w:rsid w:val="00752804"/>
    <w:rsid w:val="00752A55"/>
    <w:rsid w:val="00752B55"/>
    <w:rsid w:val="00752B70"/>
    <w:rsid w:val="00753851"/>
    <w:rsid w:val="00753B20"/>
    <w:rsid w:val="00753CBF"/>
    <w:rsid w:val="007543DC"/>
    <w:rsid w:val="007545E0"/>
    <w:rsid w:val="00754A4C"/>
    <w:rsid w:val="00754BDF"/>
    <w:rsid w:val="00754C11"/>
    <w:rsid w:val="00754D80"/>
    <w:rsid w:val="00755053"/>
    <w:rsid w:val="0075649A"/>
    <w:rsid w:val="00756558"/>
    <w:rsid w:val="00756864"/>
    <w:rsid w:val="00756E05"/>
    <w:rsid w:val="007573D4"/>
    <w:rsid w:val="007576D0"/>
    <w:rsid w:val="00757BDE"/>
    <w:rsid w:val="007601A9"/>
    <w:rsid w:val="00760A4E"/>
    <w:rsid w:val="00760D0A"/>
    <w:rsid w:val="00760F2B"/>
    <w:rsid w:val="00761438"/>
    <w:rsid w:val="0076167D"/>
    <w:rsid w:val="00761767"/>
    <w:rsid w:val="007617DF"/>
    <w:rsid w:val="00761BD3"/>
    <w:rsid w:val="00761C1E"/>
    <w:rsid w:val="00762020"/>
    <w:rsid w:val="00762184"/>
    <w:rsid w:val="007624C2"/>
    <w:rsid w:val="00762550"/>
    <w:rsid w:val="0076295B"/>
    <w:rsid w:val="00762CFC"/>
    <w:rsid w:val="00763229"/>
    <w:rsid w:val="0076327E"/>
    <w:rsid w:val="0076330B"/>
    <w:rsid w:val="00763314"/>
    <w:rsid w:val="0076364B"/>
    <w:rsid w:val="007636F5"/>
    <w:rsid w:val="0076370D"/>
    <w:rsid w:val="00763900"/>
    <w:rsid w:val="00763BBB"/>
    <w:rsid w:val="00763CB5"/>
    <w:rsid w:val="0076405D"/>
    <w:rsid w:val="0076418B"/>
    <w:rsid w:val="00764ADF"/>
    <w:rsid w:val="00764D97"/>
    <w:rsid w:val="007652D6"/>
    <w:rsid w:val="00765B04"/>
    <w:rsid w:val="007661B9"/>
    <w:rsid w:val="007663EC"/>
    <w:rsid w:val="00766446"/>
    <w:rsid w:val="00766D74"/>
    <w:rsid w:val="00766E5F"/>
    <w:rsid w:val="00767827"/>
    <w:rsid w:val="00767949"/>
    <w:rsid w:val="007702B4"/>
    <w:rsid w:val="007706BC"/>
    <w:rsid w:val="00770716"/>
    <w:rsid w:val="0077077A"/>
    <w:rsid w:val="007709A3"/>
    <w:rsid w:val="007709F0"/>
    <w:rsid w:val="00770A3B"/>
    <w:rsid w:val="00770AC6"/>
    <w:rsid w:val="00770CE0"/>
    <w:rsid w:val="00770EBB"/>
    <w:rsid w:val="00770F17"/>
    <w:rsid w:val="007710F6"/>
    <w:rsid w:val="00771301"/>
    <w:rsid w:val="00771584"/>
    <w:rsid w:val="00771B76"/>
    <w:rsid w:val="00771D19"/>
    <w:rsid w:val="00771E33"/>
    <w:rsid w:val="00772840"/>
    <w:rsid w:val="00772E3D"/>
    <w:rsid w:val="00773397"/>
    <w:rsid w:val="007735F1"/>
    <w:rsid w:val="00773CD6"/>
    <w:rsid w:val="00773CFB"/>
    <w:rsid w:val="00773F09"/>
    <w:rsid w:val="00774723"/>
    <w:rsid w:val="00774992"/>
    <w:rsid w:val="00774F01"/>
    <w:rsid w:val="007752EE"/>
    <w:rsid w:val="00775688"/>
    <w:rsid w:val="00775B3A"/>
    <w:rsid w:val="007767AC"/>
    <w:rsid w:val="0077699F"/>
    <w:rsid w:val="00776A53"/>
    <w:rsid w:val="00776C15"/>
    <w:rsid w:val="00776D33"/>
    <w:rsid w:val="00776D4B"/>
    <w:rsid w:val="00777AF9"/>
    <w:rsid w:val="00777F22"/>
    <w:rsid w:val="0078053C"/>
    <w:rsid w:val="007805F8"/>
    <w:rsid w:val="00780C31"/>
    <w:rsid w:val="00781783"/>
    <w:rsid w:val="00781974"/>
    <w:rsid w:val="00781B08"/>
    <w:rsid w:val="00781C55"/>
    <w:rsid w:val="00782365"/>
    <w:rsid w:val="007826A4"/>
    <w:rsid w:val="00782783"/>
    <w:rsid w:val="00782A2E"/>
    <w:rsid w:val="00782C42"/>
    <w:rsid w:val="00782EF3"/>
    <w:rsid w:val="007834DB"/>
    <w:rsid w:val="007837DE"/>
    <w:rsid w:val="00783A4B"/>
    <w:rsid w:val="00783A6A"/>
    <w:rsid w:val="00783CA7"/>
    <w:rsid w:val="00784132"/>
    <w:rsid w:val="0078478A"/>
    <w:rsid w:val="00784A0F"/>
    <w:rsid w:val="00784A4E"/>
    <w:rsid w:val="00784B6A"/>
    <w:rsid w:val="00784E6F"/>
    <w:rsid w:val="0078506A"/>
    <w:rsid w:val="0078567C"/>
    <w:rsid w:val="007856BC"/>
    <w:rsid w:val="007858A1"/>
    <w:rsid w:val="0078590E"/>
    <w:rsid w:val="00785AAE"/>
    <w:rsid w:val="00785F2D"/>
    <w:rsid w:val="00785F63"/>
    <w:rsid w:val="0078659A"/>
    <w:rsid w:val="00786810"/>
    <w:rsid w:val="00786D70"/>
    <w:rsid w:val="00787141"/>
    <w:rsid w:val="00787561"/>
    <w:rsid w:val="007878CF"/>
    <w:rsid w:val="00787B8A"/>
    <w:rsid w:val="00787BEB"/>
    <w:rsid w:val="00787E09"/>
    <w:rsid w:val="00790518"/>
    <w:rsid w:val="0079054B"/>
    <w:rsid w:val="00790573"/>
    <w:rsid w:val="007906A8"/>
    <w:rsid w:val="007907CC"/>
    <w:rsid w:val="007908AC"/>
    <w:rsid w:val="007909A5"/>
    <w:rsid w:val="00790A24"/>
    <w:rsid w:val="00790A8A"/>
    <w:rsid w:val="00791AA5"/>
    <w:rsid w:val="00791B5F"/>
    <w:rsid w:val="007921AF"/>
    <w:rsid w:val="007921BA"/>
    <w:rsid w:val="00792358"/>
    <w:rsid w:val="007925C8"/>
    <w:rsid w:val="00792B70"/>
    <w:rsid w:val="00792D28"/>
    <w:rsid w:val="00792EE2"/>
    <w:rsid w:val="00793657"/>
    <w:rsid w:val="00793A36"/>
    <w:rsid w:val="00793DAC"/>
    <w:rsid w:val="007945B4"/>
    <w:rsid w:val="0079481F"/>
    <w:rsid w:val="00794880"/>
    <w:rsid w:val="007948EE"/>
    <w:rsid w:val="00794B0B"/>
    <w:rsid w:val="00794D12"/>
    <w:rsid w:val="00794EA5"/>
    <w:rsid w:val="00794ECD"/>
    <w:rsid w:val="007950E2"/>
    <w:rsid w:val="00795D26"/>
    <w:rsid w:val="007960BA"/>
    <w:rsid w:val="00796867"/>
    <w:rsid w:val="00796BDA"/>
    <w:rsid w:val="00796FB4"/>
    <w:rsid w:val="007971AF"/>
    <w:rsid w:val="007972BD"/>
    <w:rsid w:val="00797CE1"/>
    <w:rsid w:val="00797DBF"/>
    <w:rsid w:val="00797E66"/>
    <w:rsid w:val="007A018D"/>
    <w:rsid w:val="007A030E"/>
    <w:rsid w:val="007A0391"/>
    <w:rsid w:val="007A0464"/>
    <w:rsid w:val="007A069D"/>
    <w:rsid w:val="007A0767"/>
    <w:rsid w:val="007A0E07"/>
    <w:rsid w:val="007A147F"/>
    <w:rsid w:val="007A17DE"/>
    <w:rsid w:val="007A1BAA"/>
    <w:rsid w:val="007A1C19"/>
    <w:rsid w:val="007A2527"/>
    <w:rsid w:val="007A2757"/>
    <w:rsid w:val="007A2A65"/>
    <w:rsid w:val="007A2D8F"/>
    <w:rsid w:val="007A3740"/>
    <w:rsid w:val="007A3BA7"/>
    <w:rsid w:val="007A3DFE"/>
    <w:rsid w:val="007A41FA"/>
    <w:rsid w:val="007A44CE"/>
    <w:rsid w:val="007A4888"/>
    <w:rsid w:val="007A5009"/>
    <w:rsid w:val="007A505F"/>
    <w:rsid w:val="007A53EC"/>
    <w:rsid w:val="007A5E90"/>
    <w:rsid w:val="007A5EB0"/>
    <w:rsid w:val="007A60D4"/>
    <w:rsid w:val="007A65AA"/>
    <w:rsid w:val="007A6E62"/>
    <w:rsid w:val="007A76EF"/>
    <w:rsid w:val="007A78DE"/>
    <w:rsid w:val="007A790E"/>
    <w:rsid w:val="007A7944"/>
    <w:rsid w:val="007A7AE8"/>
    <w:rsid w:val="007A7E39"/>
    <w:rsid w:val="007A7E72"/>
    <w:rsid w:val="007B026E"/>
    <w:rsid w:val="007B0A4E"/>
    <w:rsid w:val="007B0DC0"/>
    <w:rsid w:val="007B0DE6"/>
    <w:rsid w:val="007B1032"/>
    <w:rsid w:val="007B1285"/>
    <w:rsid w:val="007B153E"/>
    <w:rsid w:val="007B19CD"/>
    <w:rsid w:val="007B1EFA"/>
    <w:rsid w:val="007B2172"/>
    <w:rsid w:val="007B284A"/>
    <w:rsid w:val="007B3554"/>
    <w:rsid w:val="007B3766"/>
    <w:rsid w:val="007B4229"/>
    <w:rsid w:val="007B424D"/>
    <w:rsid w:val="007B4E32"/>
    <w:rsid w:val="007B50BF"/>
    <w:rsid w:val="007B5104"/>
    <w:rsid w:val="007B51D7"/>
    <w:rsid w:val="007B5A6E"/>
    <w:rsid w:val="007B5DA9"/>
    <w:rsid w:val="007B6391"/>
    <w:rsid w:val="007B63AA"/>
    <w:rsid w:val="007B63DB"/>
    <w:rsid w:val="007B6906"/>
    <w:rsid w:val="007B6990"/>
    <w:rsid w:val="007B6CCE"/>
    <w:rsid w:val="007B6F0F"/>
    <w:rsid w:val="007B708B"/>
    <w:rsid w:val="007B71B3"/>
    <w:rsid w:val="007B720C"/>
    <w:rsid w:val="007B724E"/>
    <w:rsid w:val="007B75C1"/>
    <w:rsid w:val="007B7933"/>
    <w:rsid w:val="007B7F4B"/>
    <w:rsid w:val="007C024A"/>
    <w:rsid w:val="007C05A7"/>
    <w:rsid w:val="007C05E1"/>
    <w:rsid w:val="007C06C8"/>
    <w:rsid w:val="007C0A42"/>
    <w:rsid w:val="007C136F"/>
    <w:rsid w:val="007C13ED"/>
    <w:rsid w:val="007C15B0"/>
    <w:rsid w:val="007C164B"/>
    <w:rsid w:val="007C1951"/>
    <w:rsid w:val="007C1A89"/>
    <w:rsid w:val="007C1C66"/>
    <w:rsid w:val="007C22E7"/>
    <w:rsid w:val="007C276D"/>
    <w:rsid w:val="007C27E1"/>
    <w:rsid w:val="007C29AF"/>
    <w:rsid w:val="007C2B48"/>
    <w:rsid w:val="007C2F20"/>
    <w:rsid w:val="007C2F9D"/>
    <w:rsid w:val="007C36D3"/>
    <w:rsid w:val="007C36EB"/>
    <w:rsid w:val="007C3E48"/>
    <w:rsid w:val="007C42C1"/>
    <w:rsid w:val="007C431A"/>
    <w:rsid w:val="007C4334"/>
    <w:rsid w:val="007C552E"/>
    <w:rsid w:val="007C5646"/>
    <w:rsid w:val="007C5D20"/>
    <w:rsid w:val="007C618B"/>
    <w:rsid w:val="007C6355"/>
    <w:rsid w:val="007C65C1"/>
    <w:rsid w:val="007C6AB9"/>
    <w:rsid w:val="007C6BBA"/>
    <w:rsid w:val="007C6D10"/>
    <w:rsid w:val="007C7079"/>
    <w:rsid w:val="007C7752"/>
    <w:rsid w:val="007C7F12"/>
    <w:rsid w:val="007D03EF"/>
    <w:rsid w:val="007D056F"/>
    <w:rsid w:val="007D06E3"/>
    <w:rsid w:val="007D0738"/>
    <w:rsid w:val="007D0924"/>
    <w:rsid w:val="007D11C2"/>
    <w:rsid w:val="007D12BE"/>
    <w:rsid w:val="007D17F2"/>
    <w:rsid w:val="007D1A12"/>
    <w:rsid w:val="007D23DD"/>
    <w:rsid w:val="007D24B4"/>
    <w:rsid w:val="007D251E"/>
    <w:rsid w:val="007D296C"/>
    <w:rsid w:val="007D30E1"/>
    <w:rsid w:val="007D3123"/>
    <w:rsid w:val="007D3215"/>
    <w:rsid w:val="007D3270"/>
    <w:rsid w:val="007D34B4"/>
    <w:rsid w:val="007D3BD0"/>
    <w:rsid w:val="007D4115"/>
    <w:rsid w:val="007D497F"/>
    <w:rsid w:val="007D4C49"/>
    <w:rsid w:val="007D51EF"/>
    <w:rsid w:val="007D5653"/>
    <w:rsid w:val="007D571B"/>
    <w:rsid w:val="007D59C9"/>
    <w:rsid w:val="007D59F2"/>
    <w:rsid w:val="007D5FA6"/>
    <w:rsid w:val="007D60A0"/>
    <w:rsid w:val="007D68B7"/>
    <w:rsid w:val="007D6B92"/>
    <w:rsid w:val="007D70EA"/>
    <w:rsid w:val="007D768E"/>
    <w:rsid w:val="007D76DB"/>
    <w:rsid w:val="007D7BC2"/>
    <w:rsid w:val="007D7FFC"/>
    <w:rsid w:val="007E02FB"/>
    <w:rsid w:val="007E030D"/>
    <w:rsid w:val="007E0870"/>
    <w:rsid w:val="007E16E5"/>
    <w:rsid w:val="007E1D14"/>
    <w:rsid w:val="007E2878"/>
    <w:rsid w:val="007E33A0"/>
    <w:rsid w:val="007E377A"/>
    <w:rsid w:val="007E399B"/>
    <w:rsid w:val="007E3D89"/>
    <w:rsid w:val="007E3EB7"/>
    <w:rsid w:val="007E43D2"/>
    <w:rsid w:val="007E47BE"/>
    <w:rsid w:val="007E4B1B"/>
    <w:rsid w:val="007E4BE8"/>
    <w:rsid w:val="007E5062"/>
    <w:rsid w:val="007E5C38"/>
    <w:rsid w:val="007E5C89"/>
    <w:rsid w:val="007E5DD3"/>
    <w:rsid w:val="007E7673"/>
    <w:rsid w:val="007E7936"/>
    <w:rsid w:val="007E7A05"/>
    <w:rsid w:val="007E7C3C"/>
    <w:rsid w:val="007E7E9E"/>
    <w:rsid w:val="007F0809"/>
    <w:rsid w:val="007F0B9E"/>
    <w:rsid w:val="007F0D21"/>
    <w:rsid w:val="007F0F54"/>
    <w:rsid w:val="007F1526"/>
    <w:rsid w:val="007F17D1"/>
    <w:rsid w:val="007F1A74"/>
    <w:rsid w:val="007F1C50"/>
    <w:rsid w:val="007F1DE6"/>
    <w:rsid w:val="007F2042"/>
    <w:rsid w:val="007F20DB"/>
    <w:rsid w:val="007F22D0"/>
    <w:rsid w:val="007F25F1"/>
    <w:rsid w:val="007F2736"/>
    <w:rsid w:val="007F2AD9"/>
    <w:rsid w:val="007F2BAE"/>
    <w:rsid w:val="007F333B"/>
    <w:rsid w:val="007F3565"/>
    <w:rsid w:val="007F360E"/>
    <w:rsid w:val="007F3CDA"/>
    <w:rsid w:val="007F3DA0"/>
    <w:rsid w:val="007F4B53"/>
    <w:rsid w:val="007F4BB3"/>
    <w:rsid w:val="007F5886"/>
    <w:rsid w:val="007F5A22"/>
    <w:rsid w:val="007F5AB0"/>
    <w:rsid w:val="007F5C0F"/>
    <w:rsid w:val="007F5CC0"/>
    <w:rsid w:val="007F62CF"/>
    <w:rsid w:val="007F6354"/>
    <w:rsid w:val="007F642D"/>
    <w:rsid w:val="007F657B"/>
    <w:rsid w:val="007F65C0"/>
    <w:rsid w:val="007F6614"/>
    <w:rsid w:val="007F663B"/>
    <w:rsid w:val="007F6B14"/>
    <w:rsid w:val="007F6C3F"/>
    <w:rsid w:val="007F6E9A"/>
    <w:rsid w:val="007F71C6"/>
    <w:rsid w:val="007F72B5"/>
    <w:rsid w:val="007F7709"/>
    <w:rsid w:val="008006C6"/>
    <w:rsid w:val="008008C3"/>
    <w:rsid w:val="00801064"/>
    <w:rsid w:val="0080185D"/>
    <w:rsid w:val="00801AEB"/>
    <w:rsid w:val="00801D6C"/>
    <w:rsid w:val="00801D97"/>
    <w:rsid w:val="00801DBE"/>
    <w:rsid w:val="00803466"/>
    <w:rsid w:val="008035D8"/>
    <w:rsid w:val="00803778"/>
    <w:rsid w:val="00803C87"/>
    <w:rsid w:val="00803DFA"/>
    <w:rsid w:val="00804209"/>
    <w:rsid w:val="00804525"/>
    <w:rsid w:val="00804767"/>
    <w:rsid w:val="00804B41"/>
    <w:rsid w:val="008059E0"/>
    <w:rsid w:val="00805BCE"/>
    <w:rsid w:val="00806098"/>
    <w:rsid w:val="008066E9"/>
    <w:rsid w:val="00806807"/>
    <w:rsid w:val="0080702E"/>
    <w:rsid w:val="008071D4"/>
    <w:rsid w:val="00807445"/>
    <w:rsid w:val="008075DA"/>
    <w:rsid w:val="008078A9"/>
    <w:rsid w:val="0081044C"/>
    <w:rsid w:val="0081113C"/>
    <w:rsid w:val="00811165"/>
    <w:rsid w:val="008118BE"/>
    <w:rsid w:val="00811DF0"/>
    <w:rsid w:val="00811EF1"/>
    <w:rsid w:val="008120A4"/>
    <w:rsid w:val="00812376"/>
    <w:rsid w:val="00812883"/>
    <w:rsid w:val="00812C53"/>
    <w:rsid w:val="0081324A"/>
    <w:rsid w:val="00813507"/>
    <w:rsid w:val="00813AB6"/>
    <w:rsid w:val="008145A3"/>
    <w:rsid w:val="008145DD"/>
    <w:rsid w:val="008147A4"/>
    <w:rsid w:val="00814DCD"/>
    <w:rsid w:val="00814DED"/>
    <w:rsid w:val="008157CE"/>
    <w:rsid w:val="00816A14"/>
    <w:rsid w:val="0081723A"/>
    <w:rsid w:val="0081738F"/>
    <w:rsid w:val="00817641"/>
    <w:rsid w:val="008177C6"/>
    <w:rsid w:val="00817B01"/>
    <w:rsid w:val="00817F19"/>
    <w:rsid w:val="0082007F"/>
    <w:rsid w:val="008200C8"/>
    <w:rsid w:val="008203BA"/>
    <w:rsid w:val="008205DF"/>
    <w:rsid w:val="008208DA"/>
    <w:rsid w:val="008208F9"/>
    <w:rsid w:val="00820B05"/>
    <w:rsid w:val="00820C6A"/>
    <w:rsid w:val="00821223"/>
    <w:rsid w:val="00821498"/>
    <w:rsid w:val="00821612"/>
    <w:rsid w:val="008218FB"/>
    <w:rsid w:val="00821D86"/>
    <w:rsid w:val="0082203A"/>
    <w:rsid w:val="00822A20"/>
    <w:rsid w:val="00822EDF"/>
    <w:rsid w:val="00823223"/>
    <w:rsid w:val="00823696"/>
    <w:rsid w:val="00823D50"/>
    <w:rsid w:val="00823F02"/>
    <w:rsid w:val="00823FB3"/>
    <w:rsid w:val="00823FDF"/>
    <w:rsid w:val="008245BB"/>
    <w:rsid w:val="00824915"/>
    <w:rsid w:val="00824A9D"/>
    <w:rsid w:val="00824C66"/>
    <w:rsid w:val="00824E8E"/>
    <w:rsid w:val="008250A6"/>
    <w:rsid w:val="0082512D"/>
    <w:rsid w:val="008251A7"/>
    <w:rsid w:val="00825266"/>
    <w:rsid w:val="00825501"/>
    <w:rsid w:val="008258B5"/>
    <w:rsid w:val="00825B34"/>
    <w:rsid w:val="00825C03"/>
    <w:rsid w:val="008261C9"/>
    <w:rsid w:val="00826491"/>
    <w:rsid w:val="00826583"/>
    <w:rsid w:val="00826798"/>
    <w:rsid w:val="00826F76"/>
    <w:rsid w:val="008273BC"/>
    <w:rsid w:val="00827750"/>
    <w:rsid w:val="008278CB"/>
    <w:rsid w:val="00827E49"/>
    <w:rsid w:val="008300A5"/>
    <w:rsid w:val="008307FE"/>
    <w:rsid w:val="00830808"/>
    <w:rsid w:val="00830DCF"/>
    <w:rsid w:val="00830F0B"/>
    <w:rsid w:val="00831220"/>
    <w:rsid w:val="0083163B"/>
    <w:rsid w:val="0083197C"/>
    <w:rsid w:val="00831C65"/>
    <w:rsid w:val="0083211A"/>
    <w:rsid w:val="00832850"/>
    <w:rsid w:val="0083359F"/>
    <w:rsid w:val="0083392D"/>
    <w:rsid w:val="008339AE"/>
    <w:rsid w:val="00834167"/>
    <w:rsid w:val="008346EA"/>
    <w:rsid w:val="008352A6"/>
    <w:rsid w:val="008353F8"/>
    <w:rsid w:val="00835B79"/>
    <w:rsid w:val="00835C6A"/>
    <w:rsid w:val="0083640E"/>
    <w:rsid w:val="00836AD5"/>
    <w:rsid w:val="00836BF0"/>
    <w:rsid w:val="0083723C"/>
    <w:rsid w:val="00837490"/>
    <w:rsid w:val="008374E1"/>
    <w:rsid w:val="0083791B"/>
    <w:rsid w:val="00837B88"/>
    <w:rsid w:val="00837F6A"/>
    <w:rsid w:val="00840180"/>
    <w:rsid w:val="00840261"/>
    <w:rsid w:val="008402B2"/>
    <w:rsid w:val="008408FB"/>
    <w:rsid w:val="00840ACB"/>
    <w:rsid w:val="00840BAF"/>
    <w:rsid w:val="00840D63"/>
    <w:rsid w:val="00840ED1"/>
    <w:rsid w:val="00840F2D"/>
    <w:rsid w:val="00840F7F"/>
    <w:rsid w:val="008420CB"/>
    <w:rsid w:val="008429A7"/>
    <w:rsid w:val="00842D68"/>
    <w:rsid w:val="0084366D"/>
    <w:rsid w:val="00843B2D"/>
    <w:rsid w:val="00843DAC"/>
    <w:rsid w:val="0084413A"/>
    <w:rsid w:val="008442C3"/>
    <w:rsid w:val="008444F8"/>
    <w:rsid w:val="008445B5"/>
    <w:rsid w:val="00844AB7"/>
    <w:rsid w:val="00844BB9"/>
    <w:rsid w:val="00844DE2"/>
    <w:rsid w:val="008457A7"/>
    <w:rsid w:val="00845B97"/>
    <w:rsid w:val="00845E41"/>
    <w:rsid w:val="00846400"/>
    <w:rsid w:val="00846BA2"/>
    <w:rsid w:val="008473E4"/>
    <w:rsid w:val="00847471"/>
    <w:rsid w:val="008475F3"/>
    <w:rsid w:val="00847ED0"/>
    <w:rsid w:val="008504D7"/>
    <w:rsid w:val="008505D7"/>
    <w:rsid w:val="00850CA8"/>
    <w:rsid w:val="00850DC1"/>
    <w:rsid w:val="00851292"/>
    <w:rsid w:val="00851301"/>
    <w:rsid w:val="0085145C"/>
    <w:rsid w:val="00851485"/>
    <w:rsid w:val="0085172E"/>
    <w:rsid w:val="00851A46"/>
    <w:rsid w:val="00851E5D"/>
    <w:rsid w:val="0085240C"/>
    <w:rsid w:val="0085280F"/>
    <w:rsid w:val="00852B29"/>
    <w:rsid w:val="00852D2C"/>
    <w:rsid w:val="00852D52"/>
    <w:rsid w:val="00852F2D"/>
    <w:rsid w:val="00853064"/>
    <w:rsid w:val="00853546"/>
    <w:rsid w:val="008539CA"/>
    <w:rsid w:val="00853AD6"/>
    <w:rsid w:val="0085416D"/>
    <w:rsid w:val="00854182"/>
    <w:rsid w:val="008544B8"/>
    <w:rsid w:val="00855196"/>
    <w:rsid w:val="00855477"/>
    <w:rsid w:val="008554DA"/>
    <w:rsid w:val="0085572D"/>
    <w:rsid w:val="00855A22"/>
    <w:rsid w:val="00855D22"/>
    <w:rsid w:val="00855F77"/>
    <w:rsid w:val="0085671A"/>
    <w:rsid w:val="00856C4E"/>
    <w:rsid w:val="00856F2D"/>
    <w:rsid w:val="008573E8"/>
    <w:rsid w:val="00857698"/>
    <w:rsid w:val="008576DB"/>
    <w:rsid w:val="008577D3"/>
    <w:rsid w:val="00857CCD"/>
    <w:rsid w:val="00857DFB"/>
    <w:rsid w:val="00857EE4"/>
    <w:rsid w:val="0086013B"/>
    <w:rsid w:val="008601EE"/>
    <w:rsid w:val="008605A4"/>
    <w:rsid w:val="0086086E"/>
    <w:rsid w:val="00860AEC"/>
    <w:rsid w:val="00860FAE"/>
    <w:rsid w:val="0086102C"/>
    <w:rsid w:val="008611DC"/>
    <w:rsid w:val="00861650"/>
    <w:rsid w:val="0086179F"/>
    <w:rsid w:val="00861ABD"/>
    <w:rsid w:val="00861AD4"/>
    <w:rsid w:val="00861D43"/>
    <w:rsid w:val="00861FF4"/>
    <w:rsid w:val="00862443"/>
    <w:rsid w:val="008625C9"/>
    <w:rsid w:val="00862D31"/>
    <w:rsid w:val="00862EEB"/>
    <w:rsid w:val="00863560"/>
    <w:rsid w:val="00863A3A"/>
    <w:rsid w:val="00863FDD"/>
    <w:rsid w:val="0086454C"/>
    <w:rsid w:val="00864874"/>
    <w:rsid w:val="00864900"/>
    <w:rsid w:val="0086499C"/>
    <w:rsid w:val="00864D16"/>
    <w:rsid w:val="00864FBB"/>
    <w:rsid w:val="00865653"/>
    <w:rsid w:val="00865A39"/>
    <w:rsid w:val="00865BF6"/>
    <w:rsid w:val="00865C94"/>
    <w:rsid w:val="00865E5C"/>
    <w:rsid w:val="00865F2A"/>
    <w:rsid w:val="00865F43"/>
    <w:rsid w:val="008660DA"/>
    <w:rsid w:val="0086623A"/>
    <w:rsid w:val="008666F9"/>
    <w:rsid w:val="0086677D"/>
    <w:rsid w:val="0086689C"/>
    <w:rsid w:val="00866B66"/>
    <w:rsid w:val="00866C81"/>
    <w:rsid w:val="008676EE"/>
    <w:rsid w:val="008678DE"/>
    <w:rsid w:val="00867C88"/>
    <w:rsid w:val="00867D73"/>
    <w:rsid w:val="008709AD"/>
    <w:rsid w:val="00870A00"/>
    <w:rsid w:val="00870DFA"/>
    <w:rsid w:val="00870E47"/>
    <w:rsid w:val="00871059"/>
    <w:rsid w:val="008712DB"/>
    <w:rsid w:val="008713F5"/>
    <w:rsid w:val="0087158D"/>
    <w:rsid w:val="008717E0"/>
    <w:rsid w:val="008719A5"/>
    <w:rsid w:val="00872555"/>
    <w:rsid w:val="0087262B"/>
    <w:rsid w:val="00872AF6"/>
    <w:rsid w:val="00872C37"/>
    <w:rsid w:val="00872E98"/>
    <w:rsid w:val="00873389"/>
    <w:rsid w:val="00873796"/>
    <w:rsid w:val="00873815"/>
    <w:rsid w:val="0087382A"/>
    <w:rsid w:val="00873C37"/>
    <w:rsid w:val="0087411A"/>
    <w:rsid w:val="00874AA3"/>
    <w:rsid w:val="00874ACC"/>
    <w:rsid w:val="00874B79"/>
    <w:rsid w:val="008751C6"/>
    <w:rsid w:val="008754F3"/>
    <w:rsid w:val="00875986"/>
    <w:rsid w:val="00875E56"/>
    <w:rsid w:val="00875FDF"/>
    <w:rsid w:val="0087616C"/>
    <w:rsid w:val="0087632D"/>
    <w:rsid w:val="008773F5"/>
    <w:rsid w:val="0087751E"/>
    <w:rsid w:val="008802BE"/>
    <w:rsid w:val="00880549"/>
    <w:rsid w:val="0088098A"/>
    <w:rsid w:val="00880E76"/>
    <w:rsid w:val="00881687"/>
    <w:rsid w:val="008816C9"/>
    <w:rsid w:val="0088170E"/>
    <w:rsid w:val="00881922"/>
    <w:rsid w:val="00881C95"/>
    <w:rsid w:val="008820EE"/>
    <w:rsid w:val="00882153"/>
    <w:rsid w:val="0088219D"/>
    <w:rsid w:val="00882585"/>
    <w:rsid w:val="0088300B"/>
    <w:rsid w:val="00883217"/>
    <w:rsid w:val="0088374E"/>
    <w:rsid w:val="008839DA"/>
    <w:rsid w:val="00884280"/>
    <w:rsid w:val="0088440E"/>
    <w:rsid w:val="00884ADE"/>
    <w:rsid w:val="00884C97"/>
    <w:rsid w:val="00885038"/>
    <w:rsid w:val="0088510C"/>
    <w:rsid w:val="00885586"/>
    <w:rsid w:val="008855D0"/>
    <w:rsid w:val="008857B7"/>
    <w:rsid w:val="008859D8"/>
    <w:rsid w:val="00885B3E"/>
    <w:rsid w:val="00885E50"/>
    <w:rsid w:val="0088626B"/>
    <w:rsid w:val="00886434"/>
    <w:rsid w:val="00886E48"/>
    <w:rsid w:val="00887329"/>
    <w:rsid w:val="00887CBF"/>
    <w:rsid w:val="008901A6"/>
    <w:rsid w:val="00890263"/>
    <w:rsid w:val="00890439"/>
    <w:rsid w:val="00890612"/>
    <w:rsid w:val="00890655"/>
    <w:rsid w:val="00890D69"/>
    <w:rsid w:val="00890DC4"/>
    <w:rsid w:val="00890FA3"/>
    <w:rsid w:val="00890FD5"/>
    <w:rsid w:val="00891758"/>
    <w:rsid w:val="008918BF"/>
    <w:rsid w:val="008920B4"/>
    <w:rsid w:val="00892128"/>
    <w:rsid w:val="00892812"/>
    <w:rsid w:val="00893470"/>
    <w:rsid w:val="00893B50"/>
    <w:rsid w:val="00893C93"/>
    <w:rsid w:val="00893E06"/>
    <w:rsid w:val="00893EC2"/>
    <w:rsid w:val="008943D2"/>
    <w:rsid w:val="00894670"/>
    <w:rsid w:val="00894B36"/>
    <w:rsid w:val="00894B58"/>
    <w:rsid w:val="00894DB9"/>
    <w:rsid w:val="00894E61"/>
    <w:rsid w:val="0089568B"/>
    <w:rsid w:val="008956E9"/>
    <w:rsid w:val="00895D15"/>
    <w:rsid w:val="0089608D"/>
    <w:rsid w:val="008960D1"/>
    <w:rsid w:val="008961EF"/>
    <w:rsid w:val="0089691D"/>
    <w:rsid w:val="00896A82"/>
    <w:rsid w:val="00896B0E"/>
    <w:rsid w:val="0089703D"/>
    <w:rsid w:val="00897519"/>
    <w:rsid w:val="0089760C"/>
    <w:rsid w:val="00897621"/>
    <w:rsid w:val="008976DC"/>
    <w:rsid w:val="00897AA4"/>
    <w:rsid w:val="00897F34"/>
    <w:rsid w:val="008A0166"/>
    <w:rsid w:val="008A0187"/>
    <w:rsid w:val="008A03D7"/>
    <w:rsid w:val="008A04EC"/>
    <w:rsid w:val="008A0940"/>
    <w:rsid w:val="008A0F6E"/>
    <w:rsid w:val="008A10FC"/>
    <w:rsid w:val="008A1232"/>
    <w:rsid w:val="008A1EDC"/>
    <w:rsid w:val="008A24BA"/>
    <w:rsid w:val="008A25BD"/>
    <w:rsid w:val="008A25C0"/>
    <w:rsid w:val="008A298A"/>
    <w:rsid w:val="008A2D24"/>
    <w:rsid w:val="008A4212"/>
    <w:rsid w:val="008A493E"/>
    <w:rsid w:val="008A496D"/>
    <w:rsid w:val="008A4AC1"/>
    <w:rsid w:val="008A4B37"/>
    <w:rsid w:val="008A4B49"/>
    <w:rsid w:val="008A5124"/>
    <w:rsid w:val="008A5943"/>
    <w:rsid w:val="008A6399"/>
    <w:rsid w:val="008A67A7"/>
    <w:rsid w:val="008A68AA"/>
    <w:rsid w:val="008A6DD8"/>
    <w:rsid w:val="008A7210"/>
    <w:rsid w:val="008A7252"/>
    <w:rsid w:val="008A736C"/>
    <w:rsid w:val="008A76EF"/>
    <w:rsid w:val="008A7CEC"/>
    <w:rsid w:val="008A7EC1"/>
    <w:rsid w:val="008A7F88"/>
    <w:rsid w:val="008B0055"/>
    <w:rsid w:val="008B04CC"/>
    <w:rsid w:val="008B0627"/>
    <w:rsid w:val="008B06F6"/>
    <w:rsid w:val="008B0B84"/>
    <w:rsid w:val="008B0CF1"/>
    <w:rsid w:val="008B10A3"/>
    <w:rsid w:val="008B1247"/>
    <w:rsid w:val="008B12C4"/>
    <w:rsid w:val="008B1412"/>
    <w:rsid w:val="008B1846"/>
    <w:rsid w:val="008B19FC"/>
    <w:rsid w:val="008B1A36"/>
    <w:rsid w:val="008B1E4F"/>
    <w:rsid w:val="008B1F1B"/>
    <w:rsid w:val="008B1F7B"/>
    <w:rsid w:val="008B2145"/>
    <w:rsid w:val="008B237F"/>
    <w:rsid w:val="008B2939"/>
    <w:rsid w:val="008B2D57"/>
    <w:rsid w:val="008B3180"/>
    <w:rsid w:val="008B34BA"/>
    <w:rsid w:val="008B34DD"/>
    <w:rsid w:val="008B37B4"/>
    <w:rsid w:val="008B3812"/>
    <w:rsid w:val="008B3A09"/>
    <w:rsid w:val="008B4508"/>
    <w:rsid w:val="008B4D5D"/>
    <w:rsid w:val="008B5897"/>
    <w:rsid w:val="008B5A88"/>
    <w:rsid w:val="008B5F9D"/>
    <w:rsid w:val="008B6155"/>
    <w:rsid w:val="008B6374"/>
    <w:rsid w:val="008B6C3B"/>
    <w:rsid w:val="008B6D4F"/>
    <w:rsid w:val="008B6E77"/>
    <w:rsid w:val="008B6EC2"/>
    <w:rsid w:val="008B7ECC"/>
    <w:rsid w:val="008C015F"/>
    <w:rsid w:val="008C04BE"/>
    <w:rsid w:val="008C0606"/>
    <w:rsid w:val="008C0BA5"/>
    <w:rsid w:val="008C0CCB"/>
    <w:rsid w:val="008C0DE3"/>
    <w:rsid w:val="008C0ED3"/>
    <w:rsid w:val="008C1007"/>
    <w:rsid w:val="008C11EB"/>
    <w:rsid w:val="008C152B"/>
    <w:rsid w:val="008C1AAA"/>
    <w:rsid w:val="008C2216"/>
    <w:rsid w:val="008C2659"/>
    <w:rsid w:val="008C27E8"/>
    <w:rsid w:val="008C28EE"/>
    <w:rsid w:val="008C291C"/>
    <w:rsid w:val="008C2A3B"/>
    <w:rsid w:val="008C3BF7"/>
    <w:rsid w:val="008C3CF9"/>
    <w:rsid w:val="008C3EDA"/>
    <w:rsid w:val="008C47AC"/>
    <w:rsid w:val="008C47C4"/>
    <w:rsid w:val="008C4AEE"/>
    <w:rsid w:val="008C4D94"/>
    <w:rsid w:val="008C4EDA"/>
    <w:rsid w:val="008C51DA"/>
    <w:rsid w:val="008C52F2"/>
    <w:rsid w:val="008C568B"/>
    <w:rsid w:val="008C5AF5"/>
    <w:rsid w:val="008C64DC"/>
    <w:rsid w:val="008C696C"/>
    <w:rsid w:val="008C6A5C"/>
    <w:rsid w:val="008C6C61"/>
    <w:rsid w:val="008C7627"/>
    <w:rsid w:val="008C7B18"/>
    <w:rsid w:val="008C7D8D"/>
    <w:rsid w:val="008D0650"/>
    <w:rsid w:val="008D06E2"/>
    <w:rsid w:val="008D07D2"/>
    <w:rsid w:val="008D0BFF"/>
    <w:rsid w:val="008D0EA9"/>
    <w:rsid w:val="008D0F84"/>
    <w:rsid w:val="008D110D"/>
    <w:rsid w:val="008D1136"/>
    <w:rsid w:val="008D118E"/>
    <w:rsid w:val="008D16A4"/>
    <w:rsid w:val="008D1E56"/>
    <w:rsid w:val="008D1FCB"/>
    <w:rsid w:val="008D21FB"/>
    <w:rsid w:val="008D278A"/>
    <w:rsid w:val="008D2838"/>
    <w:rsid w:val="008D2A4A"/>
    <w:rsid w:val="008D2A7D"/>
    <w:rsid w:val="008D2B75"/>
    <w:rsid w:val="008D310C"/>
    <w:rsid w:val="008D31A7"/>
    <w:rsid w:val="008D3A09"/>
    <w:rsid w:val="008D4038"/>
    <w:rsid w:val="008D4045"/>
    <w:rsid w:val="008D53CB"/>
    <w:rsid w:val="008D5604"/>
    <w:rsid w:val="008D5739"/>
    <w:rsid w:val="008D5A38"/>
    <w:rsid w:val="008D5CEA"/>
    <w:rsid w:val="008D6485"/>
    <w:rsid w:val="008D6CEE"/>
    <w:rsid w:val="008D6E89"/>
    <w:rsid w:val="008D7108"/>
    <w:rsid w:val="008D7714"/>
    <w:rsid w:val="008D781C"/>
    <w:rsid w:val="008D7AFA"/>
    <w:rsid w:val="008D7DA9"/>
    <w:rsid w:val="008E0065"/>
    <w:rsid w:val="008E0515"/>
    <w:rsid w:val="008E056E"/>
    <w:rsid w:val="008E05C4"/>
    <w:rsid w:val="008E06B6"/>
    <w:rsid w:val="008E0AAD"/>
    <w:rsid w:val="008E0BFB"/>
    <w:rsid w:val="008E0C94"/>
    <w:rsid w:val="008E0E58"/>
    <w:rsid w:val="008E0FA5"/>
    <w:rsid w:val="008E136C"/>
    <w:rsid w:val="008E141E"/>
    <w:rsid w:val="008E1714"/>
    <w:rsid w:val="008E183F"/>
    <w:rsid w:val="008E189C"/>
    <w:rsid w:val="008E1A05"/>
    <w:rsid w:val="008E1CD7"/>
    <w:rsid w:val="008E1D27"/>
    <w:rsid w:val="008E1F54"/>
    <w:rsid w:val="008E2712"/>
    <w:rsid w:val="008E276A"/>
    <w:rsid w:val="008E2796"/>
    <w:rsid w:val="008E2AE8"/>
    <w:rsid w:val="008E2D1C"/>
    <w:rsid w:val="008E2F43"/>
    <w:rsid w:val="008E3701"/>
    <w:rsid w:val="008E3B34"/>
    <w:rsid w:val="008E3B77"/>
    <w:rsid w:val="008E3D3F"/>
    <w:rsid w:val="008E3F88"/>
    <w:rsid w:val="008E3FDF"/>
    <w:rsid w:val="008E43C6"/>
    <w:rsid w:val="008E47CE"/>
    <w:rsid w:val="008E4978"/>
    <w:rsid w:val="008E4B5F"/>
    <w:rsid w:val="008E4C45"/>
    <w:rsid w:val="008E4F0D"/>
    <w:rsid w:val="008E4F32"/>
    <w:rsid w:val="008E4F7C"/>
    <w:rsid w:val="008E513B"/>
    <w:rsid w:val="008E53A6"/>
    <w:rsid w:val="008E5B72"/>
    <w:rsid w:val="008E5D49"/>
    <w:rsid w:val="008E624D"/>
    <w:rsid w:val="008E6298"/>
    <w:rsid w:val="008E6505"/>
    <w:rsid w:val="008E65B0"/>
    <w:rsid w:val="008E6956"/>
    <w:rsid w:val="008E6B3D"/>
    <w:rsid w:val="008E6DB5"/>
    <w:rsid w:val="008E726C"/>
    <w:rsid w:val="008E74A4"/>
    <w:rsid w:val="008E75A8"/>
    <w:rsid w:val="008E78BE"/>
    <w:rsid w:val="008E7B51"/>
    <w:rsid w:val="008E7E66"/>
    <w:rsid w:val="008F0250"/>
    <w:rsid w:val="008F02F2"/>
    <w:rsid w:val="008F0845"/>
    <w:rsid w:val="008F0A4A"/>
    <w:rsid w:val="008F0A64"/>
    <w:rsid w:val="008F0DF9"/>
    <w:rsid w:val="008F1421"/>
    <w:rsid w:val="008F1B21"/>
    <w:rsid w:val="008F1BD6"/>
    <w:rsid w:val="008F1C76"/>
    <w:rsid w:val="008F2377"/>
    <w:rsid w:val="008F24BD"/>
    <w:rsid w:val="008F26AE"/>
    <w:rsid w:val="008F292D"/>
    <w:rsid w:val="008F2B26"/>
    <w:rsid w:val="008F2E35"/>
    <w:rsid w:val="008F2EA9"/>
    <w:rsid w:val="008F2FB5"/>
    <w:rsid w:val="008F2FF0"/>
    <w:rsid w:val="008F3A37"/>
    <w:rsid w:val="008F3B0E"/>
    <w:rsid w:val="008F3C8D"/>
    <w:rsid w:val="008F3D86"/>
    <w:rsid w:val="008F421D"/>
    <w:rsid w:val="008F43C7"/>
    <w:rsid w:val="008F47EB"/>
    <w:rsid w:val="008F5724"/>
    <w:rsid w:val="008F5D39"/>
    <w:rsid w:val="008F5E63"/>
    <w:rsid w:val="008F6168"/>
    <w:rsid w:val="008F6317"/>
    <w:rsid w:val="008F66DA"/>
    <w:rsid w:val="008F72B2"/>
    <w:rsid w:val="008F7BF2"/>
    <w:rsid w:val="00900233"/>
    <w:rsid w:val="009004C0"/>
    <w:rsid w:val="00900B52"/>
    <w:rsid w:val="00900BE6"/>
    <w:rsid w:val="00900C0C"/>
    <w:rsid w:val="00900F88"/>
    <w:rsid w:val="0090126D"/>
    <w:rsid w:val="00901489"/>
    <w:rsid w:val="009024F2"/>
    <w:rsid w:val="00902C41"/>
    <w:rsid w:val="00902D2A"/>
    <w:rsid w:val="0090315A"/>
    <w:rsid w:val="00903421"/>
    <w:rsid w:val="0090364D"/>
    <w:rsid w:val="0090464D"/>
    <w:rsid w:val="00904AF0"/>
    <w:rsid w:val="00904FBE"/>
    <w:rsid w:val="009058D7"/>
    <w:rsid w:val="00905BF6"/>
    <w:rsid w:val="00905EC4"/>
    <w:rsid w:val="009065AC"/>
    <w:rsid w:val="009065F8"/>
    <w:rsid w:val="009069F0"/>
    <w:rsid w:val="00906A08"/>
    <w:rsid w:val="00906B58"/>
    <w:rsid w:val="00906BDF"/>
    <w:rsid w:val="009075A0"/>
    <w:rsid w:val="009078EE"/>
    <w:rsid w:val="00907A3A"/>
    <w:rsid w:val="00907F21"/>
    <w:rsid w:val="009105BF"/>
    <w:rsid w:val="0091073A"/>
    <w:rsid w:val="00910879"/>
    <w:rsid w:val="00910B1C"/>
    <w:rsid w:val="0091135B"/>
    <w:rsid w:val="0091181D"/>
    <w:rsid w:val="00911E3E"/>
    <w:rsid w:val="00911EAF"/>
    <w:rsid w:val="00912521"/>
    <w:rsid w:val="00912579"/>
    <w:rsid w:val="00912811"/>
    <w:rsid w:val="00912E7B"/>
    <w:rsid w:val="00912EA2"/>
    <w:rsid w:val="009134D7"/>
    <w:rsid w:val="00913FD3"/>
    <w:rsid w:val="009145C1"/>
    <w:rsid w:val="009146BD"/>
    <w:rsid w:val="0091473D"/>
    <w:rsid w:val="00914AA0"/>
    <w:rsid w:val="00914C1F"/>
    <w:rsid w:val="00914F1D"/>
    <w:rsid w:val="00915149"/>
    <w:rsid w:val="0091536A"/>
    <w:rsid w:val="00915822"/>
    <w:rsid w:val="00915A98"/>
    <w:rsid w:val="009166C2"/>
    <w:rsid w:val="009167DD"/>
    <w:rsid w:val="00916864"/>
    <w:rsid w:val="00916B98"/>
    <w:rsid w:val="009172E0"/>
    <w:rsid w:val="00917890"/>
    <w:rsid w:val="00917A06"/>
    <w:rsid w:val="00917BC7"/>
    <w:rsid w:val="00917FC4"/>
    <w:rsid w:val="00920029"/>
    <w:rsid w:val="00920045"/>
    <w:rsid w:val="00920056"/>
    <w:rsid w:val="0092092F"/>
    <w:rsid w:val="00920ECD"/>
    <w:rsid w:val="00921708"/>
    <w:rsid w:val="00921846"/>
    <w:rsid w:val="0092266C"/>
    <w:rsid w:val="00922A0F"/>
    <w:rsid w:val="00922BC8"/>
    <w:rsid w:val="009232A6"/>
    <w:rsid w:val="00923608"/>
    <w:rsid w:val="00923EA6"/>
    <w:rsid w:val="00923F4E"/>
    <w:rsid w:val="0092410A"/>
    <w:rsid w:val="00924CB4"/>
    <w:rsid w:val="00924E75"/>
    <w:rsid w:val="00924FE3"/>
    <w:rsid w:val="0092562A"/>
    <w:rsid w:val="009256B4"/>
    <w:rsid w:val="0092582A"/>
    <w:rsid w:val="00925982"/>
    <w:rsid w:val="009259A6"/>
    <w:rsid w:val="00925C53"/>
    <w:rsid w:val="00925F68"/>
    <w:rsid w:val="0092610B"/>
    <w:rsid w:val="009268FC"/>
    <w:rsid w:val="0092696A"/>
    <w:rsid w:val="00926BB5"/>
    <w:rsid w:val="00927397"/>
    <w:rsid w:val="009279B5"/>
    <w:rsid w:val="00927ACA"/>
    <w:rsid w:val="009300C5"/>
    <w:rsid w:val="00930368"/>
    <w:rsid w:val="0093040E"/>
    <w:rsid w:val="0093099A"/>
    <w:rsid w:val="00930E09"/>
    <w:rsid w:val="009310BE"/>
    <w:rsid w:val="00931227"/>
    <w:rsid w:val="009314CD"/>
    <w:rsid w:val="00931DEF"/>
    <w:rsid w:val="00932645"/>
    <w:rsid w:val="009326E7"/>
    <w:rsid w:val="0093292E"/>
    <w:rsid w:val="00932CC7"/>
    <w:rsid w:val="00932CD7"/>
    <w:rsid w:val="009330FA"/>
    <w:rsid w:val="0093313E"/>
    <w:rsid w:val="0093315B"/>
    <w:rsid w:val="0093326F"/>
    <w:rsid w:val="00933737"/>
    <w:rsid w:val="00933745"/>
    <w:rsid w:val="009337AC"/>
    <w:rsid w:val="00933967"/>
    <w:rsid w:val="00933B9E"/>
    <w:rsid w:val="00933FF7"/>
    <w:rsid w:val="009341F4"/>
    <w:rsid w:val="00934885"/>
    <w:rsid w:val="00934A63"/>
    <w:rsid w:val="00934C71"/>
    <w:rsid w:val="00934DAA"/>
    <w:rsid w:val="00935285"/>
    <w:rsid w:val="0093576A"/>
    <w:rsid w:val="00935B50"/>
    <w:rsid w:val="009365D4"/>
    <w:rsid w:val="009366A7"/>
    <w:rsid w:val="00936C9E"/>
    <w:rsid w:val="0093701F"/>
    <w:rsid w:val="009372EC"/>
    <w:rsid w:val="009377A2"/>
    <w:rsid w:val="00937B72"/>
    <w:rsid w:val="00937CFC"/>
    <w:rsid w:val="00937DD6"/>
    <w:rsid w:val="00937F03"/>
    <w:rsid w:val="009400CE"/>
    <w:rsid w:val="00940261"/>
    <w:rsid w:val="00940A90"/>
    <w:rsid w:val="00940B1D"/>
    <w:rsid w:val="00940DA2"/>
    <w:rsid w:val="00941413"/>
    <w:rsid w:val="009417A7"/>
    <w:rsid w:val="0094195B"/>
    <w:rsid w:val="00941E66"/>
    <w:rsid w:val="00941F1A"/>
    <w:rsid w:val="009427F0"/>
    <w:rsid w:val="009435EC"/>
    <w:rsid w:val="00943D1A"/>
    <w:rsid w:val="00944746"/>
    <w:rsid w:val="00944DEA"/>
    <w:rsid w:val="009452F9"/>
    <w:rsid w:val="0094550E"/>
    <w:rsid w:val="00945C4A"/>
    <w:rsid w:val="00945F61"/>
    <w:rsid w:val="00946277"/>
    <w:rsid w:val="0094658C"/>
    <w:rsid w:val="00946694"/>
    <w:rsid w:val="009466E7"/>
    <w:rsid w:val="009467E3"/>
    <w:rsid w:val="00947034"/>
    <w:rsid w:val="00947154"/>
    <w:rsid w:val="009474D1"/>
    <w:rsid w:val="009475B2"/>
    <w:rsid w:val="00947707"/>
    <w:rsid w:val="00947D37"/>
    <w:rsid w:val="00947DC2"/>
    <w:rsid w:val="00950034"/>
    <w:rsid w:val="009504E2"/>
    <w:rsid w:val="009504EA"/>
    <w:rsid w:val="00950729"/>
    <w:rsid w:val="00951124"/>
    <w:rsid w:val="009516CE"/>
    <w:rsid w:val="009517D7"/>
    <w:rsid w:val="00951B22"/>
    <w:rsid w:val="00951BE8"/>
    <w:rsid w:val="00951C04"/>
    <w:rsid w:val="00951C06"/>
    <w:rsid w:val="00952061"/>
    <w:rsid w:val="0095222E"/>
    <w:rsid w:val="00952665"/>
    <w:rsid w:val="009528AC"/>
    <w:rsid w:val="00952E11"/>
    <w:rsid w:val="00952E24"/>
    <w:rsid w:val="00952EF3"/>
    <w:rsid w:val="00952F3F"/>
    <w:rsid w:val="00952FC1"/>
    <w:rsid w:val="00952FF2"/>
    <w:rsid w:val="009531BE"/>
    <w:rsid w:val="00953333"/>
    <w:rsid w:val="00954163"/>
    <w:rsid w:val="00954951"/>
    <w:rsid w:val="00954994"/>
    <w:rsid w:val="009551A8"/>
    <w:rsid w:val="0095565F"/>
    <w:rsid w:val="00955676"/>
    <w:rsid w:val="009557BA"/>
    <w:rsid w:val="009560F9"/>
    <w:rsid w:val="00956430"/>
    <w:rsid w:val="00956D18"/>
    <w:rsid w:val="00956FF7"/>
    <w:rsid w:val="00957679"/>
    <w:rsid w:val="00957746"/>
    <w:rsid w:val="0095777D"/>
    <w:rsid w:val="009578AF"/>
    <w:rsid w:val="00957D95"/>
    <w:rsid w:val="00960021"/>
    <w:rsid w:val="00960266"/>
    <w:rsid w:val="00960473"/>
    <w:rsid w:val="00960486"/>
    <w:rsid w:val="00960488"/>
    <w:rsid w:val="00960687"/>
    <w:rsid w:val="00960773"/>
    <w:rsid w:val="00960A54"/>
    <w:rsid w:val="00960B08"/>
    <w:rsid w:val="009612B6"/>
    <w:rsid w:val="009617FB"/>
    <w:rsid w:val="00961A70"/>
    <w:rsid w:val="009621E6"/>
    <w:rsid w:val="00962394"/>
    <w:rsid w:val="00962439"/>
    <w:rsid w:val="00962E85"/>
    <w:rsid w:val="00963309"/>
    <w:rsid w:val="009633BB"/>
    <w:rsid w:val="009634F0"/>
    <w:rsid w:val="00963A83"/>
    <w:rsid w:val="009647AF"/>
    <w:rsid w:val="00964840"/>
    <w:rsid w:val="0096488D"/>
    <w:rsid w:val="009649A5"/>
    <w:rsid w:val="00964BBF"/>
    <w:rsid w:val="00964E76"/>
    <w:rsid w:val="00964F57"/>
    <w:rsid w:val="009653F7"/>
    <w:rsid w:val="00965A5D"/>
    <w:rsid w:val="00965A70"/>
    <w:rsid w:val="00966008"/>
    <w:rsid w:val="009664F4"/>
    <w:rsid w:val="009665F7"/>
    <w:rsid w:val="009667D3"/>
    <w:rsid w:val="00966DE4"/>
    <w:rsid w:val="00966E86"/>
    <w:rsid w:val="00967069"/>
    <w:rsid w:val="00970331"/>
    <w:rsid w:val="00970390"/>
    <w:rsid w:val="00970F41"/>
    <w:rsid w:val="00971624"/>
    <w:rsid w:val="0097213C"/>
    <w:rsid w:val="0097248E"/>
    <w:rsid w:val="009734B7"/>
    <w:rsid w:val="00973659"/>
    <w:rsid w:val="0097369A"/>
    <w:rsid w:val="00973701"/>
    <w:rsid w:val="00973EB7"/>
    <w:rsid w:val="009749F0"/>
    <w:rsid w:val="00974B09"/>
    <w:rsid w:val="009763EE"/>
    <w:rsid w:val="0097651A"/>
    <w:rsid w:val="00976EBE"/>
    <w:rsid w:val="0097709C"/>
    <w:rsid w:val="00977293"/>
    <w:rsid w:val="009773C9"/>
    <w:rsid w:val="00977591"/>
    <w:rsid w:val="00977AB7"/>
    <w:rsid w:val="00977B76"/>
    <w:rsid w:val="00977D3C"/>
    <w:rsid w:val="0098022E"/>
    <w:rsid w:val="00980284"/>
    <w:rsid w:val="00980559"/>
    <w:rsid w:val="009807EC"/>
    <w:rsid w:val="009813EB"/>
    <w:rsid w:val="0098175A"/>
    <w:rsid w:val="00981C0F"/>
    <w:rsid w:val="009826B1"/>
    <w:rsid w:val="00982785"/>
    <w:rsid w:val="00982F4F"/>
    <w:rsid w:val="009831AA"/>
    <w:rsid w:val="009832DC"/>
    <w:rsid w:val="009838A7"/>
    <w:rsid w:val="00983BA9"/>
    <w:rsid w:val="0098404C"/>
    <w:rsid w:val="009840C0"/>
    <w:rsid w:val="00984118"/>
    <w:rsid w:val="00984322"/>
    <w:rsid w:val="009848DE"/>
    <w:rsid w:val="009849E3"/>
    <w:rsid w:val="00984B1B"/>
    <w:rsid w:val="00984CF1"/>
    <w:rsid w:val="00984F99"/>
    <w:rsid w:val="009851B1"/>
    <w:rsid w:val="0098537C"/>
    <w:rsid w:val="009854AD"/>
    <w:rsid w:val="009857DD"/>
    <w:rsid w:val="00985889"/>
    <w:rsid w:val="00985A75"/>
    <w:rsid w:val="00985B69"/>
    <w:rsid w:val="00985D85"/>
    <w:rsid w:val="00986BD9"/>
    <w:rsid w:val="00987412"/>
    <w:rsid w:val="00987583"/>
    <w:rsid w:val="00987DB9"/>
    <w:rsid w:val="00990105"/>
    <w:rsid w:val="0099056D"/>
    <w:rsid w:val="00990AAF"/>
    <w:rsid w:val="00990B69"/>
    <w:rsid w:val="00990C3D"/>
    <w:rsid w:val="00990EE2"/>
    <w:rsid w:val="00990F13"/>
    <w:rsid w:val="009919C9"/>
    <w:rsid w:val="00991C36"/>
    <w:rsid w:val="00991D70"/>
    <w:rsid w:val="00991DDB"/>
    <w:rsid w:val="0099207F"/>
    <w:rsid w:val="009927BA"/>
    <w:rsid w:val="00992E8C"/>
    <w:rsid w:val="00992F1F"/>
    <w:rsid w:val="009932F0"/>
    <w:rsid w:val="009933D1"/>
    <w:rsid w:val="009938E8"/>
    <w:rsid w:val="0099390B"/>
    <w:rsid w:val="00993BCF"/>
    <w:rsid w:val="00993EF6"/>
    <w:rsid w:val="0099409A"/>
    <w:rsid w:val="00994201"/>
    <w:rsid w:val="009942E8"/>
    <w:rsid w:val="0099437F"/>
    <w:rsid w:val="0099445D"/>
    <w:rsid w:val="00994623"/>
    <w:rsid w:val="00994806"/>
    <w:rsid w:val="00994BE2"/>
    <w:rsid w:val="00995274"/>
    <w:rsid w:val="00995E64"/>
    <w:rsid w:val="00995F5B"/>
    <w:rsid w:val="00995F5D"/>
    <w:rsid w:val="00996004"/>
    <w:rsid w:val="009966C3"/>
    <w:rsid w:val="009969B0"/>
    <w:rsid w:val="00996A46"/>
    <w:rsid w:val="00997315"/>
    <w:rsid w:val="00997430"/>
    <w:rsid w:val="0099747D"/>
    <w:rsid w:val="009975A1"/>
    <w:rsid w:val="009975BE"/>
    <w:rsid w:val="009A00F2"/>
    <w:rsid w:val="009A0172"/>
    <w:rsid w:val="009A02E8"/>
    <w:rsid w:val="009A0469"/>
    <w:rsid w:val="009A047A"/>
    <w:rsid w:val="009A057E"/>
    <w:rsid w:val="009A065A"/>
    <w:rsid w:val="009A0E59"/>
    <w:rsid w:val="009A1444"/>
    <w:rsid w:val="009A1553"/>
    <w:rsid w:val="009A1B69"/>
    <w:rsid w:val="009A1D3E"/>
    <w:rsid w:val="009A23C6"/>
    <w:rsid w:val="009A271D"/>
    <w:rsid w:val="009A2C7E"/>
    <w:rsid w:val="009A32C0"/>
    <w:rsid w:val="009A3C42"/>
    <w:rsid w:val="009A410C"/>
    <w:rsid w:val="009A4141"/>
    <w:rsid w:val="009A4175"/>
    <w:rsid w:val="009A44E9"/>
    <w:rsid w:val="009A4954"/>
    <w:rsid w:val="009A4BC8"/>
    <w:rsid w:val="009A5630"/>
    <w:rsid w:val="009A577B"/>
    <w:rsid w:val="009A5A0E"/>
    <w:rsid w:val="009A5EA1"/>
    <w:rsid w:val="009A6192"/>
    <w:rsid w:val="009A62B8"/>
    <w:rsid w:val="009A6502"/>
    <w:rsid w:val="009A661A"/>
    <w:rsid w:val="009A7007"/>
    <w:rsid w:val="009A718E"/>
    <w:rsid w:val="009A7701"/>
    <w:rsid w:val="009A78D4"/>
    <w:rsid w:val="009A7C1B"/>
    <w:rsid w:val="009B079C"/>
    <w:rsid w:val="009B0D31"/>
    <w:rsid w:val="009B0FBD"/>
    <w:rsid w:val="009B1379"/>
    <w:rsid w:val="009B15D8"/>
    <w:rsid w:val="009B18E7"/>
    <w:rsid w:val="009B1AEC"/>
    <w:rsid w:val="009B1BA7"/>
    <w:rsid w:val="009B244F"/>
    <w:rsid w:val="009B2608"/>
    <w:rsid w:val="009B2A04"/>
    <w:rsid w:val="009B318F"/>
    <w:rsid w:val="009B3A3A"/>
    <w:rsid w:val="009B3A56"/>
    <w:rsid w:val="009B3B6E"/>
    <w:rsid w:val="009B3C9F"/>
    <w:rsid w:val="009B3D56"/>
    <w:rsid w:val="009B3DD2"/>
    <w:rsid w:val="009B44EF"/>
    <w:rsid w:val="009B462D"/>
    <w:rsid w:val="009B47E6"/>
    <w:rsid w:val="009B48AA"/>
    <w:rsid w:val="009B4FC2"/>
    <w:rsid w:val="009B51C4"/>
    <w:rsid w:val="009B5226"/>
    <w:rsid w:val="009B5474"/>
    <w:rsid w:val="009B577D"/>
    <w:rsid w:val="009B5FA3"/>
    <w:rsid w:val="009B62F0"/>
    <w:rsid w:val="009B6723"/>
    <w:rsid w:val="009B681E"/>
    <w:rsid w:val="009B6B53"/>
    <w:rsid w:val="009B6E3D"/>
    <w:rsid w:val="009B7069"/>
    <w:rsid w:val="009B7DBB"/>
    <w:rsid w:val="009C058E"/>
    <w:rsid w:val="009C08C6"/>
    <w:rsid w:val="009C0BA1"/>
    <w:rsid w:val="009C0C21"/>
    <w:rsid w:val="009C0D74"/>
    <w:rsid w:val="009C0E19"/>
    <w:rsid w:val="009C10FD"/>
    <w:rsid w:val="009C118A"/>
    <w:rsid w:val="009C1305"/>
    <w:rsid w:val="009C1353"/>
    <w:rsid w:val="009C1501"/>
    <w:rsid w:val="009C207D"/>
    <w:rsid w:val="009C22F8"/>
    <w:rsid w:val="009C2352"/>
    <w:rsid w:val="009C27D3"/>
    <w:rsid w:val="009C32AE"/>
    <w:rsid w:val="009C3484"/>
    <w:rsid w:val="009C362D"/>
    <w:rsid w:val="009C3A08"/>
    <w:rsid w:val="009C3AE6"/>
    <w:rsid w:val="009C3FD7"/>
    <w:rsid w:val="009C450E"/>
    <w:rsid w:val="009C45E4"/>
    <w:rsid w:val="009C4681"/>
    <w:rsid w:val="009C4DB7"/>
    <w:rsid w:val="009C580C"/>
    <w:rsid w:val="009C58D1"/>
    <w:rsid w:val="009C5E4D"/>
    <w:rsid w:val="009C62E7"/>
    <w:rsid w:val="009C6635"/>
    <w:rsid w:val="009C6A19"/>
    <w:rsid w:val="009C76BC"/>
    <w:rsid w:val="009D01DD"/>
    <w:rsid w:val="009D02E6"/>
    <w:rsid w:val="009D087C"/>
    <w:rsid w:val="009D0CDC"/>
    <w:rsid w:val="009D0FDC"/>
    <w:rsid w:val="009D1627"/>
    <w:rsid w:val="009D17D4"/>
    <w:rsid w:val="009D1C1B"/>
    <w:rsid w:val="009D1CE0"/>
    <w:rsid w:val="009D246B"/>
    <w:rsid w:val="009D260B"/>
    <w:rsid w:val="009D27EE"/>
    <w:rsid w:val="009D2E80"/>
    <w:rsid w:val="009D316D"/>
    <w:rsid w:val="009D355F"/>
    <w:rsid w:val="009D37FF"/>
    <w:rsid w:val="009D3C23"/>
    <w:rsid w:val="009D4052"/>
    <w:rsid w:val="009D467D"/>
    <w:rsid w:val="009D46A2"/>
    <w:rsid w:val="009D46A6"/>
    <w:rsid w:val="009D4706"/>
    <w:rsid w:val="009D48D6"/>
    <w:rsid w:val="009D4C05"/>
    <w:rsid w:val="009D4E71"/>
    <w:rsid w:val="009D4F77"/>
    <w:rsid w:val="009D51D5"/>
    <w:rsid w:val="009D5366"/>
    <w:rsid w:val="009D5429"/>
    <w:rsid w:val="009D56E8"/>
    <w:rsid w:val="009D6931"/>
    <w:rsid w:val="009D69D0"/>
    <w:rsid w:val="009D71B0"/>
    <w:rsid w:val="009D7324"/>
    <w:rsid w:val="009D75DC"/>
    <w:rsid w:val="009D7972"/>
    <w:rsid w:val="009D79D6"/>
    <w:rsid w:val="009D7B81"/>
    <w:rsid w:val="009D7F85"/>
    <w:rsid w:val="009E033E"/>
    <w:rsid w:val="009E0460"/>
    <w:rsid w:val="009E0531"/>
    <w:rsid w:val="009E0991"/>
    <w:rsid w:val="009E0ABE"/>
    <w:rsid w:val="009E0BC2"/>
    <w:rsid w:val="009E0CA4"/>
    <w:rsid w:val="009E0E65"/>
    <w:rsid w:val="009E1601"/>
    <w:rsid w:val="009E1675"/>
    <w:rsid w:val="009E1889"/>
    <w:rsid w:val="009E1AD0"/>
    <w:rsid w:val="009E1F75"/>
    <w:rsid w:val="009E2010"/>
    <w:rsid w:val="009E25D8"/>
    <w:rsid w:val="009E2677"/>
    <w:rsid w:val="009E2EA2"/>
    <w:rsid w:val="009E2F92"/>
    <w:rsid w:val="009E3249"/>
    <w:rsid w:val="009E340D"/>
    <w:rsid w:val="009E3650"/>
    <w:rsid w:val="009E3675"/>
    <w:rsid w:val="009E373B"/>
    <w:rsid w:val="009E379C"/>
    <w:rsid w:val="009E3CEF"/>
    <w:rsid w:val="009E3D4E"/>
    <w:rsid w:val="009E3FEC"/>
    <w:rsid w:val="009E401F"/>
    <w:rsid w:val="009E4419"/>
    <w:rsid w:val="009E46D8"/>
    <w:rsid w:val="009E4838"/>
    <w:rsid w:val="009E4C3B"/>
    <w:rsid w:val="009E51E9"/>
    <w:rsid w:val="009E53D2"/>
    <w:rsid w:val="009E57F5"/>
    <w:rsid w:val="009E6310"/>
    <w:rsid w:val="009E64FB"/>
    <w:rsid w:val="009E6B22"/>
    <w:rsid w:val="009E6B44"/>
    <w:rsid w:val="009E6E7B"/>
    <w:rsid w:val="009E6F06"/>
    <w:rsid w:val="009E7348"/>
    <w:rsid w:val="009E7480"/>
    <w:rsid w:val="009E7BFB"/>
    <w:rsid w:val="009F0025"/>
    <w:rsid w:val="009F06A9"/>
    <w:rsid w:val="009F0C86"/>
    <w:rsid w:val="009F1145"/>
    <w:rsid w:val="009F1641"/>
    <w:rsid w:val="009F1D8A"/>
    <w:rsid w:val="009F1EBB"/>
    <w:rsid w:val="009F200E"/>
    <w:rsid w:val="009F2356"/>
    <w:rsid w:val="009F24E4"/>
    <w:rsid w:val="009F28C7"/>
    <w:rsid w:val="009F2909"/>
    <w:rsid w:val="009F2C5C"/>
    <w:rsid w:val="009F2EFC"/>
    <w:rsid w:val="009F3366"/>
    <w:rsid w:val="009F357E"/>
    <w:rsid w:val="009F3899"/>
    <w:rsid w:val="009F4EFA"/>
    <w:rsid w:val="009F56B2"/>
    <w:rsid w:val="009F57E0"/>
    <w:rsid w:val="009F5893"/>
    <w:rsid w:val="009F5C79"/>
    <w:rsid w:val="009F6118"/>
    <w:rsid w:val="009F624B"/>
    <w:rsid w:val="009F671A"/>
    <w:rsid w:val="009F6AD5"/>
    <w:rsid w:val="009F6B0E"/>
    <w:rsid w:val="009F705E"/>
    <w:rsid w:val="009F70A9"/>
    <w:rsid w:val="009F7249"/>
    <w:rsid w:val="009F77E6"/>
    <w:rsid w:val="009F7843"/>
    <w:rsid w:val="009F7C14"/>
    <w:rsid w:val="009F7F58"/>
    <w:rsid w:val="00A004B6"/>
    <w:rsid w:val="00A00AA6"/>
    <w:rsid w:val="00A00D8D"/>
    <w:rsid w:val="00A00F74"/>
    <w:rsid w:val="00A01009"/>
    <w:rsid w:val="00A010AB"/>
    <w:rsid w:val="00A0111F"/>
    <w:rsid w:val="00A014E2"/>
    <w:rsid w:val="00A01546"/>
    <w:rsid w:val="00A015FE"/>
    <w:rsid w:val="00A01730"/>
    <w:rsid w:val="00A02180"/>
    <w:rsid w:val="00A022D5"/>
    <w:rsid w:val="00A025C3"/>
    <w:rsid w:val="00A0262C"/>
    <w:rsid w:val="00A02CCF"/>
    <w:rsid w:val="00A032F9"/>
    <w:rsid w:val="00A033DB"/>
    <w:rsid w:val="00A0352B"/>
    <w:rsid w:val="00A037E2"/>
    <w:rsid w:val="00A040D9"/>
    <w:rsid w:val="00A042B0"/>
    <w:rsid w:val="00A048BA"/>
    <w:rsid w:val="00A049A7"/>
    <w:rsid w:val="00A049AB"/>
    <w:rsid w:val="00A04B35"/>
    <w:rsid w:val="00A04CEF"/>
    <w:rsid w:val="00A04E2B"/>
    <w:rsid w:val="00A04F4A"/>
    <w:rsid w:val="00A04F7B"/>
    <w:rsid w:val="00A05270"/>
    <w:rsid w:val="00A053C9"/>
    <w:rsid w:val="00A057CA"/>
    <w:rsid w:val="00A05B0B"/>
    <w:rsid w:val="00A05DA9"/>
    <w:rsid w:val="00A05DD5"/>
    <w:rsid w:val="00A05FDC"/>
    <w:rsid w:val="00A0600D"/>
    <w:rsid w:val="00A06631"/>
    <w:rsid w:val="00A06817"/>
    <w:rsid w:val="00A06DBE"/>
    <w:rsid w:val="00A07059"/>
    <w:rsid w:val="00A0751D"/>
    <w:rsid w:val="00A076ED"/>
    <w:rsid w:val="00A079FD"/>
    <w:rsid w:val="00A07B98"/>
    <w:rsid w:val="00A1067E"/>
    <w:rsid w:val="00A10E1A"/>
    <w:rsid w:val="00A110ED"/>
    <w:rsid w:val="00A1138E"/>
    <w:rsid w:val="00A11B64"/>
    <w:rsid w:val="00A12895"/>
    <w:rsid w:val="00A12B6E"/>
    <w:rsid w:val="00A12FB8"/>
    <w:rsid w:val="00A1391C"/>
    <w:rsid w:val="00A1398C"/>
    <w:rsid w:val="00A13A74"/>
    <w:rsid w:val="00A13BA1"/>
    <w:rsid w:val="00A146C2"/>
    <w:rsid w:val="00A14733"/>
    <w:rsid w:val="00A147CA"/>
    <w:rsid w:val="00A147FE"/>
    <w:rsid w:val="00A14C0D"/>
    <w:rsid w:val="00A156CD"/>
    <w:rsid w:val="00A158EC"/>
    <w:rsid w:val="00A15A88"/>
    <w:rsid w:val="00A15B9F"/>
    <w:rsid w:val="00A15EFC"/>
    <w:rsid w:val="00A16054"/>
    <w:rsid w:val="00A16361"/>
    <w:rsid w:val="00A16F51"/>
    <w:rsid w:val="00A1720F"/>
    <w:rsid w:val="00A176B6"/>
    <w:rsid w:val="00A20266"/>
    <w:rsid w:val="00A202CA"/>
    <w:rsid w:val="00A20879"/>
    <w:rsid w:val="00A20C41"/>
    <w:rsid w:val="00A20D7A"/>
    <w:rsid w:val="00A2129C"/>
    <w:rsid w:val="00A21C3C"/>
    <w:rsid w:val="00A21E58"/>
    <w:rsid w:val="00A2248D"/>
    <w:rsid w:val="00A224B6"/>
    <w:rsid w:val="00A22AE2"/>
    <w:rsid w:val="00A22B67"/>
    <w:rsid w:val="00A22C2E"/>
    <w:rsid w:val="00A22D3C"/>
    <w:rsid w:val="00A23A5B"/>
    <w:rsid w:val="00A2464A"/>
    <w:rsid w:val="00A2489A"/>
    <w:rsid w:val="00A24BC1"/>
    <w:rsid w:val="00A24C5F"/>
    <w:rsid w:val="00A24F51"/>
    <w:rsid w:val="00A2533B"/>
    <w:rsid w:val="00A2568B"/>
    <w:rsid w:val="00A257F9"/>
    <w:rsid w:val="00A2587F"/>
    <w:rsid w:val="00A25E4B"/>
    <w:rsid w:val="00A2691D"/>
    <w:rsid w:val="00A26DD4"/>
    <w:rsid w:val="00A272A7"/>
    <w:rsid w:val="00A273E8"/>
    <w:rsid w:val="00A27466"/>
    <w:rsid w:val="00A274E7"/>
    <w:rsid w:val="00A303B9"/>
    <w:rsid w:val="00A30C5B"/>
    <w:rsid w:val="00A312D2"/>
    <w:rsid w:val="00A314D8"/>
    <w:rsid w:val="00A31807"/>
    <w:rsid w:val="00A31879"/>
    <w:rsid w:val="00A323DF"/>
    <w:rsid w:val="00A32C09"/>
    <w:rsid w:val="00A3350E"/>
    <w:rsid w:val="00A33520"/>
    <w:rsid w:val="00A338AD"/>
    <w:rsid w:val="00A33B79"/>
    <w:rsid w:val="00A33C5B"/>
    <w:rsid w:val="00A33CE1"/>
    <w:rsid w:val="00A33D3E"/>
    <w:rsid w:val="00A33ECF"/>
    <w:rsid w:val="00A34081"/>
    <w:rsid w:val="00A34A87"/>
    <w:rsid w:val="00A35392"/>
    <w:rsid w:val="00A35817"/>
    <w:rsid w:val="00A35CCA"/>
    <w:rsid w:val="00A35D0A"/>
    <w:rsid w:val="00A3606E"/>
    <w:rsid w:val="00A36C05"/>
    <w:rsid w:val="00A36FE9"/>
    <w:rsid w:val="00A37472"/>
    <w:rsid w:val="00A375B8"/>
    <w:rsid w:val="00A375FB"/>
    <w:rsid w:val="00A37925"/>
    <w:rsid w:val="00A37B98"/>
    <w:rsid w:val="00A37E39"/>
    <w:rsid w:val="00A37F22"/>
    <w:rsid w:val="00A41752"/>
    <w:rsid w:val="00A41ECC"/>
    <w:rsid w:val="00A422BD"/>
    <w:rsid w:val="00A423DA"/>
    <w:rsid w:val="00A42481"/>
    <w:rsid w:val="00A42504"/>
    <w:rsid w:val="00A42651"/>
    <w:rsid w:val="00A426C7"/>
    <w:rsid w:val="00A429E7"/>
    <w:rsid w:val="00A42A78"/>
    <w:rsid w:val="00A42AAF"/>
    <w:rsid w:val="00A42B29"/>
    <w:rsid w:val="00A4306E"/>
    <w:rsid w:val="00A43259"/>
    <w:rsid w:val="00A43A4F"/>
    <w:rsid w:val="00A44132"/>
    <w:rsid w:val="00A45054"/>
    <w:rsid w:val="00A450E9"/>
    <w:rsid w:val="00A451A2"/>
    <w:rsid w:val="00A45310"/>
    <w:rsid w:val="00A45571"/>
    <w:rsid w:val="00A45719"/>
    <w:rsid w:val="00A45803"/>
    <w:rsid w:val="00A46307"/>
    <w:rsid w:val="00A46A71"/>
    <w:rsid w:val="00A46ADD"/>
    <w:rsid w:val="00A46F6D"/>
    <w:rsid w:val="00A46F81"/>
    <w:rsid w:val="00A476E4"/>
    <w:rsid w:val="00A479BC"/>
    <w:rsid w:val="00A47CED"/>
    <w:rsid w:val="00A50282"/>
    <w:rsid w:val="00A508F8"/>
    <w:rsid w:val="00A50B8E"/>
    <w:rsid w:val="00A50E40"/>
    <w:rsid w:val="00A510F0"/>
    <w:rsid w:val="00A51172"/>
    <w:rsid w:val="00A5177C"/>
    <w:rsid w:val="00A51A13"/>
    <w:rsid w:val="00A51E0F"/>
    <w:rsid w:val="00A51E51"/>
    <w:rsid w:val="00A51F19"/>
    <w:rsid w:val="00A52CDA"/>
    <w:rsid w:val="00A52DBD"/>
    <w:rsid w:val="00A5376B"/>
    <w:rsid w:val="00A5378B"/>
    <w:rsid w:val="00A53818"/>
    <w:rsid w:val="00A5458F"/>
    <w:rsid w:val="00A547B3"/>
    <w:rsid w:val="00A54D64"/>
    <w:rsid w:val="00A54E31"/>
    <w:rsid w:val="00A55205"/>
    <w:rsid w:val="00A55543"/>
    <w:rsid w:val="00A556D8"/>
    <w:rsid w:val="00A5575A"/>
    <w:rsid w:val="00A55765"/>
    <w:rsid w:val="00A56174"/>
    <w:rsid w:val="00A5684F"/>
    <w:rsid w:val="00A57955"/>
    <w:rsid w:val="00A579CA"/>
    <w:rsid w:val="00A57CF2"/>
    <w:rsid w:val="00A60A3D"/>
    <w:rsid w:val="00A60BE2"/>
    <w:rsid w:val="00A614B0"/>
    <w:rsid w:val="00A61A2B"/>
    <w:rsid w:val="00A61FEF"/>
    <w:rsid w:val="00A6200F"/>
    <w:rsid w:val="00A62983"/>
    <w:rsid w:val="00A62989"/>
    <w:rsid w:val="00A62B9A"/>
    <w:rsid w:val="00A62D71"/>
    <w:rsid w:val="00A6307F"/>
    <w:rsid w:val="00A63094"/>
    <w:rsid w:val="00A63225"/>
    <w:rsid w:val="00A6324E"/>
    <w:rsid w:val="00A6371A"/>
    <w:rsid w:val="00A63BFD"/>
    <w:rsid w:val="00A63D6D"/>
    <w:rsid w:val="00A64556"/>
    <w:rsid w:val="00A645E8"/>
    <w:rsid w:val="00A648A0"/>
    <w:rsid w:val="00A648C7"/>
    <w:rsid w:val="00A64A28"/>
    <w:rsid w:val="00A6517D"/>
    <w:rsid w:val="00A65B8F"/>
    <w:rsid w:val="00A65DC5"/>
    <w:rsid w:val="00A65EF9"/>
    <w:rsid w:val="00A65F18"/>
    <w:rsid w:val="00A663F1"/>
    <w:rsid w:val="00A66404"/>
    <w:rsid w:val="00A6646E"/>
    <w:rsid w:val="00A6695F"/>
    <w:rsid w:val="00A66DEF"/>
    <w:rsid w:val="00A66F4D"/>
    <w:rsid w:val="00A6707E"/>
    <w:rsid w:val="00A67724"/>
    <w:rsid w:val="00A677D1"/>
    <w:rsid w:val="00A67A2C"/>
    <w:rsid w:val="00A67BDE"/>
    <w:rsid w:val="00A70076"/>
    <w:rsid w:val="00A71249"/>
    <w:rsid w:val="00A71756"/>
    <w:rsid w:val="00A71D1D"/>
    <w:rsid w:val="00A72C9B"/>
    <w:rsid w:val="00A72CF2"/>
    <w:rsid w:val="00A72D4C"/>
    <w:rsid w:val="00A72E8E"/>
    <w:rsid w:val="00A72F04"/>
    <w:rsid w:val="00A73392"/>
    <w:rsid w:val="00A73435"/>
    <w:rsid w:val="00A735E6"/>
    <w:rsid w:val="00A73715"/>
    <w:rsid w:val="00A73A30"/>
    <w:rsid w:val="00A73AA4"/>
    <w:rsid w:val="00A73B37"/>
    <w:rsid w:val="00A73CD8"/>
    <w:rsid w:val="00A73DB5"/>
    <w:rsid w:val="00A7414A"/>
    <w:rsid w:val="00A741EC"/>
    <w:rsid w:val="00A74ACD"/>
    <w:rsid w:val="00A74BFD"/>
    <w:rsid w:val="00A74F85"/>
    <w:rsid w:val="00A74F97"/>
    <w:rsid w:val="00A75187"/>
    <w:rsid w:val="00A75AF6"/>
    <w:rsid w:val="00A7650D"/>
    <w:rsid w:val="00A76776"/>
    <w:rsid w:val="00A769E9"/>
    <w:rsid w:val="00A76AB5"/>
    <w:rsid w:val="00A76CEC"/>
    <w:rsid w:val="00A76F5F"/>
    <w:rsid w:val="00A77788"/>
    <w:rsid w:val="00A802F6"/>
    <w:rsid w:val="00A8054C"/>
    <w:rsid w:val="00A809F7"/>
    <w:rsid w:val="00A813D0"/>
    <w:rsid w:val="00A814E9"/>
    <w:rsid w:val="00A817E4"/>
    <w:rsid w:val="00A81A99"/>
    <w:rsid w:val="00A81BB7"/>
    <w:rsid w:val="00A81EC5"/>
    <w:rsid w:val="00A81F09"/>
    <w:rsid w:val="00A82316"/>
    <w:rsid w:val="00A82787"/>
    <w:rsid w:val="00A82DC0"/>
    <w:rsid w:val="00A83069"/>
    <w:rsid w:val="00A83148"/>
    <w:rsid w:val="00A8318E"/>
    <w:rsid w:val="00A8325E"/>
    <w:rsid w:val="00A8326B"/>
    <w:rsid w:val="00A838C3"/>
    <w:rsid w:val="00A839BE"/>
    <w:rsid w:val="00A83BF8"/>
    <w:rsid w:val="00A83DDB"/>
    <w:rsid w:val="00A83DF9"/>
    <w:rsid w:val="00A83FAB"/>
    <w:rsid w:val="00A841D6"/>
    <w:rsid w:val="00A845A2"/>
    <w:rsid w:val="00A84859"/>
    <w:rsid w:val="00A849AE"/>
    <w:rsid w:val="00A84B1B"/>
    <w:rsid w:val="00A84B22"/>
    <w:rsid w:val="00A84B61"/>
    <w:rsid w:val="00A85619"/>
    <w:rsid w:val="00A85F7C"/>
    <w:rsid w:val="00A8615F"/>
    <w:rsid w:val="00A861EE"/>
    <w:rsid w:val="00A86211"/>
    <w:rsid w:val="00A8626F"/>
    <w:rsid w:val="00A86288"/>
    <w:rsid w:val="00A8699D"/>
    <w:rsid w:val="00A869A6"/>
    <w:rsid w:val="00A86D5D"/>
    <w:rsid w:val="00A8719E"/>
    <w:rsid w:val="00A874AB"/>
    <w:rsid w:val="00A8791A"/>
    <w:rsid w:val="00A87C9D"/>
    <w:rsid w:val="00A87FB4"/>
    <w:rsid w:val="00A9031D"/>
    <w:rsid w:val="00A906FE"/>
    <w:rsid w:val="00A90982"/>
    <w:rsid w:val="00A90CF7"/>
    <w:rsid w:val="00A910F1"/>
    <w:rsid w:val="00A91763"/>
    <w:rsid w:val="00A91CEB"/>
    <w:rsid w:val="00A91EF9"/>
    <w:rsid w:val="00A91F0B"/>
    <w:rsid w:val="00A92586"/>
    <w:rsid w:val="00A9376C"/>
    <w:rsid w:val="00A93ABB"/>
    <w:rsid w:val="00A93ED8"/>
    <w:rsid w:val="00A940B8"/>
    <w:rsid w:val="00A9425D"/>
    <w:rsid w:val="00A94631"/>
    <w:rsid w:val="00A949C5"/>
    <w:rsid w:val="00A94A6D"/>
    <w:rsid w:val="00A94C5D"/>
    <w:rsid w:val="00A951DF"/>
    <w:rsid w:val="00A95398"/>
    <w:rsid w:val="00A958A0"/>
    <w:rsid w:val="00A95E39"/>
    <w:rsid w:val="00A95EF5"/>
    <w:rsid w:val="00A96632"/>
    <w:rsid w:val="00A9670D"/>
    <w:rsid w:val="00A967D4"/>
    <w:rsid w:val="00A96EB9"/>
    <w:rsid w:val="00A97340"/>
    <w:rsid w:val="00A97491"/>
    <w:rsid w:val="00A9775A"/>
    <w:rsid w:val="00AA02F9"/>
    <w:rsid w:val="00AA0D87"/>
    <w:rsid w:val="00AA0E63"/>
    <w:rsid w:val="00AA1002"/>
    <w:rsid w:val="00AA1795"/>
    <w:rsid w:val="00AA17FC"/>
    <w:rsid w:val="00AA18D4"/>
    <w:rsid w:val="00AA1D1A"/>
    <w:rsid w:val="00AA2000"/>
    <w:rsid w:val="00AA265D"/>
    <w:rsid w:val="00AA2906"/>
    <w:rsid w:val="00AA2A7A"/>
    <w:rsid w:val="00AA2EA4"/>
    <w:rsid w:val="00AA3026"/>
    <w:rsid w:val="00AA318A"/>
    <w:rsid w:val="00AA3B47"/>
    <w:rsid w:val="00AA3F07"/>
    <w:rsid w:val="00AA4014"/>
    <w:rsid w:val="00AA411B"/>
    <w:rsid w:val="00AA4210"/>
    <w:rsid w:val="00AA44E6"/>
    <w:rsid w:val="00AA48D4"/>
    <w:rsid w:val="00AA491F"/>
    <w:rsid w:val="00AA4D61"/>
    <w:rsid w:val="00AA54E2"/>
    <w:rsid w:val="00AA559A"/>
    <w:rsid w:val="00AA582B"/>
    <w:rsid w:val="00AA5BA7"/>
    <w:rsid w:val="00AA6640"/>
    <w:rsid w:val="00AA7054"/>
    <w:rsid w:val="00AA7846"/>
    <w:rsid w:val="00AA7976"/>
    <w:rsid w:val="00AA7A69"/>
    <w:rsid w:val="00AA7BA2"/>
    <w:rsid w:val="00AA7CDC"/>
    <w:rsid w:val="00AA7F28"/>
    <w:rsid w:val="00AB01E0"/>
    <w:rsid w:val="00AB0254"/>
    <w:rsid w:val="00AB0F99"/>
    <w:rsid w:val="00AB1302"/>
    <w:rsid w:val="00AB1C99"/>
    <w:rsid w:val="00AB239C"/>
    <w:rsid w:val="00AB275F"/>
    <w:rsid w:val="00AB32B0"/>
    <w:rsid w:val="00AB36A1"/>
    <w:rsid w:val="00AB386B"/>
    <w:rsid w:val="00AB38CF"/>
    <w:rsid w:val="00AB3D21"/>
    <w:rsid w:val="00AB3D46"/>
    <w:rsid w:val="00AB3FF1"/>
    <w:rsid w:val="00AB41AB"/>
    <w:rsid w:val="00AB438B"/>
    <w:rsid w:val="00AB4411"/>
    <w:rsid w:val="00AB4830"/>
    <w:rsid w:val="00AB496F"/>
    <w:rsid w:val="00AB4E30"/>
    <w:rsid w:val="00AB4EC0"/>
    <w:rsid w:val="00AB587B"/>
    <w:rsid w:val="00AB6514"/>
    <w:rsid w:val="00AB6CFA"/>
    <w:rsid w:val="00AB6FF9"/>
    <w:rsid w:val="00AB716D"/>
    <w:rsid w:val="00AB764D"/>
    <w:rsid w:val="00AB7C11"/>
    <w:rsid w:val="00AB7F3D"/>
    <w:rsid w:val="00AB7FD1"/>
    <w:rsid w:val="00AC001C"/>
    <w:rsid w:val="00AC058D"/>
    <w:rsid w:val="00AC07D9"/>
    <w:rsid w:val="00AC0B44"/>
    <w:rsid w:val="00AC0BB6"/>
    <w:rsid w:val="00AC117F"/>
    <w:rsid w:val="00AC1FFC"/>
    <w:rsid w:val="00AC249B"/>
    <w:rsid w:val="00AC2633"/>
    <w:rsid w:val="00AC277F"/>
    <w:rsid w:val="00AC2917"/>
    <w:rsid w:val="00AC298B"/>
    <w:rsid w:val="00AC2A4E"/>
    <w:rsid w:val="00AC2C62"/>
    <w:rsid w:val="00AC2E12"/>
    <w:rsid w:val="00AC3350"/>
    <w:rsid w:val="00AC385F"/>
    <w:rsid w:val="00AC394F"/>
    <w:rsid w:val="00AC3B9D"/>
    <w:rsid w:val="00AC3BBB"/>
    <w:rsid w:val="00AC40A1"/>
    <w:rsid w:val="00AC4245"/>
    <w:rsid w:val="00AC449E"/>
    <w:rsid w:val="00AC459D"/>
    <w:rsid w:val="00AC4740"/>
    <w:rsid w:val="00AC48D8"/>
    <w:rsid w:val="00AC5935"/>
    <w:rsid w:val="00AC5F3F"/>
    <w:rsid w:val="00AC5F92"/>
    <w:rsid w:val="00AC6489"/>
    <w:rsid w:val="00AC6A9B"/>
    <w:rsid w:val="00AC6CB0"/>
    <w:rsid w:val="00AC70E2"/>
    <w:rsid w:val="00AC71CA"/>
    <w:rsid w:val="00AC7467"/>
    <w:rsid w:val="00AD099A"/>
    <w:rsid w:val="00AD09AB"/>
    <w:rsid w:val="00AD0AE5"/>
    <w:rsid w:val="00AD0BF2"/>
    <w:rsid w:val="00AD0D11"/>
    <w:rsid w:val="00AD1A27"/>
    <w:rsid w:val="00AD1AC6"/>
    <w:rsid w:val="00AD1B5F"/>
    <w:rsid w:val="00AD1CA9"/>
    <w:rsid w:val="00AD1CF5"/>
    <w:rsid w:val="00AD1E7E"/>
    <w:rsid w:val="00AD2483"/>
    <w:rsid w:val="00AD275F"/>
    <w:rsid w:val="00AD28F7"/>
    <w:rsid w:val="00AD2E53"/>
    <w:rsid w:val="00AD3168"/>
    <w:rsid w:val="00AD3E50"/>
    <w:rsid w:val="00AD4021"/>
    <w:rsid w:val="00AD42A5"/>
    <w:rsid w:val="00AD4503"/>
    <w:rsid w:val="00AD468E"/>
    <w:rsid w:val="00AD4843"/>
    <w:rsid w:val="00AD4B3F"/>
    <w:rsid w:val="00AD520B"/>
    <w:rsid w:val="00AD5238"/>
    <w:rsid w:val="00AD52DE"/>
    <w:rsid w:val="00AD5316"/>
    <w:rsid w:val="00AD57A8"/>
    <w:rsid w:val="00AD59D1"/>
    <w:rsid w:val="00AD5DA4"/>
    <w:rsid w:val="00AD617B"/>
    <w:rsid w:val="00AD643C"/>
    <w:rsid w:val="00AD65CB"/>
    <w:rsid w:val="00AD6695"/>
    <w:rsid w:val="00AD68F9"/>
    <w:rsid w:val="00AD69E1"/>
    <w:rsid w:val="00AD794C"/>
    <w:rsid w:val="00AD7BFF"/>
    <w:rsid w:val="00AE0052"/>
    <w:rsid w:val="00AE04DC"/>
    <w:rsid w:val="00AE09BF"/>
    <w:rsid w:val="00AE0EA3"/>
    <w:rsid w:val="00AE1158"/>
    <w:rsid w:val="00AE11FA"/>
    <w:rsid w:val="00AE1642"/>
    <w:rsid w:val="00AE1838"/>
    <w:rsid w:val="00AE1B03"/>
    <w:rsid w:val="00AE21E5"/>
    <w:rsid w:val="00AE22C7"/>
    <w:rsid w:val="00AE25F9"/>
    <w:rsid w:val="00AE2857"/>
    <w:rsid w:val="00AE2B81"/>
    <w:rsid w:val="00AE4305"/>
    <w:rsid w:val="00AE43A4"/>
    <w:rsid w:val="00AE4638"/>
    <w:rsid w:val="00AE46D2"/>
    <w:rsid w:val="00AE47D2"/>
    <w:rsid w:val="00AE4A68"/>
    <w:rsid w:val="00AE4ABE"/>
    <w:rsid w:val="00AE4D23"/>
    <w:rsid w:val="00AE4E1D"/>
    <w:rsid w:val="00AE53CB"/>
    <w:rsid w:val="00AE551C"/>
    <w:rsid w:val="00AE5749"/>
    <w:rsid w:val="00AE58A2"/>
    <w:rsid w:val="00AE5B8B"/>
    <w:rsid w:val="00AE5D71"/>
    <w:rsid w:val="00AE5F8F"/>
    <w:rsid w:val="00AE60A1"/>
    <w:rsid w:val="00AE63BE"/>
    <w:rsid w:val="00AE6682"/>
    <w:rsid w:val="00AE6706"/>
    <w:rsid w:val="00AE6834"/>
    <w:rsid w:val="00AE6A22"/>
    <w:rsid w:val="00AE6A5B"/>
    <w:rsid w:val="00AE6AA3"/>
    <w:rsid w:val="00AE6CFD"/>
    <w:rsid w:val="00AE6FD4"/>
    <w:rsid w:val="00AE708C"/>
    <w:rsid w:val="00AE752E"/>
    <w:rsid w:val="00AE754A"/>
    <w:rsid w:val="00AE7A92"/>
    <w:rsid w:val="00AE7AC6"/>
    <w:rsid w:val="00AE7D49"/>
    <w:rsid w:val="00AE7FCE"/>
    <w:rsid w:val="00AF01FE"/>
    <w:rsid w:val="00AF0236"/>
    <w:rsid w:val="00AF03FE"/>
    <w:rsid w:val="00AF0888"/>
    <w:rsid w:val="00AF0EEF"/>
    <w:rsid w:val="00AF0F45"/>
    <w:rsid w:val="00AF0F9C"/>
    <w:rsid w:val="00AF1064"/>
    <w:rsid w:val="00AF1084"/>
    <w:rsid w:val="00AF154C"/>
    <w:rsid w:val="00AF1887"/>
    <w:rsid w:val="00AF1AD1"/>
    <w:rsid w:val="00AF1E3A"/>
    <w:rsid w:val="00AF1F43"/>
    <w:rsid w:val="00AF28CA"/>
    <w:rsid w:val="00AF294B"/>
    <w:rsid w:val="00AF2BDD"/>
    <w:rsid w:val="00AF2D47"/>
    <w:rsid w:val="00AF344A"/>
    <w:rsid w:val="00AF35E2"/>
    <w:rsid w:val="00AF3A52"/>
    <w:rsid w:val="00AF3ED6"/>
    <w:rsid w:val="00AF4C61"/>
    <w:rsid w:val="00AF5110"/>
    <w:rsid w:val="00AF5442"/>
    <w:rsid w:val="00AF5F5E"/>
    <w:rsid w:val="00AF621E"/>
    <w:rsid w:val="00AF63E2"/>
    <w:rsid w:val="00AF665D"/>
    <w:rsid w:val="00AF69A7"/>
    <w:rsid w:val="00AF7687"/>
    <w:rsid w:val="00AF7778"/>
    <w:rsid w:val="00AF7D27"/>
    <w:rsid w:val="00B0008C"/>
    <w:rsid w:val="00B0032A"/>
    <w:rsid w:val="00B00330"/>
    <w:rsid w:val="00B00884"/>
    <w:rsid w:val="00B00AFE"/>
    <w:rsid w:val="00B00BAC"/>
    <w:rsid w:val="00B00F1E"/>
    <w:rsid w:val="00B01060"/>
    <w:rsid w:val="00B0138D"/>
    <w:rsid w:val="00B01604"/>
    <w:rsid w:val="00B01BA9"/>
    <w:rsid w:val="00B01C00"/>
    <w:rsid w:val="00B01D36"/>
    <w:rsid w:val="00B01D66"/>
    <w:rsid w:val="00B0201E"/>
    <w:rsid w:val="00B027CE"/>
    <w:rsid w:val="00B02BD7"/>
    <w:rsid w:val="00B02C27"/>
    <w:rsid w:val="00B02EA9"/>
    <w:rsid w:val="00B02F06"/>
    <w:rsid w:val="00B02FF1"/>
    <w:rsid w:val="00B0317A"/>
    <w:rsid w:val="00B03AF7"/>
    <w:rsid w:val="00B03E7C"/>
    <w:rsid w:val="00B04342"/>
    <w:rsid w:val="00B043A6"/>
    <w:rsid w:val="00B04502"/>
    <w:rsid w:val="00B04647"/>
    <w:rsid w:val="00B0483A"/>
    <w:rsid w:val="00B049AF"/>
    <w:rsid w:val="00B0558B"/>
    <w:rsid w:val="00B056CF"/>
    <w:rsid w:val="00B05879"/>
    <w:rsid w:val="00B0663D"/>
    <w:rsid w:val="00B068E0"/>
    <w:rsid w:val="00B06B2C"/>
    <w:rsid w:val="00B07034"/>
    <w:rsid w:val="00B07218"/>
    <w:rsid w:val="00B07309"/>
    <w:rsid w:val="00B07EC8"/>
    <w:rsid w:val="00B101F7"/>
    <w:rsid w:val="00B1074C"/>
    <w:rsid w:val="00B10BFA"/>
    <w:rsid w:val="00B1130B"/>
    <w:rsid w:val="00B11874"/>
    <w:rsid w:val="00B118DB"/>
    <w:rsid w:val="00B119D0"/>
    <w:rsid w:val="00B119D7"/>
    <w:rsid w:val="00B11FDD"/>
    <w:rsid w:val="00B12B89"/>
    <w:rsid w:val="00B13C64"/>
    <w:rsid w:val="00B13F44"/>
    <w:rsid w:val="00B145C7"/>
    <w:rsid w:val="00B147FD"/>
    <w:rsid w:val="00B149D2"/>
    <w:rsid w:val="00B15630"/>
    <w:rsid w:val="00B1567B"/>
    <w:rsid w:val="00B15919"/>
    <w:rsid w:val="00B15B69"/>
    <w:rsid w:val="00B15C15"/>
    <w:rsid w:val="00B1691C"/>
    <w:rsid w:val="00B16AEE"/>
    <w:rsid w:val="00B16D88"/>
    <w:rsid w:val="00B16E6E"/>
    <w:rsid w:val="00B170D7"/>
    <w:rsid w:val="00B1712D"/>
    <w:rsid w:val="00B1738A"/>
    <w:rsid w:val="00B1744A"/>
    <w:rsid w:val="00B17977"/>
    <w:rsid w:val="00B17A6E"/>
    <w:rsid w:val="00B17B30"/>
    <w:rsid w:val="00B17B88"/>
    <w:rsid w:val="00B17E68"/>
    <w:rsid w:val="00B17ED4"/>
    <w:rsid w:val="00B202A1"/>
    <w:rsid w:val="00B202C6"/>
    <w:rsid w:val="00B205A8"/>
    <w:rsid w:val="00B20837"/>
    <w:rsid w:val="00B213F2"/>
    <w:rsid w:val="00B2153F"/>
    <w:rsid w:val="00B21567"/>
    <w:rsid w:val="00B21576"/>
    <w:rsid w:val="00B21801"/>
    <w:rsid w:val="00B2198E"/>
    <w:rsid w:val="00B219B9"/>
    <w:rsid w:val="00B21AEE"/>
    <w:rsid w:val="00B21E5E"/>
    <w:rsid w:val="00B21E66"/>
    <w:rsid w:val="00B21F39"/>
    <w:rsid w:val="00B22C56"/>
    <w:rsid w:val="00B22CF5"/>
    <w:rsid w:val="00B2307F"/>
    <w:rsid w:val="00B23907"/>
    <w:rsid w:val="00B2409C"/>
    <w:rsid w:val="00B246A8"/>
    <w:rsid w:val="00B24AD0"/>
    <w:rsid w:val="00B24EEF"/>
    <w:rsid w:val="00B25684"/>
    <w:rsid w:val="00B25883"/>
    <w:rsid w:val="00B25A6A"/>
    <w:rsid w:val="00B25E56"/>
    <w:rsid w:val="00B26540"/>
    <w:rsid w:val="00B2660E"/>
    <w:rsid w:val="00B26AFE"/>
    <w:rsid w:val="00B26D3A"/>
    <w:rsid w:val="00B2704D"/>
    <w:rsid w:val="00B273A2"/>
    <w:rsid w:val="00B27546"/>
    <w:rsid w:val="00B27B16"/>
    <w:rsid w:val="00B30014"/>
    <w:rsid w:val="00B303CD"/>
    <w:rsid w:val="00B30B56"/>
    <w:rsid w:val="00B30D46"/>
    <w:rsid w:val="00B3169C"/>
    <w:rsid w:val="00B316A1"/>
    <w:rsid w:val="00B318B7"/>
    <w:rsid w:val="00B31E8E"/>
    <w:rsid w:val="00B31F6D"/>
    <w:rsid w:val="00B322D2"/>
    <w:rsid w:val="00B32458"/>
    <w:rsid w:val="00B32624"/>
    <w:rsid w:val="00B32886"/>
    <w:rsid w:val="00B33233"/>
    <w:rsid w:val="00B337D3"/>
    <w:rsid w:val="00B33A86"/>
    <w:rsid w:val="00B33AD5"/>
    <w:rsid w:val="00B33B65"/>
    <w:rsid w:val="00B341BD"/>
    <w:rsid w:val="00B34327"/>
    <w:rsid w:val="00B34BBF"/>
    <w:rsid w:val="00B34DD2"/>
    <w:rsid w:val="00B34F72"/>
    <w:rsid w:val="00B34FE0"/>
    <w:rsid w:val="00B35B06"/>
    <w:rsid w:val="00B36220"/>
    <w:rsid w:val="00B36586"/>
    <w:rsid w:val="00B365E9"/>
    <w:rsid w:val="00B36772"/>
    <w:rsid w:val="00B36899"/>
    <w:rsid w:val="00B36966"/>
    <w:rsid w:val="00B37056"/>
    <w:rsid w:val="00B37969"/>
    <w:rsid w:val="00B40111"/>
    <w:rsid w:val="00B40860"/>
    <w:rsid w:val="00B40AFE"/>
    <w:rsid w:val="00B4106B"/>
    <w:rsid w:val="00B41323"/>
    <w:rsid w:val="00B417B9"/>
    <w:rsid w:val="00B419DB"/>
    <w:rsid w:val="00B421BB"/>
    <w:rsid w:val="00B424A8"/>
    <w:rsid w:val="00B42561"/>
    <w:rsid w:val="00B4269D"/>
    <w:rsid w:val="00B4280D"/>
    <w:rsid w:val="00B429E6"/>
    <w:rsid w:val="00B4327C"/>
    <w:rsid w:val="00B432E1"/>
    <w:rsid w:val="00B43659"/>
    <w:rsid w:val="00B43ABD"/>
    <w:rsid w:val="00B43DCB"/>
    <w:rsid w:val="00B440A5"/>
    <w:rsid w:val="00B44AF1"/>
    <w:rsid w:val="00B44D97"/>
    <w:rsid w:val="00B45B76"/>
    <w:rsid w:val="00B46020"/>
    <w:rsid w:val="00B46483"/>
    <w:rsid w:val="00B464E5"/>
    <w:rsid w:val="00B46BFD"/>
    <w:rsid w:val="00B46EF3"/>
    <w:rsid w:val="00B4714D"/>
    <w:rsid w:val="00B4745A"/>
    <w:rsid w:val="00B47508"/>
    <w:rsid w:val="00B47A83"/>
    <w:rsid w:val="00B47BA2"/>
    <w:rsid w:val="00B47D6F"/>
    <w:rsid w:val="00B500F6"/>
    <w:rsid w:val="00B502C3"/>
    <w:rsid w:val="00B5040D"/>
    <w:rsid w:val="00B50654"/>
    <w:rsid w:val="00B508CD"/>
    <w:rsid w:val="00B50941"/>
    <w:rsid w:val="00B50A8F"/>
    <w:rsid w:val="00B50B42"/>
    <w:rsid w:val="00B50BCD"/>
    <w:rsid w:val="00B51236"/>
    <w:rsid w:val="00B51789"/>
    <w:rsid w:val="00B518D4"/>
    <w:rsid w:val="00B51DB1"/>
    <w:rsid w:val="00B51E7B"/>
    <w:rsid w:val="00B520FF"/>
    <w:rsid w:val="00B52A44"/>
    <w:rsid w:val="00B52C50"/>
    <w:rsid w:val="00B531EB"/>
    <w:rsid w:val="00B5335F"/>
    <w:rsid w:val="00B539F3"/>
    <w:rsid w:val="00B53C8E"/>
    <w:rsid w:val="00B53D29"/>
    <w:rsid w:val="00B54320"/>
    <w:rsid w:val="00B543A9"/>
    <w:rsid w:val="00B54BA4"/>
    <w:rsid w:val="00B54DEE"/>
    <w:rsid w:val="00B54E43"/>
    <w:rsid w:val="00B553D9"/>
    <w:rsid w:val="00B5578E"/>
    <w:rsid w:val="00B5597E"/>
    <w:rsid w:val="00B55F79"/>
    <w:rsid w:val="00B56037"/>
    <w:rsid w:val="00B56A58"/>
    <w:rsid w:val="00B56D89"/>
    <w:rsid w:val="00B56EFD"/>
    <w:rsid w:val="00B57104"/>
    <w:rsid w:val="00B5725D"/>
    <w:rsid w:val="00B576E8"/>
    <w:rsid w:val="00B57711"/>
    <w:rsid w:val="00B57763"/>
    <w:rsid w:val="00B57880"/>
    <w:rsid w:val="00B57985"/>
    <w:rsid w:val="00B57A0C"/>
    <w:rsid w:val="00B57ACE"/>
    <w:rsid w:val="00B57B6E"/>
    <w:rsid w:val="00B60235"/>
    <w:rsid w:val="00B602A9"/>
    <w:rsid w:val="00B606A0"/>
    <w:rsid w:val="00B606E0"/>
    <w:rsid w:val="00B6094E"/>
    <w:rsid w:val="00B60C9E"/>
    <w:rsid w:val="00B60D6C"/>
    <w:rsid w:val="00B60E79"/>
    <w:rsid w:val="00B612D2"/>
    <w:rsid w:val="00B6147C"/>
    <w:rsid w:val="00B61619"/>
    <w:rsid w:val="00B616CD"/>
    <w:rsid w:val="00B617FF"/>
    <w:rsid w:val="00B61DD5"/>
    <w:rsid w:val="00B620F0"/>
    <w:rsid w:val="00B623A8"/>
    <w:rsid w:val="00B628AA"/>
    <w:rsid w:val="00B629DC"/>
    <w:rsid w:val="00B62B01"/>
    <w:rsid w:val="00B630C0"/>
    <w:rsid w:val="00B63533"/>
    <w:rsid w:val="00B636AE"/>
    <w:rsid w:val="00B638E5"/>
    <w:rsid w:val="00B63C05"/>
    <w:rsid w:val="00B63D8F"/>
    <w:rsid w:val="00B63EF2"/>
    <w:rsid w:val="00B63F5E"/>
    <w:rsid w:val="00B64477"/>
    <w:rsid w:val="00B6466E"/>
    <w:rsid w:val="00B647AF"/>
    <w:rsid w:val="00B64F42"/>
    <w:rsid w:val="00B65026"/>
    <w:rsid w:val="00B651D5"/>
    <w:rsid w:val="00B655D6"/>
    <w:rsid w:val="00B65B86"/>
    <w:rsid w:val="00B65B8A"/>
    <w:rsid w:val="00B65F2D"/>
    <w:rsid w:val="00B66144"/>
    <w:rsid w:val="00B664A7"/>
    <w:rsid w:val="00B66B79"/>
    <w:rsid w:val="00B66B9E"/>
    <w:rsid w:val="00B66FF4"/>
    <w:rsid w:val="00B6768B"/>
    <w:rsid w:val="00B6778A"/>
    <w:rsid w:val="00B679A2"/>
    <w:rsid w:val="00B7034D"/>
    <w:rsid w:val="00B70854"/>
    <w:rsid w:val="00B70B77"/>
    <w:rsid w:val="00B70C13"/>
    <w:rsid w:val="00B70CBF"/>
    <w:rsid w:val="00B70F81"/>
    <w:rsid w:val="00B713CB"/>
    <w:rsid w:val="00B7179C"/>
    <w:rsid w:val="00B717D8"/>
    <w:rsid w:val="00B71861"/>
    <w:rsid w:val="00B71976"/>
    <w:rsid w:val="00B71C16"/>
    <w:rsid w:val="00B7215D"/>
    <w:rsid w:val="00B72882"/>
    <w:rsid w:val="00B73295"/>
    <w:rsid w:val="00B7337D"/>
    <w:rsid w:val="00B7347A"/>
    <w:rsid w:val="00B73860"/>
    <w:rsid w:val="00B73EB7"/>
    <w:rsid w:val="00B747CF"/>
    <w:rsid w:val="00B74941"/>
    <w:rsid w:val="00B74959"/>
    <w:rsid w:val="00B74FD9"/>
    <w:rsid w:val="00B75152"/>
    <w:rsid w:val="00B7527A"/>
    <w:rsid w:val="00B7543E"/>
    <w:rsid w:val="00B75890"/>
    <w:rsid w:val="00B7599B"/>
    <w:rsid w:val="00B75E00"/>
    <w:rsid w:val="00B75E3B"/>
    <w:rsid w:val="00B769D8"/>
    <w:rsid w:val="00B76BE2"/>
    <w:rsid w:val="00B77182"/>
    <w:rsid w:val="00B7721F"/>
    <w:rsid w:val="00B77E7C"/>
    <w:rsid w:val="00B803CA"/>
    <w:rsid w:val="00B80988"/>
    <w:rsid w:val="00B80DAD"/>
    <w:rsid w:val="00B80DEC"/>
    <w:rsid w:val="00B81367"/>
    <w:rsid w:val="00B819DB"/>
    <w:rsid w:val="00B81BF2"/>
    <w:rsid w:val="00B81F26"/>
    <w:rsid w:val="00B824E4"/>
    <w:rsid w:val="00B82616"/>
    <w:rsid w:val="00B82629"/>
    <w:rsid w:val="00B82A97"/>
    <w:rsid w:val="00B82DC2"/>
    <w:rsid w:val="00B836C8"/>
    <w:rsid w:val="00B83744"/>
    <w:rsid w:val="00B83F00"/>
    <w:rsid w:val="00B84272"/>
    <w:rsid w:val="00B84282"/>
    <w:rsid w:val="00B84726"/>
    <w:rsid w:val="00B84D29"/>
    <w:rsid w:val="00B84FDB"/>
    <w:rsid w:val="00B8512B"/>
    <w:rsid w:val="00B85707"/>
    <w:rsid w:val="00B85A44"/>
    <w:rsid w:val="00B85B75"/>
    <w:rsid w:val="00B85F57"/>
    <w:rsid w:val="00B860C8"/>
    <w:rsid w:val="00B86389"/>
    <w:rsid w:val="00B87077"/>
    <w:rsid w:val="00B87A21"/>
    <w:rsid w:val="00B87AC6"/>
    <w:rsid w:val="00B87E1B"/>
    <w:rsid w:val="00B906D3"/>
    <w:rsid w:val="00B90862"/>
    <w:rsid w:val="00B90C7D"/>
    <w:rsid w:val="00B90E71"/>
    <w:rsid w:val="00B91311"/>
    <w:rsid w:val="00B91623"/>
    <w:rsid w:val="00B9173B"/>
    <w:rsid w:val="00B92157"/>
    <w:rsid w:val="00B923C2"/>
    <w:rsid w:val="00B92A32"/>
    <w:rsid w:val="00B92E5F"/>
    <w:rsid w:val="00B93130"/>
    <w:rsid w:val="00B9364D"/>
    <w:rsid w:val="00B93653"/>
    <w:rsid w:val="00B936B4"/>
    <w:rsid w:val="00B938F8"/>
    <w:rsid w:val="00B93ADF"/>
    <w:rsid w:val="00B93BCD"/>
    <w:rsid w:val="00B93C13"/>
    <w:rsid w:val="00B93DAB"/>
    <w:rsid w:val="00B93DE3"/>
    <w:rsid w:val="00B94298"/>
    <w:rsid w:val="00B94822"/>
    <w:rsid w:val="00B949E8"/>
    <w:rsid w:val="00B94C9D"/>
    <w:rsid w:val="00B94EF3"/>
    <w:rsid w:val="00B95349"/>
    <w:rsid w:val="00B9577E"/>
    <w:rsid w:val="00B9613F"/>
    <w:rsid w:val="00B96362"/>
    <w:rsid w:val="00B96851"/>
    <w:rsid w:val="00B96973"/>
    <w:rsid w:val="00B969CD"/>
    <w:rsid w:val="00B96A61"/>
    <w:rsid w:val="00B9727A"/>
    <w:rsid w:val="00B9740E"/>
    <w:rsid w:val="00BA005F"/>
    <w:rsid w:val="00BA070E"/>
    <w:rsid w:val="00BA10EC"/>
    <w:rsid w:val="00BA1296"/>
    <w:rsid w:val="00BA1355"/>
    <w:rsid w:val="00BA14CB"/>
    <w:rsid w:val="00BA1563"/>
    <w:rsid w:val="00BA2073"/>
    <w:rsid w:val="00BA2314"/>
    <w:rsid w:val="00BA23F8"/>
    <w:rsid w:val="00BA2766"/>
    <w:rsid w:val="00BA2FFA"/>
    <w:rsid w:val="00BA327E"/>
    <w:rsid w:val="00BA396F"/>
    <w:rsid w:val="00BA40D4"/>
    <w:rsid w:val="00BA412C"/>
    <w:rsid w:val="00BA46C9"/>
    <w:rsid w:val="00BA4E57"/>
    <w:rsid w:val="00BA4ED5"/>
    <w:rsid w:val="00BA5785"/>
    <w:rsid w:val="00BA5833"/>
    <w:rsid w:val="00BA6525"/>
    <w:rsid w:val="00BA66EA"/>
    <w:rsid w:val="00BA6CF1"/>
    <w:rsid w:val="00BA70B3"/>
    <w:rsid w:val="00BA7C90"/>
    <w:rsid w:val="00BA7FF7"/>
    <w:rsid w:val="00BB0225"/>
    <w:rsid w:val="00BB1294"/>
    <w:rsid w:val="00BB1B3A"/>
    <w:rsid w:val="00BB1B92"/>
    <w:rsid w:val="00BB20AC"/>
    <w:rsid w:val="00BB241E"/>
    <w:rsid w:val="00BB2658"/>
    <w:rsid w:val="00BB2B03"/>
    <w:rsid w:val="00BB2B28"/>
    <w:rsid w:val="00BB3296"/>
    <w:rsid w:val="00BB36A4"/>
    <w:rsid w:val="00BB38CA"/>
    <w:rsid w:val="00BB3C99"/>
    <w:rsid w:val="00BB3C9C"/>
    <w:rsid w:val="00BB3ECB"/>
    <w:rsid w:val="00BB42E0"/>
    <w:rsid w:val="00BB47AD"/>
    <w:rsid w:val="00BB4EC9"/>
    <w:rsid w:val="00BB5129"/>
    <w:rsid w:val="00BB5182"/>
    <w:rsid w:val="00BB51B9"/>
    <w:rsid w:val="00BB523B"/>
    <w:rsid w:val="00BB556C"/>
    <w:rsid w:val="00BB5C82"/>
    <w:rsid w:val="00BB5D49"/>
    <w:rsid w:val="00BB720B"/>
    <w:rsid w:val="00BB7282"/>
    <w:rsid w:val="00BB7306"/>
    <w:rsid w:val="00BB75D1"/>
    <w:rsid w:val="00BB78B1"/>
    <w:rsid w:val="00BC04CE"/>
    <w:rsid w:val="00BC06D9"/>
    <w:rsid w:val="00BC078F"/>
    <w:rsid w:val="00BC08F4"/>
    <w:rsid w:val="00BC090A"/>
    <w:rsid w:val="00BC0977"/>
    <w:rsid w:val="00BC0B78"/>
    <w:rsid w:val="00BC10DC"/>
    <w:rsid w:val="00BC148D"/>
    <w:rsid w:val="00BC1595"/>
    <w:rsid w:val="00BC1B43"/>
    <w:rsid w:val="00BC1F16"/>
    <w:rsid w:val="00BC2442"/>
    <w:rsid w:val="00BC2751"/>
    <w:rsid w:val="00BC276F"/>
    <w:rsid w:val="00BC3459"/>
    <w:rsid w:val="00BC3466"/>
    <w:rsid w:val="00BC3737"/>
    <w:rsid w:val="00BC3834"/>
    <w:rsid w:val="00BC3A68"/>
    <w:rsid w:val="00BC3D81"/>
    <w:rsid w:val="00BC3D85"/>
    <w:rsid w:val="00BC3FBD"/>
    <w:rsid w:val="00BC4409"/>
    <w:rsid w:val="00BC4470"/>
    <w:rsid w:val="00BC488F"/>
    <w:rsid w:val="00BC4B04"/>
    <w:rsid w:val="00BC5275"/>
    <w:rsid w:val="00BC5397"/>
    <w:rsid w:val="00BC542F"/>
    <w:rsid w:val="00BC56DD"/>
    <w:rsid w:val="00BC5A63"/>
    <w:rsid w:val="00BC5CA6"/>
    <w:rsid w:val="00BC6092"/>
    <w:rsid w:val="00BC63BF"/>
    <w:rsid w:val="00BC674F"/>
    <w:rsid w:val="00BC69FC"/>
    <w:rsid w:val="00BC6A50"/>
    <w:rsid w:val="00BC6BB6"/>
    <w:rsid w:val="00BC6D91"/>
    <w:rsid w:val="00BC7188"/>
    <w:rsid w:val="00BC7286"/>
    <w:rsid w:val="00BC7417"/>
    <w:rsid w:val="00BC7A22"/>
    <w:rsid w:val="00BD0988"/>
    <w:rsid w:val="00BD17E8"/>
    <w:rsid w:val="00BD18E4"/>
    <w:rsid w:val="00BD1A46"/>
    <w:rsid w:val="00BD1AE2"/>
    <w:rsid w:val="00BD1CDF"/>
    <w:rsid w:val="00BD2B37"/>
    <w:rsid w:val="00BD3225"/>
    <w:rsid w:val="00BD37FD"/>
    <w:rsid w:val="00BD4162"/>
    <w:rsid w:val="00BD416F"/>
    <w:rsid w:val="00BD4303"/>
    <w:rsid w:val="00BD4379"/>
    <w:rsid w:val="00BD4721"/>
    <w:rsid w:val="00BD48EC"/>
    <w:rsid w:val="00BD4B25"/>
    <w:rsid w:val="00BD51B5"/>
    <w:rsid w:val="00BD56E4"/>
    <w:rsid w:val="00BD5AE9"/>
    <w:rsid w:val="00BD5D50"/>
    <w:rsid w:val="00BD609B"/>
    <w:rsid w:val="00BD62BB"/>
    <w:rsid w:val="00BD62E6"/>
    <w:rsid w:val="00BD6394"/>
    <w:rsid w:val="00BD64BE"/>
    <w:rsid w:val="00BD64C0"/>
    <w:rsid w:val="00BD65B5"/>
    <w:rsid w:val="00BD67F3"/>
    <w:rsid w:val="00BD6E47"/>
    <w:rsid w:val="00BD7306"/>
    <w:rsid w:val="00BD7311"/>
    <w:rsid w:val="00BD749B"/>
    <w:rsid w:val="00BD74FE"/>
    <w:rsid w:val="00BD76DA"/>
    <w:rsid w:val="00BD7D39"/>
    <w:rsid w:val="00BD7DBD"/>
    <w:rsid w:val="00BD7FC2"/>
    <w:rsid w:val="00BE07CF"/>
    <w:rsid w:val="00BE0875"/>
    <w:rsid w:val="00BE0AB0"/>
    <w:rsid w:val="00BE0E04"/>
    <w:rsid w:val="00BE0FA7"/>
    <w:rsid w:val="00BE0FDE"/>
    <w:rsid w:val="00BE1088"/>
    <w:rsid w:val="00BE174A"/>
    <w:rsid w:val="00BE1BCD"/>
    <w:rsid w:val="00BE2300"/>
    <w:rsid w:val="00BE2334"/>
    <w:rsid w:val="00BE2600"/>
    <w:rsid w:val="00BE265A"/>
    <w:rsid w:val="00BE2BB9"/>
    <w:rsid w:val="00BE2EB7"/>
    <w:rsid w:val="00BE301F"/>
    <w:rsid w:val="00BE34DC"/>
    <w:rsid w:val="00BE38A3"/>
    <w:rsid w:val="00BE406A"/>
    <w:rsid w:val="00BE461A"/>
    <w:rsid w:val="00BE489A"/>
    <w:rsid w:val="00BE4A93"/>
    <w:rsid w:val="00BE4D52"/>
    <w:rsid w:val="00BE54ED"/>
    <w:rsid w:val="00BE58EE"/>
    <w:rsid w:val="00BE5933"/>
    <w:rsid w:val="00BE5951"/>
    <w:rsid w:val="00BE5A63"/>
    <w:rsid w:val="00BE61DF"/>
    <w:rsid w:val="00BE6680"/>
    <w:rsid w:val="00BE6942"/>
    <w:rsid w:val="00BE69FC"/>
    <w:rsid w:val="00BE6EFF"/>
    <w:rsid w:val="00BE73FF"/>
    <w:rsid w:val="00BE7753"/>
    <w:rsid w:val="00BE7822"/>
    <w:rsid w:val="00BE7907"/>
    <w:rsid w:val="00BE7AAC"/>
    <w:rsid w:val="00BE7AE0"/>
    <w:rsid w:val="00BF0301"/>
    <w:rsid w:val="00BF0BFA"/>
    <w:rsid w:val="00BF0C84"/>
    <w:rsid w:val="00BF0D06"/>
    <w:rsid w:val="00BF0D7B"/>
    <w:rsid w:val="00BF1635"/>
    <w:rsid w:val="00BF1DF3"/>
    <w:rsid w:val="00BF1F6B"/>
    <w:rsid w:val="00BF243C"/>
    <w:rsid w:val="00BF288E"/>
    <w:rsid w:val="00BF290F"/>
    <w:rsid w:val="00BF2A30"/>
    <w:rsid w:val="00BF2B5B"/>
    <w:rsid w:val="00BF307E"/>
    <w:rsid w:val="00BF312B"/>
    <w:rsid w:val="00BF315D"/>
    <w:rsid w:val="00BF3908"/>
    <w:rsid w:val="00BF3984"/>
    <w:rsid w:val="00BF3AE0"/>
    <w:rsid w:val="00BF4427"/>
    <w:rsid w:val="00BF478A"/>
    <w:rsid w:val="00BF4A9A"/>
    <w:rsid w:val="00BF4EC1"/>
    <w:rsid w:val="00BF52F2"/>
    <w:rsid w:val="00BF56F0"/>
    <w:rsid w:val="00BF5E5D"/>
    <w:rsid w:val="00BF65B6"/>
    <w:rsid w:val="00BF687B"/>
    <w:rsid w:val="00BF6B7F"/>
    <w:rsid w:val="00BF6D19"/>
    <w:rsid w:val="00BF6F84"/>
    <w:rsid w:val="00BF706A"/>
    <w:rsid w:val="00BF7541"/>
    <w:rsid w:val="00BF7673"/>
    <w:rsid w:val="00BF76A9"/>
    <w:rsid w:val="00BF7A91"/>
    <w:rsid w:val="00BF7E14"/>
    <w:rsid w:val="00C00D62"/>
    <w:rsid w:val="00C00F8F"/>
    <w:rsid w:val="00C017CC"/>
    <w:rsid w:val="00C0182F"/>
    <w:rsid w:val="00C018EA"/>
    <w:rsid w:val="00C02659"/>
    <w:rsid w:val="00C027E8"/>
    <w:rsid w:val="00C02BE5"/>
    <w:rsid w:val="00C02F28"/>
    <w:rsid w:val="00C03452"/>
    <w:rsid w:val="00C03F3D"/>
    <w:rsid w:val="00C04536"/>
    <w:rsid w:val="00C04BBA"/>
    <w:rsid w:val="00C05478"/>
    <w:rsid w:val="00C055B5"/>
    <w:rsid w:val="00C05659"/>
    <w:rsid w:val="00C05811"/>
    <w:rsid w:val="00C058EB"/>
    <w:rsid w:val="00C05A16"/>
    <w:rsid w:val="00C063E1"/>
    <w:rsid w:val="00C06464"/>
    <w:rsid w:val="00C06791"/>
    <w:rsid w:val="00C06892"/>
    <w:rsid w:val="00C06AAF"/>
    <w:rsid w:val="00C06C28"/>
    <w:rsid w:val="00C07040"/>
    <w:rsid w:val="00C0770C"/>
    <w:rsid w:val="00C07805"/>
    <w:rsid w:val="00C07C59"/>
    <w:rsid w:val="00C07E5A"/>
    <w:rsid w:val="00C07FB7"/>
    <w:rsid w:val="00C1014A"/>
    <w:rsid w:val="00C102EA"/>
    <w:rsid w:val="00C1038D"/>
    <w:rsid w:val="00C103BC"/>
    <w:rsid w:val="00C110EE"/>
    <w:rsid w:val="00C111A9"/>
    <w:rsid w:val="00C111C0"/>
    <w:rsid w:val="00C116EB"/>
    <w:rsid w:val="00C11726"/>
    <w:rsid w:val="00C119D3"/>
    <w:rsid w:val="00C11F1C"/>
    <w:rsid w:val="00C11F23"/>
    <w:rsid w:val="00C12DDA"/>
    <w:rsid w:val="00C12E7E"/>
    <w:rsid w:val="00C13514"/>
    <w:rsid w:val="00C1382C"/>
    <w:rsid w:val="00C1385A"/>
    <w:rsid w:val="00C13AC7"/>
    <w:rsid w:val="00C13DC6"/>
    <w:rsid w:val="00C14BBC"/>
    <w:rsid w:val="00C14D2A"/>
    <w:rsid w:val="00C15147"/>
    <w:rsid w:val="00C15549"/>
    <w:rsid w:val="00C15732"/>
    <w:rsid w:val="00C1575C"/>
    <w:rsid w:val="00C15C6A"/>
    <w:rsid w:val="00C162DB"/>
    <w:rsid w:val="00C1654B"/>
    <w:rsid w:val="00C166D5"/>
    <w:rsid w:val="00C16896"/>
    <w:rsid w:val="00C17052"/>
    <w:rsid w:val="00C1706C"/>
    <w:rsid w:val="00C17419"/>
    <w:rsid w:val="00C1762F"/>
    <w:rsid w:val="00C179BA"/>
    <w:rsid w:val="00C20335"/>
    <w:rsid w:val="00C203FF"/>
    <w:rsid w:val="00C2098C"/>
    <w:rsid w:val="00C20DFF"/>
    <w:rsid w:val="00C20EA2"/>
    <w:rsid w:val="00C20EC3"/>
    <w:rsid w:val="00C21474"/>
    <w:rsid w:val="00C223CB"/>
    <w:rsid w:val="00C22B0C"/>
    <w:rsid w:val="00C22B98"/>
    <w:rsid w:val="00C22C10"/>
    <w:rsid w:val="00C23299"/>
    <w:rsid w:val="00C23881"/>
    <w:rsid w:val="00C23920"/>
    <w:rsid w:val="00C23AD0"/>
    <w:rsid w:val="00C23E50"/>
    <w:rsid w:val="00C23EF6"/>
    <w:rsid w:val="00C24550"/>
    <w:rsid w:val="00C24BE8"/>
    <w:rsid w:val="00C24EC4"/>
    <w:rsid w:val="00C2525A"/>
    <w:rsid w:val="00C256E6"/>
    <w:rsid w:val="00C256F2"/>
    <w:rsid w:val="00C2594F"/>
    <w:rsid w:val="00C25AA7"/>
    <w:rsid w:val="00C25E9D"/>
    <w:rsid w:val="00C25EC4"/>
    <w:rsid w:val="00C26412"/>
    <w:rsid w:val="00C265D7"/>
    <w:rsid w:val="00C266C1"/>
    <w:rsid w:val="00C267C1"/>
    <w:rsid w:val="00C26A04"/>
    <w:rsid w:val="00C26BA5"/>
    <w:rsid w:val="00C26D60"/>
    <w:rsid w:val="00C26EE5"/>
    <w:rsid w:val="00C2764A"/>
    <w:rsid w:val="00C27679"/>
    <w:rsid w:val="00C27926"/>
    <w:rsid w:val="00C27AF7"/>
    <w:rsid w:val="00C27E35"/>
    <w:rsid w:val="00C30827"/>
    <w:rsid w:val="00C308F7"/>
    <w:rsid w:val="00C30B6D"/>
    <w:rsid w:val="00C317C6"/>
    <w:rsid w:val="00C31D1B"/>
    <w:rsid w:val="00C31FA5"/>
    <w:rsid w:val="00C32839"/>
    <w:rsid w:val="00C32CE2"/>
    <w:rsid w:val="00C32E76"/>
    <w:rsid w:val="00C32F65"/>
    <w:rsid w:val="00C32FA7"/>
    <w:rsid w:val="00C33139"/>
    <w:rsid w:val="00C333C5"/>
    <w:rsid w:val="00C33620"/>
    <w:rsid w:val="00C339C7"/>
    <w:rsid w:val="00C33BBA"/>
    <w:rsid w:val="00C347C6"/>
    <w:rsid w:val="00C34E9D"/>
    <w:rsid w:val="00C35029"/>
    <w:rsid w:val="00C3516C"/>
    <w:rsid w:val="00C3546F"/>
    <w:rsid w:val="00C354B1"/>
    <w:rsid w:val="00C3570B"/>
    <w:rsid w:val="00C35AC3"/>
    <w:rsid w:val="00C367D9"/>
    <w:rsid w:val="00C36B6B"/>
    <w:rsid w:val="00C36D65"/>
    <w:rsid w:val="00C37A09"/>
    <w:rsid w:val="00C37A69"/>
    <w:rsid w:val="00C37DCF"/>
    <w:rsid w:val="00C40445"/>
    <w:rsid w:val="00C4188E"/>
    <w:rsid w:val="00C41ABE"/>
    <w:rsid w:val="00C41B45"/>
    <w:rsid w:val="00C42019"/>
    <w:rsid w:val="00C42965"/>
    <w:rsid w:val="00C434A8"/>
    <w:rsid w:val="00C43516"/>
    <w:rsid w:val="00C43706"/>
    <w:rsid w:val="00C43B1B"/>
    <w:rsid w:val="00C43C02"/>
    <w:rsid w:val="00C446FD"/>
    <w:rsid w:val="00C44908"/>
    <w:rsid w:val="00C44F84"/>
    <w:rsid w:val="00C45BA3"/>
    <w:rsid w:val="00C45D2C"/>
    <w:rsid w:val="00C46426"/>
    <w:rsid w:val="00C464A3"/>
    <w:rsid w:val="00C464F4"/>
    <w:rsid w:val="00C46A11"/>
    <w:rsid w:val="00C46AC8"/>
    <w:rsid w:val="00C46BBC"/>
    <w:rsid w:val="00C470B0"/>
    <w:rsid w:val="00C47974"/>
    <w:rsid w:val="00C50229"/>
    <w:rsid w:val="00C50355"/>
    <w:rsid w:val="00C50F2F"/>
    <w:rsid w:val="00C51111"/>
    <w:rsid w:val="00C5138C"/>
    <w:rsid w:val="00C519AB"/>
    <w:rsid w:val="00C52135"/>
    <w:rsid w:val="00C5262E"/>
    <w:rsid w:val="00C526C5"/>
    <w:rsid w:val="00C52B4F"/>
    <w:rsid w:val="00C52D1C"/>
    <w:rsid w:val="00C52E77"/>
    <w:rsid w:val="00C5374D"/>
    <w:rsid w:val="00C53766"/>
    <w:rsid w:val="00C54C09"/>
    <w:rsid w:val="00C54E66"/>
    <w:rsid w:val="00C5505C"/>
    <w:rsid w:val="00C550B7"/>
    <w:rsid w:val="00C55251"/>
    <w:rsid w:val="00C55340"/>
    <w:rsid w:val="00C5547B"/>
    <w:rsid w:val="00C554B5"/>
    <w:rsid w:val="00C554E7"/>
    <w:rsid w:val="00C55946"/>
    <w:rsid w:val="00C563E6"/>
    <w:rsid w:val="00C56432"/>
    <w:rsid w:val="00C56AF0"/>
    <w:rsid w:val="00C56E61"/>
    <w:rsid w:val="00C5715F"/>
    <w:rsid w:val="00C5718F"/>
    <w:rsid w:val="00C57964"/>
    <w:rsid w:val="00C57A6E"/>
    <w:rsid w:val="00C57A78"/>
    <w:rsid w:val="00C57ED0"/>
    <w:rsid w:val="00C57FAE"/>
    <w:rsid w:val="00C602AA"/>
    <w:rsid w:val="00C605D2"/>
    <w:rsid w:val="00C60783"/>
    <w:rsid w:val="00C6084A"/>
    <w:rsid w:val="00C6118F"/>
    <w:rsid w:val="00C611D4"/>
    <w:rsid w:val="00C611F1"/>
    <w:rsid w:val="00C612C0"/>
    <w:rsid w:val="00C616AE"/>
    <w:rsid w:val="00C61A13"/>
    <w:rsid w:val="00C61E1F"/>
    <w:rsid w:val="00C62227"/>
    <w:rsid w:val="00C629A1"/>
    <w:rsid w:val="00C62BFF"/>
    <w:rsid w:val="00C62EE7"/>
    <w:rsid w:val="00C633C1"/>
    <w:rsid w:val="00C63C41"/>
    <w:rsid w:val="00C63E7A"/>
    <w:rsid w:val="00C6416E"/>
    <w:rsid w:val="00C646D3"/>
    <w:rsid w:val="00C646F0"/>
    <w:rsid w:val="00C64740"/>
    <w:rsid w:val="00C64890"/>
    <w:rsid w:val="00C64E17"/>
    <w:rsid w:val="00C6535E"/>
    <w:rsid w:val="00C6552F"/>
    <w:rsid w:val="00C65654"/>
    <w:rsid w:val="00C6582C"/>
    <w:rsid w:val="00C659B4"/>
    <w:rsid w:val="00C659ED"/>
    <w:rsid w:val="00C65A09"/>
    <w:rsid w:val="00C65C60"/>
    <w:rsid w:val="00C665B4"/>
    <w:rsid w:val="00C66942"/>
    <w:rsid w:val="00C66D85"/>
    <w:rsid w:val="00C67227"/>
    <w:rsid w:val="00C6744F"/>
    <w:rsid w:val="00C67B8D"/>
    <w:rsid w:val="00C67ED5"/>
    <w:rsid w:val="00C705EB"/>
    <w:rsid w:val="00C7065A"/>
    <w:rsid w:val="00C70886"/>
    <w:rsid w:val="00C70F76"/>
    <w:rsid w:val="00C71C9E"/>
    <w:rsid w:val="00C71D92"/>
    <w:rsid w:val="00C725CF"/>
    <w:rsid w:val="00C72881"/>
    <w:rsid w:val="00C73155"/>
    <w:rsid w:val="00C7357E"/>
    <w:rsid w:val="00C73BE6"/>
    <w:rsid w:val="00C74214"/>
    <w:rsid w:val="00C74225"/>
    <w:rsid w:val="00C743EE"/>
    <w:rsid w:val="00C74888"/>
    <w:rsid w:val="00C74954"/>
    <w:rsid w:val="00C751A7"/>
    <w:rsid w:val="00C75317"/>
    <w:rsid w:val="00C755BA"/>
    <w:rsid w:val="00C75A98"/>
    <w:rsid w:val="00C75DF9"/>
    <w:rsid w:val="00C76364"/>
    <w:rsid w:val="00C764BE"/>
    <w:rsid w:val="00C76541"/>
    <w:rsid w:val="00C76609"/>
    <w:rsid w:val="00C766E5"/>
    <w:rsid w:val="00C76D90"/>
    <w:rsid w:val="00C77E45"/>
    <w:rsid w:val="00C801CC"/>
    <w:rsid w:val="00C8043D"/>
    <w:rsid w:val="00C80570"/>
    <w:rsid w:val="00C80953"/>
    <w:rsid w:val="00C80D85"/>
    <w:rsid w:val="00C817F5"/>
    <w:rsid w:val="00C81BD4"/>
    <w:rsid w:val="00C8295F"/>
    <w:rsid w:val="00C82B99"/>
    <w:rsid w:val="00C82D8F"/>
    <w:rsid w:val="00C835D3"/>
    <w:rsid w:val="00C836E4"/>
    <w:rsid w:val="00C8384F"/>
    <w:rsid w:val="00C838C0"/>
    <w:rsid w:val="00C83A42"/>
    <w:rsid w:val="00C83DF9"/>
    <w:rsid w:val="00C83EBB"/>
    <w:rsid w:val="00C84479"/>
    <w:rsid w:val="00C84519"/>
    <w:rsid w:val="00C847FA"/>
    <w:rsid w:val="00C85473"/>
    <w:rsid w:val="00C8573E"/>
    <w:rsid w:val="00C85847"/>
    <w:rsid w:val="00C8647A"/>
    <w:rsid w:val="00C864B3"/>
    <w:rsid w:val="00C86516"/>
    <w:rsid w:val="00C86739"/>
    <w:rsid w:val="00C86754"/>
    <w:rsid w:val="00C87820"/>
    <w:rsid w:val="00C87913"/>
    <w:rsid w:val="00C900A9"/>
    <w:rsid w:val="00C90341"/>
    <w:rsid w:val="00C90431"/>
    <w:rsid w:val="00C90768"/>
    <w:rsid w:val="00C9198F"/>
    <w:rsid w:val="00C92683"/>
    <w:rsid w:val="00C926E7"/>
    <w:rsid w:val="00C9314E"/>
    <w:rsid w:val="00C93708"/>
    <w:rsid w:val="00C93A81"/>
    <w:rsid w:val="00C93D30"/>
    <w:rsid w:val="00C94492"/>
    <w:rsid w:val="00C94844"/>
    <w:rsid w:val="00C94E4A"/>
    <w:rsid w:val="00C95035"/>
    <w:rsid w:val="00C95503"/>
    <w:rsid w:val="00C956DA"/>
    <w:rsid w:val="00C95B18"/>
    <w:rsid w:val="00C95D31"/>
    <w:rsid w:val="00C95E8D"/>
    <w:rsid w:val="00C95F8B"/>
    <w:rsid w:val="00C960F0"/>
    <w:rsid w:val="00C96443"/>
    <w:rsid w:val="00C96809"/>
    <w:rsid w:val="00C96B45"/>
    <w:rsid w:val="00C96D91"/>
    <w:rsid w:val="00C96FF1"/>
    <w:rsid w:val="00C97076"/>
    <w:rsid w:val="00C973BE"/>
    <w:rsid w:val="00C978DE"/>
    <w:rsid w:val="00C979AD"/>
    <w:rsid w:val="00C97DB0"/>
    <w:rsid w:val="00CA0885"/>
    <w:rsid w:val="00CA09BA"/>
    <w:rsid w:val="00CA0D69"/>
    <w:rsid w:val="00CA0F89"/>
    <w:rsid w:val="00CA121D"/>
    <w:rsid w:val="00CA1244"/>
    <w:rsid w:val="00CA128A"/>
    <w:rsid w:val="00CA16E9"/>
    <w:rsid w:val="00CA17A2"/>
    <w:rsid w:val="00CA1B13"/>
    <w:rsid w:val="00CA1B8E"/>
    <w:rsid w:val="00CA1EBA"/>
    <w:rsid w:val="00CA2379"/>
    <w:rsid w:val="00CA246F"/>
    <w:rsid w:val="00CA249A"/>
    <w:rsid w:val="00CA2515"/>
    <w:rsid w:val="00CA2545"/>
    <w:rsid w:val="00CA280C"/>
    <w:rsid w:val="00CA2FB1"/>
    <w:rsid w:val="00CA2FD4"/>
    <w:rsid w:val="00CA333E"/>
    <w:rsid w:val="00CA34C0"/>
    <w:rsid w:val="00CA359A"/>
    <w:rsid w:val="00CA3AD9"/>
    <w:rsid w:val="00CA3EEE"/>
    <w:rsid w:val="00CA44E4"/>
    <w:rsid w:val="00CA453C"/>
    <w:rsid w:val="00CA470F"/>
    <w:rsid w:val="00CA474B"/>
    <w:rsid w:val="00CA4994"/>
    <w:rsid w:val="00CA4A86"/>
    <w:rsid w:val="00CA4B34"/>
    <w:rsid w:val="00CA4F7C"/>
    <w:rsid w:val="00CA5990"/>
    <w:rsid w:val="00CA5A1D"/>
    <w:rsid w:val="00CA5ADA"/>
    <w:rsid w:val="00CA5CA3"/>
    <w:rsid w:val="00CA6044"/>
    <w:rsid w:val="00CA6130"/>
    <w:rsid w:val="00CA621C"/>
    <w:rsid w:val="00CA684B"/>
    <w:rsid w:val="00CA6E32"/>
    <w:rsid w:val="00CA72D0"/>
    <w:rsid w:val="00CA74E0"/>
    <w:rsid w:val="00CA7B39"/>
    <w:rsid w:val="00CB0CA5"/>
    <w:rsid w:val="00CB0D59"/>
    <w:rsid w:val="00CB0DE0"/>
    <w:rsid w:val="00CB10E1"/>
    <w:rsid w:val="00CB1211"/>
    <w:rsid w:val="00CB16DA"/>
    <w:rsid w:val="00CB17DB"/>
    <w:rsid w:val="00CB1F28"/>
    <w:rsid w:val="00CB24DB"/>
    <w:rsid w:val="00CB26F3"/>
    <w:rsid w:val="00CB2937"/>
    <w:rsid w:val="00CB2F0A"/>
    <w:rsid w:val="00CB3B8F"/>
    <w:rsid w:val="00CB3BA4"/>
    <w:rsid w:val="00CB3E76"/>
    <w:rsid w:val="00CB3F43"/>
    <w:rsid w:val="00CB40D7"/>
    <w:rsid w:val="00CB459D"/>
    <w:rsid w:val="00CB4A9D"/>
    <w:rsid w:val="00CB4D26"/>
    <w:rsid w:val="00CB4D41"/>
    <w:rsid w:val="00CB4F72"/>
    <w:rsid w:val="00CB54A0"/>
    <w:rsid w:val="00CB585D"/>
    <w:rsid w:val="00CB63E8"/>
    <w:rsid w:val="00CB6885"/>
    <w:rsid w:val="00CB75B8"/>
    <w:rsid w:val="00CB7C25"/>
    <w:rsid w:val="00CB7E26"/>
    <w:rsid w:val="00CB7E96"/>
    <w:rsid w:val="00CC0050"/>
    <w:rsid w:val="00CC006A"/>
    <w:rsid w:val="00CC0235"/>
    <w:rsid w:val="00CC045A"/>
    <w:rsid w:val="00CC09FD"/>
    <w:rsid w:val="00CC0B68"/>
    <w:rsid w:val="00CC0B85"/>
    <w:rsid w:val="00CC16A4"/>
    <w:rsid w:val="00CC1D8B"/>
    <w:rsid w:val="00CC2039"/>
    <w:rsid w:val="00CC224F"/>
    <w:rsid w:val="00CC2292"/>
    <w:rsid w:val="00CC2438"/>
    <w:rsid w:val="00CC26BB"/>
    <w:rsid w:val="00CC30F1"/>
    <w:rsid w:val="00CC3550"/>
    <w:rsid w:val="00CC374B"/>
    <w:rsid w:val="00CC3792"/>
    <w:rsid w:val="00CC3C68"/>
    <w:rsid w:val="00CC3D1D"/>
    <w:rsid w:val="00CC4626"/>
    <w:rsid w:val="00CC47F7"/>
    <w:rsid w:val="00CC4D70"/>
    <w:rsid w:val="00CC4DA9"/>
    <w:rsid w:val="00CC51BA"/>
    <w:rsid w:val="00CC5546"/>
    <w:rsid w:val="00CC5633"/>
    <w:rsid w:val="00CC5C5E"/>
    <w:rsid w:val="00CC6662"/>
    <w:rsid w:val="00CC6734"/>
    <w:rsid w:val="00CC773E"/>
    <w:rsid w:val="00CC7A28"/>
    <w:rsid w:val="00CD0161"/>
    <w:rsid w:val="00CD097E"/>
    <w:rsid w:val="00CD09FD"/>
    <w:rsid w:val="00CD0B4F"/>
    <w:rsid w:val="00CD147E"/>
    <w:rsid w:val="00CD1567"/>
    <w:rsid w:val="00CD1832"/>
    <w:rsid w:val="00CD1D1A"/>
    <w:rsid w:val="00CD2BF8"/>
    <w:rsid w:val="00CD2E5A"/>
    <w:rsid w:val="00CD32B4"/>
    <w:rsid w:val="00CD3486"/>
    <w:rsid w:val="00CD3547"/>
    <w:rsid w:val="00CD37BB"/>
    <w:rsid w:val="00CD3DA0"/>
    <w:rsid w:val="00CD3F5C"/>
    <w:rsid w:val="00CD3F9A"/>
    <w:rsid w:val="00CD4039"/>
    <w:rsid w:val="00CD4402"/>
    <w:rsid w:val="00CD4807"/>
    <w:rsid w:val="00CD4B81"/>
    <w:rsid w:val="00CD4D98"/>
    <w:rsid w:val="00CD61EC"/>
    <w:rsid w:val="00CD6538"/>
    <w:rsid w:val="00CD65B4"/>
    <w:rsid w:val="00CD6682"/>
    <w:rsid w:val="00CD6988"/>
    <w:rsid w:val="00CD742C"/>
    <w:rsid w:val="00CD74AB"/>
    <w:rsid w:val="00CD7B07"/>
    <w:rsid w:val="00CD7CEA"/>
    <w:rsid w:val="00CD7E51"/>
    <w:rsid w:val="00CE0268"/>
    <w:rsid w:val="00CE0671"/>
    <w:rsid w:val="00CE06DF"/>
    <w:rsid w:val="00CE07DB"/>
    <w:rsid w:val="00CE0C16"/>
    <w:rsid w:val="00CE0F95"/>
    <w:rsid w:val="00CE12E4"/>
    <w:rsid w:val="00CE156E"/>
    <w:rsid w:val="00CE1750"/>
    <w:rsid w:val="00CE17F8"/>
    <w:rsid w:val="00CE18CC"/>
    <w:rsid w:val="00CE1BC2"/>
    <w:rsid w:val="00CE1EFA"/>
    <w:rsid w:val="00CE1F2A"/>
    <w:rsid w:val="00CE2035"/>
    <w:rsid w:val="00CE20FF"/>
    <w:rsid w:val="00CE2370"/>
    <w:rsid w:val="00CE2375"/>
    <w:rsid w:val="00CE2908"/>
    <w:rsid w:val="00CE2B8F"/>
    <w:rsid w:val="00CE2BB8"/>
    <w:rsid w:val="00CE389A"/>
    <w:rsid w:val="00CE3C65"/>
    <w:rsid w:val="00CE44D9"/>
    <w:rsid w:val="00CE4C6C"/>
    <w:rsid w:val="00CE4DD7"/>
    <w:rsid w:val="00CE5C84"/>
    <w:rsid w:val="00CE5EC7"/>
    <w:rsid w:val="00CE5FEF"/>
    <w:rsid w:val="00CE64AC"/>
    <w:rsid w:val="00CE64C6"/>
    <w:rsid w:val="00CE69EC"/>
    <w:rsid w:val="00CE6D81"/>
    <w:rsid w:val="00CE7A4F"/>
    <w:rsid w:val="00CE7C6B"/>
    <w:rsid w:val="00CE7C87"/>
    <w:rsid w:val="00CE7EF7"/>
    <w:rsid w:val="00CF00EB"/>
    <w:rsid w:val="00CF1252"/>
    <w:rsid w:val="00CF14C1"/>
    <w:rsid w:val="00CF15C2"/>
    <w:rsid w:val="00CF1E3F"/>
    <w:rsid w:val="00CF2168"/>
    <w:rsid w:val="00CF252E"/>
    <w:rsid w:val="00CF28EE"/>
    <w:rsid w:val="00CF2EB3"/>
    <w:rsid w:val="00CF2EDC"/>
    <w:rsid w:val="00CF2FD1"/>
    <w:rsid w:val="00CF32E7"/>
    <w:rsid w:val="00CF393E"/>
    <w:rsid w:val="00CF466F"/>
    <w:rsid w:val="00CF46AF"/>
    <w:rsid w:val="00CF53D4"/>
    <w:rsid w:val="00CF5482"/>
    <w:rsid w:val="00CF5495"/>
    <w:rsid w:val="00CF56FA"/>
    <w:rsid w:val="00CF581C"/>
    <w:rsid w:val="00CF58FE"/>
    <w:rsid w:val="00CF5AE0"/>
    <w:rsid w:val="00CF5E17"/>
    <w:rsid w:val="00CF6281"/>
    <w:rsid w:val="00CF6373"/>
    <w:rsid w:val="00CF67C6"/>
    <w:rsid w:val="00CF6A86"/>
    <w:rsid w:val="00CF6C98"/>
    <w:rsid w:val="00CF6CC7"/>
    <w:rsid w:val="00CF6D69"/>
    <w:rsid w:val="00CF73B3"/>
    <w:rsid w:val="00CF776C"/>
    <w:rsid w:val="00CF785C"/>
    <w:rsid w:val="00CF7960"/>
    <w:rsid w:val="00CF7B78"/>
    <w:rsid w:val="00D0038F"/>
    <w:rsid w:val="00D00560"/>
    <w:rsid w:val="00D009A9"/>
    <w:rsid w:val="00D00B76"/>
    <w:rsid w:val="00D00DED"/>
    <w:rsid w:val="00D00E4C"/>
    <w:rsid w:val="00D010E7"/>
    <w:rsid w:val="00D01350"/>
    <w:rsid w:val="00D01646"/>
    <w:rsid w:val="00D01BE0"/>
    <w:rsid w:val="00D01C38"/>
    <w:rsid w:val="00D0206E"/>
    <w:rsid w:val="00D02203"/>
    <w:rsid w:val="00D02523"/>
    <w:rsid w:val="00D03926"/>
    <w:rsid w:val="00D03E79"/>
    <w:rsid w:val="00D04112"/>
    <w:rsid w:val="00D046CC"/>
    <w:rsid w:val="00D04AA7"/>
    <w:rsid w:val="00D04B7D"/>
    <w:rsid w:val="00D04BA7"/>
    <w:rsid w:val="00D04CB8"/>
    <w:rsid w:val="00D05169"/>
    <w:rsid w:val="00D05BBE"/>
    <w:rsid w:val="00D062F7"/>
    <w:rsid w:val="00D0642D"/>
    <w:rsid w:val="00D06726"/>
    <w:rsid w:val="00D06D1A"/>
    <w:rsid w:val="00D06DAF"/>
    <w:rsid w:val="00D06E98"/>
    <w:rsid w:val="00D06EA8"/>
    <w:rsid w:val="00D06F6C"/>
    <w:rsid w:val="00D06F91"/>
    <w:rsid w:val="00D07010"/>
    <w:rsid w:val="00D0772C"/>
    <w:rsid w:val="00D07B90"/>
    <w:rsid w:val="00D1006B"/>
    <w:rsid w:val="00D10214"/>
    <w:rsid w:val="00D10631"/>
    <w:rsid w:val="00D1099C"/>
    <w:rsid w:val="00D10BF3"/>
    <w:rsid w:val="00D10CCF"/>
    <w:rsid w:val="00D11297"/>
    <w:rsid w:val="00D1145F"/>
    <w:rsid w:val="00D11B7A"/>
    <w:rsid w:val="00D1260D"/>
    <w:rsid w:val="00D128A9"/>
    <w:rsid w:val="00D12A80"/>
    <w:rsid w:val="00D12D36"/>
    <w:rsid w:val="00D13148"/>
    <w:rsid w:val="00D132AC"/>
    <w:rsid w:val="00D13573"/>
    <w:rsid w:val="00D13948"/>
    <w:rsid w:val="00D13B54"/>
    <w:rsid w:val="00D14568"/>
    <w:rsid w:val="00D146BC"/>
    <w:rsid w:val="00D14CF9"/>
    <w:rsid w:val="00D14DFC"/>
    <w:rsid w:val="00D156E1"/>
    <w:rsid w:val="00D15798"/>
    <w:rsid w:val="00D15927"/>
    <w:rsid w:val="00D15C77"/>
    <w:rsid w:val="00D15E8D"/>
    <w:rsid w:val="00D15FE3"/>
    <w:rsid w:val="00D16526"/>
    <w:rsid w:val="00D1674E"/>
    <w:rsid w:val="00D16994"/>
    <w:rsid w:val="00D16F53"/>
    <w:rsid w:val="00D1703E"/>
    <w:rsid w:val="00D17349"/>
    <w:rsid w:val="00D1782E"/>
    <w:rsid w:val="00D17F59"/>
    <w:rsid w:val="00D2003C"/>
    <w:rsid w:val="00D201D8"/>
    <w:rsid w:val="00D20506"/>
    <w:rsid w:val="00D205BD"/>
    <w:rsid w:val="00D20E32"/>
    <w:rsid w:val="00D20F1B"/>
    <w:rsid w:val="00D213A5"/>
    <w:rsid w:val="00D21666"/>
    <w:rsid w:val="00D2185F"/>
    <w:rsid w:val="00D21993"/>
    <w:rsid w:val="00D21C48"/>
    <w:rsid w:val="00D21F35"/>
    <w:rsid w:val="00D22028"/>
    <w:rsid w:val="00D22507"/>
    <w:rsid w:val="00D22581"/>
    <w:rsid w:val="00D225B6"/>
    <w:rsid w:val="00D228AF"/>
    <w:rsid w:val="00D22BDD"/>
    <w:rsid w:val="00D22BFB"/>
    <w:rsid w:val="00D22C17"/>
    <w:rsid w:val="00D22D37"/>
    <w:rsid w:val="00D22E4F"/>
    <w:rsid w:val="00D2321D"/>
    <w:rsid w:val="00D232E5"/>
    <w:rsid w:val="00D233F7"/>
    <w:rsid w:val="00D2427A"/>
    <w:rsid w:val="00D2461A"/>
    <w:rsid w:val="00D25448"/>
    <w:rsid w:val="00D2585B"/>
    <w:rsid w:val="00D26590"/>
    <w:rsid w:val="00D2685B"/>
    <w:rsid w:val="00D2687A"/>
    <w:rsid w:val="00D26905"/>
    <w:rsid w:val="00D27650"/>
    <w:rsid w:val="00D27718"/>
    <w:rsid w:val="00D305F4"/>
    <w:rsid w:val="00D30A8A"/>
    <w:rsid w:val="00D30C9E"/>
    <w:rsid w:val="00D30E18"/>
    <w:rsid w:val="00D30EB7"/>
    <w:rsid w:val="00D310D4"/>
    <w:rsid w:val="00D31120"/>
    <w:rsid w:val="00D31293"/>
    <w:rsid w:val="00D31696"/>
    <w:rsid w:val="00D31742"/>
    <w:rsid w:val="00D3234D"/>
    <w:rsid w:val="00D3269E"/>
    <w:rsid w:val="00D327FA"/>
    <w:rsid w:val="00D32833"/>
    <w:rsid w:val="00D328FC"/>
    <w:rsid w:val="00D3295B"/>
    <w:rsid w:val="00D329B4"/>
    <w:rsid w:val="00D32E7F"/>
    <w:rsid w:val="00D32EA5"/>
    <w:rsid w:val="00D333B0"/>
    <w:rsid w:val="00D33449"/>
    <w:rsid w:val="00D33937"/>
    <w:rsid w:val="00D33D2C"/>
    <w:rsid w:val="00D33D97"/>
    <w:rsid w:val="00D345BA"/>
    <w:rsid w:val="00D3485E"/>
    <w:rsid w:val="00D34ADF"/>
    <w:rsid w:val="00D34AE5"/>
    <w:rsid w:val="00D34BD6"/>
    <w:rsid w:val="00D35788"/>
    <w:rsid w:val="00D359F7"/>
    <w:rsid w:val="00D361DB"/>
    <w:rsid w:val="00D36644"/>
    <w:rsid w:val="00D3669C"/>
    <w:rsid w:val="00D36F45"/>
    <w:rsid w:val="00D37607"/>
    <w:rsid w:val="00D37A36"/>
    <w:rsid w:val="00D37B48"/>
    <w:rsid w:val="00D37DD6"/>
    <w:rsid w:val="00D37F80"/>
    <w:rsid w:val="00D40935"/>
    <w:rsid w:val="00D40E72"/>
    <w:rsid w:val="00D40EE7"/>
    <w:rsid w:val="00D40FE7"/>
    <w:rsid w:val="00D4161C"/>
    <w:rsid w:val="00D417C3"/>
    <w:rsid w:val="00D42410"/>
    <w:rsid w:val="00D43639"/>
    <w:rsid w:val="00D437EF"/>
    <w:rsid w:val="00D43AEC"/>
    <w:rsid w:val="00D43D10"/>
    <w:rsid w:val="00D43E3B"/>
    <w:rsid w:val="00D43F58"/>
    <w:rsid w:val="00D43F6F"/>
    <w:rsid w:val="00D44164"/>
    <w:rsid w:val="00D44622"/>
    <w:rsid w:val="00D4503D"/>
    <w:rsid w:val="00D4505C"/>
    <w:rsid w:val="00D451FB"/>
    <w:rsid w:val="00D452CE"/>
    <w:rsid w:val="00D454BF"/>
    <w:rsid w:val="00D4559E"/>
    <w:rsid w:val="00D458F5"/>
    <w:rsid w:val="00D45EED"/>
    <w:rsid w:val="00D46A29"/>
    <w:rsid w:val="00D46AAA"/>
    <w:rsid w:val="00D46ABF"/>
    <w:rsid w:val="00D4707E"/>
    <w:rsid w:val="00D4710B"/>
    <w:rsid w:val="00D47822"/>
    <w:rsid w:val="00D4786D"/>
    <w:rsid w:val="00D50145"/>
    <w:rsid w:val="00D507A8"/>
    <w:rsid w:val="00D50DBB"/>
    <w:rsid w:val="00D511E3"/>
    <w:rsid w:val="00D5151F"/>
    <w:rsid w:val="00D5184A"/>
    <w:rsid w:val="00D5189A"/>
    <w:rsid w:val="00D5189E"/>
    <w:rsid w:val="00D51E2C"/>
    <w:rsid w:val="00D51E5B"/>
    <w:rsid w:val="00D523F4"/>
    <w:rsid w:val="00D5242A"/>
    <w:rsid w:val="00D52494"/>
    <w:rsid w:val="00D5351E"/>
    <w:rsid w:val="00D5384A"/>
    <w:rsid w:val="00D53A61"/>
    <w:rsid w:val="00D53D82"/>
    <w:rsid w:val="00D5425B"/>
    <w:rsid w:val="00D54A9E"/>
    <w:rsid w:val="00D55055"/>
    <w:rsid w:val="00D5538E"/>
    <w:rsid w:val="00D5552D"/>
    <w:rsid w:val="00D55721"/>
    <w:rsid w:val="00D55B95"/>
    <w:rsid w:val="00D56491"/>
    <w:rsid w:val="00D564FD"/>
    <w:rsid w:val="00D56562"/>
    <w:rsid w:val="00D56621"/>
    <w:rsid w:val="00D5680A"/>
    <w:rsid w:val="00D56A17"/>
    <w:rsid w:val="00D56BA0"/>
    <w:rsid w:val="00D56EBA"/>
    <w:rsid w:val="00D570AD"/>
    <w:rsid w:val="00D572CC"/>
    <w:rsid w:val="00D5772F"/>
    <w:rsid w:val="00D577AB"/>
    <w:rsid w:val="00D57924"/>
    <w:rsid w:val="00D579D2"/>
    <w:rsid w:val="00D57C07"/>
    <w:rsid w:val="00D57C84"/>
    <w:rsid w:val="00D57DDF"/>
    <w:rsid w:val="00D603A3"/>
    <w:rsid w:val="00D6042D"/>
    <w:rsid w:val="00D60C4E"/>
    <w:rsid w:val="00D60DDC"/>
    <w:rsid w:val="00D60FE3"/>
    <w:rsid w:val="00D611BE"/>
    <w:rsid w:val="00D61B03"/>
    <w:rsid w:val="00D61B45"/>
    <w:rsid w:val="00D61C4C"/>
    <w:rsid w:val="00D62144"/>
    <w:rsid w:val="00D6248A"/>
    <w:rsid w:val="00D626B8"/>
    <w:rsid w:val="00D626CC"/>
    <w:rsid w:val="00D62EC2"/>
    <w:rsid w:val="00D62F7A"/>
    <w:rsid w:val="00D63DB2"/>
    <w:rsid w:val="00D6459E"/>
    <w:rsid w:val="00D64B6E"/>
    <w:rsid w:val="00D64EA1"/>
    <w:rsid w:val="00D64FD6"/>
    <w:rsid w:val="00D65BA7"/>
    <w:rsid w:val="00D65BBF"/>
    <w:rsid w:val="00D65BD7"/>
    <w:rsid w:val="00D66028"/>
    <w:rsid w:val="00D661EA"/>
    <w:rsid w:val="00D666B2"/>
    <w:rsid w:val="00D66850"/>
    <w:rsid w:val="00D672F5"/>
    <w:rsid w:val="00D6757B"/>
    <w:rsid w:val="00D6794C"/>
    <w:rsid w:val="00D67960"/>
    <w:rsid w:val="00D701C3"/>
    <w:rsid w:val="00D703F2"/>
    <w:rsid w:val="00D70503"/>
    <w:rsid w:val="00D70646"/>
    <w:rsid w:val="00D70728"/>
    <w:rsid w:val="00D70EDD"/>
    <w:rsid w:val="00D712CE"/>
    <w:rsid w:val="00D7212C"/>
    <w:rsid w:val="00D72B01"/>
    <w:rsid w:val="00D72DAB"/>
    <w:rsid w:val="00D72EE4"/>
    <w:rsid w:val="00D72F4B"/>
    <w:rsid w:val="00D73503"/>
    <w:rsid w:val="00D73505"/>
    <w:rsid w:val="00D73A9D"/>
    <w:rsid w:val="00D73BBB"/>
    <w:rsid w:val="00D73CE9"/>
    <w:rsid w:val="00D73D6E"/>
    <w:rsid w:val="00D741AC"/>
    <w:rsid w:val="00D741BC"/>
    <w:rsid w:val="00D748A8"/>
    <w:rsid w:val="00D74A5C"/>
    <w:rsid w:val="00D74B60"/>
    <w:rsid w:val="00D74E82"/>
    <w:rsid w:val="00D74FC3"/>
    <w:rsid w:val="00D7527F"/>
    <w:rsid w:val="00D756AD"/>
    <w:rsid w:val="00D758B1"/>
    <w:rsid w:val="00D7607A"/>
    <w:rsid w:val="00D764DE"/>
    <w:rsid w:val="00D76D62"/>
    <w:rsid w:val="00D77D65"/>
    <w:rsid w:val="00D8005D"/>
    <w:rsid w:val="00D808FD"/>
    <w:rsid w:val="00D809F8"/>
    <w:rsid w:val="00D80CB1"/>
    <w:rsid w:val="00D81274"/>
    <w:rsid w:val="00D8195F"/>
    <w:rsid w:val="00D81BFB"/>
    <w:rsid w:val="00D81C8A"/>
    <w:rsid w:val="00D81DEC"/>
    <w:rsid w:val="00D81F8D"/>
    <w:rsid w:val="00D82299"/>
    <w:rsid w:val="00D82472"/>
    <w:rsid w:val="00D8256C"/>
    <w:rsid w:val="00D82B5A"/>
    <w:rsid w:val="00D8387E"/>
    <w:rsid w:val="00D83ABC"/>
    <w:rsid w:val="00D83FA3"/>
    <w:rsid w:val="00D84290"/>
    <w:rsid w:val="00D8498A"/>
    <w:rsid w:val="00D852FF"/>
    <w:rsid w:val="00D8584F"/>
    <w:rsid w:val="00D85863"/>
    <w:rsid w:val="00D85895"/>
    <w:rsid w:val="00D8598F"/>
    <w:rsid w:val="00D85B09"/>
    <w:rsid w:val="00D85CFD"/>
    <w:rsid w:val="00D866FA"/>
    <w:rsid w:val="00D86815"/>
    <w:rsid w:val="00D87000"/>
    <w:rsid w:val="00D870B7"/>
    <w:rsid w:val="00D870E4"/>
    <w:rsid w:val="00D874C1"/>
    <w:rsid w:val="00D877A6"/>
    <w:rsid w:val="00D87CDE"/>
    <w:rsid w:val="00D903C5"/>
    <w:rsid w:val="00D90988"/>
    <w:rsid w:val="00D912E5"/>
    <w:rsid w:val="00D9145B"/>
    <w:rsid w:val="00D9169D"/>
    <w:rsid w:val="00D9170C"/>
    <w:rsid w:val="00D917B5"/>
    <w:rsid w:val="00D91A9D"/>
    <w:rsid w:val="00D91B74"/>
    <w:rsid w:val="00D92207"/>
    <w:rsid w:val="00D9222C"/>
    <w:rsid w:val="00D924E4"/>
    <w:rsid w:val="00D92783"/>
    <w:rsid w:val="00D92963"/>
    <w:rsid w:val="00D92FD9"/>
    <w:rsid w:val="00D93977"/>
    <w:rsid w:val="00D93B3E"/>
    <w:rsid w:val="00D93B53"/>
    <w:rsid w:val="00D93F54"/>
    <w:rsid w:val="00D94560"/>
    <w:rsid w:val="00D94692"/>
    <w:rsid w:val="00D94B0D"/>
    <w:rsid w:val="00D94CF4"/>
    <w:rsid w:val="00D94EF8"/>
    <w:rsid w:val="00D950A3"/>
    <w:rsid w:val="00D95585"/>
    <w:rsid w:val="00D9594C"/>
    <w:rsid w:val="00D95B18"/>
    <w:rsid w:val="00D95BB9"/>
    <w:rsid w:val="00D95BF2"/>
    <w:rsid w:val="00D95D01"/>
    <w:rsid w:val="00D95EA5"/>
    <w:rsid w:val="00D95F5B"/>
    <w:rsid w:val="00D966A8"/>
    <w:rsid w:val="00D96B71"/>
    <w:rsid w:val="00D96CA1"/>
    <w:rsid w:val="00D96D40"/>
    <w:rsid w:val="00D970F2"/>
    <w:rsid w:val="00D97417"/>
    <w:rsid w:val="00D97BBC"/>
    <w:rsid w:val="00D97D65"/>
    <w:rsid w:val="00D97D78"/>
    <w:rsid w:val="00D97F67"/>
    <w:rsid w:val="00DA008E"/>
    <w:rsid w:val="00DA02D5"/>
    <w:rsid w:val="00DA034F"/>
    <w:rsid w:val="00DA0443"/>
    <w:rsid w:val="00DA0B8F"/>
    <w:rsid w:val="00DA0C39"/>
    <w:rsid w:val="00DA1F6E"/>
    <w:rsid w:val="00DA2302"/>
    <w:rsid w:val="00DA2379"/>
    <w:rsid w:val="00DA25AE"/>
    <w:rsid w:val="00DA2736"/>
    <w:rsid w:val="00DA3422"/>
    <w:rsid w:val="00DA36FB"/>
    <w:rsid w:val="00DA37E0"/>
    <w:rsid w:val="00DA3F35"/>
    <w:rsid w:val="00DA4061"/>
    <w:rsid w:val="00DA4FDD"/>
    <w:rsid w:val="00DA50A3"/>
    <w:rsid w:val="00DA51B8"/>
    <w:rsid w:val="00DA5223"/>
    <w:rsid w:val="00DA527A"/>
    <w:rsid w:val="00DA57FF"/>
    <w:rsid w:val="00DA5918"/>
    <w:rsid w:val="00DA5957"/>
    <w:rsid w:val="00DA5EFF"/>
    <w:rsid w:val="00DA6B67"/>
    <w:rsid w:val="00DA6F39"/>
    <w:rsid w:val="00DA737F"/>
    <w:rsid w:val="00DA74CB"/>
    <w:rsid w:val="00DA779A"/>
    <w:rsid w:val="00DA77FB"/>
    <w:rsid w:val="00DA7A8C"/>
    <w:rsid w:val="00DA7C31"/>
    <w:rsid w:val="00DA7C43"/>
    <w:rsid w:val="00DA7FB6"/>
    <w:rsid w:val="00DB01CA"/>
    <w:rsid w:val="00DB02F7"/>
    <w:rsid w:val="00DB0EEF"/>
    <w:rsid w:val="00DB0F63"/>
    <w:rsid w:val="00DB1377"/>
    <w:rsid w:val="00DB1B79"/>
    <w:rsid w:val="00DB1FD1"/>
    <w:rsid w:val="00DB2048"/>
    <w:rsid w:val="00DB2065"/>
    <w:rsid w:val="00DB228D"/>
    <w:rsid w:val="00DB2490"/>
    <w:rsid w:val="00DB2519"/>
    <w:rsid w:val="00DB2754"/>
    <w:rsid w:val="00DB2E3E"/>
    <w:rsid w:val="00DB3577"/>
    <w:rsid w:val="00DB3D1A"/>
    <w:rsid w:val="00DB3F07"/>
    <w:rsid w:val="00DB414B"/>
    <w:rsid w:val="00DB4376"/>
    <w:rsid w:val="00DB506A"/>
    <w:rsid w:val="00DB5388"/>
    <w:rsid w:val="00DB591B"/>
    <w:rsid w:val="00DB5A7C"/>
    <w:rsid w:val="00DB5E38"/>
    <w:rsid w:val="00DB61AA"/>
    <w:rsid w:val="00DB65BF"/>
    <w:rsid w:val="00DB6672"/>
    <w:rsid w:val="00DB66D2"/>
    <w:rsid w:val="00DB7106"/>
    <w:rsid w:val="00DB7516"/>
    <w:rsid w:val="00DB7637"/>
    <w:rsid w:val="00DB7655"/>
    <w:rsid w:val="00DB77D9"/>
    <w:rsid w:val="00DB7894"/>
    <w:rsid w:val="00DB7954"/>
    <w:rsid w:val="00DB7E3A"/>
    <w:rsid w:val="00DC006B"/>
    <w:rsid w:val="00DC02E2"/>
    <w:rsid w:val="00DC054C"/>
    <w:rsid w:val="00DC05AF"/>
    <w:rsid w:val="00DC08CA"/>
    <w:rsid w:val="00DC0A5A"/>
    <w:rsid w:val="00DC0AB7"/>
    <w:rsid w:val="00DC0ACB"/>
    <w:rsid w:val="00DC0F43"/>
    <w:rsid w:val="00DC11B2"/>
    <w:rsid w:val="00DC1223"/>
    <w:rsid w:val="00DC12C7"/>
    <w:rsid w:val="00DC1E52"/>
    <w:rsid w:val="00DC1E5D"/>
    <w:rsid w:val="00DC1E5F"/>
    <w:rsid w:val="00DC20AD"/>
    <w:rsid w:val="00DC22CB"/>
    <w:rsid w:val="00DC268D"/>
    <w:rsid w:val="00DC2DAE"/>
    <w:rsid w:val="00DC2E22"/>
    <w:rsid w:val="00DC3071"/>
    <w:rsid w:val="00DC33C6"/>
    <w:rsid w:val="00DC391C"/>
    <w:rsid w:val="00DC3A8C"/>
    <w:rsid w:val="00DC41DC"/>
    <w:rsid w:val="00DC44BF"/>
    <w:rsid w:val="00DC44FB"/>
    <w:rsid w:val="00DC4592"/>
    <w:rsid w:val="00DC48D1"/>
    <w:rsid w:val="00DC4DCB"/>
    <w:rsid w:val="00DC4FAC"/>
    <w:rsid w:val="00DC540E"/>
    <w:rsid w:val="00DC55ED"/>
    <w:rsid w:val="00DC56EB"/>
    <w:rsid w:val="00DC62E4"/>
    <w:rsid w:val="00DC63E2"/>
    <w:rsid w:val="00DC67E8"/>
    <w:rsid w:val="00DC6DA2"/>
    <w:rsid w:val="00DC7035"/>
    <w:rsid w:val="00DC72AE"/>
    <w:rsid w:val="00DC7879"/>
    <w:rsid w:val="00DC78DC"/>
    <w:rsid w:val="00DC7A72"/>
    <w:rsid w:val="00DC7B26"/>
    <w:rsid w:val="00DD00A1"/>
    <w:rsid w:val="00DD00DE"/>
    <w:rsid w:val="00DD08D8"/>
    <w:rsid w:val="00DD1159"/>
    <w:rsid w:val="00DD1227"/>
    <w:rsid w:val="00DD1354"/>
    <w:rsid w:val="00DD14E8"/>
    <w:rsid w:val="00DD152C"/>
    <w:rsid w:val="00DD1603"/>
    <w:rsid w:val="00DD187E"/>
    <w:rsid w:val="00DD19F5"/>
    <w:rsid w:val="00DD209B"/>
    <w:rsid w:val="00DD22F7"/>
    <w:rsid w:val="00DD24C5"/>
    <w:rsid w:val="00DD26C2"/>
    <w:rsid w:val="00DD2C05"/>
    <w:rsid w:val="00DD2C71"/>
    <w:rsid w:val="00DD3340"/>
    <w:rsid w:val="00DD33FF"/>
    <w:rsid w:val="00DD444B"/>
    <w:rsid w:val="00DD493E"/>
    <w:rsid w:val="00DD540C"/>
    <w:rsid w:val="00DD55F4"/>
    <w:rsid w:val="00DD5779"/>
    <w:rsid w:val="00DD68B6"/>
    <w:rsid w:val="00DD69DA"/>
    <w:rsid w:val="00DD6C13"/>
    <w:rsid w:val="00DD6E6A"/>
    <w:rsid w:val="00DD7045"/>
    <w:rsid w:val="00DD7311"/>
    <w:rsid w:val="00DD74BB"/>
    <w:rsid w:val="00DD764D"/>
    <w:rsid w:val="00DD791E"/>
    <w:rsid w:val="00DE015B"/>
    <w:rsid w:val="00DE0A87"/>
    <w:rsid w:val="00DE0C92"/>
    <w:rsid w:val="00DE1291"/>
    <w:rsid w:val="00DE1431"/>
    <w:rsid w:val="00DE15F9"/>
    <w:rsid w:val="00DE1622"/>
    <w:rsid w:val="00DE170D"/>
    <w:rsid w:val="00DE1804"/>
    <w:rsid w:val="00DE189B"/>
    <w:rsid w:val="00DE1B9B"/>
    <w:rsid w:val="00DE2084"/>
    <w:rsid w:val="00DE20E8"/>
    <w:rsid w:val="00DE23D8"/>
    <w:rsid w:val="00DE29F9"/>
    <w:rsid w:val="00DE2E5A"/>
    <w:rsid w:val="00DE3403"/>
    <w:rsid w:val="00DE39B5"/>
    <w:rsid w:val="00DE3C95"/>
    <w:rsid w:val="00DE3CA7"/>
    <w:rsid w:val="00DE3E27"/>
    <w:rsid w:val="00DE4070"/>
    <w:rsid w:val="00DE4285"/>
    <w:rsid w:val="00DE46E5"/>
    <w:rsid w:val="00DE4943"/>
    <w:rsid w:val="00DE4BD9"/>
    <w:rsid w:val="00DE52D2"/>
    <w:rsid w:val="00DE55D9"/>
    <w:rsid w:val="00DE6405"/>
    <w:rsid w:val="00DE6948"/>
    <w:rsid w:val="00DE69C0"/>
    <w:rsid w:val="00DE76CB"/>
    <w:rsid w:val="00DE7B20"/>
    <w:rsid w:val="00DF01DA"/>
    <w:rsid w:val="00DF0770"/>
    <w:rsid w:val="00DF08E7"/>
    <w:rsid w:val="00DF091A"/>
    <w:rsid w:val="00DF09C5"/>
    <w:rsid w:val="00DF1080"/>
    <w:rsid w:val="00DF12E0"/>
    <w:rsid w:val="00DF1424"/>
    <w:rsid w:val="00DF18C9"/>
    <w:rsid w:val="00DF197D"/>
    <w:rsid w:val="00DF1AF1"/>
    <w:rsid w:val="00DF1B61"/>
    <w:rsid w:val="00DF2510"/>
    <w:rsid w:val="00DF2654"/>
    <w:rsid w:val="00DF279E"/>
    <w:rsid w:val="00DF27DB"/>
    <w:rsid w:val="00DF280A"/>
    <w:rsid w:val="00DF2A19"/>
    <w:rsid w:val="00DF313A"/>
    <w:rsid w:val="00DF39C3"/>
    <w:rsid w:val="00DF3A4A"/>
    <w:rsid w:val="00DF4491"/>
    <w:rsid w:val="00DF4F52"/>
    <w:rsid w:val="00DF5422"/>
    <w:rsid w:val="00DF56D0"/>
    <w:rsid w:val="00DF57E8"/>
    <w:rsid w:val="00DF5876"/>
    <w:rsid w:val="00DF5913"/>
    <w:rsid w:val="00DF5D61"/>
    <w:rsid w:val="00DF5E62"/>
    <w:rsid w:val="00DF5EAA"/>
    <w:rsid w:val="00DF6A62"/>
    <w:rsid w:val="00DF6F93"/>
    <w:rsid w:val="00DF7620"/>
    <w:rsid w:val="00DF7888"/>
    <w:rsid w:val="00E00248"/>
    <w:rsid w:val="00E0067C"/>
    <w:rsid w:val="00E009CB"/>
    <w:rsid w:val="00E00A78"/>
    <w:rsid w:val="00E00B7D"/>
    <w:rsid w:val="00E00CFC"/>
    <w:rsid w:val="00E00D3E"/>
    <w:rsid w:val="00E01043"/>
    <w:rsid w:val="00E011C5"/>
    <w:rsid w:val="00E01506"/>
    <w:rsid w:val="00E01564"/>
    <w:rsid w:val="00E015AC"/>
    <w:rsid w:val="00E0189F"/>
    <w:rsid w:val="00E018C5"/>
    <w:rsid w:val="00E0193F"/>
    <w:rsid w:val="00E01B8C"/>
    <w:rsid w:val="00E021B8"/>
    <w:rsid w:val="00E02326"/>
    <w:rsid w:val="00E02553"/>
    <w:rsid w:val="00E029DB"/>
    <w:rsid w:val="00E02DCA"/>
    <w:rsid w:val="00E03180"/>
    <w:rsid w:val="00E0334E"/>
    <w:rsid w:val="00E036D7"/>
    <w:rsid w:val="00E0434F"/>
    <w:rsid w:val="00E046D6"/>
    <w:rsid w:val="00E04B94"/>
    <w:rsid w:val="00E05331"/>
    <w:rsid w:val="00E055B5"/>
    <w:rsid w:val="00E05B8B"/>
    <w:rsid w:val="00E05CB2"/>
    <w:rsid w:val="00E06A34"/>
    <w:rsid w:val="00E06BFB"/>
    <w:rsid w:val="00E06D6F"/>
    <w:rsid w:val="00E06E78"/>
    <w:rsid w:val="00E06F56"/>
    <w:rsid w:val="00E07481"/>
    <w:rsid w:val="00E0749A"/>
    <w:rsid w:val="00E1033C"/>
    <w:rsid w:val="00E10DDE"/>
    <w:rsid w:val="00E10E51"/>
    <w:rsid w:val="00E110AC"/>
    <w:rsid w:val="00E1124E"/>
    <w:rsid w:val="00E113B5"/>
    <w:rsid w:val="00E113D5"/>
    <w:rsid w:val="00E11693"/>
    <w:rsid w:val="00E11928"/>
    <w:rsid w:val="00E121A9"/>
    <w:rsid w:val="00E12649"/>
    <w:rsid w:val="00E1268A"/>
    <w:rsid w:val="00E126F7"/>
    <w:rsid w:val="00E12F2F"/>
    <w:rsid w:val="00E1326C"/>
    <w:rsid w:val="00E13664"/>
    <w:rsid w:val="00E13A68"/>
    <w:rsid w:val="00E13E0A"/>
    <w:rsid w:val="00E13E43"/>
    <w:rsid w:val="00E140EA"/>
    <w:rsid w:val="00E14297"/>
    <w:rsid w:val="00E143A8"/>
    <w:rsid w:val="00E14F2A"/>
    <w:rsid w:val="00E14F8D"/>
    <w:rsid w:val="00E1545B"/>
    <w:rsid w:val="00E154D1"/>
    <w:rsid w:val="00E15611"/>
    <w:rsid w:val="00E15A7F"/>
    <w:rsid w:val="00E15BED"/>
    <w:rsid w:val="00E15C33"/>
    <w:rsid w:val="00E15F2E"/>
    <w:rsid w:val="00E163DE"/>
    <w:rsid w:val="00E164A7"/>
    <w:rsid w:val="00E165CF"/>
    <w:rsid w:val="00E16FB5"/>
    <w:rsid w:val="00E17BA5"/>
    <w:rsid w:val="00E17C11"/>
    <w:rsid w:val="00E17DD0"/>
    <w:rsid w:val="00E20745"/>
    <w:rsid w:val="00E207FA"/>
    <w:rsid w:val="00E211DD"/>
    <w:rsid w:val="00E2148A"/>
    <w:rsid w:val="00E2150B"/>
    <w:rsid w:val="00E21889"/>
    <w:rsid w:val="00E21C3D"/>
    <w:rsid w:val="00E21EA5"/>
    <w:rsid w:val="00E22696"/>
    <w:rsid w:val="00E22A0C"/>
    <w:rsid w:val="00E22A31"/>
    <w:rsid w:val="00E231AC"/>
    <w:rsid w:val="00E232A5"/>
    <w:rsid w:val="00E23715"/>
    <w:rsid w:val="00E237DC"/>
    <w:rsid w:val="00E24265"/>
    <w:rsid w:val="00E24465"/>
    <w:rsid w:val="00E244C3"/>
    <w:rsid w:val="00E247E1"/>
    <w:rsid w:val="00E25319"/>
    <w:rsid w:val="00E25777"/>
    <w:rsid w:val="00E25828"/>
    <w:rsid w:val="00E25C62"/>
    <w:rsid w:val="00E25D6E"/>
    <w:rsid w:val="00E26215"/>
    <w:rsid w:val="00E2634B"/>
    <w:rsid w:val="00E264D6"/>
    <w:rsid w:val="00E2663A"/>
    <w:rsid w:val="00E26735"/>
    <w:rsid w:val="00E26C20"/>
    <w:rsid w:val="00E26D52"/>
    <w:rsid w:val="00E26DDF"/>
    <w:rsid w:val="00E26F75"/>
    <w:rsid w:val="00E270D2"/>
    <w:rsid w:val="00E27672"/>
    <w:rsid w:val="00E27A2A"/>
    <w:rsid w:val="00E27AC7"/>
    <w:rsid w:val="00E27C53"/>
    <w:rsid w:val="00E3030C"/>
    <w:rsid w:val="00E307CA"/>
    <w:rsid w:val="00E30AEE"/>
    <w:rsid w:val="00E30CEB"/>
    <w:rsid w:val="00E30F93"/>
    <w:rsid w:val="00E30FFE"/>
    <w:rsid w:val="00E3101D"/>
    <w:rsid w:val="00E31051"/>
    <w:rsid w:val="00E3153C"/>
    <w:rsid w:val="00E316D8"/>
    <w:rsid w:val="00E3198A"/>
    <w:rsid w:val="00E31DDF"/>
    <w:rsid w:val="00E32190"/>
    <w:rsid w:val="00E32366"/>
    <w:rsid w:val="00E3255D"/>
    <w:rsid w:val="00E326CD"/>
    <w:rsid w:val="00E32738"/>
    <w:rsid w:val="00E32830"/>
    <w:rsid w:val="00E32E84"/>
    <w:rsid w:val="00E32F07"/>
    <w:rsid w:val="00E337D3"/>
    <w:rsid w:val="00E33ACA"/>
    <w:rsid w:val="00E33ADB"/>
    <w:rsid w:val="00E33E6A"/>
    <w:rsid w:val="00E340A7"/>
    <w:rsid w:val="00E3439E"/>
    <w:rsid w:val="00E3461E"/>
    <w:rsid w:val="00E34B98"/>
    <w:rsid w:val="00E34D78"/>
    <w:rsid w:val="00E34E62"/>
    <w:rsid w:val="00E35099"/>
    <w:rsid w:val="00E353EB"/>
    <w:rsid w:val="00E354D7"/>
    <w:rsid w:val="00E358CF"/>
    <w:rsid w:val="00E35A55"/>
    <w:rsid w:val="00E35BAD"/>
    <w:rsid w:val="00E35BC5"/>
    <w:rsid w:val="00E3654A"/>
    <w:rsid w:val="00E36C27"/>
    <w:rsid w:val="00E36FD2"/>
    <w:rsid w:val="00E37172"/>
    <w:rsid w:val="00E37F87"/>
    <w:rsid w:val="00E40341"/>
    <w:rsid w:val="00E406FA"/>
    <w:rsid w:val="00E413FB"/>
    <w:rsid w:val="00E425BB"/>
    <w:rsid w:val="00E43406"/>
    <w:rsid w:val="00E434B2"/>
    <w:rsid w:val="00E436D4"/>
    <w:rsid w:val="00E439A9"/>
    <w:rsid w:val="00E43E0A"/>
    <w:rsid w:val="00E43ED8"/>
    <w:rsid w:val="00E43F6B"/>
    <w:rsid w:val="00E444FB"/>
    <w:rsid w:val="00E449A9"/>
    <w:rsid w:val="00E44D87"/>
    <w:rsid w:val="00E4509C"/>
    <w:rsid w:val="00E452A3"/>
    <w:rsid w:val="00E45488"/>
    <w:rsid w:val="00E45866"/>
    <w:rsid w:val="00E45DDA"/>
    <w:rsid w:val="00E45DDD"/>
    <w:rsid w:val="00E45F41"/>
    <w:rsid w:val="00E461F6"/>
    <w:rsid w:val="00E4625B"/>
    <w:rsid w:val="00E4640B"/>
    <w:rsid w:val="00E4675C"/>
    <w:rsid w:val="00E46FB2"/>
    <w:rsid w:val="00E47683"/>
    <w:rsid w:val="00E476D7"/>
    <w:rsid w:val="00E47714"/>
    <w:rsid w:val="00E47E7E"/>
    <w:rsid w:val="00E47FB7"/>
    <w:rsid w:val="00E50195"/>
    <w:rsid w:val="00E50643"/>
    <w:rsid w:val="00E50D61"/>
    <w:rsid w:val="00E50E25"/>
    <w:rsid w:val="00E50FC4"/>
    <w:rsid w:val="00E51CC6"/>
    <w:rsid w:val="00E52016"/>
    <w:rsid w:val="00E52510"/>
    <w:rsid w:val="00E5268E"/>
    <w:rsid w:val="00E52A6C"/>
    <w:rsid w:val="00E52EDC"/>
    <w:rsid w:val="00E52FEB"/>
    <w:rsid w:val="00E5311C"/>
    <w:rsid w:val="00E53BA0"/>
    <w:rsid w:val="00E53FFB"/>
    <w:rsid w:val="00E54038"/>
    <w:rsid w:val="00E5409A"/>
    <w:rsid w:val="00E544AF"/>
    <w:rsid w:val="00E544FF"/>
    <w:rsid w:val="00E547A4"/>
    <w:rsid w:val="00E54A16"/>
    <w:rsid w:val="00E54C65"/>
    <w:rsid w:val="00E55060"/>
    <w:rsid w:val="00E552DB"/>
    <w:rsid w:val="00E55387"/>
    <w:rsid w:val="00E555AF"/>
    <w:rsid w:val="00E55E8A"/>
    <w:rsid w:val="00E56455"/>
    <w:rsid w:val="00E564B4"/>
    <w:rsid w:val="00E5691D"/>
    <w:rsid w:val="00E56D1B"/>
    <w:rsid w:val="00E56D2E"/>
    <w:rsid w:val="00E56EC3"/>
    <w:rsid w:val="00E573DB"/>
    <w:rsid w:val="00E60017"/>
    <w:rsid w:val="00E60332"/>
    <w:rsid w:val="00E609F8"/>
    <w:rsid w:val="00E60DD6"/>
    <w:rsid w:val="00E61173"/>
    <w:rsid w:val="00E61A45"/>
    <w:rsid w:val="00E61AEC"/>
    <w:rsid w:val="00E61E8C"/>
    <w:rsid w:val="00E62174"/>
    <w:rsid w:val="00E62358"/>
    <w:rsid w:val="00E63C96"/>
    <w:rsid w:val="00E63D14"/>
    <w:rsid w:val="00E64A11"/>
    <w:rsid w:val="00E651AB"/>
    <w:rsid w:val="00E65291"/>
    <w:rsid w:val="00E6565C"/>
    <w:rsid w:val="00E656CC"/>
    <w:rsid w:val="00E65977"/>
    <w:rsid w:val="00E65D1E"/>
    <w:rsid w:val="00E65F71"/>
    <w:rsid w:val="00E660DB"/>
    <w:rsid w:val="00E6619D"/>
    <w:rsid w:val="00E66264"/>
    <w:rsid w:val="00E66806"/>
    <w:rsid w:val="00E66A4B"/>
    <w:rsid w:val="00E66C34"/>
    <w:rsid w:val="00E66DDE"/>
    <w:rsid w:val="00E6700D"/>
    <w:rsid w:val="00E67390"/>
    <w:rsid w:val="00E673F7"/>
    <w:rsid w:val="00E67805"/>
    <w:rsid w:val="00E678ED"/>
    <w:rsid w:val="00E679B9"/>
    <w:rsid w:val="00E67A1B"/>
    <w:rsid w:val="00E67BF3"/>
    <w:rsid w:val="00E7013C"/>
    <w:rsid w:val="00E705CC"/>
    <w:rsid w:val="00E7088F"/>
    <w:rsid w:val="00E70A51"/>
    <w:rsid w:val="00E70B58"/>
    <w:rsid w:val="00E70C08"/>
    <w:rsid w:val="00E710BE"/>
    <w:rsid w:val="00E711C6"/>
    <w:rsid w:val="00E7152B"/>
    <w:rsid w:val="00E717C4"/>
    <w:rsid w:val="00E71A4A"/>
    <w:rsid w:val="00E71D26"/>
    <w:rsid w:val="00E71F57"/>
    <w:rsid w:val="00E71FC9"/>
    <w:rsid w:val="00E72516"/>
    <w:rsid w:val="00E727F1"/>
    <w:rsid w:val="00E7309F"/>
    <w:rsid w:val="00E732BA"/>
    <w:rsid w:val="00E73E19"/>
    <w:rsid w:val="00E73F96"/>
    <w:rsid w:val="00E749B3"/>
    <w:rsid w:val="00E74A99"/>
    <w:rsid w:val="00E74DDB"/>
    <w:rsid w:val="00E74E47"/>
    <w:rsid w:val="00E74FB7"/>
    <w:rsid w:val="00E7523F"/>
    <w:rsid w:val="00E75319"/>
    <w:rsid w:val="00E75724"/>
    <w:rsid w:val="00E759CA"/>
    <w:rsid w:val="00E75B74"/>
    <w:rsid w:val="00E76492"/>
    <w:rsid w:val="00E769AD"/>
    <w:rsid w:val="00E76A80"/>
    <w:rsid w:val="00E76E63"/>
    <w:rsid w:val="00E76EC6"/>
    <w:rsid w:val="00E77C2E"/>
    <w:rsid w:val="00E800AA"/>
    <w:rsid w:val="00E802D6"/>
    <w:rsid w:val="00E80982"/>
    <w:rsid w:val="00E80AB0"/>
    <w:rsid w:val="00E80D04"/>
    <w:rsid w:val="00E81455"/>
    <w:rsid w:val="00E8158B"/>
    <w:rsid w:val="00E8183F"/>
    <w:rsid w:val="00E81E5F"/>
    <w:rsid w:val="00E823B0"/>
    <w:rsid w:val="00E82662"/>
    <w:rsid w:val="00E82F1C"/>
    <w:rsid w:val="00E8303C"/>
    <w:rsid w:val="00E83221"/>
    <w:rsid w:val="00E8337C"/>
    <w:rsid w:val="00E833A2"/>
    <w:rsid w:val="00E836FA"/>
    <w:rsid w:val="00E837A1"/>
    <w:rsid w:val="00E838B3"/>
    <w:rsid w:val="00E83DD1"/>
    <w:rsid w:val="00E84157"/>
    <w:rsid w:val="00E841AD"/>
    <w:rsid w:val="00E842AF"/>
    <w:rsid w:val="00E843E2"/>
    <w:rsid w:val="00E84988"/>
    <w:rsid w:val="00E84AAD"/>
    <w:rsid w:val="00E84EC7"/>
    <w:rsid w:val="00E851CD"/>
    <w:rsid w:val="00E85292"/>
    <w:rsid w:val="00E85D8A"/>
    <w:rsid w:val="00E86A01"/>
    <w:rsid w:val="00E86BB7"/>
    <w:rsid w:val="00E86DB2"/>
    <w:rsid w:val="00E86FF5"/>
    <w:rsid w:val="00E87773"/>
    <w:rsid w:val="00E87E88"/>
    <w:rsid w:val="00E90435"/>
    <w:rsid w:val="00E90437"/>
    <w:rsid w:val="00E90D30"/>
    <w:rsid w:val="00E91240"/>
    <w:rsid w:val="00E91719"/>
    <w:rsid w:val="00E91831"/>
    <w:rsid w:val="00E91867"/>
    <w:rsid w:val="00E91883"/>
    <w:rsid w:val="00E91CA3"/>
    <w:rsid w:val="00E91CE7"/>
    <w:rsid w:val="00E91E01"/>
    <w:rsid w:val="00E92118"/>
    <w:rsid w:val="00E926FF"/>
    <w:rsid w:val="00E92B79"/>
    <w:rsid w:val="00E92F0D"/>
    <w:rsid w:val="00E9311B"/>
    <w:rsid w:val="00E93125"/>
    <w:rsid w:val="00E93310"/>
    <w:rsid w:val="00E93A25"/>
    <w:rsid w:val="00E93BCF"/>
    <w:rsid w:val="00E93BE1"/>
    <w:rsid w:val="00E944EF"/>
    <w:rsid w:val="00E949A5"/>
    <w:rsid w:val="00E94E48"/>
    <w:rsid w:val="00E9500D"/>
    <w:rsid w:val="00E9509C"/>
    <w:rsid w:val="00E951BF"/>
    <w:rsid w:val="00E9584D"/>
    <w:rsid w:val="00E95A7E"/>
    <w:rsid w:val="00E95F44"/>
    <w:rsid w:val="00E96066"/>
    <w:rsid w:val="00E9640B"/>
    <w:rsid w:val="00E96AF8"/>
    <w:rsid w:val="00E96E54"/>
    <w:rsid w:val="00E96F2F"/>
    <w:rsid w:val="00E97C78"/>
    <w:rsid w:val="00E97D93"/>
    <w:rsid w:val="00E97F0B"/>
    <w:rsid w:val="00EA0725"/>
    <w:rsid w:val="00EA0737"/>
    <w:rsid w:val="00EA0812"/>
    <w:rsid w:val="00EA0D2C"/>
    <w:rsid w:val="00EA116F"/>
    <w:rsid w:val="00EA14CC"/>
    <w:rsid w:val="00EA17CD"/>
    <w:rsid w:val="00EA187C"/>
    <w:rsid w:val="00EA1C22"/>
    <w:rsid w:val="00EA1E83"/>
    <w:rsid w:val="00EA2529"/>
    <w:rsid w:val="00EA2C4D"/>
    <w:rsid w:val="00EA2F7F"/>
    <w:rsid w:val="00EA3234"/>
    <w:rsid w:val="00EA3422"/>
    <w:rsid w:val="00EA3508"/>
    <w:rsid w:val="00EA373C"/>
    <w:rsid w:val="00EA3E3E"/>
    <w:rsid w:val="00EA4549"/>
    <w:rsid w:val="00EA4931"/>
    <w:rsid w:val="00EA4E8F"/>
    <w:rsid w:val="00EA506F"/>
    <w:rsid w:val="00EA5410"/>
    <w:rsid w:val="00EA5933"/>
    <w:rsid w:val="00EA5995"/>
    <w:rsid w:val="00EA6045"/>
    <w:rsid w:val="00EA607A"/>
    <w:rsid w:val="00EA6498"/>
    <w:rsid w:val="00EA7046"/>
    <w:rsid w:val="00EA713B"/>
    <w:rsid w:val="00EA7404"/>
    <w:rsid w:val="00EA7979"/>
    <w:rsid w:val="00EA7B05"/>
    <w:rsid w:val="00EA7EC5"/>
    <w:rsid w:val="00EA7F16"/>
    <w:rsid w:val="00EB049D"/>
    <w:rsid w:val="00EB0B94"/>
    <w:rsid w:val="00EB11C8"/>
    <w:rsid w:val="00EB11FE"/>
    <w:rsid w:val="00EB1292"/>
    <w:rsid w:val="00EB141A"/>
    <w:rsid w:val="00EB149F"/>
    <w:rsid w:val="00EB1BEF"/>
    <w:rsid w:val="00EB1DEF"/>
    <w:rsid w:val="00EB2037"/>
    <w:rsid w:val="00EB2716"/>
    <w:rsid w:val="00EB2A7F"/>
    <w:rsid w:val="00EB3477"/>
    <w:rsid w:val="00EB35AE"/>
    <w:rsid w:val="00EB361D"/>
    <w:rsid w:val="00EB397E"/>
    <w:rsid w:val="00EB39FF"/>
    <w:rsid w:val="00EB3CBD"/>
    <w:rsid w:val="00EB3F14"/>
    <w:rsid w:val="00EB431B"/>
    <w:rsid w:val="00EB4739"/>
    <w:rsid w:val="00EB4BCE"/>
    <w:rsid w:val="00EB5597"/>
    <w:rsid w:val="00EB55A7"/>
    <w:rsid w:val="00EB5753"/>
    <w:rsid w:val="00EB5C43"/>
    <w:rsid w:val="00EB5ECF"/>
    <w:rsid w:val="00EB5F79"/>
    <w:rsid w:val="00EB60BD"/>
    <w:rsid w:val="00EB6716"/>
    <w:rsid w:val="00EB6B9B"/>
    <w:rsid w:val="00EB7098"/>
    <w:rsid w:val="00EC0475"/>
    <w:rsid w:val="00EC0A9D"/>
    <w:rsid w:val="00EC0CA7"/>
    <w:rsid w:val="00EC123D"/>
    <w:rsid w:val="00EC1488"/>
    <w:rsid w:val="00EC173D"/>
    <w:rsid w:val="00EC1759"/>
    <w:rsid w:val="00EC1BAD"/>
    <w:rsid w:val="00EC1BBD"/>
    <w:rsid w:val="00EC1FA5"/>
    <w:rsid w:val="00EC288E"/>
    <w:rsid w:val="00EC28D0"/>
    <w:rsid w:val="00EC2E68"/>
    <w:rsid w:val="00EC2F5D"/>
    <w:rsid w:val="00EC3334"/>
    <w:rsid w:val="00EC3620"/>
    <w:rsid w:val="00EC3630"/>
    <w:rsid w:val="00EC3D45"/>
    <w:rsid w:val="00EC3D9D"/>
    <w:rsid w:val="00EC439D"/>
    <w:rsid w:val="00EC43FD"/>
    <w:rsid w:val="00EC4753"/>
    <w:rsid w:val="00EC49A0"/>
    <w:rsid w:val="00EC57F9"/>
    <w:rsid w:val="00EC591E"/>
    <w:rsid w:val="00EC5D80"/>
    <w:rsid w:val="00EC669A"/>
    <w:rsid w:val="00EC6929"/>
    <w:rsid w:val="00EC69D4"/>
    <w:rsid w:val="00EC75C1"/>
    <w:rsid w:val="00EC773B"/>
    <w:rsid w:val="00EC7DFE"/>
    <w:rsid w:val="00EC7E71"/>
    <w:rsid w:val="00ED071F"/>
    <w:rsid w:val="00ED077C"/>
    <w:rsid w:val="00ED0905"/>
    <w:rsid w:val="00ED0A84"/>
    <w:rsid w:val="00ED16F5"/>
    <w:rsid w:val="00ED1737"/>
    <w:rsid w:val="00ED1871"/>
    <w:rsid w:val="00ED1D17"/>
    <w:rsid w:val="00ED1F3D"/>
    <w:rsid w:val="00ED22B6"/>
    <w:rsid w:val="00ED28E6"/>
    <w:rsid w:val="00ED315B"/>
    <w:rsid w:val="00ED326C"/>
    <w:rsid w:val="00ED33C0"/>
    <w:rsid w:val="00ED399F"/>
    <w:rsid w:val="00ED3B93"/>
    <w:rsid w:val="00ED3D39"/>
    <w:rsid w:val="00ED3D71"/>
    <w:rsid w:val="00ED3F6C"/>
    <w:rsid w:val="00ED480A"/>
    <w:rsid w:val="00ED52F9"/>
    <w:rsid w:val="00ED55AD"/>
    <w:rsid w:val="00ED563E"/>
    <w:rsid w:val="00ED5E22"/>
    <w:rsid w:val="00ED5F63"/>
    <w:rsid w:val="00ED6179"/>
    <w:rsid w:val="00ED6275"/>
    <w:rsid w:val="00ED631D"/>
    <w:rsid w:val="00ED64B6"/>
    <w:rsid w:val="00ED65E0"/>
    <w:rsid w:val="00ED6610"/>
    <w:rsid w:val="00ED6A9D"/>
    <w:rsid w:val="00ED6BD2"/>
    <w:rsid w:val="00ED713F"/>
    <w:rsid w:val="00ED72F0"/>
    <w:rsid w:val="00ED75B2"/>
    <w:rsid w:val="00ED7B8A"/>
    <w:rsid w:val="00ED7BB2"/>
    <w:rsid w:val="00ED7D5F"/>
    <w:rsid w:val="00EE01DD"/>
    <w:rsid w:val="00EE1138"/>
    <w:rsid w:val="00EE1142"/>
    <w:rsid w:val="00EE1594"/>
    <w:rsid w:val="00EE17E1"/>
    <w:rsid w:val="00EE1F81"/>
    <w:rsid w:val="00EE1FAA"/>
    <w:rsid w:val="00EE21A2"/>
    <w:rsid w:val="00EE21E8"/>
    <w:rsid w:val="00EE248F"/>
    <w:rsid w:val="00EE24D3"/>
    <w:rsid w:val="00EE2672"/>
    <w:rsid w:val="00EE2C15"/>
    <w:rsid w:val="00EE2CC0"/>
    <w:rsid w:val="00EE3327"/>
    <w:rsid w:val="00EE348F"/>
    <w:rsid w:val="00EE36AF"/>
    <w:rsid w:val="00EE36C6"/>
    <w:rsid w:val="00EE3925"/>
    <w:rsid w:val="00EE3A00"/>
    <w:rsid w:val="00EE402B"/>
    <w:rsid w:val="00EE406D"/>
    <w:rsid w:val="00EE47B3"/>
    <w:rsid w:val="00EE4CF0"/>
    <w:rsid w:val="00EE50A4"/>
    <w:rsid w:val="00EE521D"/>
    <w:rsid w:val="00EE61CA"/>
    <w:rsid w:val="00EE6276"/>
    <w:rsid w:val="00EE6632"/>
    <w:rsid w:val="00EE6AA1"/>
    <w:rsid w:val="00EE7836"/>
    <w:rsid w:val="00EE7F2E"/>
    <w:rsid w:val="00EF017E"/>
    <w:rsid w:val="00EF01CE"/>
    <w:rsid w:val="00EF028F"/>
    <w:rsid w:val="00EF04C4"/>
    <w:rsid w:val="00EF061D"/>
    <w:rsid w:val="00EF081E"/>
    <w:rsid w:val="00EF119F"/>
    <w:rsid w:val="00EF1282"/>
    <w:rsid w:val="00EF146E"/>
    <w:rsid w:val="00EF1621"/>
    <w:rsid w:val="00EF199D"/>
    <w:rsid w:val="00EF1B03"/>
    <w:rsid w:val="00EF1EB5"/>
    <w:rsid w:val="00EF203E"/>
    <w:rsid w:val="00EF2125"/>
    <w:rsid w:val="00EF239A"/>
    <w:rsid w:val="00EF270E"/>
    <w:rsid w:val="00EF29BD"/>
    <w:rsid w:val="00EF2DB4"/>
    <w:rsid w:val="00EF2E4C"/>
    <w:rsid w:val="00EF3118"/>
    <w:rsid w:val="00EF3175"/>
    <w:rsid w:val="00EF32DC"/>
    <w:rsid w:val="00EF330C"/>
    <w:rsid w:val="00EF3550"/>
    <w:rsid w:val="00EF36DA"/>
    <w:rsid w:val="00EF389B"/>
    <w:rsid w:val="00EF39D4"/>
    <w:rsid w:val="00EF3AA0"/>
    <w:rsid w:val="00EF3F0B"/>
    <w:rsid w:val="00EF46D8"/>
    <w:rsid w:val="00EF4841"/>
    <w:rsid w:val="00EF4E6A"/>
    <w:rsid w:val="00EF5142"/>
    <w:rsid w:val="00EF51E7"/>
    <w:rsid w:val="00EF5221"/>
    <w:rsid w:val="00EF54D1"/>
    <w:rsid w:val="00EF57D3"/>
    <w:rsid w:val="00EF5F56"/>
    <w:rsid w:val="00EF603D"/>
    <w:rsid w:val="00EF6221"/>
    <w:rsid w:val="00EF62F7"/>
    <w:rsid w:val="00EF635B"/>
    <w:rsid w:val="00EF6437"/>
    <w:rsid w:val="00EF66D7"/>
    <w:rsid w:val="00EF6CEE"/>
    <w:rsid w:val="00EF6FCB"/>
    <w:rsid w:val="00EF77FB"/>
    <w:rsid w:val="00EF7932"/>
    <w:rsid w:val="00EF7B63"/>
    <w:rsid w:val="00EF7C02"/>
    <w:rsid w:val="00EF7C1C"/>
    <w:rsid w:val="00F00409"/>
    <w:rsid w:val="00F00A0E"/>
    <w:rsid w:val="00F00C2C"/>
    <w:rsid w:val="00F0142A"/>
    <w:rsid w:val="00F01E48"/>
    <w:rsid w:val="00F01E5B"/>
    <w:rsid w:val="00F0216B"/>
    <w:rsid w:val="00F022D8"/>
    <w:rsid w:val="00F02349"/>
    <w:rsid w:val="00F02476"/>
    <w:rsid w:val="00F028AB"/>
    <w:rsid w:val="00F02CD0"/>
    <w:rsid w:val="00F02E1F"/>
    <w:rsid w:val="00F03016"/>
    <w:rsid w:val="00F030AF"/>
    <w:rsid w:val="00F03BEE"/>
    <w:rsid w:val="00F03C8C"/>
    <w:rsid w:val="00F03E13"/>
    <w:rsid w:val="00F03F17"/>
    <w:rsid w:val="00F0427F"/>
    <w:rsid w:val="00F0450A"/>
    <w:rsid w:val="00F04CC5"/>
    <w:rsid w:val="00F05068"/>
    <w:rsid w:val="00F053AC"/>
    <w:rsid w:val="00F05D0E"/>
    <w:rsid w:val="00F06659"/>
    <w:rsid w:val="00F0671C"/>
    <w:rsid w:val="00F0680F"/>
    <w:rsid w:val="00F06B41"/>
    <w:rsid w:val="00F06C8F"/>
    <w:rsid w:val="00F06E64"/>
    <w:rsid w:val="00F06F17"/>
    <w:rsid w:val="00F06F26"/>
    <w:rsid w:val="00F074C1"/>
    <w:rsid w:val="00F07991"/>
    <w:rsid w:val="00F10146"/>
    <w:rsid w:val="00F1044D"/>
    <w:rsid w:val="00F106D2"/>
    <w:rsid w:val="00F107E9"/>
    <w:rsid w:val="00F10A7A"/>
    <w:rsid w:val="00F10A7B"/>
    <w:rsid w:val="00F10BE4"/>
    <w:rsid w:val="00F10C1A"/>
    <w:rsid w:val="00F10D2E"/>
    <w:rsid w:val="00F10D6E"/>
    <w:rsid w:val="00F111EE"/>
    <w:rsid w:val="00F11881"/>
    <w:rsid w:val="00F119E8"/>
    <w:rsid w:val="00F11F5D"/>
    <w:rsid w:val="00F1208E"/>
    <w:rsid w:val="00F12536"/>
    <w:rsid w:val="00F12D1A"/>
    <w:rsid w:val="00F12FB4"/>
    <w:rsid w:val="00F13244"/>
    <w:rsid w:val="00F1331D"/>
    <w:rsid w:val="00F136E0"/>
    <w:rsid w:val="00F13B4A"/>
    <w:rsid w:val="00F144CB"/>
    <w:rsid w:val="00F14A8E"/>
    <w:rsid w:val="00F14B21"/>
    <w:rsid w:val="00F14F09"/>
    <w:rsid w:val="00F150B3"/>
    <w:rsid w:val="00F15207"/>
    <w:rsid w:val="00F153DB"/>
    <w:rsid w:val="00F154EF"/>
    <w:rsid w:val="00F15648"/>
    <w:rsid w:val="00F15745"/>
    <w:rsid w:val="00F15751"/>
    <w:rsid w:val="00F15A3A"/>
    <w:rsid w:val="00F15D3F"/>
    <w:rsid w:val="00F15ECA"/>
    <w:rsid w:val="00F16377"/>
    <w:rsid w:val="00F164C9"/>
    <w:rsid w:val="00F16871"/>
    <w:rsid w:val="00F16D54"/>
    <w:rsid w:val="00F16F23"/>
    <w:rsid w:val="00F1705D"/>
    <w:rsid w:val="00F172EB"/>
    <w:rsid w:val="00F1765F"/>
    <w:rsid w:val="00F17ABD"/>
    <w:rsid w:val="00F17B19"/>
    <w:rsid w:val="00F17F8E"/>
    <w:rsid w:val="00F20ACC"/>
    <w:rsid w:val="00F20E58"/>
    <w:rsid w:val="00F21272"/>
    <w:rsid w:val="00F22104"/>
    <w:rsid w:val="00F2223E"/>
    <w:rsid w:val="00F22279"/>
    <w:rsid w:val="00F22909"/>
    <w:rsid w:val="00F22BEB"/>
    <w:rsid w:val="00F232EA"/>
    <w:rsid w:val="00F23690"/>
    <w:rsid w:val="00F23728"/>
    <w:rsid w:val="00F2378E"/>
    <w:rsid w:val="00F23E45"/>
    <w:rsid w:val="00F243A1"/>
    <w:rsid w:val="00F243E5"/>
    <w:rsid w:val="00F244BA"/>
    <w:rsid w:val="00F2482F"/>
    <w:rsid w:val="00F24A44"/>
    <w:rsid w:val="00F2503E"/>
    <w:rsid w:val="00F25543"/>
    <w:rsid w:val="00F25682"/>
    <w:rsid w:val="00F25A5A"/>
    <w:rsid w:val="00F25EA4"/>
    <w:rsid w:val="00F262F0"/>
    <w:rsid w:val="00F263F0"/>
    <w:rsid w:val="00F26890"/>
    <w:rsid w:val="00F26ACA"/>
    <w:rsid w:val="00F26E33"/>
    <w:rsid w:val="00F270C5"/>
    <w:rsid w:val="00F2783B"/>
    <w:rsid w:val="00F30C47"/>
    <w:rsid w:val="00F31417"/>
    <w:rsid w:val="00F31664"/>
    <w:rsid w:val="00F31BCB"/>
    <w:rsid w:val="00F32319"/>
    <w:rsid w:val="00F3330B"/>
    <w:rsid w:val="00F33891"/>
    <w:rsid w:val="00F338AC"/>
    <w:rsid w:val="00F33F12"/>
    <w:rsid w:val="00F34728"/>
    <w:rsid w:val="00F348D8"/>
    <w:rsid w:val="00F34B19"/>
    <w:rsid w:val="00F34EF8"/>
    <w:rsid w:val="00F3573D"/>
    <w:rsid w:val="00F3580C"/>
    <w:rsid w:val="00F35FC6"/>
    <w:rsid w:val="00F362BE"/>
    <w:rsid w:val="00F363C3"/>
    <w:rsid w:val="00F367C2"/>
    <w:rsid w:val="00F36881"/>
    <w:rsid w:val="00F3735A"/>
    <w:rsid w:val="00F373F9"/>
    <w:rsid w:val="00F376C6"/>
    <w:rsid w:val="00F37AD5"/>
    <w:rsid w:val="00F37CE1"/>
    <w:rsid w:val="00F37E50"/>
    <w:rsid w:val="00F4057A"/>
    <w:rsid w:val="00F40A9C"/>
    <w:rsid w:val="00F40B51"/>
    <w:rsid w:val="00F410CB"/>
    <w:rsid w:val="00F41130"/>
    <w:rsid w:val="00F4156D"/>
    <w:rsid w:val="00F417AC"/>
    <w:rsid w:val="00F41AE7"/>
    <w:rsid w:val="00F41F2C"/>
    <w:rsid w:val="00F424A6"/>
    <w:rsid w:val="00F42509"/>
    <w:rsid w:val="00F425AB"/>
    <w:rsid w:val="00F4269D"/>
    <w:rsid w:val="00F42B92"/>
    <w:rsid w:val="00F42C15"/>
    <w:rsid w:val="00F42F9A"/>
    <w:rsid w:val="00F4357C"/>
    <w:rsid w:val="00F43995"/>
    <w:rsid w:val="00F43B42"/>
    <w:rsid w:val="00F43EC5"/>
    <w:rsid w:val="00F44965"/>
    <w:rsid w:val="00F45408"/>
    <w:rsid w:val="00F45C2B"/>
    <w:rsid w:val="00F460C9"/>
    <w:rsid w:val="00F46181"/>
    <w:rsid w:val="00F461C9"/>
    <w:rsid w:val="00F46494"/>
    <w:rsid w:val="00F46779"/>
    <w:rsid w:val="00F46855"/>
    <w:rsid w:val="00F47116"/>
    <w:rsid w:val="00F47359"/>
    <w:rsid w:val="00F474FB"/>
    <w:rsid w:val="00F475B1"/>
    <w:rsid w:val="00F477F0"/>
    <w:rsid w:val="00F47870"/>
    <w:rsid w:val="00F47F85"/>
    <w:rsid w:val="00F50197"/>
    <w:rsid w:val="00F50228"/>
    <w:rsid w:val="00F5135D"/>
    <w:rsid w:val="00F51C1E"/>
    <w:rsid w:val="00F51C40"/>
    <w:rsid w:val="00F52224"/>
    <w:rsid w:val="00F522DF"/>
    <w:rsid w:val="00F52A3F"/>
    <w:rsid w:val="00F52A93"/>
    <w:rsid w:val="00F5338D"/>
    <w:rsid w:val="00F533FF"/>
    <w:rsid w:val="00F53561"/>
    <w:rsid w:val="00F5362D"/>
    <w:rsid w:val="00F53689"/>
    <w:rsid w:val="00F538A3"/>
    <w:rsid w:val="00F53EAC"/>
    <w:rsid w:val="00F53FF2"/>
    <w:rsid w:val="00F54178"/>
    <w:rsid w:val="00F54286"/>
    <w:rsid w:val="00F543AE"/>
    <w:rsid w:val="00F5466A"/>
    <w:rsid w:val="00F549BC"/>
    <w:rsid w:val="00F54E9D"/>
    <w:rsid w:val="00F5526A"/>
    <w:rsid w:val="00F55354"/>
    <w:rsid w:val="00F5536A"/>
    <w:rsid w:val="00F558EC"/>
    <w:rsid w:val="00F55BA1"/>
    <w:rsid w:val="00F55D76"/>
    <w:rsid w:val="00F56923"/>
    <w:rsid w:val="00F56A7E"/>
    <w:rsid w:val="00F56A81"/>
    <w:rsid w:val="00F56AB2"/>
    <w:rsid w:val="00F5773E"/>
    <w:rsid w:val="00F6060C"/>
    <w:rsid w:val="00F60952"/>
    <w:rsid w:val="00F6132C"/>
    <w:rsid w:val="00F613AF"/>
    <w:rsid w:val="00F618EF"/>
    <w:rsid w:val="00F619B1"/>
    <w:rsid w:val="00F61A6F"/>
    <w:rsid w:val="00F61E4D"/>
    <w:rsid w:val="00F626E0"/>
    <w:rsid w:val="00F627F4"/>
    <w:rsid w:val="00F63149"/>
    <w:rsid w:val="00F63765"/>
    <w:rsid w:val="00F638F1"/>
    <w:rsid w:val="00F64279"/>
    <w:rsid w:val="00F64339"/>
    <w:rsid w:val="00F64719"/>
    <w:rsid w:val="00F649C1"/>
    <w:rsid w:val="00F650CB"/>
    <w:rsid w:val="00F65451"/>
    <w:rsid w:val="00F65713"/>
    <w:rsid w:val="00F65823"/>
    <w:rsid w:val="00F65926"/>
    <w:rsid w:val="00F659E7"/>
    <w:rsid w:val="00F65A13"/>
    <w:rsid w:val="00F65E30"/>
    <w:rsid w:val="00F66402"/>
    <w:rsid w:val="00F671D6"/>
    <w:rsid w:val="00F673B1"/>
    <w:rsid w:val="00F67797"/>
    <w:rsid w:val="00F677FD"/>
    <w:rsid w:val="00F678B2"/>
    <w:rsid w:val="00F67FA3"/>
    <w:rsid w:val="00F7059A"/>
    <w:rsid w:val="00F70AAD"/>
    <w:rsid w:val="00F70B9F"/>
    <w:rsid w:val="00F70CA9"/>
    <w:rsid w:val="00F70D55"/>
    <w:rsid w:val="00F7102D"/>
    <w:rsid w:val="00F7148A"/>
    <w:rsid w:val="00F716A3"/>
    <w:rsid w:val="00F718F3"/>
    <w:rsid w:val="00F719FE"/>
    <w:rsid w:val="00F71BE0"/>
    <w:rsid w:val="00F720DA"/>
    <w:rsid w:val="00F72412"/>
    <w:rsid w:val="00F72F17"/>
    <w:rsid w:val="00F73184"/>
    <w:rsid w:val="00F73485"/>
    <w:rsid w:val="00F73768"/>
    <w:rsid w:val="00F738C9"/>
    <w:rsid w:val="00F73D57"/>
    <w:rsid w:val="00F74083"/>
    <w:rsid w:val="00F7415E"/>
    <w:rsid w:val="00F7499C"/>
    <w:rsid w:val="00F74B10"/>
    <w:rsid w:val="00F74D89"/>
    <w:rsid w:val="00F74E25"/>
    <w:rsid w:val="00F7540F"/>
    <w:rsid w:val="00F7572C"/>
    <w:rsid w:val="00F75A64"/>
    <w:rsid w:val="00F75E99"/>
    <w:rsid w:val="00F75F29"/>
    <w:rsid w:val="00F76193"/>
    <w:rsid w:val="00F76A30"/>
    <w:rsid w:val="00F76ABA"/>
    <w:rsid w:val="00F77120"/>
    <w:rsid w:val="00F7735F"/>
    <w:rsid w:val="00F77449"/>
    <w:rsid w:val="00F776AC"/>
    <w:rsid w:val="00F77A77"/>
    <w:rsid w:val="00F77B27"/>
    <w:rsid w:val="00F8061F"/>
    <w:rsid w:val="00F8070D"/>
    <w:rsid w:val="00F80A43"/>
    <w:rsid w:val="00F80E39"/>
    <w:rsid w:val="00F81266"/>
    <w:rsid w:val="00F8137D"/>
    <w:rsid w:val="00F814AF"/>
    <w:rsid w:val="00F816A5"/>
    <w:rsid w:val="00F81B4E"/>
    <w:rsid w:val="00F822C5"/>
    <w:rsid w:val="00F8246A"/>
    <w:rsid w:val="00F82B38"/>
    <w:rsid w:val="00F82EEA"/>
    <w:rsid w:val="00F831E0"/>
    <w:rsid w:val="00F83458"/>
    <w:rsid w:val="00F83668"/>
    <w:rsid w:val="00F83A08"/>
    <w:rsid w:val="00F83CF7"/>
    <w:rsid w:val="00F83E3E"/>
    <w:rsid w:val="00F84030"/>
    <w:rsid w:val="00F84039"/>
    <w:rsid w:val="00F84068"/>
    <w:rsid w:val="00F84124"/>
    <w:rsid w:val="00F84D47"/>
    <w:rsid w:val="00F851EF"/>
    <w:rsid w:val="00F85769"/>
    <w:rsid w:val="00F85AC6"/>
    <w:rsid w:val="00F85DA2"/>
    <w:rsid w:val="00F85F7D"/>
    <w:rsid w:val="00F85FCE"/>
    <w:rsid w:val="00F86123"/>
    <w:rsid w:val="00F8674E"/>
    <w:rsid w:val="00F86A83"/>
    <w:rsid w:val="00F86A88"/>
    <w:rsid w:val="00F87169"/>
    <w:rsid w:val="00F8721F"/>
    <w:rsid w:val="00F90378"/>
    <w:rsid w:val="00F90BAA"/>
    <w:rsid w:val="00F910DD"/>
    <w:rsid w:val="00F914ED"/>
    <w:rsid w:val="00F915AE"/>
    <w:rsid w:val="00F92490"/>
    <w:rsid w:val="00F927D4"/>
    <w:rsid w:val="00F92829"/>
    <w:rsid w:val="00F92BC1"/>
    <w:rsid w:val="00F93289"/>
    <w:rsid w:val="00F939F8"/>
    <w:rsid w:val="00F93BDC"/>
    <w:rsid w:val="00F94643"/>
    <w:rsid w:val="00F94CA6"/>
    <w:rsid w:val="00F94D63"/>
    <w:rsid w:val="00F95080"/>
    <w:rsid w:val="00F9532E"/>
    <w:rsid w:val="00F9578B"/>
    <w:rsid w:val="00F959D7"/>
    <w:rsid w:val="00F95CF8"/>
    <w:rsid w:val="00F9615E"/>
    <w:rsid w:val="00F964A6"/>
    <w:rsid w:val="00F9660E"/>
    <w:rsid w:val="00F96775"/>
    <w:rsid w:val="00F96917"/>
    <w:rsid w:val="00F96CCF"/>
    <w:rsid w:val="00F970A7"/>
    <w:rsid w:val="00F97628"/>
    <w:rsid w:val="00F97FBB"/>
    <w:rsid w:val="00FA08D7"/>
    <w:rsid w:val="00FA0B4F"/>
    <w:rsid w:val="00FA0D59"/>
    <w:rsid w:val="00FA10C8"/>
    <w:rsid w:val="00FA1276"/>
    <w:rsid w:val="00FA1277"/>
    <w:rsid w:val="00FA197F"/>
    <w:rsid w:val="00FA1C78"/>
    <w:rsid w:val="00FA2159"/>
    <w:rsid w:val="00FA27A8"/>
    <w:rsid w:val="00FA2DB5"/>
    <w:rsid w:val="00FA32C0"/>
    <w:rsid w:val="00FA354A"/>
    <w:rsid w:val="00FA3667"/>
    <w:rsid w:val="00FA3F23"/>
    <w:rsid w:val="00FA3F60"/>
    <w:rsid w:val="00FA4029"/>
    <w:rsid w:val="00FA416B"/>
    <w:rsid w:val="00FA4C55"/>
    <w:rsid w:val="00FA4E7E"/>
    <w:rsid w:val="00FA54AB"/>
    <w:rsid w:val="00FA55DD"/>
    <w:rsid w:val="00FA5965"/>
    <w:rsid w:val="00FA5ADB"/>
    <w:rsid w:val="00FA5F64"/>
    <w:rsid w:val="00FA5F77"/>
    <w:rsid w:val="00FA6216"/>
    <w:rsid w:val="00FA708B"/>
    <w:rsid w:val="00FA7759"/>
    <w:rsid w:val="00FA7801"/>
    <w:rsid w:val="00FA79E5"/>
    <w:rsid w:val="00FA7EAB"/>
    <w:rsid w:val="00FA7F0A"/>
    <w:rsid w:val="00FB0037"/>
    <w:rsid w:val="00FB04F3"/>
    <w:rsid w:val="00FB0586"/>
    <w:rsid w:val="00FB0682"/>
    <w:rsid w:val="00FB0886"/>
    <w:rsid w:val="00FB08A2"/>
    <w:rsid w:val="00FB0D9F"/>
    <w:rsid w:val="00FB0DB5"/>
    <w:rsid w:val="00FB10A0"/>
    <w:rsid w:val="00FB17D7"/>
    <w:rsid w:val="00FB1AE1"/>
    <w:rsid w:val="00FB1B64"/>
    <w:rsid w:val="00FB1E04"/>
    <w:rsid w:val="00FB2113"/>
    <w:rsid w:val="00FB2155"/>
    <w:rsid w:val="00FB2196"/>
    <w:rsid w:val="00FB2379"/>
    <w:rsid w:val="00FB2F80"/>
    <w:rsid w:val="00FB30EC"/>
    <w:rsid w:val="00FB3783"/>
    <w:rsid w:val="00FB41C7"/>
    <w:rsid w:val="00FB47E3"/>
    <w:rsid w:val="00FB495D"/>
    <w:rsid w:val="00FB4A5A"/>
    <w:rsid w:val="00FB4ACC"/>
    <w:rsid w:val="00FB4B75"/>
    <w:rsid w:val="00FB4BA3"/>
    <w:rsid w:val="00FB4DC6"/>
    <w:rsid w:val="00FB5735"/>
    <w:rsid w:val="00FB5F56"/>
    <w:rsid w:val="00FB5FB6"/>
    <w:rsid w:val="00FB61E3"/>
    <w:rsid w:val="00FB62B9"/>
    <w:rsid w:val="00FB6321"/>
    <w:rsid w:val="00FB637A"/>
    <w:rsid w:val="00FB6BDD"/>
    <w:rsid w:val="00FB6C63"/>
    <w:rsid w:val="00FB6CC5"/>
    <w:rsid w:val="00FB6D0C"/>
    <w:rsid w:val="00FB7131"/>
    <w:rsid w:val="00FB71FB"/>
    <w:rsid w:val="00FB7307"/>
    <w:rsid w:val="00FB7D08"/>
    <w:rsid w:val="00FB7ECE"/>
    <w:rsid w:val="00FC04C5"/>
    <w:rsid w:val="00FC1391"/>
    <w:rsid w:val="00FC1B03"/>
    <w:rsid w:val="00FC1C79"/>
    <w:rsid w:val="00FC1EC1"/>
    <w:rsid w:val="00FC2047"/>
    <w:rsid w:val="00FC21FA"/>
    <w:rsid w:val="00FC2970"/>
    <w:rsid w:val="00FC2A3A"/>
    <w:rsid w:val="00FC3530"/>
    <w:rsid w:val="00FC3DFA"/>
    <w:rsid w:val="00FC44C0"/>
    <w:rsid w:val="00FC46A3"/>
    <w:rsid w:val="00FC476E"/>
    <w:rsid w:val="00FC4A9D"/>
    <w:rsid w:val="00FC4E2E"/>
    <w:rsid w:val="00FC4FD9"/>
    <w:rsid w:val="00FC5D46"/>
    <w:rsid w:val="00FC6028"/>
    <w:rsid w:val="00FC65E9"/>
    <w:rsid w:val="00FC6A57"/>
    <w:rsid w:val="00FC7856"/>
    <w:rsid w:val="00FD01BE"/>
    <w:rsid w:val="00FD09BB"/>
    <w:rsid w:val="00FD0C62"/>
    <w:rsid w:val="00FD0FF7"/>
    <w:rsid w:val="00FD127D"/>
    <w:rsid w:val="00FD154E"/>
    <w:rsid w:val="00FD1757"/>
    <w:rsid w:val="00FD19BE"/>
    <w:rsid w:val="00FD1BD4"/>
    <w:rsid w:val="00FD1BEE"/>
    <w:rsid w:val="00FD2044"/>
    <w:rsid w:val="00FD215F"/>
    <w:rsid w:val="00FD21D1"/>
    <w:rsid w:val="00FD21E5"/>
    <w:rsid w:val="00FD223E"/>
    <w:rsid w:val="00FD2D66"/>
    <w:rsid w:val="00FD30A3"/>
    <w:rsid w:val="00FD32C6"/>
    <w:rsid w:val="00FD33FF"/>
    <w:rsid w:val="00FD362C"/>
    <w:rsid w:val="00FD3721"/>
    <w:rsid w:val="00FD3A31"/>
    <w:rsid w:val="00FD4425"/>
    <w:rsid w:val="00FD4869"/>
    <w:rsid w:val="00FD4CF8"/>
    <w:rsid w:val="00FD5146"/>
    <w:rsid w:val="00FD521B"/>
    <w:rsid w:val="00FD52A0"/>
    <w:rsid w:val="00FD583D"/>
    <w:rsid w:val="00FD5997"/>
    <w:rsid w:val="00FD6703"/>
    <w:rsid w:val="00FD68DF"/>
    <w:rsid w:val="00FD6AD9"/>
    <w:rsid w:val="00FD6F38"/>
    <w:rsid w:val="00FD7A42"/>
    <w:rsid w:val="00FD7C9B"/>
    <w:rsid w:val="00FE00E0"/>
    <w:rsid w:val="00FE0315"/>
    <w:rsid w:val="00FE05AD"/>
    <w:rsid w:val="00FE07FC"/>
    <w:rsid w:val="00FE088E"/>
    <w:rsid w:val="00FE0C9C"/>
    <w:rsid w:val="00FE1500"/>
    <w:rsid w:val="00FE1590"/>
    <w:rsid w:val="00FE15ED"/>
    <w:rsid w:val="00FE19EE"/>
    <w:rsid w:val="00FE1CAE"/>
    <w:rsid w:val="00FE1CEE"/>
    <w:rsid w:val="00FE202E"/>
    <w:rsid w:val="00FE21C1"/>
    <w:rsid w:val="00FE22B3"/>
    <w:rsid w:val="00FE257E"/>
    <w:rsid w:val="00FE2900"/>
    <w:rsid w:val="00FE2C08"/>
    <w:rsid w:val="00FE2E67"/>
    <w:rsid w:val="00FE2F05"/>
    <w:rsid w:val="00FE31C6"/>
    <w:rsid w:val="00FE31CB"/>
    <w:rsid w:val="00FE3550"/>
    <w:rsid w:val="00FE37A9"/>
    <w:rsid w:val="00FE437C"/>
    <w:rsid w:val="00FE44B8"/>
    <w:rsid w:val="00FE47C2"/>
    <w:rsid w:val="00FE482B"/>
    <w:rsid w:val="00FE4986"/>
    <w:rsid w:val="00FE49EF"/>
    <w:rsid w:val="00FE4F60"/>
    <w:rsid w:val="00FE5053"/>
    <w:rsid w:val="00FE5121"/>
    <w:rsid w:val="00FE52E8"/>
    <w:rsid w:val="00FE5C5B"/>
    <w:rsid w:val="00FE6127"/>
    <w:rsid w:val="00FE6349"/>
    <w:rsid w:val="00FE67B6"/>
    <w:rsid w:val="00FE67E3"/>
    <w:rsid w:val="00FE6A61"/>
    <w:rsid w:val="00FE6D52"/>
    <w:rsid w:val="00FE6EA7"/>
    <w:rsid w:val="00FE74E7"/>
    <w:rsid w:val="00FE7768"/>
    <w:rsid w:val="00FE7C1D"/>
    <w:rsid w:val="00FE7CE1"/>
    <w:rsid w:val="00FF03D0"/>
    <w:rsid w:val="00FF0487"/>
    <w:rsid w:val="00FF07B0"/>
    <w:rsid w:val="00FF0989"/>
    <w:rsid w:val="00FF09C3"/>
    <w:rsid w:val="00FF1409"/>
    <w:rsid w:val="00FF176A"/>
    <w:rsid w:val="00FF1804"/>
    <w:rsid w:val="00FF1A2D"/>
    <w:rsid w:val="00FF24BF"/>
    <w:rsid w:val="00FF26F0"/>
    <w:rsid w:val="00FF275A"/>
    <w:rsid w:val="00FF2C14"/>
    <w:rsid w:val="00FF2DE7"/>
    <w:rsid w:val="00FF2DF8"/>
    <w:rsid w:val="00FF367C"/>
    <w:rsid w:val="00FF3693"/>
    <w:rsid w:val="00FF3814"/>
    <w:rsid w:val="00FF394B"/>
    <w:rsid w:val="00FF3963"/>
    <w:rsid w:val="00FF3A7D"/>
    <w:rsid w:val="00FF3AFF"/>
    <w:rsid w:val="00FF3BF1"/>
    <w:rsid w:val="00FF3C13"/>
    <w:rsid w:val="00FF3C32"/>
    <w:rsid w:val="00FF3F26"/>
    <w:rsid w:val="00FF43AD"/>
    <w:rsid w:val="00FF4667"/>
    <w:rsid w:val="00FF4703"/>
    <w:rsid w:val="00FF4FC6"/>
    <w:rsid w:val="00FF5365"/>
    <w:rsid w:val="00FF5445"/>
    <w:rsid w:val="00FF55C1"/>
    <w:rsid w:val="00FF59D9"/>
    <w:rsid w:val="00FF5D5F"/>
    <w:rsid w:val="00FF60B0"/>
    <w:rsid w:val="00FF6179"/>
    <w:rsid w:val="00FF623A"/>
    <w:rsid w:val="00FF7534"/>
    <w:rsid w:val="00FF7966"/>
    <w:rsid w:val="00FF7D1F"/>
    <w:rsid w:val="00FF7D5A"/>
    <w:rsid w:val="00FF7D96"/>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6"/>
    <o:shapelayout v:ext="edit">
      <o:idmap v:ext="edit" data="1"/>
    </o:shapelayout>
  </w:shapeDefaults>
  <w:decimalSymbol w:val="."/>
  <w:listSeparator w:val=","/>
  <w14:docId w14:val="52F173F2"/>
  <w15:docId w15:val="{A9FD7358-09A0-4D7E-8355-23AD3F34C4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imes New Roman" w:hAnsiTheme="minorHAnsi" w:cs="Times New Roman"/>
        <w:sz w:val="22"/>
        <w:szCs w:val="22"/>
        <w:lang w:val="en-AU" w:eastAsia="en-AU" w:bidi="ar-SA"/>
      </w:rPr>
    </w:rPrDefault>
    <w:pPrDefault>
      <w:pPr>
        <w:spacing w:line="264" w:lineRule="auto"/>
      </w:pPr>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iPriority="4"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qFormat="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iPriority="3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3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D6695"/>
    <w:rPr>
      <w:rFonts w:ascii="Arial" w:hAnsi="Arial"/>
    </w:rPr>
  </w:style>
  <w:style w:type="paragraph" w:styleId="Heading1">
    <w:name w:val="heading 1"/>
    <w:basedOn w:val="Normal"/>
    <w:next w:val="BodyText"/>
    <w:link w:val="Heading1Char"/>
    <w:qFormat/>
    <w:rsid w:val="00DE2084"/>
    <w:pPr>
      <w:keepNext/>
      <w:keepLines/>
      <w:numPr>
        <w:numId w:val="8"/>
      </w:numPr>
      <w:spacing w:before="480" w:after="240"/>
      <w:ind w:left="624"/>
      <w:outlineLvl w:val="0"/>
    </w:pPr>
    <w:rPr>
      <w:rFonts w:asciiTheme="majorHAnsi" w:eastAsiaTheme="minorEastAsia" w:hAnsiTheme="majorHAnsi" w:cstheme="majorBidi"/>
      <w:b/>
      <w:bCs/>
      <w:color w:val="007BC1"/>
      <w:sz w:val="32"/>
      <w:szCs w:val="32"/>
    </w:rPr>
  </w:style>
  <w:style w:type="paragraph" w:styleId="Heading2">
    <w:name w:val="heading 2"/>
    <w:basedOn w:val="Normal"/>
    <w:next w:val="BodyText"/>
    <w:link w:val="Heading2Char"/>
    <w:qFormat/>
    <w:rsid w:val="00912579"/>
    <w:pPr>
      <w:keepNext/>
      <w:keepLines/>
      <w:numPr>
        <w:ilvl w:val="1"/>
        <w:numId w:val="8"/>
      </w:numPr>
      <w:spacing w:before="360" w:after="240"/>
      <w:ind w:left="624"/>
      <w:outlineLvl w:val="1"/>
    </w:pPr>
    <w:rPr>
      <w:rFonts w:asciiTheme="majorHAnsi" w:eastAsiaTheme="majorEastAsia" w:hAnsiTheme="majorHAnsi" w:cstheme="majorBidi"/>
      <w:b/>
      <w:bCs/>
      <w:color w:val="007BC1"/>
      <w:sz w:val="28"/>
      <w:szCs w:val="26"/>
    </w:rPr>
  </w:style>
  <w:style w:type="paragraph" w:styleId="Heading3">
    <w:name w:val="heading 3"/>
    <w:basedOn w:val="Normal"/>
    <w:next w:val="BodyText"/>
    <w:link w:val="Heading3Char"/>
    <w:qFormat/>
    <w:rsid w:val="00697ADE"/>
    <w:pPr>
      <w:keepNext/>
      <w:keepLines/>
      <w:numPr>
        <w:ilvl w:val="2"/>
        <w:numId w:val="8"/>
      </w:numPr>
      <w:spacing w:before="360" w:after="240"/>
      <w:contextualSpacing/>
      <w:outlineLvl w:val="2"/>
    </w:pPr>
    <w:rPr>
      <w:rFonts w:asciiTheme="majorHAnsi" w:eastAsiaTheme="majorEastAsia" w:hAnsiTheme="majorHAnsi" w:cstheme="majorBidi"/>
      <w:b/>
      <w:bCs/>
      <w:color w:val="007BC1"/>
      <w:sz w:val="24"/>
    </w:rPr>
  </w:style>
  <w:style w:type="paragraph" w:styleId="Heading4">
    <w:name w:val="heading 4"/>
    <w:basedOn w:val="Normal"/>
    <w:next w:val="BodyText"/>
    <w:link w:val="Heading4Char"/>
    <w:qFormat/>
    <w:rsid w:val="00DE2084"/>
    <w:pPr>
      <w:keepNext/>
      <w:keepLines/>
      <w:numPr>
        <w:ilvl w:val="3"/>
        <w:numId w:val="8"/>
      </w:numPr>
      <w:spacing w:before="360" w:after="240"/>
      <w:outlineLvl w:val="3"/>
    </w:pPr>
    <w:rPr>
      <w:rFonts w:asciiTheme="majorHAnsi" w:eastAsiaTheme="majorEastAsia" w:hAnsiTheme="majorHAnsi" w:cstheme="majorBidi"/>
      <w:b/>
      <w:bCs/>
      <w:i/>
      <w:iCs/>
      <w:color w:val="007BC1"/>
    </w:rPr>
  </w:style>
  <w:style w:type="paragraph" w:styleId="Heading5">
    <w:name w:val="heading 5"/>
    <w:basedOn w:val="Normal"/>
    <w:next w:val="Normal"/>
    <w:link w:val="Heading5Char"/>
    <w:qFormat/>
    <w:rsid w:val="00A014E2"/>
    <w:pPr>
      <w:keepNext/>
      <w:keepLines/>
      <w:numPr>
        <w:ilvl w:val="4"/>
        <w:numId w:val="8"/>
      </w:numPr>
      <w:spacing w:before="360" w:after="240"/>
      <w:outlineLvl w:val="4"/>
    </w:pPr>
    <w:rPr>
      <w:rFonts w:asciiTheme="majorHAnsi" w:eastAsiaTheme="majorEastAsia" w:hAnsiTheme="majorHAnsi" w:cstheme="majorBidi"/>
      <w:i/>
      <w:color w:val="214C90" w:themeColor="text2"/>
    </w:rPr>
  </w:style>
  <w:style w:type="paragraph" w:styleId="Heading6">
    <w:name w:val="heading 6"/>
    <w:basedOn w:val="Normal"/>
    <w:next w:val="BodyText"/>
    <w:link w:val="Heading6Char"/>
    <w:qFormat/>
    <w:rsid w:val="00A014E2"/>
    <w:pPr>
      <w:keepNext/>
      <w:keepLines/>
      <w:spacing w:before="240" w:after="120"/>
      <w:outlineLvl w:val="5"/>
    </w:pPr>
    <w:rPr>
      <w:rFonts w:asciiTheme="majorHAnsi" w:eastAsiaTheme="majorEastAsia" w:hAnsiTheme="majorHAnsi" w:cstheme="majorBidi"/>
      <w:b/>
      <w:iCs/>
      <w:color w:val="214C90" w:themeColor="text2"/>
      <w:lang w:eastAsia="en-US"/>
    </w:rPr>
  </w:style>
  <w:style w:type="paragraph" w:styleId="Heading7">
    <w:name w:val="heading 7"/>
    <w:basedOn w:val="Normal"/>
    <w:next w:val="BodyText"/>
    <w:link w:val="Heading7Char"/>
    <w:qFormat/>
    <w:rsid w:val="00D31696"/>
    <w:pPr>
      <w:keepNext/>
      <w:keepLines/>
      <w:pageBreakBefore/>
      <w:spacing w:before="120" w:after="120"/>
      <w:outlineLvl w:val="6"/>
    </w:pPr>
    <w:rPr>
      <w:rFonts w:asciiTheme="majorHAnsi" w:eastAsiaTheme="majorEastAsia" w:hAnsiTheme="majorHAnsi" w:cstheme="majorBidi"/>
      <w:b/>
      <w:iCs/>
      <w:color w:val="214C90" w:themeColor="text2"/>
    </w:rPr>
  </w:style>
  <w:style w:type="paragraph" w:styleId="Heading8">
    <w:name w:val="heading 8"/>
    <w:basedOn w:val="Normal"/>
    <w:next w:val="BodyText"/>
    <w:link w:val="Heading8Char"/>
    <w:qFormat/>
    <w:rsid w:val="00FB10A0"/>
    <w:pPr>
      <w:keepNext/>
      <w:keepLines/>
      <w:pageBreakBefore/>
      <w:tabs>
        <w:tab w:val="right" w:pos="9639"/>
      </w:tabs>
      <w:spacing w:after="120"/>
      <w:outlineLvl w:val="7"/>
    </w:pPr>
    <w:rPr>
      <w:rFonts w:asciiTheme="majorHAnsi" w:eastAsiaTheme="majorEastAsia" w:hAnsiTheme="majorHAnsi" w:cstheme="majorBidi"/>
      <w:caps/>
      <w:color w:val="214C90" w:themeColor="text2"/>
      <w:sz w:val="28"/>
      <w:lang w:eastAsia="en-US"/>
    </w:rPr>
  </w:style>
  <w:style w:type="paragraph" w:styleId="Heading9">
    <w:name w:val="heading 9"/>
    <w:aliases w:val="Appendix Heading 1"/>
    <w:basedOn w:val="Normal"/>
    <w:next w:val="BodyText"/>
    <w:link w:val="Heading9Char"/>
    <w:uiPriority w:val="4"/>
    <w:rsid w:val="007D7FFC"/>
    <w:pPr>
      <w:keepNext/>
      <w:keepLines/>
      <w:pageBreakBefore/>
      <w:numPr>
        <w:numId w:val="5"/>
      </w:numPr>
      <w:spacing w:before="240" w:after="240"/>
      <w:outlineLvl w:val="8"/>
    </w:pPr>
    <w:rPr>
      <w:rFonts w:asciiTheme="majorHAnsi" w:eastAsiaTheme="minorEastAsia" w:hAnsiTheme="majorHAnsi" w:cs="Arial"/>
      <w:b/>
      <w:color w:val="007BC1"/>
      <w:sz w:val="32"/>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oldHeading">
    <w:name w:val="Bold Heading"/>
    <w:basedOn w:val="Normal"/>
    <w:rsid w:val="00782365"/>
    <w:pPr>
      <w:spacing w:before="240" w:after="120"/>
    </w:pPr>
    <w:rPr>
      <w:b/>
    </w:rPr>
  </w:style>
  <w:style w:type="paragraph" w:customStyle="1" w:styleId="Image">
    <w:name w:val="Image"/>
    <w:basedOn w:val="Normal"/>
    <w:next w:val="BodyText"/>
    <w:rsid w:val="00965A70"/>
    <w:pPr>
      <w:keepNext/>
    </w:pPr>
  </w:style>
  <w:style w:type="paragraph" w:styleId="BodyText">
    <w:name w:val="Body Text"/>
    <w:basedOn w:val="Normal"/>
    <w:link w:val="BodyTextChar"/>
    <w:qFormat/>
    <w:rsid w:val="00AD6695"/>
    <w:pPr>
      <w:tabs>
        <w:tab w:val="left" w:pos="2268"/>
        <w:tab w:val="left" w:pos="4536"/>
        <w:tab w:val="left" w:pos="6804"/>
        <w:tab w:val="right" w:pos="9638"/>
      </w:tabs>
      <w:spacing w:before="240" w:after="120"/>
    </w:pPr>
  </w:style>
  <w:style w:type="character" w:customStyle="1" w:styleId="BodyTextChar">
    <w:name w:val="Body Text Char"/>
    <w:basedOn w:val="DefaultParagraphFont"/>
    <w:link w:val="BodyText"/>
    <w:rsid w:val="00AD6695"/>
    <w:rPr>
      <w:rFonts w:ascii="Arial" w:hAnsi="Arial"/>
    </w:rPr>
  </w:style>
  <w:style w:type="paragraph" w:styleId="BlockText">
    <w:name w:val="Block Text"/>
    <w:basedOn w:val="BodyText"/>
    <w:semiHidden/>
    <w:unhideWhenUsed/>
    <w:rsid w:val="00EF3AA0"/>
    <w:rPr>
      <w:rFonts w:eastAsiaTheme="minorEastAsia" w:cstheme="minorBidi"/>
      <w:iCs/>
    </w:rPr>
  </w:style>
  <w:style w:type="paragraph" w:styleId="Caption">
    <w:name w:val="caption"/>
    <w:basedOn w:val="Normal"/>
    <w:next w:val="BodyText"/>
    <w:link w:val="CaptionChar"/>
    <w:qFormat/>
    <w:rsid w:val="0013752B"/>
    <w:pPr>
      <w:keepNext/>
      <w:keepLines/>
      <w:spacing w:before="240" w:after="120"/>
    </w:pPr>
    <w:rPr>
      <w:rFonts w:eastAsiaTheme="minorHAnsi" w:cstheme="minorBidi"/>
      <w:b/>
      <w:bCs/>
      <w:lang w:eastAsia="fr-CA"/>
    </w:rPr>
  </w:style>
  <w:style w:type="paragraph" w:styleId="BalloonText">
    <w:name w:val="Balloon Text"/>
    <w:basedOn w:val="Normal"/>
    <w:link w:val="BalloonTextChar"/>
    <w:uiPriority w:val="99"/>
    <w:semiHidden/>
    <w:unhideWhenUsed/>
    <w:rsid w:val="005542F9"/>
    <w:rPr>
      <w:rFonts w:ascii="Tahoma" w:hAnsi="Tahoma" w:cs="Tahoma"/>
      <w:sz w:val="16"/>
      <w:szCs w:val="16"/>
    </w:rPr>
  </w:style>
  <w:style w:type="paragraph" w:styleId="TOCHeading">
    <w:name w:val="TOC Heading"/>
    <w:next w:val="Normal"/>
    <w:uiPriority w:val="39"/>
    <w:unhideWhenUsed/>
    <w:qFormat/>
    <w:rsid w:val="00DE2084"/>
    <w:pPr>
      <w:pageBreakBefore/>
      <w:spacing w:after="600" w:line="240" w:lineRule="auto"/>
      <w:outlineLvl w:val="3"/>
    </w:pPr>
    <w:rPr>
      <w:rFonts w:asciiTheme="majorHAnsi" w:eastAsiaTheme="minorEastAsia" w:hAnsiTheme="majorHAnsi" w:cstheme="majorBidi"/>
      <w:b/>
      <w:bCs/>
      <w:color w:val="007BC1"/>
      <w:sz w:val="32"/>
      <w:szCs w:val="28"/>
    </w:rPr>
  </w:style>
  <w:style w:type="character" w:customStyle="1" w:styleId="BalloonTextChar">
    <w:name w:val="Balloon Text Char"/>
    <w:basedOn w:val="DefaultParagraphFont"/>
    <w:link w:val="BalloonText"/>
    <w:uiPriority w:val="99"/>
    <w:semiHidden/>
    <w:rsid w:val="00475145"/>
    <w:rPr>
      <w:rFonts w:ascii="Tahoma" w:hAnsi="Tahoma" w:cs="Tahoma"/>
      <w:color w:val="000000" w:themeColor="text1"/>
      <w:sz w:val="16"/>
      <w:szCs w:val="16"/>
    </w:rPr>
  </w:style>
  <w:style w:type="paragraph" w:styleId="Footer">
    <w:name w:val="footer"/>
    <w:basedOn w:val="Normal"/>
    <w:link w:val="FooterChar"/>
    <w:uiPriority w:val="99"/>
    <w:rsid w:val="003B6692"/>
    <w:pPr>
      <w:tabs>
        <w:tab w:val="left" w:pos="1077"/>
        <w:tab w:val="center" w:pos="4320"/>
        <w:tab w:val="right" w:pos="8640"/>
      </w:tabs>
      <w:jc w:val="center"/>
    </w:pPr>
    <w:rPr>
      <w:rFonts w:eastAsia="Cambria" w:cstheme="minorBidi"/>
      <w:sz w:val="18"/>
      <w:lang w:eastAsia="en-US"/>
    </w:rPr>
  </w:style>
  <w:style w:type="character" w:customStyle="1" w:styleId="FooterChar">
    <w:name w:val="Footer Char"/>
    <w:basedOn w:val="DefaultParagraphFont"/>
    <w:link w:val="Footer"/>
    <w:uiPriority w:val="99"/>
    <w:rsid w:val="003B6692"/>
    <w:rPr>
      <w:rFonts w:eastAsia="Cambria" w:cstheme="minorBidi"/>
      <w:sz w:val="18"/>
      <w:lang w:eastAsia="en-US"/>
    </w:rPr>
  </w:style>
  <w:style w:type="numbering" w:customStyle="1" w:styleId="HangingList">
    <w:name w:val="HangingList"/>
    <w:uiPriority w:val="99"/>
    <w:rsid w:val="00DD7311"/>
    <w:pPr>
      <w:numPr>
        <w:numId w:val="1"/>
      </w:numPr>
    </w:pPr>
  </w:style>
  <w:style w:type="paragraph" w:styleId="Header">
    <w:name w:val="header"/>
    <w:basedOn w:val="Normal"/>
    <w:link w:val="HeaderChar"/>
    <w:uiPriority w:val="99"/>
    <w:rsid w:val="00294804"/>
    <w:pPr>
      <w:tabs>
        <w:tab w:val="left" w:pos="7796"/>
      </w:tabs>
    </w:pPr>
    <w:rPr>
      <w:rFonts w:eastAsiaTheme="minorHAnsi" w:cstheme="minorBidi"/>
      <w:sz w:val="18"/>
      <w:lang w:eastAsia="fr-CA"/>
    </w:rPr>
  </w:style>
  <w:style w:type="character" w:customStyle="1" w:styleId="HeaderChar">
    <w:name w:val="Header Char"/>
    <w:basedOn w:val="DefaultParagraphFont"/>
    <w:link w:val="Header"/>
    <w:uiPriority w:val="99"/>
    <w:rsid w:val="00294804"/>
    <w:rPr>
      <w:rFonts w:eastAsiaTheme="minorHAnsi" w:cstheme="minorBidi"/>
      <w:sz w:val="18"/>
      <w:lang w:eastAsia="fr-CA"/>
    </w:rPr>
  </w:style>
  <w:style w:type="paragraph" w:customStyle="1" w:styleId="AppendixHeading2">
    <w:name w:val="Appendix Heading 2"/>
    <w:basedOn w:val="Normal"/>
    <w:next w:val="BodyText"/>
    <w:uiPriority w:val="4"/>
    <w:rsid w:val="007D7FFC"/>
    <w:pPr>
      <w:keepNext/>
      <w:numPr>
        <w:ilvl w:val="1"/>
        <w:numId w:val="5"/>
      </w:numPr>
      <w:spacing w:before="360" w:after="240"/>
    </w:pPr>
    <w:rPr>
      <w:rFonts w:asciiTheme="majorHAnsi" w:eastAsiaTheme="minorEastAsia" w:hAnsiTheme="majorHAnsi"/>
      <w:b/>
      <w:color w:val="007BC1"/>
      <w:sz w:val="28"/>
      <w:lang w:eastAsia="en-US"/>
    </w:rPr>
  </w:style>
  <w:style w:type="paragraph" w:customStyle="1" w:styleId="AppendixHeading3">
    <w:name w:val="Appendix Heading 3"/>
    <w:basedOn w:val="Normal"/>
    <w:next w:val="BodyText"/>
    <w:uiPriority w:val="4"/>
    <w:rsid w:val="007D7FFC"/>
    <w:pPr>
      <w:keepNext/>
      <w:numPr>
        <w:ilvl w:val="2"/>
        <w:numId w:val="5"/>
      </w:numPr>
      <w:tabs>
        <w:tab w:val="left" w:pos="1559"/>
        <w:tab w:val="left" w:pos="1843"/>
        <w:tab w:val="left" w:pos="2126"/>
        <w:tab w:val="left" w:pos="2410"/>
        <w:tab w:val="left" w:pos="6804"/>
        <w:tab w:val="right" w:pos="9639"/>
      </w:tabs>
      <w:spacing w:before="360" w:after="240"/>
    </w:pPr>
    <w:rPr>
      <w:rFonts w:asciiTheme="majorHAnsi" w:hAnsiTheme="majorHAnsi"/>
      <w:b/>
      <w:color w:val="007BC1"/>
      <w:lang w:eastAsia="en-US"/>
    </w:rPr>
  </w:style>
  <w:style w:type="character" w:customStyle="1" w:styleId="Italics">
    <w:name w:val="Italics"/>
    <w:uiPriority w:val="1"/>
    <w:rsid w:val="00C34E9D"/>
    <w:rPr>
      <w:i/>
      <w:lang w:eastAsia="en-US"/>
    </w:rPr>
  </w:style>
  <w:style w:type="character" w:customStyle="1" w:styleId="Heading1Char">
    <w:name w:val="Heading 1 Char"/>
    <w:basedOn w:val="DefaultParagraphFont"/>
    <w:link w:val="Heading1"/>
    <w:rsid w:val="00DE2084"/>
    <w:rPr>
      <w:rFonts w:asciiTheme="majorHAnsi" w:eastAsiaTheme="minorEastAsia" w:hAnsiTheme="majorHAnsi" w:cstheme="majorBidi"/>
      <w:b/>
      <w:bCs/>
      <w:color w:val="007BC1"/>
      <w:sz w:val="32"/>
      <w:szCs w:val="32"/>
    </w:rPr>
  </w:style>
  <w:style w:type="character" w:customStyle="1" w:styleId="Heading2Char">
    <w:name w:val="Heading 2 Char"/>
    <w:basedOn w:val="DefaultParagraphFont"/>
    <w:link w:val="Heading2"/>
    <w:rsid w:val="00912579"/>
    <w:rPr>
      <w:rFonts w:asciiTheme="majorHAnsi" w:eastAsiaTheme="majorEastAsia" w:hAnsiTheme="majorHAnsi" w:cstheme="majorBidi"/>
      <w:b/>
      <w:bCs/>
      <w:color w:val="007BC1"/>
      <w:sz w:val="28"/>
      <w:szCs w:val="26"/>
    </w:rPr>
  </w:style>
  <w:style w:type="character" w:customStyle="1" w:styleId="Heading3Char">
    <w:name w:val="Heading 3 Char"/>
    <w:basedOn w:val="DefaultParagraphFont"/>
    <w:link w:val="Heading3"/>
    <w:rsid w:val="00697ADE"/>
    <w:rPr>
      <w:rFonts w:asciiTheme="majorHAnsi" w:eastAsiaTheme="majorEastAsia" w:hAnsiTheme="majorHAnsi" w:cstheme="majorBidi"/>
      <w:b/>
      <w:bCs/>
      <w:color w:val="007BC1"/>
      <w:sz w:val="24"/>
    </w:rPr>
  </w:style>
  <w:style w:type="character" w:customStyle="1" w:styleId="Heading4Char">
    <w:name w:val="Heading 4 Char"/>
    <w:basedOn w:val="DefaultParagraphFont"/>
    <w:link w:val="Heading4"/>
    <w:rsid w:val="00DE2084"/>
    <w:rPr>
      <w:rFonts w:asciiTheme="majorHAnsi" w:eastAsiaTheme="majorEastAsia" w:hAnsiTheme="majorHAnsi" w:cstheme="majorBidi"/>
      <w:b/>
      <w:bCs/>
      <w:i/>
      <w:iCs/>
      <w:color w:val="007BC1"/>
    </w:rPr>
  </w:style>
  <w:style w:type="character" w:customStyle="1" w:styleId="Heading7Char">
    <w:name w:val="Heading 7 Char"/>
    <w:basedOn w:val="DefaultParagraphFont"/>
    <w:link w:val="Heading7"/>
    <w:semiHidden/>
    <w:rsid w:val="000D5E74"/>
    <w:rPr>
      <w:rFonts w:asciiTheme="majorHAnsi" w:eastAsiaTheme="majorEastAsia" w:hAnsiTheme="majorHAnsi" w:cstheme="majorBidi"/>
      <w:b/>
      <w:iCs/>
      <w:color w:val="214C90" w:themeColor="text2"/>
    </w:rPr>
  </w:style>
  <w:style w:type="character" w:customStyle="1" w:styleId="Heading8Char">
    <w:name w:val="Heading 8 Char"/>
    <w:basedOn w:val="DefaultParagraphFont"/>
    <w:link w:val="Heading8"/>
    <w:semiHidden/>
    <w:rsid w:val="000D5E74"/>
    <w:rPr>
      <w:rFonts w:asciiTheme="majorHAnsi" w:eastAsiaTheme="majorEastAsia" w:hAnsiTheme="majorHAnsi" w:cstheme="majorBidi"/>
      <w:caps/>
      <w:color w:val="214C90" w:themeColor="text2"/>
      <w:sz w:val="28"/>
      <w:lang w:eastAsia="en-US"/>
    </w:rPr>
  </w:style>
  <w:style w:type="character" w:customStyle="1" w:styleId="Heading9Char">
    <w:name w:val="Heading 9 Char"/>
    <w:aliases w:val="Appendix Heading 1 Char"/>
    <w:basedOn w:val="DefaultParagraphFont"/>
    <w:link w:val="Heading9"/>
    <w:uiPriority w:val="4"/>
    <w:rsid w:val="007D7FFC"/>
    <w:rPr>
      <w:rFonts w:asciiTheme="majorHAnsi" w:eastAsiaTheme="minorEastAsia" w:hAnsiTheme="majorHAnsi" w:cs="Arial"/>
      <w:b/>
      <w:color w:val="007BC1"/>
      <w:sz w:val="32"/>
      <w:lang w:eastAsia="en-US"/>
    </w:rPr>
  </w:style>
  <w:style w:type="character" w:styleId="Hyperlink">
    <w:name w:val="Hyperlink"/>
    <w:basedOn w:val="DefaultParagraphFont"/>
    <w:uiPriority w:val="99"/>
    <w:unhideWhenUsed/>
    <w:rsid w:val="002778AD"/>
    <w:rPr>
      <w:color w:val="000000" w:themeColor="text1"/>
      <w:u w:val="single"/>
    </w:rPr>
  </w:style>
  <w:style w:type="character" w:styleId="FollowedHyperlink">
    <w:name w:val="FollowedHyperlink"/>
    <w:basedOn w:val="DefaultParagraphFont"/>
    <w:uiPriority w:val="99"/>
    <w:rsid w:val="002778AD"/>
    <w:rPr>
      <w:color w:val="000000" w:themeColor="text1"/>
      <w:u w:val="single"/>
    </w:rPr>
  </w:style>
  <w:style w:type="paragraph" w:styleId="ListBullet">
    <w:name w:val="List Bullet"/>
    <w:basedOn w:val="BodyText"/>
    <w:link w:val="ListBulletChar"/>
    <w:qFormat/>
    <w:rsid w:val="00B21AEE"/>
    <w:pPr>
      <w:numPr>
        <w:numId w:val="11"/>
      </w:numPr>
      <w:tabs>
        <w:tab w:val="clear" w:pos="2268"/>
        <w:tab w:val="clear" w:pos="4536"/>
        <w:tab w:val="clear" w:pos="6804"/>
        <w:tab w:val="clear" w:pos="9638"/>
      </w:tabs>
      <w:spacing w:before="120"/>
    </w:pPr>
  </w:style>
  <w:style w:type="paragraph" w:styleId="ListBullet2">
    <w:name w:val="List Bullet 2"/>
    <w:basedOn w:val="ListBullet"/>
    <w:link w:val="ListBullet2Char"/>
    <w:rsid w:val="002276FF"/>
    <w:pPr>
      <w:numPr>
        <w:numId w:val="12"/>
      </w:numPr>
      <w:ind w:left="714" w:hanging="357"/>
    </w:pPr>
  </w:style>
  <w:style w:type="paragraph" w:styleId="ListBullet3">
    <w:name w:val="List Bullet 3"/>
    <w:basedOn w:val="ListBullet2"/>
    <w:rsid w:val="000709D4"/>
  </w:style>
  <w:style w:type="paragraph" w:styleId="ListContinue">
    <w:name w:val="List Continue"/>
    <w:basedOn w:val="Normal"/>
    <w:rsid w:val="0013752B"/>
    <w:pPr>
      <w:spacing w:before="120" w:after="120"/>
      <w:ind w:left="357"/>
    </w:pPr>
    <w:rPr>
      <w:rFonts w:eastAsiaTheme="minorEastAsia"/>
    </w:rPr>
  </w:style>
  <w:style w:type="paragraph" w:styleId="ListNumber">
    <w:name w:val="List Number"/>
    <w:basedOn w:val="BodyText"/>
    <w:unhideWhenUsed/>
    <w:qFormat/>
    <w:rsid w:val="00E50195"/>
    <w:pPr>
      <w:numPr>
        <w:numId w:val="21"/>
      </w:numPr>
      <w:tabs>
        <w:tab w:val="clear" w:pos="2268"/>
        <w:tab w:val="clear" w:pos="4536"/>
        <w:tab w:val="clear" w:pos="6804"/>
        <w:tab w:val="clear" w:pos="9638"/>
      </w:tabs>
      <w:spacing w:before="120"/>
    </w:pPr>
  </w:style>
  <w:style w:type="paragraph" w:styleId="ListNumber2">
    <w:name w:val="List Number 2"/>
    <w:basedOn w:val="ListNumber"/>
    <w:unhideWhenUsed/>
    <w:rsid w:val="002E0889"/>
    <w:pPr>
      <w:numPr>
        <w:ilvl w:val="1"/>
      </w:numPr>
    </w:pPr>
  </w:style>
  <w:style w:type="paragraph" w:styleId="ListNumber3">
    <w:name w:val="List Number 3"/>
    <w:basedOn w:val="ListNumber2"/>
    <w:unhideWhenUsed/>
    <w:rsid w:val="00D33D2C"/>
    <w:pPr>
      <w:numPr>
        <w:ilvl w:val="2"/>
      </w:numPr>
    </w:pPr>
  </w:style>
  <w:style w:type="numbering" w:customStyle="1" w:styleId="MyListNumbering">
    <w:name w:val="MyListNumbering"/>
    <w:uiPriority w:val="99"/>
    <w:rsid w:val="000C70ED"/>
    <w:pPr>
      <w:numPr>
        <w:numId w:val="2"/>
      </w:numPr>
    </w:pPr>
  </w:style>
  <w:style w:type="character" w:styleId="PlaceholderText">
    <w:name w:val="Placeholder Text"/>
    <w:basedOn w:val="DefaultParagraphFont"/>
    <w:uiPriority w:val="99"/>
    <w:semiHidden/>
    <w:rsid w:val="00DD7311"/>
    <w:rPr>
      <w:color w:val="808080"/>
    </w:rPr>
  </w:style>
  <w:style w:type="paragraph" w:customStyle="1" w:styleId="TableBodyText">
    <w:name w:val="Table Body Text"/>
    <w:basedOn w:val="Normal"/>
    <w:qFormat/>
    <w:rsid w:val="0013752B"/>
    <w:pPr>
      <w:spacing w:before="60" w:after="60"/>
      <w:ind w:left="85" w:right="85"/>
    </w:pPr>
    <w:rPr>
      <w:rFonts w:cs="Arial"/>
      <w:sz w:val="18"/>
    </w:rPr>
  </w:style>
  <w:style w:type="paragraph" w:customStyle="1" w:styleId="TableBodyTextBold">
    <w:name w:val="Table Body Text Bold"/>
    <w:basedOn w:val="TableBodyText"/>
    <w:rsid w:val="0013752B"/>
    <w:rPr>
      <w:b/>
    </w:rPr>
  </w:style>
  <w:style w:type="table" w:styleId="TableGrid">
    <w:name w:val="Table Grid"/>
    <w:basedOn w:val="TableNormal"/>
    <w:uiPriority w:val="59"/>
    <w:rsid w:val="00CC224F"/>
    <w:pPr>
      <w:spacing w:before="60" w:after="60"/>
      <w:ind w:left="85" w:right="85"/>
    </w:pPr>
    <w:rPr>
      <w:sz w:val="18"/>
    </w:rPr>
    <w:tblPr>
      <w:tblStyleRowBandSize w:val="1"/>
      <w:tblBorders>
        <w:top w:val="single" w:sz="4" w:space="0" w:color="auto"/>
        <w:bottom w:val="single" w:sz="4" w:space="0" w:color="auto"/>
        <w:insideH w:val="single" w:sz="4" w:space="0" w:color="auto"/>
        <w:insideV w:val="single" w:sz="4" w:space="0" w:color="auto"/>
      </w:tblBorders>
      <w:tblCellMar>
        <w:left w:w="0" w:type="dxa"/>
        <w:right w:w="0" w:type="dxa"/>
      </w:tblCellMar>
    </w:tblPr>
    <w:tblStylePr w:type="firstRow">
      <w:rPr>
        <w:b/>
        <w:color w:val="FFFFFF"/>
      </w:rPr>
      <w:tblPr/>
      <w:tcPr>
        <w:shd w:val="clear" w:color="auto" w:fill="214C90" w:themeFill="text2"/>
      </w:tcPr>
    </w:tblStylePr>
    <w:tblStylePr w:type="band2Horz">
      <w:tblPr/>
      <w:tcPr>
        <w:shd w:val="clear" w:color="auto" w:fill="E1E2E7" w:themeFill="background2"/>
      </w:tcPr>
    </w:tblStylePr>
  </w:style>
  <w:style w:type="paragraph" w:customStyle="1" w:styleId="TableHeading">
    <w:name w:val="Table Heading"/>
    <w:basedOn w:val="TableBodyText"/>
    <w:qFormat/>
    <w:rsid w:val="0013752B"/>
    <w:rPr>
      <w:color w:val="FFFFFF"/>
    </w:rPr>
  </w:style>
  <w:style w:type="paragraph" w:customStyle="1" w:styleId="TableBullet1">
    <w:name w:val="Table Bullet 1"/>
    <w:basedOn w:val="TableBodyText"/>
    <w:qFormat/>
    <w:rsid w:val="0013752B"/>
    <w:pPr>
      <w:numPr>
        <w:numId w:val="7"/>
      </w:numPr>
    </w:pPr>
  </w:style>
  <w:style w:type="paragraph" w:customStyle="1" w:styleId="TableBullet2">
    <w:name w:val="Table Bullet 2"/>
    <w:basedOn w:val="TableBullet1"/>
    <w:qFormat/>
    <w:rsid w:val="0013752B"/>
    <w:pPr>
      <w:numPr>
        <w:ilvl w:val="1"/>
      </w:numPr>
    </w:pPr>
  </w:style>
  <w:style w:type="paragraph" w:customStyle="1" w:styleId="TableBullet3">
    <w:name w:val="Table Bullet 3"/>
    <w:basedOn w:val="TableBullet2"/>
    <w:qFormat/>
    <w:rsid w:val="0013752B"/>
    <w:pPr>
      <w:numPr>
        <w:ilvl w:val="2"/>
      </w:numPr>
    </w:pPr>
  </w:style>
  <w:style w:type="paragraph" w:customStyle="1" w:styleId="TableListNumber">
    <w:name w:val="Table List Number"/>
    <w:basedOn w:val="TableBodyText"/>
    <w:qFormat/>
    <w:rsid w:val="0013752B"/>
    <w:pPr>
      <w:ind w:left="0"/>
    </w:pPr>
    <w:rPr>
      <w:rFonts w:eastAsiaTheme="minorEastAsia"/>
    </w:rPr>
  </w:style>
  <w:style w:type="paragraph" w:customStyle="1" w:styleId="TableListNumber2">
    <w:name w:val="Table List Number 2"/>
    <w:basedOn w:val="TableListNumber"/>
    <w:qFormat/>
    <w:rsid w:val="0013752B"/>
    <w:pPr>
      <w:numPr>
        <w:ilvl w:val="1"/>
      </w:numPr>
    </w:pPr>
  </w:style>
  <w:style w:type="paragraph" w:customStyle="1" w:styleId="TableListNumber3">
    <w:name w:val="Table List Number 3"/>
    <w:basedOn w:val="TableListNumber2"/>
    <w:qFormat/>
    <w:rsid w:val="0013752B"/>
    <w:pPr>
      <w:numPr>
        <w:ilvl w:val="2"/>
      </w:numPr>
    </w:pPr>
  </w:style>
  <w:style w:type="paragraph" w:styleId="TableofFigures">
    <w:name w:val="table of figures"/>
    <w:basedOn w:val="Normal"/>
    <w:next w:val="Normal"/>
    <w:uiPriority w:val="99"/>
    <w:rsid w:val="00844AB7"/>
    <w:pPr>
      <w:tabs>
        <w:tab w:val="right" w:leader="dot" w:pos="8165"/>
      </w:tabs>
      <w:spacing w:before="120" w:after="60"/>
      <w:ind w:left="1134" w:right="737" w:hanging="1134"/>
    </w:pPr>
    <w:rPr>
      <w:rFonts w:eastAsiaTheme="minorHAnsi" w:cstheme="minorBidi"/>
      <w:noProof/>
      <w:lang w:eastAsia="fr-CA"/>
    </w:rPr>
  </w:style>
  <w:style w:type="paragraph" w:customStyle="1" w:styleId="Source">
    <w:name w:val="Source"/>
    <w:basedOn w:val="Normal"/>
    <w:next w:val="BodyText"/>
    <w:rsid w:val="0013752B"/>
    <w:pPr>
      <w:spacing w:before="60" w:after="120" w:line="180" w:lineRule="atLeast"/>
    </w:pPr>
    <w:rPr>
      <w:rFonts w:cs="Arial"/>
      <w:sz w:val="18"/>
      <w:szCs w:val="18"/>
      <w:lang w:eastAsia="fr-CA"/>
    </w:rPr>
  </w:style>
  <w:style w:type="numbering" w:customStyle="1" w:styleId="TableBullets">
    <w:name w:val="TableBullets"/>
    <w:uiPriority w:val="99"/>
    <w:rsid w:val="00DD7311"/>
    <w:pPr>
      <w:numPr>
        <w:numId w:val="3"/>
      </w:numPr>
    </w:pPr>
  </w:style>
  <w:style w:type="numbering" w:customStyle="1" w:styleId="TableFootnotes">
    <w:name w:val="TableFootnotes"/>
    <w:uiPriority w:val="99"/>
    <w:rsid w:val="00DD7311"/>
    <w:pPr>
      <w:numPr>
        <w:numId w:val="4"/>
      </w:numPr>
    </w:pPr>
  </w:style>
  <w:style w:type="paragraph" w:styleId="Title">
    <w:name w:val="Title"/>
    <w:basedOn w:val="Normal"/>
    <w:link w:val="TitleChar"/>
    <w:uiPriority w:val="1"/>
    <w:rsid w:val="00D32EA5"/>
    <w:pPr>
      <w:spacing w:before="120" w:after="500" w:line="620" w:lineRule="exact"/>
      <w:ind w:left="227" w:right="1134"/>
    </w:pPr>
    <w:rPr>
      <w:rFonts w:asciiTheme="majorHAnsi" w:eastAsiaTheme="minorEastAsia" w:hAnsiTheme="majorHAnsi"/>
      <w:b/>
      <w:color w:val="214C90" w:themeColor="text2"/>
      <w:sz w:val="56"/>
      <w:szCs w:val="48"/>
    </w:rPr>
  </w:style>
  <w:style w:type="character" w:customStyle="1" w:styleId="TitleChar">
    <w:name w:val="Title Char"/>
    <w:basedOn w:val="DefaultParagraphFont"/>
    <w:link w:val="Title"/>
    <w:uiPriority w:val="1"/>
    <w:rsid w:val="00D32EA5"/>
    <w:rPr>
      <w:rFonts w:asciiTheme="majorHAnsi" w:eastAsiaTheme="minorEastAsia" w:hAnsiTheme="majorHAnsi"/>
      <w:b/>
      <w:color w:val="214C90" w:themeColor="text2"/>
      <w:sz w:val="56"/>
      <w:szCs w:val="48"/>
    </w:rPr>
  </w:style>
  <w:style w:type="paragraph" w:styleId="Subtitle">
    <w:name w:val="Subtitle"/>
    <w:basedOn w:val="Title"/>
    <w:next w:val="Normal"/>
    <w:link w:val="SubtitleChar"/>
    <w:uiPriority w:val="1"/>
    <w:rsid w:val="00D32EA5"/>
    <w:pPr>
      <w:spacing w:before="0" w:after="720" w:line="400" w:lineRule="exact"/>
      <w:contextualSpacing/>
    </w:pPr>
    <w:rPr>
      <w:rFonts w:asciiTheme="minorHAnsi" w:hAnsiTheme="minorHAnsi"/>
      <w:b w:val="0"/>
      <w:color w:val="5D89B4" w:themeColor="accent3"/>
      <w:spacing w:val="4"/>
      <w:sz w:val="40"/>
    </w:rPr>
  </w:style>
  <w:style w:type="paragraph" w:styleId="TOC1">
    <w:name w:val="toc 1"/>
    <w:basedOn w:val="Normal"/>
    <w:next w:val="Normal"/>
    <w:autoRedefine/>
    <w:uiPriority w:val="39"/>
    <w:rsid w:val="00717A36"/>
    <w:pPr>
      <w:tabs>
        <w:tab w:val="left" w:pos="851"/>
        <w:tab w:val="right" w:pos="8505"/>
      </w:tabs>
      <w:spacing w:before="240" w:after="60"/>
      <w:ind w:left="851" w:right="737" w:hanging="851"/>
    </w:pPr>
    <w:rPr>
      <w:rFonts w:eastAsiaTheme="minorHAnsi" w:cstheme="minorBidi"/>
      <w:b/>
      <w:noProof/>
      <w:lang w:eastAsia="en-US"/>
    </w:rPr>
  </w:style>
  <w:style w:type="paragraph" w:styleId="TOC2">
    <w:name w:val="toc 2"/>
    <w:basedOn w:val="Normal"/>
    <w:next w:val="Normal"/>
    <w:autoRedefine/>
    <w:uiPriority w:val="39"/>
    <w:rsid w:val="00717A36"/>
    <w:pPr>
      <w:tabs>
        <w:tab w:val="right" w:pos="8505"/>
      </w:tabs>
      <w:spacing w:before="120" w:after="60"/>
      <w:ind w:left="851" w:right="737" w:hanging="851"/>
    </w:pPr>
    <w:rPr>
      <w:rFonts w:eastAsiaTheme="minorHAnsi" w:cstheme="minorBidi"/>
      <w:noProof/>
      <w:lang w:eastAsia="fr-CA"/>
    </w:rPr>
  </w:style>
  <w:style w:type="paragraph" w:styleId="TOC3">
    <w:name w:val="toc 3"/>
    <w:basedOn w:val="Normal"/>
    <w:next w:val="Normal"/>
    <w:autoRedefine/>
    <w:rsid w:val="00717A36"/>
    <w:pPr>
      <w:tabs>
        <w:tab w:val="left" w:pos="851"/>
        <w:tab w:val="right" w:leader="dot" w:pos="8165"/>
      </w:tabs>
      <w:spacing w:before="120" w:after="60"/>
      <w:ind w:left="851" w:right="737" w:hanging="851"/>
    </w:pPr>
    <w:rPr>
      <w:rFonts w:eastAsiaTheme="minorHAnsi" w:cstheme="minorBidi"/>
      <w:noProof/>
      <w:szCs w:val="18"/>
      <w:lang w:eastAsia="fr-CA"/>
    </w:rPr>
  </w:style>
  <w:style w:type="character" w:customStyle="1" w:styleId="SubtitleChar">
    <w:name w:val="Subtitle Char"/>
    <w:basedOn w:val="DefaultParagraphFont"/>
    <w:link w:val="Subtitle"/>
    <w:uiPriority w:val="1"/>
    <w:rsid w:val="00D32EA5"/>
    <w:rPr>
      <w:rFonts w:eastAsiaTheme="minorEastAsia"/>
      <w:color w:val="5D89B4" w:themeColor="accent3"/>
      <w:spacing w:val="4"/>
      <w:sz w:val="40"/>
      <w:szCs w:val="48"/>
    </w:rPr>
  </w:style>
  <w:style w:type="paragraph" w:styleId="NormalWeb">
    <w:name w:val="Normal (Web)"/>
    <w:basedOn w:val="Normal"/>
    <w:uiPriority w:val="99"/>
    <w:rsid w:val="003255DA"/>
    <w:rPr>
      <w:szCs w:val="24"/>
    </w:rPr>
  </w:style>
  <w:style w:type="paragraph" w:styleId="ListContinue2">
    <w:name w:val="List Continue 2"/>
    <w:basedOn w:val="Normal"/>
    <w:rsid w:val="0013752B"/>
    <w:pPr>
      <w:spacing w:before="120" w:after="120"/>
      <w:ind w:left="714"/>
    </w:pPr>
    <w:rPr>
      <w:rFonts w:eastAsiaTheme="minorEastAsia"/>
    </w:rPr>
  </w:style>
  <w:style w:type="paragraph" w:styleId="ListContinue3">
    <w:name w:val="List Continue 3"/>
    <w:basedOn w:val="Normal"/>
    <w:rsid w:val="0013752B"/>
    <w:pPr>
      <w:spacing w:before="120" w:after="120"/>
      <w:ind w:left="1072"/>
    </w:pPr>
    <w:rPr>
      <w:rFonts w:eastAsiaTheme="minorEastAsia"/>
    </w:rPr>
  </w:style>
  <w:style w:type="paragraph" w:styleId="NoSpacing">
    <w:name w:val="No Spacing"/>
    <w:next w:val="BodyText"/>
    <w:rsid w:val="00B85B75"/>
    <w:pPr>
      <w:spacing w:line="240" w:lineRule="auto"/>
    </w:pPr>
  </w:style>
  <w:style w:type="paragraph" w:customStyle="1" w:styleId="TableofFiguresHeading">
    <w:name w:val="Table of Figures Heading"/>
    <w:basedOn w:val="Normal"/>
    <w:rsid w:val="006E2604"/>
    <w:pPr>
      <w:spacing w:before="120" w:after="120"/>
    </w:pPr>
    <w:rPr>
      <w:rFonts w:asciiTheme="majorHAnsi" w:eastAsiaTheme="minorEastAsia" w:hAnsiTheme="majorHAnsi"/>
      <w:b/>
      <w:bCs/>
      <w:color w:val="214C90" w:themeColor="text2"/>
    </w:rPr>
  </w:style>
  <w:style w:type="paragraph" w:customStyle="1" w:styleId="SideNote">
    <w:name w:val="Side Note"/>
    <w:basedOn w:val="BodyText"/>
    <w:qFormat/>
    <w:rsid w:val="00B651D5"/>
    <w:pPr>
      <w:framePr w:w="1418" w:h="397" w:wrap="around" w:vAnchor="text" w:hAnchor="page" w:x="568" w:y="143"/>
      <w:spacing w:before="0" w:line="247" w:lineRule="auto"/>
    </w:pPr>
    <w:rPr>
      <w:i/>
      <w:sz w:val="20"/>
    </w:rPr>
  </w:style>
  <w:style w:type="paragraph" w:customStyle="1" w:styleId="Address">
    <w:name w:val="Address"/>
    <w:basedOn w:val="Normal"/>
    <w:rsid w:val="00C6084A"/>
    <w:pPr>
      <w:framePr w:hSpace="181" w:wrap="around" w:vAnchor="page" w:hAnchor="page" w:xAlign="right" w:yAlign="bottom"/>
      <w:tabs>
        <w:tab w:val="left" w:pos="227"/>
      </w:tabs>
      <w:spacing w:line="220" w:lineRule="atLeast"/>
      <w:suppressOverlap/>
    </w:pPr>
    <w:rPr>
      <w:noProof/>
      <w:color w:val="FFFFFF"/>
    </w:rPr>
  </w:style>
  <w:style w:type="character" w:customStyle="1" w:styleId="Heading5Char">
    <w:name w:val="Heading 5 Char"/>
    <w:basedOn w:val="DefaultParagraphFont"/>
    <w:link w:val="Heading5"/>
    <w:rsid w:val="00A014E2"/>
    <w:rPr>
      <w:rFonts w:asciiTheme="majorHAnsi" w:eastAsiaTheme="majorEastAsia" w:hAnsiTheme="majorHAnsi" w:cstheme="majorBidi"/>
      <w:i/>
      <w:color w:val="214C90" w:themeColor="text2"/>
    </w:rPr>
  </w:style>
  <w:style w:type="character" w:customStyle="1" w:styleId="Heading6Char">
    <w:name w:val="Heading 6 Char"/>
    <w:basedOn w:val="DefaultParagraphFont"/>
    <w:link w:val="Heading6"/>
    <w:semiHidden/>
    <w:rsid w:val="00A014E2"/>
    <w:rPr>
      <w:rFonts w:asciiTheme="majorHAnsi" w:eastAsiaTheme="majorEastAsia" w:hAnsiTheme="majorHAnsi" w:cstheme="majorBidi"/>
      <w:b/>
      <w:iCs/>
      <w:color w:val="214C90" w:themeColor="text2"/>
      <w:lang w:eastAsia="en-US"/>
    </w:rPr>
  </w:style>
  <w:style w:type="paragraph" w:styleId="Revision">
    <w:name w:val="Revision"/>
    <w:hidden/>
    <w:uiPriority w:val="99"/>
    <w:semiHidden/>
    <w:rsid w:val="009E7348"/>
    <w:rPr>
      <w:rFonts w:ascii="Calibri" w:eastAsia="Calibri" w:hAnsi="Calibri"/>
      <w:lang w:eastAsia="en-US"/>
    </w:rPr>
  </w:style>
  <w:style w:type="table" w:customStyle="1" w:styleId="TablePlaceholder">
    <w:name w:val="Table Placeholder"/>
    <w:basedOn w:val="TableNormal"/>
    <w:uiPriority w:val="99"/>
    <w:rsid w:val="00480149"/>
    <w:pPr>
      <w:spacing w:line="240" w:lineRule="auto"/>
    </w:pPr>
    <w:tblPr>
      <w:tblCellMar>
        <w:left w:w="45" w:type="dxa"/>
        <w:right w:w="45" w:type="dxa"/>
      </w:tblCellMar>
    </w:tblPr>
  </w:style>
  <w:style w:type="paragraph" w:styleId="Quote">
    <w:name w:val="Quote"/>
    <w:basedOn w:val="Normal"/>
    <w:next w:val="Normal"/>
    <w:link w:val="QuoteChar"/>
    <w:qFormat/>
    <w:rsid w:val="002778AD"/>
    <w:pPr>
      <w:spacing w:before="200" w:after="160"/>
      <w:ind w:left="357" w:right="357"/>
    </w:pPr>
    <w:rPr>
      <w:i/>
      <w:iCs/>
      <w:sz w:val="20"/>
    </w:rPr>
  </w:style>
  <w:style w:type="character" w:customStyle="1" w:styleId="QuoteChar">
    <w:name w:val="Quote Char"/>
    <w:basedOn w:val="DefaultParagraphFont"/>
    <w:link w:val="Quote"/>
    <w:rsid w:val="002778AD"/>
    <w:rPr>
      <w:i/>
      <w:iCs/>
      <w:sz w:val="20"/>
    </w:rPr>
  </w:style>
  <w:style w:type="paragraph" w:customStyle="1" w:styleId="PullOutBoxBodyText">
    <w:name w:val="Pull Out Box Body Text"/>
    <w:basedOn w:val="Normal"/>
    <w:rsid w:val="00782365"/>
    <w:pPr>
      <w:spacing w:before="120"/>
    </w:pPr>
    <w:rPr>
      <w:rFonts w:eastAsiaTheme="minorEastAsia" w:cstheme="minorBidi"/>
      <w:lang w:eastAsia="fr-CA"/>
    </w:rPr>
  </w:style>
  <w:style w:type="paragraph" w:customStyle="1" w:styleId="PullOutBoxHeading">
    <w:name w:val="Pull Out Box Heading"/>
    <w:basedOn w:val="Normal"/>
    <w:next w:val="PullOutBoxBodyText"/>
    <w:rsid w:val="00782365"/>
    <w:pPr>
      <w:spacing w:before="120"/>
    </w:pPr>
    <w:rPr>
      <w:rFonts w:eastAsiaTheme="minorHAnsi" w:cstheme="minorBidi"/>
      <w:b/>
      <w:color w:val="214C90" w:themeColor="text2"/>
      <w:szCs w:val="24"/>
      <w:lang w:eastAsia="fr-CA"/>
    </w:rPr>
  </w:style>
  <w:style w:type="table" w:customStyle="1" w:styleId="PullOutBoxTable">
    <w:name w:val="Pull Out Box Table"/>
    <w:basedOn w:val="TableNormal"/>
    <w:uiPriority w:val="99"/>
    <w:rsid w:val="004B3F0E"/>
    <w:pPr>
      <w:spacing w:line="240" w:lineRule="auto"/>
    </w:pPr>
    <w:tblPr>
      <w:tblCellMar>
        <w:top w:w="142" w:type="dxa"/>
        <w:left w:w="170" w:type="dxa"/>
        <w:bottom w:w="142" w:type="dxa"/>
        <w:right w:w="170" w:type="dxa"/>
      </w:tblCellMar>
    </w:tblPr>
    <w:tcPr>
      <w:shd w:val="clear" w:color="auto" w:fill="E1E2E7" w:themeFill="background2"/>
    </w:tcPr>
  </w:style>
  <w:style w:type="character" w:customStyle="1" w:styleId="Bold">
    <w:name w:val="Bold"/>
    <w:uiPriority w:val="99"/>
    <w:rsid w:val="00C34E9D"/>
    <w:rPr>
      <w:rFonts w:eastAsiaTheme="minorEastAsia"/>
      <w:b/>
      <w:i w:val="0"/>
      <w:strike w:val="0"/>
      <w:vertAlign w:val="baseline"/>
    </w:rPr>
  </w:style>
  <w:style w:type="character" w:customStyle="1" w:styleId="BoldAndItalics">
    <w:name w:val="Bold And Italics"/>
    <w:uiPriority w:val="99"/>
    <w:rsid w:val="00C34E9D"/>
    <w:rPr>
      <w:rFonts w:eastAsiaTheme="minorEastAsia"/>
      <w:b/>
      <w:i/>
      <w:strike w:val="0"/>
      <w:vertAlign w:val="baseline"/>
    </w:rPr>
  </w:style>
  <w:style w:type="paragraph" w:customStyle="1" w:styleId="TableHeadingBold">
    <w:name w:val="Table Heading Bold"/>
    <w:basedOn w:val="TableHeading"/>
    <w:rsid w:val="0013752B"/>
    <w:rPr>
      <w:b/>
    </w:rPr>
  </w:style>
  <w:style w:type="paragraph" w:customStyle="1" w:styleId="AppendixHeading4">
    <w:name w:val="Appendix Heading 4"/>
    <w:basedOn w:val="Normal"/>
    <w:next w:val="BodyText"/>
    <w:uiPriority w:val="4"/>
    <w:rsid w:val="007D7FFC"/>
    <w:pPr>
      <w:keepNext/>
      <w:numPr>
        <w:ilvl w:val="3"/>
        <w:numId w:val="5"/>
      </w:numPr>
      <w:spacing w:before="360" w:after="240"/>
    </w:pPr>
    <w:rPr>
      <w:rFonts w:asciiTheme="majorHAnsi" w:eastAsiaTheme="minorEastAsia" w:hAnsiTheme="majorHAnsi"/>
      <w:b/>
      <w:i/>
      <w:color w:val="007BC1"/>
      <w:lang w:eastAsia="en-US"/>
    </w:rPr>
  </w:style>
  <w:style w:type="paragraph" w:customStyle="1" w:styleId="xPageNumberHeading">
    <w:name w:val="xPage Number Heading"/>
    <w:basedOn w:val="Normal"/>
    <w:next w:val="BodyText"/>
    <w:rsid w:val="002778AD"/>
    <w:pPr>
      <w:keepNext/>
      <w:keepLines/>
      <w:tabs>
        <w:tab w:val="right" w:pos="9639"/>
      </w:tabs>
      <w:spacing w:after="360"/>
      <w:jc w:val="right"/>
    </w:pPr>
    <w:rPr>
      <w:lang w:eastAsia="en-US"/>
    </w:rPr>
  </w:style>
  <w:style w:type="paragraph" w:customStyle="1" w:styleId="Notes">
    <w:name w:val="Notes"/>
    <w:basedOn w:val="Normal"/>
    <w:rsid w:val="00782365"/>
    <w:pPr>
      <w:spacing w:before="120" w:after="120"/>
    </w:pPr>
    <w:rPr>
      <w:rFonts w:cs="Arial"/>
      <w:sz w:val="18"/>
    </w:rPr>
  </w:style>
  <w:style w:type="paragraph" w:styleId="Date">
    <w:name w:val="Date"/>
    <w:basedOn w:val="Normal"/>
    <w:next w:val="Normal"/>
    <w:link w:val="DateChar"/>
    <w:rsid w:val="007F2042"/>
    <w:pPr>
      <w:ind w:left="227"/>
    </w:pPr>
    <w:rPr>
      <w:rFonts w:eastAsiaTheme="minorEastAsia"/>
      <w:sz w:val="32"/>
    </w:rPr>
  </w:style>
  <w:style w:type="character" w:customStyle="1" w:styleId="DateChar">
    <w:name w:val="Date Char"/>
    <w:basedOn w:val="DefaultParagraphFont"/>
    <w:link w:val="Date"/>
    <w:rsid w:val="007F2042"/>
    <w:rPr>
      <w:rFonts w:eastAsiaTheme="minorEastAsia"/>
      <w:sz w:val="32"/>
    </w:rPr>
  </w:style>
  <w:style w:type="paragraph" w:customStyle="1" w:styleId="NotesNumbered">
    <w:name w:val="Notes Numbered"/>
    <w:basedOn w:val="Normal"/>
    <w:qFormat/>
    <w:rsid w:val="00323279"/>
    <w:pPr>
      <w:numPr>
        <w:numId w:val="6"/>
      </w:numPr>
      <w:spacing w:before="120" w:after="240" w:line="240" w:lineRule="auto"/>
      <w:contextualSpacing/>
    </w:pPr>
    <w:rPr>
      <w:sz w:val="18"/>
      <w:szCs w:val="20"/>
      <w:lang w:eastAsia="fr-CA"/>
    </w:rPr>
  </w:style>
  <w:style w:type="paragraph" w:styleId="FootnoteText">
    <w:name w:val="footnote text"/>
    <w:aliases w:val="BG Footnote Text,TBG Style"/>
    <w:basedOn w:val="Normal"/>
    <w:link w:val="FootnoteTextChar"/>
    <w:rsid w:val="003042FF"/>
    <w:pPr>
      <w:tabs>
        <w:tab w:val="left" w:pos="340"/>
      </w:tabs>
      <w:spacing w:before="60" w:after="60" w:line="240" w:lineRule="auto"/>
      <w:ind w:left="340" w:hanging="340"/>
    </w:pPr>
    <w:rPr>
      <w:sz w:val="16"/>
      <w:szCs w:val="20"/>
    </w:rPr>
  </w:style>
  <w:style w:type="character" w:customStyle="1" w:styleId="FootnoteTextChar">
    <w:name w:val="Footnote Text Char"/>
    <w:aliases w:val="BG Footnote Text Char,TBG Style Char"/>
    <w:basedOn w:val="DefaultParagraphFont"/>
    <w:link w:val="FootnoteText"/>
    <w:rsid w:val="003042FF"/>
    <w:rPr>
      <w:rFonts w:ascii="Arial" w:hAnsi="Arial"/>
      <w:sz w:val="16"/>
      <w:szCs w:val="20"/>
    </w:rPr>
  </w:style>
  <w:style w:type="character" w:styleId="FootnoteReference">
    <w:name w:val="footnote reference"/>
    <w:aliases w:val="(NECG) Footnote Reference,fr,o,Style 6 + 12 pt"/>
    <w:basedOn w:val="DefaultParagraphFont"/>
    <w:unhideWhenUsed/>
    <w:rsid w:val="00A176B6"/>
    <w:rPr>
      <w:vertAlign w:val="superscript"/>
    </w:rPr>
  </w:style>
  <w:style w:type="paragraph" w:styleId="ListNumber4">
    <w:name w:val="List Number 4"/>
    <w:basedOn w:val="Normal"/>
    <w:unhideWhenUsed/>
    <w:rsid w:val="00D33D2C"/>
    <w:pPr>
      <w:numPr>
        <w:ilvl w:val="3"/>
        <w:numId w:val="21"/>
      </w:numPr>
      <w:spacing w:before="120" w:after="120"/>
    </w:pPr>
  </w:style>
  <w:style w:type="paragraph" w:styleId="ListNumber5">
    <w:name w:val="List Number 5"/>
    <w:basedOn w:val="Normal"/>
    <w:unhideWhenUsed/>
    <w:rsid w:val="00D33D2C"/>
    <w:pPr>
      <w:numPr>
        <w:ilvl w:val="4"/>
        <w:numId w:val="21"/>
      </w:numPr>
      <w:spacing w:before="120" w:after="120"/>
    </w:pPr>
  </w:style>
  <w:style w:type="paragraph" w:styleId="ListBullet4">
    <w:name w:val="List Bullet 4"/>
    <w:basedOn w:val="Normal"/>
    <w:unhideWhenUsed/>
    <w:rsid w:val="001122BF"/>
    <w:pPr>
      <w:spacing w:before="120" w:after="120"/>
    </w:pPr>
  </w:style>
  <w:style w:type="paragraph" w:styleId="ListBullet5">
    <w:name w:val="List Bullet 5"/>
    <w:basedOn w:val="Normal"/>
    <w:unhideWhenUsed/>
    <w:rsid w:val="001122BF"/>
    <w:pPr>
      <w:contextualSpacing/>
    </w:pPr>
  </w:style>
  <w:style w:type="paragraph" w:customStyle="1" w:styleId="PageNumberinFrame">
    <w:name w:val="Page Number in Frame"/>
    <w:basedOn w:val="Normal"/>
    <w:qFormat/>
    <w:rsid w:val="00A13A74"/>
    <w:pPr>
      <w:framePr w:w="1701" w:h="1701" w:hRule="exact" w:wrap="around" w:vAnchor="text" w:hAnchor="margin" w:xAlign="right" w:y="1"/>
      <w:jc w:val="center"/>
    </w:pPr>
    <w:rPr>
      <w:sz w:val="18"/>
    </w:rPr>
  </w:style>
  <w:style w:type="paragraph" w:customStyle="1" w:styleId="BodyTextSmall">
    <w:name w:val="Body Text Small"/>
    <w:basedOn w:val="Normal"/>
    <w:qFormat/>
    <w:rsid w:val="00AD6695"/>
    <w:pPr>
      <w:spacing w:before="240" w:after="120"/>
    </w:pPr>
    <w:rPr>
      <w:sz w:val="18"/>
    </w:rPr>
  </w:style>
  <w:style w:type="paragraph" w:styleId="ListContinue4">
    <w:name w:val="List Continue 4"/>
    <w:basedOn w:val="Normal"/>
    <w:semiHidden/>
    <w:unhideWhenUsed/>
    <w:rsid w:val="0013752B"/>
    <w:pPr>
      <w:spacing w:before="120" w:after="120"/>
      <w:ind w:left="1429"/>
    </w:pPr>
  </w:style>
  <w:style w:type="paragraph" w:styleId="ListContinue5">
    <w:name w:val="List Continue 5"/>
    <w:basedOn w:val="Normal"/>
    <w:semiHidden/>
    <w:unhideWhenUsed/>
    <w:rsid w:val="0013752B"/>
    <w:pPr>
      <w:spacing w:before="120" w:after="120"/>
      <w:ind w:left="1786"/>
    </w:pPr>
  </w:style>
  <w:style w:type="paragraph" w:customStyle="1" w:styleId="ExecSummHeading1">
    <w:name w:val="Exec Summ Heading 1"/>
    <w:basedOn w:val="Normal"/>
    <w:next w:val="BodyText"/>
    <w:qFormat/>
    <w:rsid w:val="00DE2084"/>
    <w:pPr>
      <w:pageBreakBefore/>
      <w:spacing w:after="240"/>
      <w:ind w:left="851" w:hanging="851"/>
      <w:outlineLvl w:val="0"/>
    </w:pPr>
    <w:rPr>
      <w:rFonts w:asciiTheme="majorHAnsi" w:hAnsiTheme="majorHAnsi"/>
      <w:b/>
      <w:color w:val="007BC1"/>
      <w:sz w:val="32"/>
    </w:rPr>
  </w:style>
  <w:style w:type="paragraph" w:customStyle="1" w:styleId="ExecSummHeading2">
    <w:name w:val="Exec Summ Heading 2"/>
    <w:basedOn w:val="ExecSummHeading1"/>
    <w:next w:val="BodyText"/>
    <w:qFormat/>
    <w:rsid w:val="00DE2084"/>
    <w:pPr>
      <w:pageBreakBefore w:val="0"/>
      <w:spacing w:before="360"/>
      <w:outlineLvl w:val="9"/>
    </w:pPr>
    <w:rPr>
      <w:sz w:val="28"/>
    </w:rPr>
  </w:style>
  <w:style w:type="paragraph" w:customStyle="1" w:styleId="ExecSummHeading3">
    <w:name w:val="Exec Summ Heading 3"/>
    <w:basedOn w:val="ExecSummHeading2"/>
    <w:next w:val="BodyText"/>
    <w:qFormat/>
    <w:rsid w:val="00FF2DF8"/>
    <w:rPr>
      <w:sz w:val="22"/>
    </w:rPr>
  </w:style>
  <w:style w:type="paragraph" w:customStyle="1" w:styleId="ExecSummBodyText">
    <w:name w:val="Exec Summ Body Text"/>
    <w:basedOn w:val="Normal"/>
    <w:qFormat/>
    <w:rsid w:val="004B4F74"/>
    <w:pPr>
      <w:spacing w:before="240" w:after="120"/>
    </w:pPr>
  </w:style>
  <w:style w:type="paragraph" w:styleId="TOC4">
    <w:name w:val="toc 4"/>
    <w:basedOn w:val="Normal"/>
    <w:next w:val="Normal"/>
    <w:autoRedefine/>
    <w:unhideWhenUsed/>
    <w:rsid w:val="00774723"/>
    <w:pPr>
      <w:tabs>
        <w:tab w:val="right" w:leader="dot" w:pos="8165"/>
      </w:tabs>
      <w:spacing w:before="120" w:after="60"/>
      <w:ind w:right="737"/>
    </w:pPr>
  </w:style>
  <w:style w:type="character" w:customStyle="1" w:styleId="MyUnderlineStrikethrough">
    <w:name w:val="MyUnderline&amp;Strikethrough"/>
    <w:semiHidden/>
    <w:rsid w:val="00C34E9D"/>
    <w:rPr>
      <w:b w:val="0"/>
      <w:i w:val="0"/>
      <w:strike/>
      <w:dstrike w:val="0"/>
      <w:u w:val="single"/>
      <w:vertAlign w:val="baseline"/>
    </w:rPr>
  </w:style>
  <w:style w:type="character" w:customStyle="1" w:styleId="MyStrikethrough">
    <w:name w:val="MyStrikethrough"/>
    <w:semiHidden/>
    <w:rsid w:val="00C34E9D"/>
    <w:rPr>
      <w:b w:val="0"/>
      <w:i w:val="0"/>
      <w:strike/>
      <w:dstrike w:val="0"/>
      <w:vertAlign w:val="baseline"/>
    </w:rPr>
  </w:style>
  <w:style w:type="character" w:customStyle="1" w:styleId="MySuperscriptItalics">
    <w:name w:val="MySuperscript&amp;Italics"/>
    <w:semiHidden/>
    <w:rsid w:val="00C34E9D"/>
    <w:rPr>
      <w:b w:val="0"/>
      <w:i/>
      <w:strike w:val="0"/>
      <w:vertAlign w:val="superscript"/>
    </w:rPr>
  </w:style>
  <w:style w:type="character" w:customStyle="1" w:styleId="MySubscriptItalics">
    <w:name w:val="MySubscript&amp;Italics"/>
    <w:semiHidden/>
    <w:rsid w:val="00C34E9D"/>
    <w:rPr>
      <w:b w:val="0"/>
      <w:i/>
      <w:strike w:val="0"/>
      <w:vertAlign w:val="subscript"/>
    </w:rPr>
  </w:style>
  <w:style w:type="character" w:customStyle="1" w:styleId="MySuperscript">
    <w:name w:val="MySuperscript"/>
    <w:semiHidden/>
    <w:rsid w:val="00C34E9D"/>
    <w:rPr>
      <w:b w:val="0"/>
      <w:i w:val="0"/>
      <w:strike w:val="0"/>
      <w:vertAlign w:val="superscript"/>
    </w:rPr>
  </w:style>
  <w:style w:type="character" w:customStyle="1" w:styleId="MySubscript">
    <w:name w:val="MySubscript"/>
    <w:semiHidden/>
    <w:rsid w:val="00C34E9D"/>
    <w:rPr>
      <w:b w:val="0"/>
      <w:i w:val="0"/>
      <w:strike w:val="0"/>
      <w:vertAlign w:val="subscript"/>
    </w:rPr>
  </w:style>
  <w:style w:type="character" w:customStyle="1" w:styleId="MyBoldItalicsUnderline">
    <w:name w:val="MyBoldItalicsUnderline"/>
    <w:semiHidden/>
    <w:rsid w:val="00C34E9D"/>
    <w:rPr>
      <w:b/>
      <w:i/>
      <w:strike w:val="0"/>
      <w:u w:val="single"/>
      <w:vertAlign w:val="baseline"/>
    </w:rPr>
  </w:style>
  <w:style w:type="character" w:customStyle="1" w:styleId="MyBoldUnderline">
    <w:name w:val="MyBoldUnderline"/>
    <w:semiHidden/>
    <w:rsid w:val="00C34E9D"/>
    <w:rPr>
      <w:b/>
      <w:i/>
      <w:strike w:val="0"/>
      <w:u w:val="single"/>
      <w:vertAlign w:val="baseline"/>
    </w:rPr>
  </w:style>
  <w:style w:type="character" w:customStyle="1" w:styleId="MyItalicsUnderline">
    <w:name w:val="MyItalicsUnderline"/>
    <w:semiHidden/>
    <w:rsid w:val="00C34E9D"/>
    <w:rPr>
      <w:b/>
      <w:i/>
      <w:strike w:val="0"/>
      <w:u w:val="single"/>
      <w:vertAlign w:val="baseline"/>
    </w:rPr>
  </w:style>
  <w:style w:type="character" w:customStyle="1" w:styleId="MyUnderline">
    <w:name w:val="MyUnderline"/>
    <w:semiHidden/>
    <w:rsid w:val="00C34E9D"/>
    <w:rPr>
      <w:b w:val="0"/>
      <w:i w:val="0"/>
      <w:strike w:val="0"/>
      <w:u w:val="single"/>
      <w:vertAlign w:val="baseline"/>
    </w:rPr>
  </w:style>
  <w:style w:type="paragraph" w:styleId="CommentText">
    <w:name w:val="annotation text"/>
    <w:basedOn w:val="Normal"/>
    <w:link w:val="CommentTextChar"/>
    <w:uiPriority w:val="99"/>
    <w:unhideWhenUsed/>
    <w:rsid w:val="00130333"/>
    <w:pPr>
      <w:spacing w:after="160" w:line="240" w:lineRule="auto"/>
    </w:pPr>
    <w:rPr>
      <w:rFonts w:asciiTheme="minorHAnsi" w:eastAsiaTheme="minorHAnsi" w:hAnsiTheme="minorHAnsi" w:cstheme="minorBidi"/>
      <w:sz w:val="20"/>
      <w:szCs w:val="20"/>
      <w:lang w:eastAsia="en-US"/>
    </w:rPr>
  </w:style>
  <w:style w:type="character" w:customStyle="1" w:styleId="CommentTextChar">
    <w:name w:val="Comment Text Char"/>
    <w:basedOn w:val="DefaultParagraphFont"/>
    <w:link w:val="CommentText"/>
    <w:uiPriority w:val="99"/>
    <w:rsid w:val="00130333"/>
    <w:rPr>
      <w:rFonts w:eastAsiaTheme="minorHAnsi" w:cstheme="minorBidi"/>
      <w:sz w:val="20"/>
      <w:szCs w:val="20"/>
      <w:lang w:eastAsia="en-US"/>
    </w:rPr>
  </w:style>
  <w:style w:type="character" w:customStyle="1" w:styleId="ListParagraphChar">
    <w:name w:val="List Paragraph Char"/>
    <w:aliases w:val="List Paragraph11 Char,Recommendation Char,List Paragraph1 Char,Bullet point Char,1 heading Char,Dot point 1.5 line spacing Char,L Char,List Paragraph - bullets Char,NFP GP Bulleted List Char,bullet point list Char,LP-DO NOT USE Char"/>
    <w:basedOn w:val="DefaultParagraphFont"/>
    <w:link w:val="ListParagraph"/>
    <w:uiPriority w:val="34"/>
    <w:locked/>
    <w:rsid w:val="00130333"/>
  </w:style>
  <w:style w:type="paragraph" w:styleId="ListParagraph">
    <w:name w:val="List Paragraph"/>
    <w:aliases w:val="List Paragraph11,Recommendation,List Paragraph1,Bullet point,1 heading,Dot point 1.5 line spacing,L,List Paragraph - bullets,NFP GP Bulleted List,bullet point list,LP-DO NOT USE,Bulleted Para,CV text,Dot pt,F5 List Paragraph,FooterText"/>
    <w:basedOn w:val="Normal"/>
    <w:link w:val="ListParagraphChar"/>
    <w:uiPriority w:val="34"/>
    <w:qFormat/>
    <w:rsid w:val="00130333"/>
    <w:pPr>
      <w:spacing w:after="160" w:line="256" w:lineRule="auto"/>
      <w:ind w:left="720"/>
      <w:contextualSpacing/>
    </w:pPr>
    <w:rPr>
      <w:rFonts w:asciiTheme="minorHAnsi" w:hAnsiTheme="minorHAnsi"/>
    </w:rPr>
  </w:style>
  <w:style w:type="paragraph" w:customStyle="1" w:styleId="Default">
    <w:name w:val="Default"/>
    <w:rsid w:val="00130333"/>
    <w:pPr>
      <w:autoSpaceDE w:val="0"/>
      <w:autoSpaceDN w:val="0"/>
      <w:adjustRightInd w:val="0"/>
      <w:spacing w:line="240" w:lineRule="auto"/>
    </w:pPr>
    <w:rPr>
      <w:rFonts w:ascii="Arial" w:eastAsia="Calibri" w:hAnsi="Arial" w:cs="Arial"/>
      <w:color w:val="000000"/>
      <w:sz w:val="24"/>
      <w:szCs w:val="24"/>
    </w:rPr>
  </w:style>
  <w:style w:type="character" w:styleId="CommentReference">
    <w:name w:val="annotation reference"/>
    <w:basedOn w:val="DefaultParagraphFont"/>
    <w:uiPriority w:val="99"/>
    <w:semiHidden/>
    <w:unhideWhenUsed/>
    <w:rsid w:val="00130333"/>
    <w:rPr>
      <w:sz w:val="16"/>
      <w:szCs w:val="16"/>
    </w:rPr>
  </w:style>
  <w:style w:type="numbering" w:customStyle="1" w:styleId="BulletList">
    <w:name w:val="Bullet List"/>
    <w:uiPriority w:val="99"/>
    <w:rsid w:val="00130333"/>
    <w:pPr>
      <w:numPr>
        <w:numId w:val="9"/>
      </w:numPr>
    </w:pPr>
  </w:style>
  <w:style w:type="paragraph" w:customStyle="1" w:styleId="Pa9">
    <w:name w:val="Pa9"/>
    <w:basedOn w:val="Default"/>
    <w:next w:val="Default"/>
    <w:uiPriority w:val="99"/>
    <w:rsid w:val="00CE1750"/>
    <w:pPr>
      <w:spacing w:line="201" w:lineRule="atLeast"/>
    </w:pPr>
    <w:rPr>
      <w:rFonts w:ascii="Gotham Light" w:eastAsia="Times New Roman" w:hAnsi="Gotham Light" w:cs="Times New Roman"/>
      <w:color w:val="auto"/>
    </w:rPr>
  </w:style>
  <w:style w:type="character" w:customStyle="1" w:styleId="A8">
    <w:name w:val="A8"/>
    <w:uiPriority w:val="99"/>
    <w:rsid w:val="00CE1750"/>
    <w:rPr>
      <w:rFonts w:cs="Gotham Light"/>
      <w:color w:val="000000"/>
      <w:sz w:val="11"/>
      <w:szCs w:val="11"/>
    </w:rPr>
  </w:style>
  <w:style w:type="character" w:customStyle="1" w:styleId="Mention1">
    <w:name w:val="Mention1"/>
    <w:basedOn w:val="DefaultParagraphFont"/>
    <w:uiPriority w:val="99"/>
    <w:semiHidden/>
    <w:unhideWhenUsed/>
    <w:rsid w:val="00823FB3"/>
    <w:rPr>
      <w:color w:val="2B579A"/>
      <w:shd w:val="clear" w:color="auto" w:fill="E6E6E6"/>
    </w:rPr>
  </w:style>
  <w:style w:type="paragraph" w:styleId="PlainText">
    <w:name w:val="Plain Text"/>
    <w:basedOn w:val="Normal"/>
    <w:link w:val="PlainTextChar"/>
    <w:uiPriority w:val="99"/>
    <w:semiHidden/>
    <w:unhideWhenUsed/>
    <w:rsid w:val="007617DF"/>
    <w:pPr>
      <w:spacing w:line="240" w:lineRule="auto"/>
    </w:pPr>
    <w:rPr>
      <w:rFonts w:ascii="Calibri" w:hAnsi="Calibri"/>
      <w:szCs w:val="21"/>
    </w:rPr>
  </w:style>
  <w:style w:type="character" w:customStyle="1" w:styleId="PlainTextChar">
    <w:name w:val="Plain Text Char"/>
    <w:basedOn w:val="DefaultParagraphFont"/>
    <w:link w:val="PlainText"/>
    <w:uiPriority w:val="99"/>
    <w:semiHidden/>
    <w:rsid w:val="007617DF"/>
    <w:rPr>
      <w:rFonts w:ascii="Calibri" w:hAnsi="Calibri"/>
      <w:szCs w:val="21"/>
    </w:rPr>
  </w:style>
  <w:style w:type="paragraph" w:styleId="CommentSubject">
    <w:name w:val="annotation subject"/>
    <w:basedOn w:val="CommentText"/>
    <w:next w:val="CommentText"/>
    <w:link w:val="CommentSubjectChar"/>
    <w:uiPriority w:val="39"/>
    <w:semiHidden/>
    <w:unhideWhenUsed/>
    <w:rsid w:val="0023587F"/>
    <w:pPr>
      <w:spacing w:after="0"/>
    </w:pPr>
    <w:rPr>
      <w:rFonts w:ascii="Arial" w:eastAsia="Times New Roman" w:hAnsi="Arial" w:cs="Times New Roman"/>
      <w:b/>
      <w:bCs/>
      <w:lang w:eastAsia="en-AU"/>
    </w:rPr>
  </w:style>
  <w:style w:type="character" w:customStyle="1" w:styleId="CommentSubjectChar">
    <w:name w:val="Comment Subject Char"/>
    <w:basedOn w:val="CommentTextChar"/>
    <w:link w:val="CommentSubject"/>
    <w:uiPriority w:val="39"/>
    <w:semiHidden/>
    <w:rsid w:val="0023587F"/>
    <w:rPr>
      <w:rFonts w:ascii="Arial" w:eastAsiaTheme="minorHAnsi" w:hAnsi="Arial" w:cstheme="minorBidi"/>
      <w:b/>
      <w:bCs/>
      <w:sz w:val="20"/>
      <w:szCs w:val="20"/>
      <w:lang w:eastAsia="en-US"/>
    </w:rPr>
  </w:style>
  <w:style w:type="paragraph" w:customStyle="1" w:styleId="Bullet2a">
    <w:name w:val="Bullet2a"/>
    <w:basedOn w:val="ListBullet2"/>
    <w:link w:val="Bullet2aChar"/>
    <w:rsid w:val="005B1992"/>
  </w:style>
  <w:style w:type="paragraph" w:customStyle="1" w:styleId="Bullet2b">
    <w:name w:val="Bullet2b"/>
    <w:basedOn w:val="ListBullet2"/>
    <w:link w:val="Bullet2bChar"/>
    <w:rsid w:val="005B1992"/>
  </w:style>
  <w:style w:type="character" w:customStyle="1" w:styleId="ListBulletChar">
    <w:name w:val="List Bullet Char"/>
    <w:basedOn w:val="BodyTextChar"/>
    <w:link w:val="ListBullet"/>
    <w:rsid w:val="00B21AEE"/>
    <w:rPr>
      <w:rFonts w:ascii="Arial" w:hAnsi="Arial"/>
    </w:rPr>
  </w:style>
  <w:style w:type="character" w:customStyle="1" w:styleId="ListBullet2Char">
    <w:name w:val="List Bullet 2 Char"/>
    <w:basedOn w:val="ListBulletChar"/>
    <w:link w:val="ListBullet2"/>
    <w:rsid w:val="002276FF"/>
    <w:rPr>
      <w:rFonts w:ascii="Arial" w:hAnsi="Arial"/>
    </w:rPr>
  </w:style>
  <w:style w:type="character" w:customStyle="1" w:styleId="Bullet2aChar">
    <w:name w:val="Bullet2a Char"/>
    <w:basedOn w:val="ListBullet2Char"/>
    <w:link w:val="Bullet2a"/>
    <w:rsid w:val="005B1992"/>
    <w:rPr>
      <w:rFonts w:ascii="Arial" w:hAnsi="Arial"/>
    </w:rPr>
  </w:style>
  <w:style w:type="character" w:customStyle="1" w:styleId="Bullet2bChar">
    <w:name w:val="Bullet2b Char"/>
    <w:basedOn w:val="ListBullet2Char"/>
    <w:link w:val="Bullet2b"/>
    <w:rsid w:val="005B1992"/>
    <w:rPr>
      <w:rFonts w:ascii="Arial" w:hAnsi="Arial"/>
    </w:rPr>
  </w:style>
  <w:style w:type="paragraph" w:customStyle="1" w:styleId="text">
    <w:name w:val="text"/>
    <w:basedOn w:val="Normal"/>
    <w:uiPriority w:val="99"/>
    <w:rsid w:val="008E05C4"/>
    <w:pPr>
      <w:widowControl w:val="0"/>
      <w:suppressAutoHyphens/>
      <w:autoSpaceDE w:val="0"/>
      <w:autoSpaceDN w:val="0"/>
      <w:adjustRightInd w:val="0"/>
      <w:spacing w:after="170" w:line="210" w:lineRule="atLeast"/>
      <w:textAlignment w:val="center"/>
    </w:pPr>
    <w:rPr>
      <w:rFonts w:ascii="ArialMT" w:eastAsia="Cambria" w:hAnsi="ArialMT" w:cs="ArialMT"/>
      <w:color w:val="000000"/>
      <w:sz w:val="17"/>
      <w:szCs w:val="17"/>
      <w:lang w:val="en-GB" w:eastAsia="en-US"/>
    </w:rPr>
  </w:style>
  <w:style w:type="character" w:styleId="Emphasis">
    <w:name w:val="Emphasis"/>
    <w:uiPriority w:val="20"/>
    <w:qFormat/>
    <w:rsid w:val="00E164A7"/>
    <w:rPr>
      <w:i/>
    </w:rPr>
  </w:style>
  <w:style w:type="character" w:styleId="Strong">
    <w:name w:val="Strong"/>
    <w:aliases w:val="AER text bold"/>
    <w:basedOn w:val="DefaultParagraphFont"/>
    <w:uiPriority w:val="22"/>
    <w:qFormat/>
    <w:rsid w:val="00057416"/>
    <w:rPr>
      <w:b/>
      <w:bCs/>
    </w:rPr>
  </w:style>
  <w:style w:type="character" w:customStyle="1" w:styleId="caps1">
    <w:name w:val="caps1"/>
    <w:basedOn w:val="DefaultParagraphFont"/>
    <w:rsid w:val="00057416"/>
    <w:rPr>
      <w:sz w:val="22"/>
      <w:szCs w:val="22"/>
    </w:rPr>
  </w:style>
  <w:style w:type="character" w:customStyle="1" w:styleId="tgc">
    <w:name w:val="_tgc"/>
    <w:basedOn w:val="DefaultParagraphFont"/>
    <w:rsid w:val="00057416"/>
  </w:style>
  <w:style w:type="table" w:styleId="ListTable4-Accent1">
    <w:name w:val="List Table 4 Accent 1"/>
    <w:basedOn w:val="TableNormal"/>
    <w:uiPriority w:val="49"/>
    <w:rsid w:val="00742868"/>
    <w:pPr>
      <w:spacing w:line="240" w:lineRule="auto"/>
    </w:pPr>
    <w:rPr>
      <w:rFonts w:eastAsiaTheme="minorHAnsi" w:cstheme="minorBidi"/>
      <w:lang w:eastAsia="en-US"/>
    </w:rPr>
    <w:tblPr>
      <w:tblStyleRowBandSize w:val="1"/>
      <w:tblStyleColBandSize w:val="1"/>
      <w:tblInd w:w="0" w:type="nil"/>
      <w:tblBorders>
        <w:top w:val="single" w:sz="4" w:space="0" w:color="5C8CD9" w:themeColor="accent1" w:themeTint="99"/>
        <w:left w:val="single" w:sz="4" w:space="0" w:color="5C8CD9" w:themeColor="accent1" w:themeTint="99"/>
        <w:bottom w:val="single" w:sz="4" w:space="0" w:color="5C8CD9" w:themeColor="accent1" w:themeTint="99"/>
        <w:right w:val="single" w:sz="4" w:space="0" w:color="5C8CD9" w:themeColor="accent1" w:themeTint="99"/>
        <w:insideH w:val="single" w:sz="4" w:space="0" w:color="5C8CD9" w:themeColor="accent1" w:themeTint="99"/>
      </w:tblBorders>
    </w:tblPr>
    <w:tblStylePr w:type="firstRow">
      <w:rPr>
        <w:b/>
        <w:bCs/>
        <w:color w:val="FFFFFF" w:themeColor="background1"/>
      </w:rPr>
      <w:tblPr/>
      <w:tcPr>
        <w:tcBorders>
          <w:top w:val="single" w:sz="4" w:space="0" w:color="214C90" w:themeColor="accent1"/>
          <w:left w:val="single" w:sz="4" w:space="0" w:color="214C90" w:themeColor="accent1"/>
          <w:bottom w:val="single" w:sz="4" w:space="0" w:color="214C90" w:themeColor="accent1"/>
          <w:right w:val="single" w:sz="4" w:space="0" w:color="214C90" w:themeColor="accent1"/>
          <w:insideH w:val="nil"/>
        </w:tcBorders>
        <w:shd w:val="clear" w:color="auto" w:fill="214C90" w:themeFill="accent1"/>
      </w:tcPr>
    </w:tblStylePr>
    <w:tblStylePr w:type="lastRow">
      <w:rPr>
        <w:b/>
        <w:bCs/>
      </w:rPr>
      <w:tblPr/>
      <w:tcPr>
        <w:tcBorders>
          <w:top w:val="double" w:sz="4" w:space="0" w:color="5C8CD9" w:themeColor="accent1" w:themeTint="99"/>
        </w:tcBorders>
      </w:tcPr>
    </w:tblStylePr>
    <w:tblStylePr w:type="firstCol">
      <w:rPr>
        <w:b/>
        <w:bCs/>
      </w:rPr>
    </w:tblStylePr>
    <w:tblStylePr w:type="lastCol">
      <w:rPr>
        <w:b/>
        <w:bCs/>
      </w:rPr>
    </w:tblStylePr>
    <w:tblStylePr w:type="band1Vert">
      <w:tblPr/>
      <w:tcPr>
        <w:shd w:val="clear" w:color="auto" w:fill="C8D8F2" w:themeFill="accent1" w:themeFillTint="33"/>
      </w:tcPr>
    </w:tblStylePr>
    <w:tblStylePr w:type="band1Horz">
      <w:tblPr/>
      <w:tcPr>
        <w:shd w:val="clear" w:color="auto" w:fill="C8D8F2" w:themeFill="accent1" w:themeFillTint="33"/>
      </w:tcPr>
    </w:tblStylePr>
  </w:style>
  <w:style w:type="character" w:customStyle="1" w:styleId="med11">
    <w:name w:val="med11"/>
    <w:basedOn w:val="DefaultParagraphFont"/>
    <w:rsid w:val="00742868"/>
    <w:rPr>
      <w:sz w:val="18"/>
      <w:szCs w:val="18"/>
    </w:rPr>
  </w:style>
  <w:style w:type="paragraph" w:customStyle="1" w:styleId="paragraph">
    <w:name w:val="paragraph"/>
    <w:basedOn w:val="Normal"/>
    <w:rsid w:val="00797E66"/>
    <w:pPr>
      <w:spacing w:before="100" w:beforeAutospacing="1" w:after="100" w:afterAutospacing="1" w:line="240" w:lineRule="auto"/>
    </w:pPr>
    <w:rPr>
      <w:rFonts w:ascii="Times New Roman" w:hAnsi="Times New Roman"/>
      <w:sz w:val="24"/>
      <w:szCs w:val="24"/>
    </w:rPr>
  </w:style>
  <w:style w:type="paragraph" w:customStyle="1" w:styleId="paragraphsub">
    <w:name w:val="paragraphsub"/>
    <w:basedOn w:val="Normal"/>
    <w:rsid w:val="00797E66"/>
    <w:pPr>
      <w:spacing w:before="100" w:beforeAutospacing="1" w:after="100" w:afterAutospacing="1" w:line="240" w:lineRule="auto"/>
    </w:pPr>
    <w:rPr>
      <w:rFonts w:ascii="Times New Roman" w:hAnsi="Times New Roman"/>
      <w:sz w:val="24"/>
      <w:szCs w:val="24"/>
    </w:rPr>
  </w:style>
  <w:style w:type="paragraph" w:customStyle="1" w:styleId="subsection">
    <w:name w:val="subsection"/>
    <w:basedOn w:val="Normal"/>
    <w:rsid w:val="006F250E"/>
    <w:pPr>
      <w:spacing w:before="100" w:beforeAutospacing="1" w:after="100" w:afterAutospacing="1" w:line="240" w:lineRule="auto"/>
    </w:pPr>
    <w:rPr>
      <w:rFonts w:ascii="Times New Roman" w:hAnsi="Times New Roman"/>
      <w:sz w:val="24"/>
      <w:szCs w:val="24"/>
    </w:rPr>
  </w:style>
  <w:style w:type="numbering" w:customStyle="1" w:styleId="KeyPoints">
    <w:name w:val="Key Points"/>
    <w:basedOn w:val="NoList"/>
    <w:uiPriority w:val="99"/>
    <w:rsid w:val="006F250E"/>
    <w:pPr>
      <w:numPr>
        <w:numId w:val="10"/>
      </w:numPr>
    </w:pPr>
  </w:style>
  <w:style w:type="paragraph" w:customStyle="1" w:styleId="subsectionhead">
    <w:name w:val="subsectionhead"/>
    <w:basedOn w:val="Normal"/>
    <w:rsid w:val="00153551"/>
    <w:pPr>
      <w:spacing w:before="100" w:beforeAutospacing="1" w:after="100" w:afterAutospacing="1" w:line="240" w:lineRule="auto"/>
    </w:pPr>
    <w:rPr>
      <w:rFonts w:ascii="Times New Roman" w:hAnsi="Times New Roman"/>
      <w:sz w:val="24"/>
      <w:szCs w:val="24"/>
    </w:rPr>
  </w:style>
  <w:style w:type="paragraph" w:customStyle="1" w:styleId="indenta-p">
    <w:name w:val="indenta-p"/>
    <w:basedOn w:val="Normal"/>
    <w:rsid w:val="00153551"/>
    <w:pPr>
      <w:spacing w:before="100" w:beforeAutospacing="1" w:after="100" w:afterAutospacing="1" w:line="240" w:lineRule="auto"/>
    </w:pPr>
    <w:rPr>
      <w:rFonts w:ascii="Times New Roman" w:eastAsiaTheme="minorHAnsi" w:hAnsi="Times New Roman"/>
      <w:sz w:val="24"/>
      <w:szCs w:val="24"/>
    </w:rPr>
  </w:style>
  <w:style w:type="character" w:customStyle="1" w:styleId="indenta-h">
    <w:name w:val="indenta-h"/>
    <w:basedOn w:val="DefaultParagraphFont"/>
    <w:rsid w:val="00153551"/>
  </w:style>
  <w:style w:type="character" w:customStyle="1" w:styleId="charsectno">
    <w:name w:val="charsectno"/>
    <w:basedOn w:val="DefaultParagraphFont"/>
    <w:rsid w:val="00DC48D1"/>
  </w:style>
  <w:style w:type="paragraph" w:customStyle="1" w:styleId="acthead5">
    <w:name w:val="acthead5"/>
    <w:basedOn w:val="Normal"/>
    <w:rsid w:val="00DC48D1"/>
    <w:pPr>
      <w:spacing w:before="100" w:beforeAutospacing="1" w:after="100" w:afterAutospacing="1" w:line="240" w:lineRule="auto"/>
    </w:pPr>
    <w:rPr>
      <w:rFonts w:ascii="Times New Roman" w:hAnsi="Times New Roman"/>
      <w:sz w:val="24"/>
      <w:szCs w:val="24"/>
    </w:rPr>
  </w:style>
  <w:style w:type="character" w:customStyle="1" w:styleId="sectionlabel">
    <w:name w:val="sectionlabel"/>
    <w:basedOn w:val="DefaultParagraphFont"/>
    <w:rsid w:val="007E1D14"/>
    <w:rPr>
      <w:b/>
      <w:bCs/>
      <w:color w:val="000000"/>
    </w:rPr>
  </w:style>
  <w:style w:type="character" w:customStyle="1" w:styleId="lawlabel2">
    <w:name w:val="lawlabel2"/>
    <w:basedOn w:val="DefaultParagraphFont"/>
    <w:rsid w:val="007E1D14"/>
    <w:rPr>
      <w:b/>
      <w:bCs/>
      <w:color w:val="000000"/>
    </w:rPr>
  </w:style>
  <w:style w:type="paragraph" w:customStyle="1" w:styleId="CM3">
    <w:name w:val="CM3"/>
    <w:basedOn w:val="Default"/>
    <w:next w:val="Default"/>
    <w:uiPriority w:val="99"/>
    <w:rsid w:val="003258F0"/>
    <w:pPr>
      <w:spacing w:line="280" w:lineRule="atLeast"/>
    </w:pPr>
    <w:rPr>
      <w:rFonts w:ascii="Myriad Pro" w:eastAsia="Times New Roman" w:hAnsi="Myriad Pro" w:cs="Times New Roman"/>
      <w:color w:val="auto"/>
    </w:rPr>
  </w:style>
  <w:style w:type="paragraph" w:customStyle="1" w:styleId="Footerclassification">
    <w:name w:val="Footer classification"/>
    <w:basedOn w:val="Normal"/>
    <w:rsid w:val="00D5384A"/>
    <w:pPr>
      <w:tabs>
        <w:tab w:val="center" w:pos="4536"/>
        <w:tab w:val="center" w:pos="4819"/>
        <w:tab w:val="right" w:pos="9356"/>
      </w:tabs>
      <w:spacing w:before="240" w:line="276" w:lineRule="auto"/>
      <w:jc w:val="center"/>
    </w:pPr>
    <w:rPr>
      <w:rFonts w:cs="Arial"/>
      <w:color w:val="FF0000"/>
      <w:sz w:val="28"/>
      <w:szCs w:val="28"/>
    </w:rPr>
  </w:style>
  <w:style w:type="paragraph" w:customStyle="1" w:styleId="Tabletext">
    <w:name w:val="Table text"/>
    <w:basedOn w:val="Normal"/>
    <w:uiPriority w:val="9"/>
    <w:qFormat/>
    <w:rsid w:val="00D5384A"/>
    <w:pPr>
      <w:spacing w:line="276" w:lineRule="auto"/>
    </w:pPr>
    <w:rPr>
      <w:rFonts w:eastAsia="Calibri"/>
      <w:lang w:eastAsia="en-US"/>
    </w:rPr>
  </w:style>
  <w:style w:type="paragraph" w:customStyle="1" w:styleId="Classificationsensitivity">
    <w:name w:val="Classification sensitivity"/>
    <w:basedOn w:val="Normal"/>
    <w:rsid w:val="00D5384A"/>
    <w:pPr>
      <w:tabs>
        <w:tab w:val="center" w:pos="4536"/>
        <w:tab w:val="center" w:pos="4819"/>
        <w:tab w:val="right" w:pos="9356"/>
      </w:tabs>
      <w:spacing w:after="240" w:line="276" w:lineRule="auto"/>
      <w:jc w:val="center"/>
    </w:pPr>
    <w:rPr>
      <w:rFonts w:cs="Arial"/>
      <w:color w:val="FF0000"/>
      <w:szCs w:val="28"/>
    </w:rPr>
  </w:style>
  <w:style w:type="character" w:customStyle="1" w:styleId="Numbered1Char">
    <w:name w:val="Numbered 1 Char"/>
    <w:basedOn w:val="DefaultParagraphFont"/>
    <w:link w:val="Numbered1"/>
    <w:locked/>
    <w:rsid w:val="00BE301F"/>
    <w:rPr>
      <w:sz w:val="24"/>
      <w:szCs w:val="24"/>
    </w:rPr>
  </w:style>
  <w:style w:type="paragraph" w:customStyle="1" w:styleId="Numbered1">
    <w:name w:val="Numbered 1"/>
    <w:basedOn w:val="Normal"/>
    <w:link w:val="Numbered1Char"/>
    <w:qFormat/>
    <w:rsid w:val="00BE301F"/>
    <w:pPr>
      <w:spacing w:after="200" w:line="276" w:lineRule="auto"/>
    </w:pPr>
    <w:rPr>
      <w:rFonts w:asciiTheme="minorHAnsi" w:hAnsiTheme="minorHAnsi"/>
      <w:sz w:val="24"/>
      <w:szCs w:val="24"/>
    </w:rPr>
  </w:style>
  <w:style w:type="paragraph" w:customStyle="1" w:styleId="Footnote">
    <w:name w:val="Footnote"/>
    <w:basedOn w:val="FootnoteText"/>
    <w:link w:val="FootnoteChar"/>
    <w:qFormat/>
    <w:rsid w:val="002634B1"/>
    <w:pPr>
      <w:tabs>
        <w:tab w:val="left" w:pos="720"/>
        <w:tab w:val="left" w:pos="1077"/>
      </w:tabs>
      <w:spacing w:before="0" w:after="0"/>
      <w:ind w:left="720" w:hanging="720"/>
    </w:pPr>
    <w:rPr>
      <w:rFonts w:ascii="Times New Roman" w:eastAsia="MS Mincho" w:hAnsi="Times New Roman" w:cstheme="minorBidi"/>
      <w:sz w:val="20"/>
      <w:lang w:eastAsia="en-US"/>
    </w:rPr>
  </w:style>
  <w:style w:type="character" w:customStyle="1" w:styleId="FootnoteChar">
    <w:name w:val="Footnote Char"/>
    <w:basedOn w:val="FootnoteTextChar"/>
    <w:link w:val="Footnote"/>
    <w:rsid w:val="002634B1"/>
    <w:rPr>
      <w:rFonts w:ascii="Times New Roman" w:eastAsia="MS Mincho" w:hAnsi="Times New Roman" w:cstheme="minorBidi"/>
      <w:sz w:val="20"/>
      <w:szCs w:val="20"/>
      <w:lang w:eastAsia="en-US"/>
    </w:rPr>
  </w:style>
  <w:style w:type="paragraph" w:customStyle="1" w:styleId="AppendixLevel1">
    <w:name w:val="Appendix Level 1"/>
    <w:basedOn w:val="Heading1"/>
    <w:next w:val="Normal"/>
    <w:rsid w:val="007D7FFC"/>
    <w:pPr>
      <w:pageBreakBefore/>
      <w:numPr>
        <w:numId w:val="13"/>
      </w:numPr>
      <w:tabs>
        <w:tab w:val="num" w:pos="360"/>
      </w:tabs>
      <w:spacing w:before="240" w:line="256" w:lineRule="auto"/>
      <w:ind w:left="0" w:right="1134" w:firstLine="0"/>
    </w:pPr>
    <w:rPr>
      <w:rFonts w:ascii="Franklin Gothic Demi Cond" w:eastAsiaTheme="majorEastAsia" w:hAnsi="Franklin Gothic Demi Cond"/>
      <w:b w:val="0"/>
      <w:bCs w:val="0"/>
      <w:color w:val="1C376B"/>
      <w:lang w:eastAsia="en-US"/>
    </w:rPr>
  </w:style>
  <w:style w:type="paragraph" w:customStyle="1" w:styleId="AppendixLevel2">
    <w:name w:val="Appendix Level 2"/>
    <w:basedOn w:val="Heading1"/>
    <w:next w:val="Normal"/>
    <w:rsid w:val="007D7FFC"/>
    <w:pPr>
      <w:numPr>
        <w:ilvl w:val="1"/>
        <w:numId w:val="13"/>
      </w:numPr>
      <w:tabs>
        <w:tab w:val="num" w:pos="360"/>
      </w:tabs>
      <w:spacing w:before="240" w:line="256" w:lineRule="auto"/>
      <w:ind w:left="0" w:firstLine="0"/>
    </w:pPr>
    <w:rPr>
      <w:rFonts w:ascii="Franklin Gothic Demi Cond" w:eastAsiaTheme="majorEastAsia" w:hAnsi="Franklin Gothic Demi Cond"/>
      <w:b w:val="0"/>
      <w:bCs w:val="0"/>
      <w:color w:val="1C376B"/>
      <w:lang w:eastAsia="en-US"/>
    </w:rPr>
  </w:style>
  <w:style w:type="paragraph" w:customStyle="1" w:styleId="AppendixLevel3">
    <w:name w:val="Appendix Level 3"/>
    <w:basedOn w:val="AppendixLevel2"/>
    <w:next w:val="Normal"/>
    <w:qFormat/>
    <w:rsid w:val="007D7FFC"/>
    <w:pPr>
      <w:numPr>
        <w:ilvl w:val="2"/>
      </w:numPr>
      <w:tabs>
        <w:tab w:val="num" w:pos="360"/>
      </w:tabs>
    </w:pPr>
  </w:style>
  <w:style w:type="character" w:customStyle="1" w:styleId="Mention2">
    <w:name w:val="Mention2"/>
    <w:basedOn w:val="DefaultParagraphFont"/>
    <w:uiPriority w:val="99"/>
    <w:semiHidden/>
    <w:unhideWhenUsed/>
    <w:rsid w:val="00C76364"/>
    <w:rPr>
      <w:color w:val="2B579A"/>
      <w:shd w:val="clear" w:color="auto" w:fill="E6E6E6"/>
    </w:rPr>
  </w:style>
  <w:style w:type="paragraph" w:customStyle="1" w:styleId="Pa4">
    <w:name w:val="Pa4"/>
    <w:basedOn w:val="Default"/>
    <w:next w:val="Default"/>
    <w:uiPriority w:val="99"/>
    <w:rsid w:val="006B1D5E"/>
    <w:pPr>
      <w:spacing w:line="161" w:lineRule="atLeast"/>
    </w:pPr>
    <w:rPr>
      <w:rFonts w:ascii="Myriad Pro" w:eastAsia="Times New Roman" w:hAnsi="Myriad Pro" w:cs="Times New Roman"/>
      <w:color w:val="auto"/>
    </w:rPr>
  </w:style>
  <w:style w:type="character" w:customStyle="1" w:styleId="Mention3">
    <w:name w:val="Mention3"/>
    <w:basedOn w:val="DefaultParagraphFont"/>
    <w:uiPriority w:val="99"/>
    <w:semiHidden/>
    <w:unhideWhenUsed/>
    <w:rsid w:val="00581557"/>
    <w:rPr>
      <w:color w:val="2B579A"/>
      <w:shd w:val="clear" w:color="auto" w:fill="E6E6E6"/>
    </w:rPr>
  </w:style>
  <w:style w:type="table" w:customStyle="1" w:styleId="AxiomAgendaMinutes">
    <w:name w:val="Axiom Agenda/Minutes"/>
    <w:basedOn w:val="TableNormal"/>
    <w:uiPriority w:val="99"/>
    <w:rsid w:val="00906A08"/>
    <w:pPr>
      <w:spacing w:line="240" w:lineRule="auto"/>
    </w:pPr>
    <w:tblPr>
      <w:tblBorders>
        <w:top w:val="single" w:sz="4" w:space="0" w:color="auto"/>
        <w:bottom w:val="single" w:sz="4" w:space="0" w:color="auto"/>
        <w:insideV w:val="single" w:sz="4" w:space="0" w:color="auto"/>
      </w:tblBorders>
      <w:tblCellMar>
        <w:top w:w="57" w:type="dxa"/>
        <w:left w:w="45" w:type="dxa"/>
        <w:bottom w:w="57" w:type="dxa"/>
        <w:right w:w="45" w:type="dxa"/>
      </w:tblCellMar>
    </w:tblPr>
    <w:tblStylePr w:type="firstRow">
      <w:tblPr/>
      <w:trPr>
        <w:cantSplit/>
        <w:tblHeader/>
      </w:trPr>
      <w:tcPr>
        <w:tcBorders>
          <w:top w:val="single" w:sz="4" w:space="0" w:color="auto"/>
          <w:left w:val="nil"/>
          <w:bottom w:val="single" w:sz="4" w:space="0" w:color="auto"/>
          <w:right w:val="nil"/>
          <w:insideH w:val="nil"/>
          <w:insideV w:val="single" w:sz="4" w:space="0" w:color="auto"/>
          <w:tl2br w:val="nil"/>
          <w:tr2bl w:val="nil"/>
        </w:tcBorders>
      </w:tcPr>
    </w:tblStylePr>
  </w:style>
  <w:style w:type="paragraph" w:customStyle="1" w:styleId="Bullet1a">
    <w:name w:val="Bullet 1a"/>
    <w:basedOn w:val="ListBullet"/>
    <w:link w:val="Bullet1aChar"/>
    <w:qFormat/>
    <w:rsid w:val="00A82787"/>
    <w:pPr>
      <w:numPr>
        <w:numId w:val="0"/>
      </w:numPr>
      <w:ind w:left="2268" w:hanging="2268"/>
    </w:pPr>
    <w:rPr>
      <w:rFonts w:cs="Arial"/>
    </w:rPr>
  </w:style>
  <w:style w:type="character" w:customStyle="1" w:styleId="Bullet1aChar">
    <w:name w:val="Bullet 1a Char"/>
    <w:basedOn w:val="ListBulletChar"/>
    <w:link w:val="Bullet1a"/>
    <w:rsid w:val="00A82787"/>
    <w:rPr>
      <w:rFonts w:ascii="Arial" w:hAnsi="Arial" w:cs="Arial"/>
    </w:rPr>
  </w:style>
  <w:style w:type="paragraph" w:customStyle="1" w:styleId="Bullet2a0">
    <w:name w:val="Bullet 2a"/>
    <w:basedOn w:val="ListBullet2"/>
    <w:link w:val="Bullet2aChar0"/>
    <w:qFormat/>
    <w:rsid w:val="009E1889"/>
    <w:pPr>
      <w:numPr>
        <w:numId w:val="0"/>
      </w:numPr>
      <w:ind w:left="851" w:hanging="851"/>
    </w:pPr>
    <w:rPr>
      <w:rFonts w:cs="Arial"/>
    </w:rPr>
  </w:style>
  <w:style w:type="character" w:customStyle="1" w:styleId="Bullet2aChar0">
    <w:name w:val="Bullet 2a Char"/>
    <w:basedOn w:val="DefaultParagraphFont"/>
    <w:link w:val="Bullet2a0"/>
    <w:rsid w:val="009E1889"/>
    <w:rPr>
      <w:rFonts w:ascii="Arial" w:hAnsi="Arial" w:cs="Arial"/>
    </w:rPr>
  </w:style>
  <w:style w:type="character" w:customStyle="1" w:styleId="UnresolvedMention1">
    <w:name w:val="Unresolved Mention1"/>
    <w:basedOn w:val="DefaultParagraphFont"/>
    <w:uiPriority w:val="99"/>
    <w:semiHidden/>
    <w:unhideWhenUsed/>
    <w:rsid w:val="00616B0F"/>
    <w:rPr>
      <w:color w:val="808080"/>
      <w:shd w:val="clear" w:color="auto" w:fill="E6E6E6"/>
    </w:rPr>
  </w:style>
  <w:style w:type="paragraph" w:customStyle="1" w:styleId="AERbulletlistfirststyle">
    <w:name w:val="AER bullet list (first style)"/>
    <w:basedOn w:val="ListBullet"/>
    <w:uiPriority w:val="99"/>
    <w:qFormat/>
    <w:rsid w:val="00D128A9"/>
    <w:pPr>
      <w:numPr>
        <w:numId w:val="22"/>
      </w:numPr>
      <w:tabs>
        <w:tab w:val="left" w:pos="340"/>
      </w:tabs>
      <w:spacing w:after="0" w:line="276" w:lineRule="auto"/>
      <w:ind w:left="357" w:hanging="357"/>
    </w:pPr>
    <w:rPr>
      <w:rFonts w:eastAsiaTheme="minorHAnsi"/>
      <w:lang w:eastAsia="en-US"/>
    </w:rPr>
  </w:style>
  <w:style w:type="character" w:customStyle="1" w:styleId="None">
    <w:name w:val="None"/>
    <w:rsid w:val="00BB42E0"/>
  </w:style>
  <w:style w:type="paragraph" w:customStyle="1" w:styleId="Bullet2b0">
    <w:name w:val="Bullet 2b"/>
    <w:basedOn w:val="ListBullet2"/>
    <w:link w:val="Bullet2bChar0"/>
    <w:qFormat/>
    <w:rsid w:val="00B13F44"/>
    <w:pPr>
      <w:spacing w:line="240" w:lineRule="auto"/>
    </w:pPr>
    <w:rPr>
      <w:rFonts w:eastAsiaTheme="majorEastAsia"/>
      <w:sz w:val="21"/>
      <w:szCs w:val="21"/>
    </w:rPr>
  </w:style>
  <w:style w:type="character" w:customStyle="1" w:styleId="Bullet2bChar0">
    <w:name w:val="Bullet 2b Char"/>
    <w:basedOn w:val="ListBullet2Char"/>
    <w:link w:val="Bullet2b0"/>
    <w:rsid w:val="00B13F44"/>
    <w:rPr>
      <w:rFonts w:ascii="Arial" w:eastAsiaTheme="majorEastAsia" w:hAnsi="Arial"/>
      <w:sz w:val="21"/>
      <w:szCs w:val="21"/>
    </w:rPr>
  </w:style>
  <w:style w:type="paragraph" w:customStyle="1" w:styleId="Footnotes">
    <w:name w:val="Footnotes"/>
    <w:basedOn w:val="Normal"/>
    <w:rsid w:val="00C34E9D"/>
    <w:pPr>
      <w:tabs>
        <w:tab w:val="num" w:pos="425"/>
      </w:tabs>
      <w:spacing w:before="180" w:after="180" w:line="240" w:lineRule="auto"/>
      <w:ind w:left="425" w:hanging="425"/>
      <w:contextualSpacing/>
    </w:pPr>
    <w:rPr>
      <w:rFonts w:cs="Arial"/>
      <w:sz w:val="18"/>
      <w:szCs w:val="20"/>
    </w:rPr>
  </w:style>
  <w:style w:type="paragraph" w:styleId="TOC5">
    <w:name w:val="toc 5"/>
    <w:basedOn w:val="Normal"/>
    <w:next w:val="Normal"/>
    <w:autoRedefine/>
    <w:semiHidden/>
    <w:unhideWhenUsed/>
    <w:rsid w:val="00C34E9D"/>
    <w:pPr>
      <w:tabs>
        <w:tab w:val="right" w:leader="dot" w:pos="9015"/>
      </w:tabs>
      <w:spacing w:before="120" w:after="80"/>
    </w:pPr>
    <w:rPr>
      <w:rFonts w:asciiTheme="minorHAnsi" w:hAnsiTheme="minorHAnsi"/>
    </w:rPr>
  </w:style>
  <w:style w:type="paragraph" w:styleId="NoteHeading">
    <w:name w:val="Note Heading"/>
    <w:basedOn w:val="Normal"/>
    <w:next w:val="Normal"/>
    <w:link w:val="NoteHeadingChar"/>
    <w:semiHidden/>
    <w:unhideWhenUsed/>
    <w:rsid w:val="00C34E9D"/>
    <w:pPr>
      <w:spacing w:line="240" w:lineRule="auto"/>
    </w:pPr>
    <w:rPr>
      <w:rFonts w:asciiTheme="minorHAnsi" w:hAnsiTheme="minorHAnsi"/>
    </w:rPr>
  </w:style>
  <w:style w:type="character" w:customStyle="1" w:styleId="NoteHeadingChar">
    <w:name w:val="Note Heading Char"/>
    <w:basedOn w:val="DefaultParagraphFont"/>
    <w:link w:val="NoteHeading"/>
    <w:semiHidden/>
    <w:rsid w:val="00C34E9D"/>
  </w:style>
  <w:style w:type="paragraph" w:styleId="DocumentMap">
    <w:name w:val="Document Map"/>
    <w:basedOn w:val="Normal"/>
    <w:link w:val="DocumentMapChar"/>
    <w:uiPriority w:val="39"/>
    <w:semiHidden/>
    <w:unhideWhenUsed/>
    <w:rsid w:val="00C34E9D"/>
    <w:pPr>
      <w:spacing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39"/>
    <w:semiHidden/>
    <w:rsid w:val="00C34E9D"/>
    <w:rPr>
      <w:rFonts w:ascii="Segoe UI" w:hAnsi="Segoe UI" w:cs="Segoe UI"/>
      <w:sz w:val="16"/>
      <w:szCs w:val="16"/>
    </w:rPr>
  </w:style>
  <w:style w:type="paragraph" w:styleId="BodyText3">
    <w:name w:val="Body Text 3"/>
    <w:basedOn w:val="Normal"/>
    <w:link w:val="BodyText3Char"/>
    <w:semiHidden/>
    <w:unhideWhenUsed/>
    <w:rsid w:val="00732ECD"/>
    <w:pPr>
      <w:spacing w:after="120"/>
    </w:pPr>
    <w:rPr>
      <w:sz w:val="16"/>
      <w:szCs w:val="16"/>
    </w:rPr>
  </w:style>
  <w:style w:type="character" w:customStyle="1" w:styleId="BodyText3Char">
    <w:name w:val="Body Text 3 Char"/>
    <w:basedOn w:val="DefaultParagraphFont"/>
    <w:link w:val="BodyText3"/>
    <w:uiPriority w:val="4"/>
    <w:semiHidden/>
    <w:rsid w:val="00732ECD"/>
    <w:rPr>
      <w:rFonts w:ascii="Arial" w:hAnsi="Arial"/>
      <w:sz w:val="16"/>
      <w:szCs w:val="16"/>
    </w:rPr>
  </w:style>
  <w:style w:type="table" w:styleId="DarkList-Accent1">
    <w:name w:val="Dark List Accent 1"/>
    <w:basedOn w:val="TableNormal"/>
    <w:uiPriority w:val="70"/>
    <w:rsid w:val="004154A3"/>
    <w:pPr>
      <w:spacing w:line="240" w:lineRule="auto"/>
    </w:pPr>
    <w:rPr>
      <w:rFonts w:ascii="Times New Roman" w:hAnsi="Times New Roman"/>
      <w:color w:val="FFFFFF" w:themeColor="background1"/>
      <w:sz w:val="20"/>
      <w:szCs w:val="20"/>
      <w:lang w:val="en-US" w:eastAsia="zh-CN"/>
    </w:rPr>
    <w:tblPr>
      <w:tblStyleRowBandSize w:val="1"/>
      <w:tblStyleColBandSize w:val="1"/>
    </w:tblPr>
    <w:tcPr>
      <w:shd w:val="clear" w:color="auto" w:fill="214C90"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02547"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18386B"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18386B" w:themeFill="accent1" w:themeFillShade="BF"/>
      </w:tcPr>
    </w:tblStylePr>
    <w:tblStylePr w:type="band1Vert">
      <w:tblPr/>
      <w:tcPr>
        <w:tcBorders>
          <w:top w:val="nil"/>
          <w:left w:val="nil"/>
          <w:bottom w:val="nil"/>
          <w:right w:val="nil"/>
          <w:insideH w:val="nil"/>
          <w:insideV w:val="nil"/>
        </w:tcBorders>
        <w:shd w:val="clear" w:color="auto" w:fill="18386B" w:themeFill="accent1" w:themeFillShade="BF"/>
      </w:tcPr>
    </w:tblStylePr>
    <w:tblStylePr w:type="band1Horz">
      <w:tblPr/>
      <w:tcPr>
        <w:tcBorders>
          <w:top w:val="nil"/>
          <w:left w:val="nil"/>
          <w:bottom w:val="nil"/>
          <w:right w:val="nil"/>
          <w:insideH w:val="nil"/>
          <w:insideV w:val="nil"/>
        </w:tcBorders>
        <w:shd w:val="clear" w:color="auto" w:fill="18386B" w:themeFill="accent1" w:themeFillShade="BF"/>
      </w:tcPr>
    </w:tblStylePr>
  </w:style>
  <w:style w:type="table" w:customStyle="1" w:styleId="NERATable">
    <w:name w:val="NERA Table"/>
    <w:basedOn w:val="TableNormal"/>
    <w:uiPriority w:val="99"/>
    <w:rsid w:val="004154A3"/>
    <w:pPr>
      <w:spacing w:line="240" w:lineRule="auto"/>
    </w:pPr>
    <w:rPr>
      <w:rFonts w:ascii="Times New Roman" w:eastAsia="MS Mincho" w:hAnsi="Times New Roman"/>
      <w:sz w:val="20"/>
      <w:szCs w:val="20"/>
      <w:lang w:val="en-US" w:eastAsia="zh-CN"/>
    </w:rPr>
    <w:tblPr>
      <w:jc w:val="center"/>
    </w:tblPr>
    <w:trPr>
      <w:jc w:val="center"/>
    </w:trPr>
    <w:tblStylePr w:type="firstRow">
      <w:pPr>
        <w:wordWrap/>
        <w:spacing w:afterLines="0" w:after="60" w:afterAutospacing="0"/>
      </w:pPr>
      <w:rPr>
        <w:b/>
      </w:rPr>
      <w:tblPr/>
      <w:tcPr>
        <w:tcBorders>
          <w:bottom w:val="single" w:sz="4" w:space="0" w:color="auto"/>
        </w:tcBorders>
      </w:tcPr>
    </w:tblStylePr>
    <w:tblStylePr w:type="lastRow">
      <w:tblPr/>
      <w:tcPr>
        <w:tcBorders>
          <w:bottom w:val="single" w:sz="4" w:space="0" w:color="auto"/>
        </w:tcBorders>
      </w:tcPr>
    </w:tblStylePr>
    <w:tblStylePr w:type="firstCol">
      <w:rPr>
        <w:b w:val="0"/>
      </w:rPr>
      <w:tblPr/>
      <w:tcPr>
        <w:tcBorders>
          <w:top w:val="nil"/>
          <w:left w:val="nil"/>
          <w:bottom w:val="nil"/>
          <w:right w:val="nil"/>
          <w:insideH w:val="nil"/>
          <w:insideV w:val="nil"/>
          <w:tl2br w:val="nil"/>
          <w:tr2bl w:val="nil"/>
        </w:tcBorders>
      </w:tcPr>
    </w:tblStylePr>
  </w:style>
  <w:style w:type="paragraph" w:customStyle="1" w:styleId="Exhibit">
    <w:name w:val="Exhibit"/>
    <w:basedOn w:val="Normal"/>
    <w:next w:val="Normal"/>
    <w:qFormat/>
    <w:rsid w:val="00A94C5D"/>
    <w:pPr>
      <w:keepLines/>
      <w:numPr>
        <w:numId w:val="28"/>
      </w:numPr>
      <w:spacing w:after="260" w:line="240" w:lineRule="auto"/>
    </w:pPr>
    <w:rPr>
      <w:rFonts w:asciiTheme="minorHAnsi" w:eastAsiaTheme="minorEastAsia" w:hAnsiTheme="minorHAnsi" w:cstheme="minorBidi"/>
      <w:i/>
      <w:sz w:val="24"/>
      <w:szCs w:val="24"/>
      <w:lang w:val="en-GB" w:eastAsia="ja-JP"/>
    </w:rPr>
  </w:style>
  <w:style w:type="numbering" w:customStyle="1" w:styleId="HeadingsList">
    <w:name w:val="Headings List"/>
    <w:uiPriority w:val="99"/>
    <w:rsid w:val="00735C04"/>
    <w:pPr>
      <w:numPr>
        <w:numId w:val="29"/>
      </w:numPr>
    </w:pPr>
  </w:style>
  <w:style w:type="character" w:customStyle="1" w:styleId="UnresolvedMention">
    <w:name w:val="Unresolved Mention"/>
    <w:basedOn w:val="DefaultParagraphFont"/>
    <w:uiPriority w:val="99"/>
    <w:semiHidden/>
    <w:unhideWhenUsed/>
    <w:rsid w:val="008F3C8D"/>
    <w:rPr>
      <w:color w:val="808080"/>
      <w:shd w:val="clear" w:color="auto" w:fill="E6E6E6"/>
    </w:rPr>
  </w:style>
  <w:style w:type="paragraph" w:customStyle="1" w:styleId="Bullet1">
    <w:name w:val="Bullet 1"/>
    <w:basedOn w:val="ListParagraph"/>
    <w:link w:val="Bullet1Char"/>
    <w:qFormat/>
    <w:rsid w:val="00525115"/>
    <w:pPr>
      <w:numPr>
        <w:numId w:val="41"/>
      </w:numPr>
      <w:spacing w:after="240" w:line="276" w:lineRule="auto"/>
      <w:ind w:left="357" w:hanging="357"/>
      <w:contextualSpacing w:val="0"/>
      <w:jc w:val="both"/>
    </w:pPr>
    <w:rPr>
      <w:rFonts w:ascii="Times New Roman" w:eastAsia="MS Mincho" w:hAnsi="Times New Roman"/>
      <w:sz w:val="24"/>
      <w:szCs w:val="20"/>
      <w:lang w:val="en-GB" w:eastAsia="ja-JP"/>
    </w:rPr>
  </w:style>
  <w:style w:type="character" w:customStyle="1" w:styleId="Bullet1Char">
    <w:name w:val="Bullet 1 Char"/>
    <w:basedOn w:val="ListParagraphChar"/>
    <w:link w:val="Bullet1"/>
    <w:rsid w:val="00525115"/>
    <w:rPr>
      <w:rFonts w:ascii="Times New Roman" w:eastAsia="MS Mincho" w:hAnsi="Times New Roman"/>
      <w:sz w:val="24"/>
      <w:szCs w:val="20"/>
      <w:lang w:val="en-GB" w:eastAsia="ja-JP"/>
    </w:rPr>
  </w:style>
  <w:style w:type="character" w:customStyle="1" w:styleId="CaptionChar">
    <w:name w:val="Caption Char"/>
    <w:basedOn w:val="DefaultParagraphFont"/>
    <w:link w:val="Caption"/>
    <w:rsid w:val="00525115"/>
    <w:rPr>
      <w:rFonts w:ascii="Arial" w:eastAsiaTheme="minorHAnsi" w:hAnsi="Arial" w:cstheme="minorBidi"/>
      <w:b/>
      <w:bCs/>
      <w:lang w:eastAsia="fr-CA"/>
    </w:rPr>
  </w:style>
  <w:style w:type="paragraph" w:customStyle="1" w:styleId="ListBullets">
    <w:name w:val="List Bullets"/>
    <w:basedOn w:val="List"/>
    <w:link w:val="ListBulletsChar"/>
    <w:rsid w:val="00525115"/>
    <w:pPr>
      <w:widowControl w:val="0"/>
      <w:numPr>
        <w:numId w:val="42"/>
      </w:numPr>
      <w:autoSpaceDE w:val="0"/>
      <w:autoSpaceDN w:val="0"/>
      <w:adjustRightInd w:val="0"/>
      <w:spacing w:after="240" w:line="240" w:lineRule="auto"/>
      <w:contextualSpacing w:val="0"/>
      <w:textboxTightWrap w:val="allLines"/>
    </w:pPr>
    <w:rPr>
      <w:rFonts w:ascii="Times New Roman" w:hAnsi="Times New Roman"/>
      <w:sz w:val="24"/>
      <w:szCs w:val="24"/>
      <w:lang w:eastAsia="en-US"/>
    </w:rPr>
  </w:style>
  <w:style w:type="character" w:customStyle="1" w:styleId="ListBulletsChar">
    <w:name w:val="List Bullets Char"/>
    <w:basedOn w:val="DefaultParagraphFont"/>
    <w:link w:val="ListBullets"/>
    <w:rsid w:val="00525115"/>
    <w:rPr>
      <w:rFonts w:ascii="Times New Roman" w:hAnsi="Times New Roman"/>
      <w:sz w:val="24"/>
      <w:szCs w:val="24"/>
      <w:lang w:eastAsia="en-US"/>
    </w:rPr>
  </w:style>
  <w:style w:type="paragraph" w:styleId="List">
    <w:name w:val="List"/>
    <w:basedOn w:val="Normal"/>
    <w:semiHidden/>
    <w:unhideWhenUsed/>
    <w:rsid w:val="00525115"/>
    <w:pPr>
      <w:ind w:left="283" w:hanging="283"/>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603572">
      <w:bodyDiv w:val="1"/>
      <w:marLeft w:val="0"/>
      <w:marRight w:val="0"/>
      <w:marTop w:val="0"/>
      <w:marBottom w:val="0"/>
      <w:divBdr>
        <w:top w:val="none" w:sz="0" w:space="0" w:color="auto"/>
        <w:left w:val="none" w:sz="0" w:space="0" w:color="auto"/>
        <w:bottom w:val="none" w:sz="0" w:space="0" w:color="auto"/>
        <w:right w:val="none" w:sz="0" w:space="0" w:color="auto"/>
      </w:divBdr>
      <w:divsChild>
        <w:div w:id="1574465123">
          <w:marLeft w:val="0"/>
          <w:marRight w:val="0"/>
          <w:marTop w:val="0"/>
          <w:marBottom w:val="0"/>
          <w:divBdr>
            <w:top w:val="none" w:sz="0" w:space="0" w:color="auto"/>
            <w:left w:val="none" w:sz="0" w:space="0" w:color="auto"/>
            <w:bottom w:val="none" w:sz="0" w:space="0" w:color="auto"/>
            <w:right w:val="none" w:sz="0" w:space="0" w:color="auto"/>
          </w:divBdr>
          <w:divsChild>
            <w:div w:id="1446270511">
              <w:marLeft w:val="-225"/>
              <w:marRight w:val="-225"/>
              <w:marTop w:val="0"/>
              <w:marBottom w:val="0"/>
              <w:divBdr>
                <w:top w:val="none" w:sz="0" w:space="0" w:color="auto"/>
                <w:left w:val="none" w:sz="0" w:space="0" w:color="auto"/>
                <w:bottom w:val="none" w:sz="0" w:space="0" w:color="auto"/>
                <w:right w:val="none" w:sz="0" w:space="0" w:color="auto"/>
              </w:divBdr>
            </w:div>
          </w:divsChild>
        </w:div>
      </w:divsChild>
    </w:div>
    <w:div w:id="56514405">
      <w:bodyDiv w:val="1"/>
      <w:marLeft w:val="0"/>
      <w:marRight w:val="0"/>
      <w:marTop w:val="0"/>
      <w:marBottom w:val="0"/>
      <w:divBdr>
        <w:top w:val="none" w:sz="0" w:space="0" w:color="auto"/>
        <w:left w:val="none" w:sz="0" w:space="0" w:color="auto"/>
        <w:bottom w:val="none" w:sz="0" w:space="0" w:color="auto"/>
        <w:right w:val="none" w:sz="0" w:space="0" w:color="auto"/>
      </w:divBdr>
    </w:div>
    <w:div w:id="82846156">
      <w:bodyDiv w:val="1"/>
      <w:marLeft w:val="0"/>
      <w:marRight w:val="0"/>
      <w:marTop w:val="0"/>
      <w:marBottom w:val="0"/>
      <w:divBdr>
        <w:top w:val="none" w:sz="0" w:space="0" w:color="auto"/>
        <w:left w:val="none" w:sz="0" w:space="0" w:color="auto"/>
        <w:bottom w:val="none" w:sz="0" w:space="0" w:color="auto"/>
        <w:right w:val="none" w:sz="0" w:space="0" w:color="auto"/>
      </w:divBdr>
    </w:div>
    <w:div w:id="108211038">
      <w:bodyDiv w:val="1"/>
      <w:marLeft w:val="0"/>
      <w:marRight w:val="0"/>
      <w:marTop w:val="0"/>
      <w:marBottom w:val="0"/>
      <w:divBdr>
        <w:top w:val="none" w:sz="0" w:space="0" w:color="auto"/>
        <w:left w:val="none" w:sz="0" w:space="0" w:color="auto"/>
        <w:bottom w:val="none" w:sz="0" w:space="0" w:color="auto"/>
        <w:right w:val="none" w:sz="0" w:space="0" w:color="auto"/>
      </w:divBdr>
    </w:div>
    <w:div w:id="108933404">
      <w:bodyDiv w:val="1"/>
      <w:marLeft w:val="0"/>
      <w:marRight w:val="0"/>
      <w:marTop w:val="0"/>
      <w:marBottom w:val="0"/>
      <w:divBdr>
        <w:top w:val="none" w:sz="0" w:space="0" w:color="auto"/>
        <w:left w:val="none" w:sz="0" w:space="0" w:color="auto"/>
        <w:bottom w:val="none" w:sz="0" w:space="0" w:color="auto"/>
        <w:right w:val="none" w:sz="0" w:space="0" w:color="auto"/>
      </w:divBdr>
    </w:div>
    <w:div w:id="128862405">
      <w:bodyDiv w:val="1"/>
      <w:marLeft w:val="0"/>
      <w:marRight w:val="0"/>
      <w:marTop w:val="0"/>
      <w:marBottom w:val="0"/>
      <w:divBdr>
        <w:top w:val="none" w:sz="0" w:space="0" w:color="auto"/>
        <w:left w:val="none" w:sz="0" w:space="0" w:color="auto"/>
        <w:bottom w:val="none" w:sz="0" w:space="0" w:color="auto"/>
        <w:right w:val="none" w:sz="0" w:space="0" w:color="auto"/>
      </w:divBdr>
    </w:div>
    <w:div w:id="149255328">
      <w:bodyDiv w:val="1"/>
      <w:marLeft w:val="0"/>
      <w:marRight w:val="0"/>
      <w:marTop w:val="0"/>
      <w:marBottom w:val="0"/>
      <w:divBdr>
        <w:top w:val="none" w:sz="0" w:space="0" w:color="auto"/>
        <w:left w:val="none" w:sz="0" w:space="0" w:color="auto"/>
        <w:bottom w:val="none" w:sz="0" w:space="0" w:color="auto"/>
        <w:right w:val="none" w:sz="0" w:space="0" w:color="auto"/>
      </w:divBdr>
    </w:div>
    <w:div w:id="171145230">
      <w:bodyDiv w:val="1"/>
      <w:marLeft w:val="0"/>
      <w:marRight w:val="0"/>
      <w:marTop w:val="0"/>
      <w:marBottom w:val="0"/>
      <w:divBdr>
        <w:top w:val="none" w:sz="0" w:space="0" w:color="auto"/>
        <w:left w:val="none" w:sz="0" w:space="0" w:color="auto"/>
        <w:bottom w:val="none" w:sz="0" w:space="0" w:color="auto"/>
        <w:right w:val="none" w:sz="0" w:space="0" w:color="auto"/>
      </w:divBdr>
    </w:div>
    <w:div w:id="188567540">
      <w:bodyDiv w:val="1"/>
      <w:marLeft w:val="0"/>
      <w:marRight w:val="0"/>
      <w:marTop w:val="0"/>
      <w:marBottom w:val="0"/>
      <w:divBdr>
        <w:top w:val="none" w:sz="0" w:space="0" w:color="auto"/>
        <w:left w:val="none" w:sz="0" w:space="0" w:color="auto"/>
        <w:bottom w:val="none" w:sz="0" w:space="0" w:color="auto"/>
        <w:right w:val="none" w:sz="0" w:space="0" w:color="auto"/>
      </w:divBdr>
    </w:div>
    <w:div w:id="217205931">
      <w:bodyDiv w:val="1"/>
      <w:marLeft w:val="0"/>
      <w:marRight w:val="0"/>
      <w:marTop w:val="0"/>
      <w:marBottom w:val="0"/>
      <w:divBdr>
        <w:top w:val="none" w:sz="0" w:space="0" w:color="auto"/>
        <w:left w:val="none" w:sz="0" w:space="0" w:color="auto"/>
        <w:bottom w:val="none" w:sz="0" w:space="0" w:color="auto"/>
        <w:right w:val="none" w:sz="0" w:space="0" w:color="auto"/>
      </w:divBdr>
    </w:div>
    <w:div w:id="245505233">
      <w:bodyDiv w:val="1"/>
      <w:marLeft w:val="0"/>
      <w:marRight w:val="0"/>
      <w:marTop w:val="0"/>
      <w:marBottom w:val="0"/>
      <w:divBdr>
        <w:top w:val="none" w:sz="0" w:space="0" w:color="auto"/>
        <w:left w:val="none" w:sz="0" w:space="0" w:color="auto"/>
        <w:bottom w:val="none" w:sz="0" w:space="0" w:color="auto"/>
        <w:right w:val="none" w:sz="0" w:space="0" w:color="auto"/>
      </w:divBdr>
    </w:div>
    <w:div w:id="254674782">
      <w:bodyDiv w:val="1"/>
      <w:marLeft w:val="0"/>
      <w:marRight w:val="0"/>
      <w:marTop w:val="0"/>
      <w:marBottom w:val="0"/>
      <w:divBdr>
        <w:top w:val="none" w:sz="0" w:space="0" w:color="auto"/>
        <w:left w:val="none" w:sz="0" w:space="0" w:color="auto"/>
        <w:bottom w:val="none" w:sz="0" w:space="0" w:color="auto"/>
        <w:right w:val="none" w:sz="0" w:space="0" w:color="auto"/>
      </w:divBdr>
    </w:div>
    <w:div w:id="263197748">
      <w:bodyDiv w:val="1"/>
      <w:marLeft w:val="0"/>
      <w:marRight w:val="0"/>
      <w:marTop w:val="0"/>
      <w:marBottom w:val="0"/>
      <w:divBdr>
        <w:top w:val="none" w:sz="0" w:space="0" w:color="auto"/>
        <w:left w:val="none" w:sz="0" w:space="0" w:color="auto"/>
        <w:bottom w:val="none" w:sz="0" w:space="0" w:color="auto"/>
        <w:right w:val="none" w:sz="0" w:space="0" w:color="auto"/>
      </w:divBdr>
    </w:div>
    <w:div w:id="294725872">
      <w:bodyDiv w:val="1"/>
      <w:marLeft w:val="0"/>
      <w:marRight w:val="0"/>
      <w:marTop w:val="0"/>
      <w:marBottom w:val="0"/>
      <w:divBdr>
        <w:top w:val="none" w:sz="0" w:space="0" w:color="auto"/>
        <w:left w:val="none" w:sz="0" w:space="0" w:color="auto"/>
        <w:bottom w:val="none" w:sz="0" w:space="0" w:color="auto"/>
        <w:right w:val="none" w:sz="0" w:space="0" w:color="auto"/>
      </w:divBdr>
    </w:div>
    <w:div w:id="311563272">
      <w:bodyDiv w:val="1"/>
      <w:marLeft w:val="0"/>
      <w:marRight w:val="0"/>
      <w:marTop w:val="0"/>
      <w:marBottom w:val="0"/>
      <w:divBdr>
        <w:top w:val="none" w:sz="0" w:space="0" w:color="auto"/>
        <w:left w:val="none" w:sz="0" w:space="0" w:color="auto"/>
        <w:bottom w:val="none" w:sz="0" w:space="0" w:color="auto"/>
        <w:right w:val="none" w:sz="0" w:space="0" w:color="auto"/>
      </w:divBdr>
    </w:div>
    <w:div w:id="322588373">
      <w:bodyDiv w:val="1"/>
      <w:marLeft w:val="0"/>
      <w:marRight w:val="0"/>
      <w:marTop w:val="0"/>
      <w:marBottom w:val="0"/>
      <w:divBdr>
        <w:top w:val="none" w:sz="0" w:space="0" w:color="auto"/>
        <w:left w:val="none" w:sz="0" w:space="0" w:color="auto"/>
        <w:bottom w:val="none" w:sz="0" w:space="0" w:color="auto"/>
        <w:right w:val="none" w:sz="0" w:space="0" w:color="auto"/>
      </w:divBdr>
    </w:div>
    <w:div w:id="409888901">
      <w:bodyDiv w:val="1"/>
      <w:marLeft w:val="0"/>
      <w:marRight w:val="0"/>
      <w:marTop w:val="0"/>
      <w:marBottom w:val="0"/>
      <w:divBdr>
        <w:top w:val="none" w:sz="0" w:space="0" w:color="auto"/>
        <w:left w:val="none" w:sz="0" w:space="0" w:color="auto"/>
        <w:bottom w:val="none" w:sz="0" w:space="0" w:color="auto"/>
        <w:right w:val="none" w:sz="0" w:space="0" w:color="auto"/>
      </w:divBdr>
    </w:div>
    <w:div w:id="421492480">
      <w:bodyDiv w:val="1"/>
      <w:marLeft w:val="0"/>
      <w:marRight w:val="0"/>
      <w:marTop w:val="0"/>
      <w:marBottom w:val="0"/>
      <w:divBdr>
        <w:top w:val="none" w:sz="0" w:space="0" w:color="auto"/>
        <w:left w:val="none" w:sz="0" w:space="0" w:color="auto"/>
        <w:bottom w:val="none" w:sz="0" w:space="0" w:color="auto"/>
        <w:right w:val="none" w:sz="0" w:space="0" w:color="auto"/>
      </w:divBdr>
    </w:div>
    <w:div w:id="431633048">
      <w:bodyDiv w:val="1"/>
      <w:marLeft w:val="0"/>
      <w:marRight w:val="0"/>
      <w:marTop w:val="0"/>
      <w:marBottom w:val="0"/>
      <w:divBdr>
        <w:top w:val="none" w:sz="0" w:space="0" w:color="auto"/>
        <w:left w:val="none" w:sz="0" w:space="0" w:color="auto"/>
        <w:bottom w:val="none" w:sz="0" w:space="0" w:color="auto"/>
        <w:right w:val="none" w:sz="0" w:space="0" w:color="auto"/>
      </w:divBdr>
    </w:div>
    <w:div w:id="432239340">
      <w:bodyDiv w:val="1"/>
      <w:marLeft w:val="0"/>
      <w:marRight w:val="0"/>
      <w:marTop w:val="0"/>
      <w:marBottom w:val="0"/>
      <w:divBdr>
        <w:top w:val="none" w:sz="0" w:space="0" w:color="auto"/>
        <w:left w:val="none" w:sz="0" w:space="0" w:color="auto"/>
        <w:bottom w:val="none" w:sz="0" w:space="0" w:color="auto"/>
        <w:right w:val="none" w:sz="0" w:space="0" w:color="auto"/>
      </w:divBdr>
      <w:divsChild>
        <w:div w:id="1491100996">
          <w:marLeft w:val="0"/>
          <w:marRight w:val="0"/>
          <w:marTop w:val="180"/>
          <w:marBottom w:val="180"/>
          <w:divBdr>
            <w:top w:val="none" w:sz="0" w:space="0" w:color="auto"/>
            <w:left w:val="none" w:sz="0" w:space="0" w:color="auto"/>
            <w:bottom w:val="none" w:sz="0" w:space="0" w:color="auto"/>
            <w:right w:val="none" w:sz="0" w:space="0" w:color="auto"/>
          </w:divBdr>
          <w:divsChild>
            <w:div w:id="696081580">
              <w:marLeft w:val="-225"/>
              <w:marRight w:val="-225"/>
              <w:marTop w:val="0"/>
              <w:marBottom w:val="0"/>
              <w:divBdr>
                <w:top w:val="none" w:sz="0" w:space="0" w:color="auto"/>
                <w:left w:val="none" w:sz="0" w:space="0" w:color="auto"/>
                <w:bottom w:val="none" w:sz="0" w:space="0" w:color="auto"/>
                <w:right w:val="none" w:sz="0" w:space="0" w:color="auto"/>
              </w:divBdr>
              <w:divsChild>
                <w:div w:id="1273434157">
                  <w:marLeft w:val="0"/>
                  <w:marRight w:val="0"/>
                  <w:marTop w:val="0"/>
                  <w:marBottom w:val="0"/>
                  <w:divBdr>
                    <w:top w:val="none" w:sz="0" w:space="0" w:color="auto"/>
                    <w:left w:val="none" w:sz="0" w:space="0" w:color="auto"/>
                    <w:bottom w:val="none" w:sz="0" w:space="0" w:color="auto"/>
                    <w:right w:val="none" w:sz="0" w:space="0" w:color="auto"/>
                  </w:divBdr>
                  <w:divsChild>
                    <w:div w:id="1661808245">
                      <w:marLeft w:val="-225"/>
                      <w:marRight w:val="-225"/>
                      <w:marTop w:val="0"/>
                      <w:marBottom w:val="0"/>
                      <w:divBdr>
                        <w:top w:val="none" w:sz="0" w:space="0" w:color="auto"/>
                        <w:left w:val="none" w:sz="0" w:space="0" w:color="auto"/>
                        <w:bottom w:val="none" w:sz="0" w:space="0" w:color="auto"/>
                        <w:right w:val="none" w:sz="0" w:space="0" w:color="auto"/>
                      </w:divBdr>
                      <w:divsChild>
                        <w:div w:id="2135518722">
                          <w:marLeft w:val="0"/>
                          <w:marRight w:val="0"/>
                          <w:marTop w:val="0"/>
                          <w:marBottom w:val="0"/>
                          <w:divBdr>
                            <w:top w:val="none" w:sz="0" w:space="0" w:color="auto"/>
                            <w:left w:val="none" w:sz="0" w:space="0" w:color="auto"/>
                            <w:bottom w:val="none" w:sz="0" w:space="0" w:color="auto"/>
                            <w:right w:val="none" w:sz="0" w:space="0" w:color="auto"/>
                          </w:divBdr>
                          <w:divsChild>
                            <w:div w:id="437801079">
                              <w:marLeft w:val="0"/>
                              <w:marRight w:val="0"/>
                              <w:marTop w:val="0"/>
                              <w:marBottom w:val="0"/>
                              <w:divBdr>
                                <w:top w:val="none" w:sz="0" w:space="0" w:color="auto"/>
                                <w:left w:val="none" w:sz="0" w:space="0" w:color="auto"/>
                                <w:bottom w:val="none" w:sz="0" w:space="0" w:color="auto"/>
                                <w:right w:val="none" w:sz="0" w:space="0" w:color="auto"/>
                              </w:divBdr>
                              <w:divsChild>
                                <w:div w:id="1834174159">
                                  <w:marLeft w:val="0"/>
                                  <w:marRight w:val="0"/>
                                  <w:marTop w:val="0"/>
                                  <w:marBottom w:val="0"/>
                                  <w:divBdr>
                                    <w:top w:val="none" w:sz="0" w:space="0" w:color="auto"/>
                                    <w:left w:val="none" w:sz="0" w:space="0" w:color="auto"/>
                                    <w:bottom w:val="none" w:sz="0" w:space="0" w:color="auto"/>
                                    <w:right w:val="none" w:sz="0" w:space="0" w:color="auto"/>
                                  </w:divBdr>
                                  <w:divsChild>
                                    <w:div w:id="1711106365">
                                      <w:marLeft w:val="0"/>
                                      <w:marRight w:val="0"/>
                                      <w:marTop w:val="0"/>
                                      <w:marBottom w:val="0"/>
                                      <w:divBdr>
                                        <w:top w:val="none" w:sz="0" w:space="0" w:color="auto"/>
                                        <w:left w:val="none" w:sz="0" w:space="0" w:color="auto"/>
                                        <w:bottom w:val="none" w:sz="0" w:space="0" w:color="auto"/>
                                        <w:right w:val="none" w:sz="0" w:space="0" w:color="auto"/>
                                      </w:divBdr>
                                      <w:divsChild>
                                        <w:div w:id="10599798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435634065">
      <w:bodyDiv w:val="1"/>
      <w:marLeft w:val="0"/>
      <w:marRight w:val="0"/>
      <w:marTop w:val="0"/>
      <w:marBottom w:val="0"/>
      <w:divBdr>
        <w:top w:val="none" w:sz="0" w:space="0" w:color="auto"/>
        <w:left w:val="none" w:sz="0" w:space="0" w:color="auto"/>
        <w:bottom w:val="none" w:sz="0" w:space="0" w:color="auto"/>
        <w:right w:val="none" w:sz="0" w:space="0" w:color="auto"/>
      </w:divBdr>
    </w:div>
    <w:div w:id="496573682">
      <w:bodyDiv w:val="1"/>
      <w:marLeft w:val="0"/>
      <w:marRight w:val="0"/>
      <w:marTop w:val="0"/>
      <w:marBottom w:val="0"/>
      <w:divBdr>
        <w:top w:val="none" w:sz="0" w:space="0" w:color="auto"/>
        <w:left w:val="none" w:sz="0" w:space="0" w:color="auto"/>
        <w:bottom w:val="none" w:sz="0" w:space="0" w:color="auto"/>
        <w:right w:val="none" w:sz="0" w:space="0" w:color="auto"/>
      </w:divBdr>
    </w:div>
    <w:div w:id="504367595">
      <w:bodyDiv w:val="1"/>
      <w:marLeft w:val="0"/>
      <w:marRight w:val="0"/>
      <w:marTop w:val="0"/>
      <w:marBottom w:val="0"/>
      <w:divBdr>
        <w:top w:val="none" w:sz="0" w:space="0" w:color="auto"/>
        <w:left w:val="none" w:sz="0" w:space="0" w:color="auto"/>
        <w:bottom w:val="none" w:sz="0" w:space="0" w:color="auto"/>
        <w:right w:val="none" w:sz="0" w:space="0" w:color="auto"/>
      </w:divBdr>
    </w:div>
    <w:div w:id="523250720">
      <w:bodyDiv w:val="1"/>
      <w:marLeft w:val="0"/>
      <w:marRight w:val="0"/>
      <w:marTop w:val="0"/>
      <w:marBottom w:val="0"/>
      <w:divBdr>
        <w:top w:val="none" w:sz="0" w:space="0" w:color="auto"/>
        <w:left w:val="none" w:sz="0" w:space="0" w:color="auto"/>
        <w:bottom w:val="none" w:sz="0" w:space="0" w:color="auto"/>
        <w:right w:val="none" w:sz="0" w:space="0" w:color="auto"/>
      </w:divBdr>
    </w:div>
    <w:div w:id="539364512">
      <w:bodyDiv w:val="1"/>
      <w:marLeft w:val="0"/>
      <w:marRight w:val="0"/>
      <w:marTop w:val="0"/>
      <w:marBottom w:val="0"/>
      <w:divBdr>
        <w:top w:val="none" w:sz="0" w:space="0" w:color="auto"/>
        <w:left w:val="none" w:sz="0" w:space="0" w:color="auto"/>
        <w:bottom w:val="none" w:sz="0" w:space="0" w:color="auto"/>
        <w:right w:val="none" w:sz="0" w:space="0" w:color="auto"/>
      </w:divBdr>
      <w:divsChild>
        <w:div w:id="322315265">
          <w:marLeft w:val="547"/>
          <w:marRight w:val="0"/>
          <w:marTop w:val="180"/>
          <w:marBottom w:val="0"/>
          <w:divBdr>
            <w:top w:val="none" w:sz="0" w:space="0" w:color="auto"/>
            <w:left w:val="none" w:sz="0" w:space="0" w:color="auto"/>
            <w:bottom w:val="none" w:sz="0" w:space="0" w:color="auto"/>
            <w:right w:val="none" w:sz="0" w:space="0" w:color="auto"/>
          </w:divBdr>
        </w:div>
        <w:div w:id="1246694050">
          <w:marLeft w:val="547"/>
          <w:marRight w:val="0"/>
          <w:marTop w:val="180"/>
          <w:marBottom w:val="0"/>
          <w:divBdr>
            <w:top w:val="none" w:sz="0" w:space="0" w:color="auto"/>
            <w:left w:val="none" w:sz="0" w:space="0" w:color="auto"/>
            <w:bottom w:val="none" w:sz="0" w:space="0" w:color="auto"/>
            <w:right w:val="none" w:sz="0" w:space="0" w:color="auto"/>
          </w:divBdr>
        </w:div>
        <w:div w:id="1351029936">
          <w:marLeft w:val="547"/>
          <w:marRight w:val="0"/>
          <w:marTop w:val="180"/>
          <w:marBottom w:val="0"/>
          <w:divBdr>
            <w:top w:val="none" w:sz="0" w:space="0" w:color="auto"/>
            <w:left w:val="none" w:sz="0" w:space="0" w:color="auto"/>
            <w:bottom w:val="none" w:sz="0" w:space="0" w:color="auto"/>
            <w:right w:val="none" w:sz="0" w:space="0" w:color="auto"/>
          </w:divBdr>
        </w:div>
      </w:divsChild>
    </w:div>
    <w:div w:id="561791160">
      <w:bodyDiv w:val="1"/>
      <w:marLeft w:val="0"/>
      <w:marRight w:val="0"/>
      <w:marTop w:val="0"/>
      <w:marBottom w:val="0"/>
      <w:divBdr>
        <w:top w:val="none" w:sz="0" w:space="0" w:color="auto"/>
        <w:left w:val="none" w:sz="0" w:space="0" w:color="auto"/>
        <w:bottom w:val="none" w:sz="0" w:space="0" w:color="auto"/>
        <w:right w:val="none" w:sz="0" w:space="0" w:color="auto"/>
      </w:divBdr>
    </w:div>
    <w:div w:id="568734595">
      <w:bodyDiv w:val="1"/>
      <w:marLeft w:val="0"/>
      <w:marRight w:val="0"/>
      <w:marTop w:val="0"/>
      <w:marBottom w:val="0"/>
      <w:divBdr>
        <w:top w:val="none" w:sz="0" w:space="0" w:color="auto"/>
        <w:left w:val="none" w:sz="0" w:space="0" w:color="auto"/>
        <w:bottom w:val="none" w:sz="0" w:space="0" w:color="auto"/>
        <w:right w:val="none" w:sz="0" w:space="0" w:color="auto"/>
      </w:divBdr>
    </w:div>
    <w:div w:id="571768777">
      <w:bodyDiv w:val="1"/>
      <w:marLeft w:val="0"/>
      <w:marRight w:val="0"/>
      <w:marTop w:val="0"/>
      <w:marBottom w:val="0"/>
      <w:divBdr>
        <w:top w:val="none" w:sz="0" w:space="0" w:color="auto"/>
        <w:left w:val="none" w:sz="0" w:space="0" w:color="auto"/>
        <w:bottom w:val="none" w:sz="0" w:space="0" w:color="auto"/>
        <w:right w:val="none" w:sz="0" w:space="0" w:color="auto"/>
      </w:divBdr>
    </w:div>
    <w:div w:id="618150967">
      <w:bodyDiv w:val="1"/>
      <w:marLeft w:val="0"/>
      <w:marRight w:val="0"/>
      <w:marTop w:val="0"/>
      <w:marBottom w:val="0"/>
      <w:divBdr>
        <w:top w:val="none" w:sz="0" w:space="0" w:color="auto"/>
        <w:left w:val="none" w:sz="0" w:space="0" w:color="auto"/>
        <w:bottom w:val="none" w:sz="0" w:space="0" w:color="auto"/>
        <w:right w:val="none" w:sz="0" w:space="0" w:color="auto"/>
      </w:divBdr>
    </w:div>
    <w:div w:id="639698129">
      <w:bodyDiv w:val="1"/>
      <w:marLeft w:val="0"/>
      <w:marRight w:val="0"/>
      <w:marTop w:val="0"/>
      <w:marBottom w:val="0"/>
      <w:divBdr>
        <w:top w:val="none" w:sz="0" w:space="0" w:color="auto"/>
        <w:left w:val="none" w:sz="0" w:space="0" w:color="auto"/>
        <w:bottom w:val="none" w:sz="0" w:space="0" w:color="auto"/>
        <w:right w:val="none" w:sz="0" w:space="0" w:color="auto"/>
      </w:divBdr>
      <w:divsChild>
        <w:div w:id="2083944437">
          <w:marLeft w:val="446"/>
          <w:marRight w:val="0"/>
          <w:marTop w:val="180"/>
          <w:marBottom w:val="0"/>
          <w:divBdr>
            <w:top w:val="none" w:sz="0" w:space="0" w:color="auto"/>
            <w:left w:val="none" w:sz="0" w:space="0" w:color="auto"/>
            <w:bottom w:val="none" w:sz="0" w:space="0" w:color="auto"/>
            <w:right w:val="none" w:sz="0" w:space="0" w:color="auto"/>
          </w:divBdr>
        </w:div>
        <w:div w:id="536117246">
          <w:marLeft w:val="850"/>
          <w:marRight w:val="0"/>
          <w:marTop w:val="180"/>
          <w:marBottom w:val="0"/>
          <w:divBdr>
            <w:top w:val="none" w:sz="0" w:space="0" w:color="auto"/>
            <w:left w:val="none" w:sz="0" w:space="0" w:color="auto"/>
            <w:bottom w:val="none" w:sz="0" w:space="0" w:color="auto"/>
            <w:right w:val="none" w:sz="0" w:space="0" w:color="auto"/>
          </w:divBdr>
        </w:div>
        <w:div w:id="1407531565">
          <w:marLeft w:val="850"/>
          <w:marRight w:val="0"/>
          <w:marTop w:val="180"/>
          <w:marBottom w:val="0"/>
          <w:divBdr>
            <w:top w:val="none" w:sz="0" w:space="0" w:color="auto"/>
            <w:left w:val="none" w:sz="0" w:space="0" w:color="auto"/>
            <w:bottom w:val="none" w:sz="0" w:space="0" w:color="auto"/>
            <w:right w:val="none" w:sz="0" w:space="0" w:color="auto"/>
          </w:divBdr>
        </w:div>
        <w:div w:id="1531801222">
          <w:marLeft w:val="446"/>
          <w:marRight w:val="0"/>
          <w:marTop w:val="180"/>
          <w:marBottom w:val="0"/>
          <w:divBdr>
            <w:top w:val="none" w:sz="0" w:space="0" w:color="auto"/>
            <w:left w:val="none" w:sz="0" w:space="0" w:color="auto"/>
            <w:bottom w:val="none" w:sz="0" w:space="0" w:color="auto"/>
            <w:right w:val="none" w:sz="0" w:space="0" w:color="auto"/>
          </w:divBdr>
        </w:div>
      </w:divsChild>
    </w:div>
    <w:div w:id="640039007">
      <w:bodyDiv w:val="1"/>
      <w:marLeft w:val="0"/>
      <w:marRight w:val="0"/>
      <w:marTop w:val="0"/>
      <w:marBottom w:val="0"/>
      <w:divBdr>
        <w:top w:val="none" w:sz="0" w:space="0" w:color="auto"/>
        <w:left w:val="none" w:sz="0" w:space="0" w:color="auto"/>
        <w:bottom w:val="none" w:sz="0" w:space="0" w:color="auto"/>
        <w:right w:val="none" w:sz="0" w:space="0" w:color="auto"/>
      </w:divBdr>
      <w:divsChild>
        <w:div w:id="44180876">
          <w:marLeft w:val="446"/>
          <w:marRight w:val="0"/>
          <w:marTop w:val="120"/>
          <w:marBottom w:val="40"/>
          <w:divBdr>
            <w:top w:val="none" w:sz="0" w:space="0" w:color="auto"/>
            <w:left w:val="none" w:sz="0" w:space="0" w:color="auto"/>
            <w:bottom w:val="none" w:sz="0" w:space="0" w:color="auto"/>
            <w:right w:val="none" w:sz="0" w:space="0" w:color="auto"/>
          </w:divBdr>
        </w:div>
        <w:div w:id="327174997">
          <w:marLeft w:val="446"/>
          <w:marRight w:val="0"/>
          <w:marTop w:val="120"/>
          <w:marBottom w:val="40"/>
          <w:divBdr>
            <w:top w:val="none" w:sz="0" w:space="0" w:color="auto"/>
            <w:left w:val="none" w:sz="0" w:space="0" w:color="auto"/>
            <w:bottom w:val="none" w:sz="0" w:space="0" w:color="auto"/>
            <w:right w:val="none" w:sz="0" w:space="0" w:color="auto"/>
          </w:divBdr>
        </w:div>
        <w:div w:id="1364550895">
          <w:marLeft w:val="446"/>
          <w:marRight w:val="0"/>
          <w:marTop w:val="120"/>
          <w:marBottom w:val="40"/>
          <w:divBdr>
            <w:top w:val="none" w:sz="0" w:space="0" w:color="auto"/>
            <w:left w:val="none" w:sz="0" w:space="0" w:color="auto"/>
            <w:bottom w:val="none" w:sz="0" w:space="0" w:color="auto"/>
            <w:right w:val="none" w:sz="0" w:space="0" w:color="auto"/>
          </w:divBdr>
        </w:div>
        <w:div w:id="595359874">
          <w:marLeft w:val="446"/>
          <w:marRight w:val="0"/>
          <w:marTop w:val="120"/>
          <w:marBottom w:val="40"/>
          <w:divBdr>
            <w:top w:val="none" w:sz="0" w:space="0" w:color="auto"/>
            <w:left w:val="none" w:sz="0" w:space="0" w:color="auto"/>
            <w:bottom w:val="none" w:sz="0" w:space="0" w:color="auto"/>
            <w:right w:val="none" w:sz="0" w:space="0" w:color="auto"/>
          </w:divBdr>
        </w:div>
        <w:div w:id="525757292">
          <w:marLeft w:val="446"/>
          <w:marRight w:val="0"/>
          <w:marTop w:val="120"/>
          <w:marBottom w:val="160"/>
          <w:divBdr>
            <w:top w:val="none" w:sz="0" w:space="0" w:color="auto"/>
            <w:left w:val="none" w:sz="0" w:space="0" w:color="auto"/>
            <w:bottom w:val="none" w:sz="0" w:space="0" w:color="auto"/>
            <w:right w:val="none" w:sz="0" w:space="0" w:color="auto"/>
          </w:divBdr>
        </w:div>
      </w:divsChild>
    </w:div>
    <w:div w:id="646471961">
      <w:bodyDiv w:val="1"/>
      <w:marLeft w:val="0"/>
      <w:marRight w:val="0"/>
      <w:marTop w:val="0"/>
      <w:marBottom w:val="0"/>
      <w:divBdr>
        <w:top w:val="none" w:sz="0" w:space="0" w:color="auto"/>
        <w:left w:val="none" w:sz="0" w:space="0" w:color="auto"/>
        <w:bottom w:val="none" w:sz="0" w:space="0" w:color="auto"/>
        <w:right w:val="none" w:sz="0" w:space="0" w:color="auto"/>
      </w:divBdr>
    </w:div>
    <w:div w:id="678508385">
      <w:bodyDiv w:val="1"/>
      <w:marLeft w:val="0"/>
      <w:marRight w:val="0"/>
      <w:marTop w:val="0"/>
      <w:marBottom w:val="0"/>
      <w:divBdr>
        <w:top w:val="none" w:sz="0" w:space="0" w:color="auto"/>
        <w:left w:val="none" w:sz="0" w:space="0" w:color="auto"/>
        <w:bottom w:val="none" w:sz="0" w:space="0" w:color="auto"/>
        <w:right w:val="none" w:sz="0" w:space="0" w:color="auto"/>
      </w:divBdr>
      <w:divsChild>
        <w:div w:id="1361009442">
          <w:marLeft w:val="446"/>
          <w:marRight w:val="0"/>
          <w:marTop w:val="180"/>
          <w:marBottom w:val="0"/>
          <w:divBdr>
            <w:top w:val="none" w:sz="0" w:space="0" w:color="auto"/>
            <w:left w:val="none" w:sz="0" w:space="0" w:color="auto"/>
            <w:bottom w:val="none" w:sz="0" w:space="0" w:color="auto"/>
            <w:right w:val="none" w:sz="0" w:space="0" w:color="auto"/>
          </w:divBdr>
        </w:div>
        <w:div w:id="479880577">
          <w:marLeft w:val="446"/>
          <w:marRight w:val="0"/>
          <w:marTop w:val="180"/>
          <w:marBottom w:val="0"/>
          <w:divBdr>
            <w:top w:val="none" w:sz="0" w:space="0" w:color="auto"/>
            <w:left w:val="none" w:sz="0" w:space="0" w:color="auto"/>
            <w:bottom w:val="none" w:sz="0" w:space="0" w:color="auto"/>
            <w:right w:val="none" w:sz="0" w:space="0" w:color="auto"/>
          </w:divBdr>
        </w:div>
      </w:divsChild>
    </w:div>
    <w:div w:id="700135624">
      <w:bodyDiv w:val="1"/>
      <w:marLeft w:val="0"/>
      <w:marRight w:val="0"/>
      <w:marTop w:val="0"/>
      <w:marBottom w:val="0"/>
      <w:divBdr>
        <w:top w:val="none" w:sz="0" w:space="0" w:color="auto"/>
        <w:left w:val="none" w:sz="0" w:space="0" w:color="auto"/>
        <w:bottom w:val="none" w:sz="0" w:space="0" w:color="auto"/>
        <w:right w:val="none" w:sz="0" w:space="0" w:color="auto"/>
      </w:divBdr>
    </w:div>
    <w:div w:id="704871404">
      <w:bodyDiv w:val="1"/>
      <w:marLeft w:val="0"/>
      <w:marRight w:val="0"/>
      <w:marTop w:val="0"/>
      <w:marBottom w:val="0"/>
      <w:divBdr>
        <w:top w:val="none" w:sz="0" w:space="0" w:color="auto"/>
        <w:left w:val="none" w:sz="0" w:space="0" w:color="auto"/>
        <w:bottom w:val="none" w:sz="0" w:space="0" w:color="auto"/>
        <w:right w:val="none" w:sz="0" w:space="0" w:color="auto"/>
      </w:divBdr>
    </w:div>
    <w:div w:id="724062736">
      <w:bodyDiv w:val="1"/>
      <w:marLeft w:val="0"/>
      <w:marRight w:val="0"/>
      <w:marTop w:val="0"/>
      <w:marBottom w:val="0"/>
      <w:divBdr>
        <w:top w:val="none" w:sz="0" w:space="0" w:color="auto"/>
        <w:left w:val="none" w:sz="0" w:space="0" w:color="auto"/>
        <w:bottom w:val="none" w:sz="0" w:space="0" w:color="auto"/>
        <w:right w:val="none" w:sz="0" w:space="0" w:color="auto"/>
      </w:divBdr>
    </w:div>
    <w:div w:id="805270791">
      <w:bodyDiv w:val="1"/>
      <w:marLeft w:val="0"/>
      <w:marRight w:val="0"/>
      <w:marTop w:val="0"/>
      <w:marBottom w:val="0"/>
      <w:divBdr>
        <w:top w:val="none" w:sz="0" w:space="0" w:color="auto"/>
        <w:left w:val="none" w:sz="0" w:space="0" w:color="auto"/>
        <w:bottom w:val="none" w:sz="0" w:space="0" w:color="auto"/>
        <w:right w:val="none" w:sz="0" w:space="0" w:color="auto"/>
      </w:divBdr>
    </w:div>
    <w:div w:id="819229603">
      <w:bodyDiv w:val="1"/>
      <w:marLeft w:val="0"/>
      <w:marRight w:val="0"/>
      <w:marTop w:val="0"/>
      <w:marBottom w:val="0"/>
      <w:divBdr>
        <w:top w:val="none" w:sz="0" w:space="0" w:color="auto"/>
        <w:left w:val="none" w:sz="0" w:space="0" w:color="auto"/>
        <w:bottom w:val="none" w:sz="0" w:space="0" w:color="auto"/>
        <w:right w:val="none" w:sz="0" w:space="0" w:color="auto"/>
      </w:divBdr>
    </w:div>
    <w:div w:id="821039709">
      <w:bodyDiv w:val="1"/>
      <w:marLeft w:val="0"/>
      <w:marRight w:val="0"/>
      <w:marTop w:val="0"/>
      <w:marBottom w:val="0"/>
      <w:divBdr>
        <w:top w:val="none" w:sz="0" w:space="0" w:color="auto"/>
        <w:left w:val="none" w:sz="0" w:space="0" w:color="auto"/>
        <w:bottom w:val="none" w:sz="0" w:space="0" w:color="auto"/>
        <w:right w:val="none" w:sz="0" w:space="0" w:color="auto"/>
      </w:divBdr>
      <w:divsChild>
        <w:div w:id="1999651810">
          <w:marLeft w:val="547"/>
          <w:marRight w:val="0"/>
          <w:marTop w:val="180"/>
          <w:marBottom w:val="0"/>
          <w:divBdr>
            <w:top w:val="none" w:sz="0" w:space="0" w:color="auto"/>
            <w:left w:val="none" w:sz="0" w:space="0" w:color="auto"/>
            <w:bottom w:val="none" w:sz="0" w:space="0" w:color="auto"/>
            <w:right w:val="none" w:sz="0" w:space="0" w:color="auto"/>
          </w:divBdr>
        </w:div>
        <w:div w:id="2093428874">
          <w:marLeft w:val="547"/>
          <w:marRight w:val="0"/>
          <w:marTop w:val="180"/>
          <w:marBottom w:val="0"/>
          <w:divBdr>
            <w:top w:val="none" w:sz="0" w:space="0" w:color="auto"/>
            <w:left w:val="none" w:sz="0" w:space="0" w:color="auto"/>
            <w:bottom w:val="none" w:sz="0" w:space="0" w:color="auto"/>
            <w:right w:val="none" w:sz="0" w:space="0" w:color="auto"/>
          </w:divBdr>
        </w:div>
      </w:divsChild>
    </w:div>
    <w:div w:id="822700466">
      <w:bodyDiv w:val="1"/>
      <w:marLeft w:val="0"/>
      <w:marRight w:val="0"/>
      <w:marTop w:val="0"/>
      <w:marBottom w:val="0"/>
      <w:divBdr>
        <w:top w:val="none" w:sz="0" w:space="0" w:color="auto"/>
        <w:left w:val="none" w:sz="0" w:space="0" w:color="auto"/>
        <w:bottom w:val="none" w:sz="0" w:space="0" w:color="auto"/>
        <w:right w:val="none" w:sz="0" w:space="0" w:color="auto"/>
      </w:divBdr>
      <w:divsChild>
        <w:div w:id="958415966">
          <w:marLeft w:val="274"/>
          <w:marRight w:val="0"/>
          <w:marTop w:val="180"/>
          <w:marBottom w:val="0"/>
          <w:divBdr>
            <w:top w:val="none" w:sz="0" w:space="0" w:color="auto"/>
            <w:left w:val="none" w:sz="0" w:space="0" w:color="auto"/>
            <w:bottom w:val="none" w:sz="0" w:space="0" w:color="auto"/>
            <w:right w:val="none" w:sz="0" w:space="0" w:color="auto"/>
          </w:divBdr>
        </w:div>
        <w:div w:id="1297297328">
          <w:marLeft w:val="274"/>
          <w:marRight w:val="0"/>
          <w:marTop w:val="180"/>
          <w:marBottom w:val="0"/>
          <w:divBdr>
            <w:top w:val="none" w:sz="0" w:space="0" w:color="auto"/>
            <w:left w:val="none" w:sz="0" w:space="0" w:color="auto"/>
            <w:bottom w:val="none" w:sz="0" w:space="0" w:color="auto"/>
            <w:right w:val="none" w:sz="0" w:space="0" w:color="auto"/>
          </w:divBdr>
        </w:div>
        <w:div w:id="438179248">
          <w:marLeft w:val="274"/>
          <w:marRight w:val="0"/>
          <w:marTop w:val="180"/>
          <w:marBottom w:val="0"/>
          <w:divBdr>
            <w:top w:val="none" w:sz="0" w:space="0" w:color="auto"/>
            <w:left w:val="none" w:sz="0" w:space="0" w:color="auto"/>
            <w:bottom w:val="none" w:sz="0" w:space="0" w:color="auto"/>
            <w:right w:val="none" w:sz="0" w:space="0" w:color="auto"/>
          </w:divBdr>
        </w:div>
        <w:div w:id="341595036">
          <w:marLeft w:val="274"/>
          <w:marRight w:val="0"/>
          <w:marTop w:val="180"/>
          <w:marBottom w:val="0"/>
          <w:divBdr>
            <w:top w:val="none" w:sz="0" w:space="0" w:color="auto"/>
            <w:left w:val="none" w:sz="0" w:space="0" w:color="auto"/>
            <w:bottom w:val="none" w:sz="0" w:space="0" w:color="auto"/>
            <w:right w:val="none" w:sz="0" w:space="0" w:color="auto"/>
          </w:divBdr>
        </w:div>
      </w:divsChild>
    </w:div>
    <w:div w:id="864951816">
      <w:bodyDiv w:val="1"/>
      <w:marLeft w:val="0"/>
      <w:marRight w:val="0"/>
      <w:marTop w:val="0"/>
      <w:marBottom w:val="0"/>
      <w:divBdr>
        <w:top w:val="none" w:sz="0" w:space="0" w:color="auto"/>
        <w:left w:val="none" w:sz="0" w:space="0" w:color="auto"/>
        <w:bottom w:val="none" w:sz="0" w:space="0" w:color="auto"/>
        <w:right w:val="none" w:sz="0" w:space="0" w:color="auto"/>
      </w:divBdr>
    </w:div>
    <w:div w:id="904146266">
      <w:bodyDiv w:val="1"/>
      <w:marLeft w:val="0"/>
      <w:marRight w:val="0"/>
      <w:marTop w:val="0"/>
      <w:marBottom w:val="0"/>
      <w:divBdr>
        <w:top w:val="none" w:sz="0" w:space="0" w:color="auto"/>
        <w:left w:val="none" w:sz="0" w:space="0" w:color="auto"/>
        <w:bottom w:val="none" w:sz="0" w:space="0" w:color="auto"/>
        <w:right w:val="none" w:sz="0" w:space="0" w:color="auto"/>
      </w:divBdr>
      <w:divsChild>
        <w:div w:id="582568793">
          <w:marLeft w:val="547"/>
          <w:marRight w:val="0"/>
          <w:marTop w:val="180"/>
          <w:marBottom w:val="0"/>
          <w:divBdr>
            <w:top w:val="none" w:sz="0" w:space="0" w:color="auto"/>
            <w:left w:val="none" w:sz="0" w:space="0" w:color="auto"/>
            <w:bottom w:val="none" w:sz="0" w:space="0" w:color="auto"/>
            <w:right w:val="none" w:sz="0" w:space="0" w:color="auto"/>
          </w:divBdr>
        </w:div>
      </w:divsChild>
    </w:div>
    <w:div w:id="945694869">
      <w:bodyDiv w:val="1"/>
      <w:marLeft w:val="0"/>
      <w:marRight w:val="0"/>
      <w:marTop w:val="0"/>
      <w:marBottom w:val="0"/>
      <w:divBdr>
        <w:top w:val="none" w:sz="0" w:space="0" w:color="auto"/>
        <w:left w:val="none" w:sz="0" w:space="0" w:color="auto"/>
        <w:bottom w:val="none" w:sz="0" w:space="0" w:color="auto"/>
        <w:right w:val="none" w:sz="0" w:space="0" w:color="auto"/>
      </w:divBdr>
    </w:div>
    <w:div w:id="951400430">
      <w:bodyDiv w:val="1"/>
      <w:marLeft w:val="0"/>
      <w:marRight w:val="0"/>
      <w:marTop w:val="0"/>
      <w:marBottom w:val="0"/>
      <w:divBdr>
        <w:top w:val="none" w:sz="0" w:space="0" w:color="auto"/>
        <w:left w:val="none" w:sz="0" w:space="0" w:color="auto"/>
        <w:bottom w:val="none" w:sz="0" w:space="0" w:color="auto"/>
        <w:right w:val="none" w:sz="0" w:space="0" w:color="auto"/>
      </w:divBdr>
      <w:divsChild>
        <w:div w:id="869605576">
          <w:marLeft w:val="446"/>
          <w:marRight w:val="0"/>
          <w:marTop w:val="180"/>
          <w:marBottom w:val="0"/>
          <w:divBdr>
            <w:top w:val="none" w:sz="0" w:space="0" w:color="auto"/>
            <w:left w:val="none" w:sz="0" w:space="0" w:color="auto"/>
            <w:bottom w:val="none" w:sz="0" w:space="0" w:color="auto"/>
            <w:right w:val="none" w:sz="0" w:space="0" w:color="auto"/>
          </w:divBdr>
        </w:div>
        <w:div w:id="1962686439">
          <w:marLeft w:val="446"/>
          <w:marRight w:val="0"/>
          <w:marTop w:val="180"/>
          <w:marBottom w:val="0"/>
          <w:divBdr>
            <w:top w:val="none" w:sz="0" w:space="0" w:color="auto"/>
            <w:left w:val="none" w:sz="0" w:space="0" w:color="auto"/>
            <w:bottom w:val="none" w:sz="0" w:space="0" w:color="auto"/>
            <w:right w:val="none" w:sz="0" w:space="0" w:color="auto"/>
          </w:divBdr>
        </w:div>
      </w:divsChild>
    </w:div>
    <w:div w:id="959532131">
      <w:bodyDiv w:val="1"/>
      <w:marLeft w:val="0"/>
      <w:marRight w:val="0"/>
      <w:marTop w:val="0"/>
      <w:marBottom w:val="0"/>
      <w:divBdr>
        <w:top w:val="none" w:sz="0" w:space="0" w:color="auto"/>
        <w:left w:val="none" w:sz="0" w:space="0" w:color="auto"/>
        <w:bottom w:val="none" w:sz="0" w:space="0" w:color="auto"/>
        <w:right w:val="none" w:sz="0" w:space="0" w:color="auto"/>
      </w:divBdr>
    </w:div>
    <w:div w:id="1008017888">
      <w:bodyDiv w:val="1"/>
      <w:marLeft w:val="0"/>
      <w:marRight w:val="0"/>
      <w:marTop w:val="0"/>
      <w:marBottom w:val="0"/>
      <w:divBdr>
        <w:top w:val="none" w:sz="0" w:space="0" w:color="auto"/>
        <w:left w:val="none" w:sz="0" w:space="0" w:color="auto"/>
        <w:bottom w:val="none" w:sz="0" w:space="0" w:color="auto"/>
        <w:right w:val="none" w:sz="0" w:space="0" w:color="auto"/>
      </w:divBdr>
    </w:div>
    <w:div w:id="1024097335">
      <w:bodyDiv w:val="1"/>
      <w:marLeft w:val="0"/>
      <w:marRight w:val="0"/>
      <w:marTop w:val="0"/>
      <w:marBottom w:val="0"/>
      <w:divBdr>
        <w:top w:val="none" w:sz="0" w:space="0" w:color="auto"/>
        <w:left w:val="none" w:sz="0" w:space="0" w:color="auto"/>
        <w:bottom w:val="none" w:sz="0" w:space="0" w:color="auto"/>
        <w:right w:val="none" w:sz="0" w:space="0" w:color="auto"/>
      </w:divBdr>
    </w:div>
    <w:div w:id="1063403780">
      <w:bodyDiv w:val="1"/>
      <w:marLeft w:val="0"/>
      <w:marRight w:val="0"/>
      <w:marTop w:val="0"/>
      <w:marBottom w:val="0"/>
      <w:divBdr>
        <w:top w:val="none" w:sz="0" w:space="0" w:color="auto"/>
        <w:left w:val="none" w:sz="0" w:space="0" w:color="auto"/>
        <w:bottom w:val="none" w:sz="0" w:space="0" w:color="auto"/>
        <w:right w:val="none" w:sz="0" w:space="0" w:color="auto"/>
      </w:divBdr>
    </w:div>
    <w:div w:id="1088117647">
      <w:bodyDiv w:val="1"/>
      <w:marLeft w:val="0"/>
      <w:marRight w:val="0"/>
      <w:marTop w:val="0"/>
      <w:marBottom w:val="0"/>
      <w:divBdr>
        <w:top w:val="none" w:sz="0" w:space="0" w:color="auto"/>
        <w:left w:val="none" w:sz="0" w:space="0" w:color="auto"/>
        <w:bottom w:val="none" w:sz="0" w:space="0" w:color="auto"/>
        <w:right w:val="none" w:sz="0" w:space="0" w:color="auto"/>
      </w:divBdr>
    </w:div>
    <w:div w:id="1126512193">
      <w:bodyDiv w:val="1"/>
      <w:marLeft w:val="0"/>
      <w:marRight w:val="0"/>
      <w:marTop w:val="0"/>
      <w:marBottom w:val="0"/>
      <w:divBdr>
        <w:top w:val="none" w:sz="0" w:space="0" w:color="auto"/>
        <w:left w:val="none" w:sz="0" w:space="0" w:color="auto"/>
        <w:bottom w:val="none" w:sz="0" w:space="0" w:color="auto"/>
        <w:right w:val="none" w:sz="0" w:space="0" w:color="auto"/>
      </w:divBdr>
    </w:div>
    <w:div w:id="1151143047">
      <w:bodyDiv w:val="1"/>
      <w:marLeft w:val="0"/>
      <w:marRight w:val="0"/>
      <w:marTop w:val="0"/>
      <w:marBottom w:val="0"/>
      <w:divBdr>
        <w:top w:val="none" w:sz="0" w:space="0" w:color="auto"/>
        <w:left w:val="none" w:sz="0" w:space="0" w:color="auto"/>
        <w:bottom w:val="none" w:sz="0" w:space="0" w:color="auto"/>
        <w:right w:val="none" w:sz="0" w:space="0" w:color="auto"/>
      </w:divBdr>
    </w:div>
    <w:div w:id="1178613862">
      <w:bodyDiv w:val="1"/>
      <w:marLeft w:val="0"/>
      <w:marRight w:val="0"/>
      <w:marTop w:val="0"/>
      <w:marBottom w:val="0"/>
      <w:divBdr>
        <w:top w:val="none" w:sz="0" w:space="0" w:color="auto"/>
        <w:left w:val="none" w:sz="0" w:space="0" w:color="auto"/>
        <w:bottom w:val="none" w:sz="0" w:space="0" w:color="auto"/>
        <w:right w:val="none" w:sz="0" w:space="0" w:color="auto"/>
      </w:divBdr>
    </w:div>
    <w:div w:id="1190559184">
      <w:bodyDiv w:val="1"/>
      <w:marLeft w:val="0"/>
      <w:marRight w:val="0"/>
      <w:marTop w:val="0"/>
      <w:marBottom w:val="0"/>
      <w:divBdr>
        <w:top w:val="none" w:sz="0" w:space="0" w:color="auto"/>
        <w:left w:val="none" w:sz="0" w:space="0" w:color="auto"/>
        <w:bottom w:val="none" w:sz="0" w:space="0" w:color="auto"/>
        <w:right w:val="none" w:sz="0" w:space="0" w:color="auto"/>
      </w:divBdr>
    </w:div>
    <w:div w:id="1226335016">
      <w:bodyDiv w:val="1"/>
      <w:marLeft w:val="0"/>
      <w:marRight w:val="0"/>
      <w:marTop w:val="0"/>
      <w:marBottom w:val="0"/>
      <w:divBdr>
        <w:top w:val="none" w:sz="0" w:space="0" w:color="auto"/>
        <w:left w:val="none" w:sz="0" w:space="0" w:color="auto"/>
        <w:bottom w:val="none" w:sz="0" w:space="0" w:color="auto"/>
        <w:right w:val="none" w:sz="0" w:space="0" w:color="auto"/>
      </w:divBdr>
    </w:div>
    <w:div w:id="1264335977">
      <w:bodyDiv w:val="1"/>
      <w:marLeft w:val="0"/>
      <w:marRight w:val="0"/>
      <w:marTop w:val="0"/>
      <w:marBottom w:val="0"/>
      <w:divBdr>
        <w:top w:val="none" w:sz="0" w:space="0" w:color="auto"/>
        <w:left w:val="none" w:sz="0" w:space="0" w:color="auto"/>
        <w:bottom w:val="none" w:sz="0" w:space="0" w:color="auto"/>
        <w:right w:val="none" w:sz="0" w:space="0" w:color="auto"/>
      </w:divBdr>
    </w:div>
    <w:div w:id="1284729993">
      <w:bodyDiv w:val="1"/>
      <w:marLeft w:val="0"/>
      <w:marRight w:val="0"/>
      <w:marTop w:val="0"/>
      <w:marBottom w:val="0"/>
      <w:divBdr>
        <w:top w:val="none" w:sz="0" w:space="0" w:color="auto"/>
        <w:left w:val="none" w:sz="0" w:space="0" w:color="auto"/>
        <w:bottom w:val="none" w:sz="0" w:space="0" w:color="auto"/>
        <w:right w:val="none" w:sz="0" w:space="0" w:color="auto"/>
      </w:divBdr>
    </w:div>
    <w:div w:id="1308361619">
      <w:bodyDiv w:val="1"/>
      <w:marLeft w:val="0"/>
      <w:marRight w:val="0"/>
      <w:marTop w:val="0"/>
      <w:marBottom w:val="0"/>
      <w:divBdr>
        <w:top w:val="none" w:sz="0" w:space="0" w:color="auto"/>
        <w:left w:val="none" w:sz="0" w:space="0" w:color="auto"/>
        <w:bottom w:val="none" w:sz="0" w:space="0" w:color="auto"/>
        <w:right w:val="none" w:sz="0" w:space="0" w:color="auto"/>
      </w:divBdr>
    </w:div>
    <w:div w:id="1319185860">
      <w:bodyDiv w:val="1"/>
      <w:marLeft w:val="0"/>
      <w:marRight w:val="0"/>
      <w:marTop w:val="0"/>
      <w:marBottom w:val="0"/>
      <w:divBdr>
        <w:top w:val="none" w:sz="0" w:space="0" w:color="auto"/>
        <w:left w:val="none" w:sz="0" w:space="0" w:color="auto"/>
        <w:bottom w:val="none" w:sz="0" w:space="0" w:color="auto"/>
        <w:right w:val="none" w:sz="0" w:space="0" w:color="auto"/>
      </w:divBdr>
    </w:div>
    <w:div w:id="1329289588">
      <w:bodyDiv w:val="1"/>
      <w:marLeft w:val="0"/>
      <w:marRight w:val="0"/>
      <w:marTop w:val="0"/>
      <w:marBottom w:val="0"/>
      <w:divBdr>
        <w:top w:val="none" w:sz="0" w:space="0" w:color="auto"/>
        <w:left w:val="none" w:sz="0" w:space="0" w:color="auto"/>
        <w:bottom w:val="none" w:sz="0" w:space="0" w:color="auto"/>
        <w:right w:val="none" w:sz="0" w:space="0" w:color="auto"/>
      </w:divBdr>
    </w:div>
    <w:div w:id="1346397611">
      <w:bodyDiv w:val="1"/>
      <w:marLeft w:val="0"/>
      <w:marRight w:val="0"/>
      <w:marTop w:val="0"/>
      <w:marBottom w:val="0"/>
      <w:divBdr>
        <w:top w:val="none" w:sz="0" w:space="0" w:color="auto"/>
        <w:left w:val="none" w:sz="0" w:space="0" w:color="auto"/>
        <w:bottom w:val="none" w:sz="0" w:space="0" w:color="auto"/>
        <w:right w:val="none" w:sz="0" w:space="0" w:color="auto"/>
      </w:divBdr>
    </w:div>
    <w:div w:id="1408576459">
      <w:bodyDiv w:val="1"/>
      <w:marLeft w:val="0"/>
      <w:marRight w:val="0"/>
      <w:marTop w:val="0"/>
      <w:marBottom w:val="0"/>
      <w:divBdr>
        <w:top w:val="none" w:sz="0" w:space="0" w:color="auto"/>
        <w:left w:val="none" w:sz="0" w:space="0" w:color="auto"/>
        <w:bottom w:val="none" w:sz="0" w:space="0" w:color="auto"/>
        <w:right w:val="none" w:sz="0" w:space="0" w:color="auto"/>
      </w:divBdr>
    </w:div>
    <w:div w:id="1431583484">
      <w:bodyDiv w:val="1"/>
      <w:marLeft w:val="0"/>
      <w:marRight w:val="0"/>
      <w:marTop w:val="0"/>
      <w:marBottom w:val="0"/>
      <w:divBdr>
        <w:top w:val="none" w:sz="0" w:space="0" w:color="auto"/>
        <w:left w:val="none" w:sz="0" w:space="0" w:color="auto"/>
        <w:bottom w:val="none" w:sz="0" w:space="0" w:color="auto"/>
        <w:right w:val="none" w:sz="0" w:space="0" w:color="auto"/>
      </w:divBdr>
    </w:div>
    <w:div w:id="1498381950">
      <w:bodyDiv w:val="1"/>
      <w:marLeft w:val="0"/>
      <w:marRight w:val="0"/>
      <w:marTop w:val="0"/>
      <w:marBottom w:val="0"/>
      <w:divBdr>
        <w:top w:val="none" w:sz="0" w:space="0" w:color="auto"/>
        <w:left w:val="none" w:sz="0" w:space="0" w:color="auto"/>
        <w:bottom w:val="none" w:sz="0" w:space="0" w:color="auto"/>
        <w:right w:val="none" w:sz="0" w:space="0" w:color="auto"/>
      </w:divBdr>
      <w:divsChild>
        <w:div w:id="1576545230">
          <w:marLeft w:val="547"/>
          <w:marRight w:val="0"/>
          <w:marTop w:val="180"/>
          <w:marBottom w:val="0"/>
          <w:divBdr>
            <w:top w:val="none" w:sz="0" w:space="0" w:color="auto"/>
            <w:left w:val="none" w:sz="0" w:space="0" w:color="auto"/>
            <w:bottom w:val="none" w:sz="0" w:space="0" w:color="auto"/>
            <w:right w:val="none" w:sz="0" w:space="0" w:color="auto"/>
          </w:divBdr>
        </w:div>
        <w:div w:id="1301569873">
          <w:marLeft w:val="547"/>
          <w:marRight w:val="0"/>
          <w:marTop w:val="180"/>
          <w:marBottom w:val="0"/>
          <w:divBdr>
            <w:top w:val="none" w:sz="0" w:space="0" w:color="auto"/>
            <w:left w:val="none" w:sz="0" w:space="0" w:color="auto"/>
            <w:bottom w:val="none" w:sz="0" w:space="0" w:color="auto"/>
            <w:right w:val="none" w:sz="0" w:space="0" w:color="auto"/>
          </w:divBdr>
        </w:div>
        <w:div w:id="2095857987">
          <w:marLeft w:val="547"/>
          <w:marRight w:val="0"/>
          <w:marTop w:val="180"/>
          <w:marBottom w:val="0"/>
          <w:divBdr>
            <w:top w:val="none" w:sz="0" w:space="0" w:color="auto"/>
            <w:left w:val="none" w:sz="0" w:space="0" w:color="auto"/>
            <w:bottom w:val="none" w:sz="0" w:space="0" w:color="auto"/>
            <w:right w:val="none" w:sz="0" w:space="0" w:color="auto"/>
          </w:divBdr>
        </w:div>
        <w:div w:id="289363511">
          <w:marLeft w:val="1224"/>
          <w:marRight w:val="0"/>
          <w:marTop w:val="240"/>
          <w:marBottom w:val="0"/>
          <w:divBdr>
            <w:top w:val="none" w:sz="0" w:space="0" w:color="auto"/>
            <w:left w:val="none" w:sz="0" w:space="0" w:color="auto"/>
            <w:bottom w:val="none" w:sz="0" w:space="0" w:color="auto"/>
            <w:right w:val="none" w:sz="0" w:space="0" w:color="auto"/>
          </w:divBdr>
        </w:div>
        <w:div w:id="1812012576">
          <w:marLeft w:val="1224"/>
          <w:marRight w:val="0"/>
          <w:marTop w:val="240"/>
          <w:marBottom w:val="0"/>
          <w:divBdr>
            <w:top w:val="none" w:sz="0" w:space="0" w:color="auto"/>
            <w:left w:val="none" w:sz="0" w:space="0" w:color="auto"/>
            <w:bottom w:val="none" w:sz="0" w:space="0" w:color="auto"/>
            <w:right w:val="none" w:sz="0" w:space="0" w:color="auto"/>
          </w:divBdr>
        </w:div>
        <w:div w:id="674456366">
          <w:marLeft w:val="1555"/>
          <w:marRight w:val="0"/>
          <w:marTop w:val="240"/>
          <w:marBottom w:val="0"/>
          <w:divBdr>
            <w:top w:val="none" w:sz="0" w:space="0" w:color="auto"/>
            <w:left w:val="none" w:sz="0" w:space="0" w:color="auto"/>
            <w:bottom w:val="none" w:sz="0" w:space="0" w:color="auto"/>
            <w:right w:val="none" w:sz="0" w:space="0" w:color="auto"/>
          </w:divBdr>
        </w:div>
        <w:div w:id="46492877">
          <w:marLeft w:val="1469"/>
          <w:marRight w:val="0"/>
          <w:marTop w:val="240"/>
          <w:marBottom w:val="0"/>
          <w:divBdr>
            <w:top w:val="none" w:sz="0" w:space="0" w:color="auto"/>
            <w:left w:val="none" w:sz="0" w:space="0" w:color="auto"/>
            <w:bottom w:val="none" w:sz="0" w:space="0" w:color="auto"/>
            <w:right w:val="none" w:sz="0" w:space="0" w:color="auto"/>
          </w:divBdr>
        </w:div>
        <w:div w:id="1004818082">
          <w:marLeft w:val="1469"/>
          <w:marRight w:val="0"/>
          <w:marTop w:val="240"/>
          <w:marBottom w:val="0"/>
          <w:divBdr>
            <w:top w:val="none" w:sz="0" w:space="0" w:color="auto"/>
            <w:left w:val="none" w:sz="0" w:space="0" w:color="auto"/>
            <w:bottom w:val="none" w:sz="0" w:space="0" w:color="auto"/>
            <w:right w:val="none" w:sz="0" w:space="0" w:color="auto"/>
          </w:divBdr>
        </w:div>
        <w:div w:id="1021052987">
          <w:marLeft w:val="1224"/>
          <w:marRight w:val="0"/>
          <w:marTop w:val="240"/>
          <w:marBottom w:val="0"/>
          <w:divBdr>
            <w:top w:val="none" w:sz="0" w:space="0" w:color="auto"/>
            <w:left w:val="none" w:sz="0" w:space="0" w:color="auto"/>
            <w:bottom w:val="none" w:sz="0" w:space="0" w:color="auto"/>
            <w:right w:val="none" w:sz="0" w:space="0" w:color="auto"/>
          </w:divBdr>
        </w:div>
      </w:divsChild>
    </w:div>
    <w:div w:id="1500776798">
      <w:bodyDiv w:val="1"/>
      <w:marLeft w:val="0"/>
      <w:marRight w:val="0"/>
      <w:marTop w:val="0"/>
      <w:marBottom w:val="0"/>
      <w:divBdr>
        <w:top w:val="none" w:sz="0" w:space="0" w:color="auto"/>
        <w:left w:val="none" w:sz="0" w:space="0" w:color="auto"/>
        <w:bottom w:val="none" w:sz="0" w:space="0" w:color="auto"/>
        <w:right w:val="none" w:sz="0" w:space="0" w:color="auto"/>
      </w:divBdr>
    </w:div>
    <w:div w:id="1520392550">
      <w:bodyDiv w:val="1"/>
      <w:marLeft w:val="0"/>
      <w:marRight w:val="0"/>
      <w:marTop w:val="0"/>
      <w:marBottom w:val="0"/>
      <w:divBdr>
        <w:top w:val="none" w:sz="0" w:space="0" w:color="auto"/>
        <w:left w:val="none" w:sz="0" w:space="0" w:color="auto"/>
        <w:bottom w:val="none" w:sz="0" w:space="0" w:color="auto"/>
        <w:right w:val="none" w:sz="0" w:space="0" w:color="auto"/>
      </w:divBdr>
    </w:div>
    <w:div w:id="1559782349">
      <w:bodyDiv w:val="1"/>
      <w:marLeft w:val="0"/>
      <w:marRight w:val="0"/>
      <w:marTop w:val="0"/>
      <w:marBottom w:val="0"/>
      <w:divBdr>
        <w:top w:val="none" w:sz="0" w:space="0" w:color="auto"/>
        <w:left w:val="none" w:sz="0" w:space="0" w:color="auto"/>
        <w:bottom w:val="none" w:sz="0" w:space="0" w:color="auto"/>
        <w:right w:val="none" w:sz="0" w:space="0" w:color="auto"/>
      </w:divBdr>
    </w:div>
    <w:div w:id="1583416454">
      <w:bodyDiv w:val="1"/>
      <w:marLeft w:val="0"/>
      <w:marRight w:val="0"/>
      <w:marTop w:val="0"/>
      <w:marBottom w:val="0"/>
      <w:divBdr>
        <w:top w:val="none" w:sz="0" w:space="0" w:color="auto"/>
        <w:left w:val="none" w:sz="0" w:space="0" w:color="auto"/>
        <w:bottom w:val="none" w:sz="0" w:space="0" w:color="auto"/>
        <w:right w:val="none" w:sz="0" w:space="0" w:color="auto"/>
      </w:divBdr>
      <w:divsChild>
        <w:div w:id="2008633162">
          <w:marLeft w:val="0"/>
          <w:marRight w:val="0"/>
          <w:marTop w:val="180"/>
          <w:marBottom w:val="180"/>
          <w:divBdr>
            <w:top w:val="none" w:sz="0" w:space="0" w:color="auto"/>
            <w:left w:val="none" w:sz="0" w:space="0" w:color="auto"/>
            <w:bottom w:val="none" w:sz="0" w:space="0" w:color="auto"/>
            <w:right w:val="none" w:sz="0" w:space="0" w:color="auto"/>
          </w:divBdr>
          <w:divsChild>
            <w:div w:id="1584802605">
              <w:marLeft w:val="-225"/>
              <w:marRight w:val="-225"/>
              <w:marTop w:val="0"/>
              <w:marBottom w:val="0"/>
              <w:divBdr>
                <w:top w:val="none" w:sz="0" w:space="0" w:color="auto"/>
                <w:left w:val="none" w:sz="0" w:space="0" w:color="auto"/>
                <w:bottom w:val="none" w:sz="0" w:space="0" w:color="auto"/>
                <w:right w:val="none" w:sz="0" w:space="0" w:color="auto"/>
              </w:divBdr>
              <w:divsChild>
                <w:div w:id="1984505778">
                  <w:marLeft w:val="0"/>
                  <w:marRight w:val="0"/>
                  <w:marTop w:val="0"/>
                  <w:marBottom w:val="0"/>
                  <w:divBdr>
                    <w:top w:val="none" w:sz="0" w:space="0" w:color="auto"/>
                    <w:left w:val="none" w:sz="0" w:space="0" w:color="auto"/>
                    <w:bottom w:val="none" w:sz="0" w:space="0" w:color="auto"/>
                    <w:right w:val="none" w:sz="0" w:space="0" w:color="auto"/>
                  </w:divBdr>
                  <w:divsChild>
                    <w:div w:id="110899673">
                      <w:marLeft w:val="-225"/>
                      <w:marRight w:val="-225"/>
                      <w:marTop w:val="0"/>
                      <w:marBottom w:val="0"/>
                      <w:divBdr>
                        <w:top w:val="none" w:sz="0" w:space="0" w:color="auto"/>
                        <w:left w:val="none" w:sz="0" w:space="0" w:color="auto"/>
                        <w:bottom w:val="none" w:sz="0" w:space="0" w:color="auto"/>
                        <w:right w:val="none" w:sz="0" w:space="0" w:color="auto"/>
                      </w:divBdr>
                      <w:divsChild>
                        <w:div w:id="2126344320">
                          <w:marLeft w:val="0"/>
                          <w:marRight w:val="0"/>
                          <w:marTop w:val="0"/>
                          <w:marBottom w:val="0"/>
                          <w:divBdr>
                            <w:top w:val="none" w:sz="0" w:space="0" w:color="auto"/>
                            <w:left w:val="none" w:sz="0" w:space="0" w:color="auto"/>
                            <w:bottom w:val="none" w:sz="0" w:space="0" w:color="auto"/>
                            <w:right w:val="none" w:sz="0" w:space="0" w:color="auto"/>
                          </w:divBdr>
                          <w:divsChild>
                            <w:div w:id="1420710697">
                              <w:marLeft w:val="0"/>
                              <w:marRight w:val="0"/>
                              <w:marTop w:val="0"/>
                              <w:marBottom w:val="0"/>
                              <w:divBdr>
                                <w:top w:val="none" w:sz="0" w:space="0" w:color="auto"/>
                                <w:left w:val="none" w:sz="0" w:space="0" w:color="auto"/>
                                <w:bottom w:val="none" w:sz="0" w:space="0" w:color="auto"/>
                                <w:right w:val="none" w:sz="0" w:space="0" w:color="auto"/>
                              </w:divBdr>
                              <w:divsChild>
                                <w:div w:id="1447431097">
                                  <w:marLeft w:val="0"/>
                                  <w:marRight w:val="0"/>
                                  <w:marTop w:val="0"/>
                                  <w:marBottom w:val="0"/>
                                  <w:divBdr>
                                    <w:top w:val="none" w:sz="0" w:space="0" w:color="auto"/>
                                    <w:left w:val="none" w:sz="0" w:space="0" w:color="auto"/>
                                    <w:bottom w:val="none" w:sz="0" w:space="0" w:color="auto"/>
                                    <w:right w:val="none" w:sz="0" w:space="0" w:color="auto"/>
                                  </w:divBdr>
                                  <w:divsChild>
                                    <w:div w:id="2086419072">
                                      <w:marLeft w:val="0"/>
                                      <w:marRight w:val="0"/>
                                      <w:marTop w:val="0"/>
                                      <w:marBottom w:val="0"/>
                                      <w:divBdr>
                                        <w:top w:val="none" w:sz="0" w:space="0" w:color="auto"/>
                                        <w:left w:val="none" w:sz="0" w:space="0" w:color="auto"/>
                                        <w:bottom w:val="none" w:sz="0" w:space="0" w:color="auto"/>
                                        <w:right w:val="none" w:sz="0" w:space="0" w:color="auto"/>
                                      </w:divBdr>
                                      <w:divsChild>
                                        <w:div w:id="2112242793">
                                          <w:marLeft w:val="0"/>
                                          <w:marRight w:val="0"/>
                                          <w:marTop w:val="0"/>
                                          <w:marBottom w:val="0"/>
                                          <w:divBdr>
                                            <w:top w:val="none" w:sz="0" w:space="0" w:color="auto"/>
                                            <w:left w:val="none" w:sz="0" w:space="0" w:color="auto"/>
                                            <w:bottom w:val="none" w:sz="0" w:space="0" w:color="auto"/>
                                            <w:right w:val="none" w:sz="0" w:space="0" w:color="auto"/>
                                          </w:divBdr>
                                          <w:divsChild>
                                            <w:div w:id="1828551158">
                                              <w:marLeft w:val="0"/>
                                              <w:marRight w:val="0"/>
                                              <w:marTop w:val="0"/>
                                              <w:marBottom w:val="0"/>
                                              <w:divBdr>
                                                <w:top w:val="none" w:sz="0" w:space="0" w:color="auto"/>
                                                <w:left w:val="none" w:sz="0" w:space="0" w:color="auto"/>
                                                <w:bottom w:val="none" w:sz="0" w:space="0" w:color="auto"/>
                                                <w:right w:val="none" w:sz="0" w:space="0" w:color="auto"/>
                                              </w:divBdr>
                                              <w:divsChild>
                                                <w:div w:id="613100396">
                                                  <w:marLeft w:val="0"/>
                                                  <w:marRight w:val="0"/>
                                                  <w:marTop w:val="0"/>
                                                  <w:marBottom w:val="0"/>
                                                  <w:divBdr>
                                                    <w:top w:val="none" w:sz="0" w:space="0" w:color="auto"/>
                                                    <w:left w:val="none" w:sz="0" w:space="0" w:color="auto"/>
                                                    <w:bottom w:val="none" w:sz="0" w:space="0" w:color="auto"/>
                                                    <w:right w:val="none" w:sz="0" w:space="0" w:color="auto"/>
                                                  </w:divBdr>
                                                  <w:divsChild>
                                                    <w:div w:id="9042681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588422897">
      <w:bodyDiv w:val="1"/>
      <w:marLeft w:val="0"/>
      <w:marRight w:val="0"/>
      <w:marTop w:val="0"/>
      <w:marBottom w:val="0"/>
      <w:divBdr>
        <w:top w:val="none" w:sz="0" w:space="0" w:color="auto"/>
        <w:left w:val="none" w:sz="0" w:space="0" w:color="auto"/>
        <w:bottom w:val="none" w:sz="0" w:space="0" w:color="auto"/>
        <w:right w:val="none" w:sz="0" w:space="0" w:color="auto"/>
      </w:divBdr>
    </w:div>
    <w:div w:id="1640065814">
      <w:bodyDiv w:val="1"/>
      <w:marLeft w:val="0"/>
      <w:marRight w:val="0"/>
      <w:marTop w:val="0"/>
      <w:marBottom w:val="0"/>
      <w:divBdr>
        <w:top w:val="none" w:sz="0" w:space="0" w:color="auto"/>
        <w:left w:val="none" w:sz="0" w:space="0" w:color="auto"/>
        <w:bottom w:val="none" w:sz="0" w:space="0" w:color="auto"/>
        <w:right w:val="none" w:sz="0" w:space="0" w:color="auto"/>
      </w:divBdr>
    </w:div>
    <w:div w:id="1641881971">
      <w:bodyDiv w:val="1"/>
      <w:marLeft w:val="0"/>
      <w:marRight w:val="0"/>
      <w:marTop w:val="0"/>
      <w:marBottom w:val="0"/>
      <w:divBdr>
        <w:top w:val="none" w:sz="0" w:space="0" w:color="auto"/>
        <w:left w:val="none" w:sz="0" w:space="0" w:color="auto"/>
        <w:bottom w:val="none" w:sz="0" w:space="0" w:color="auto"/>
        <w:right w:val="none" w:sz="0" w:space="0" w:color="auto"/>
      </w:divBdr>
    </w:div>
    <w:div w:id="1659378450">
      <w:bodyDiv w:val="1"/>
      <w:marLeft w:val="0"/>
      <w:marRight w:val="0"/>
      <w:marTop w:val="0"/>
      <w:marBottom w:val="0"/>
      <w:divBdr>
        <w:top w:val="none" w:sz="0" w:space="0" w:color="auto"/>
        <w:left w:val="none" w:sz="0" w:space="0" w:color="auto"/>
        <w:bottom w:val="none" w:sz="0" w:space="0" w:color="auto"/>
        <w:right w:val="none" w:sz="0" w:space="0" w:color="auto"/>
      </w:divBdr>
    </w:div>
    <w:div w:id="1672021840">
      <w:bodyDiv w:val="1"/>
      <w:marLeft w:val="0"/>
      <w:marRight w:val="0"/>
      <w:marTop w:val="0"/>
      <w:marBottom w:val="0"/>
      <w:divBdr>
        <w:top w:val="none" w:sz="0" w:space="0" w:color="auto"/>
        <w:left w:val="none" w:sz="0" w:space="0" w:color="auto"/>
        <w:bottom w:val="none" w:sz="0" w:space="0" w:color="auto"/>
        <w:right w:val="none" w:sz="0" w:space="0" w:color="auto"/>
      </w:divBdr>
    </w:div>
    <w:div w:id="1677269500">
      <w:bodyDiv w:val="1"/>
      <w:marLeft w:val="0"/>
      <w:marRight w:val="0"/>
      <w:marTop w:val="0"/>
      <w:marBottom w:val="0"/>
      <w:divBdr>
        <w:top w:val="none" w:sz="0" w:space="0" w:color="auto"/>
        <w:left w:val="none" w:sz="0" w:space="0" w:color="auto"/>
        <w:bottom w:val="none" w:sz="0" w:space="0" w:color="auto"/>
        <w:right w:val="none" w:sz="0" w:space="0" w:color="auto"/>
      </w:divBdr>
      <w:divsChild>
        <w:div w:id="1869684483">
          <w:marLeft w:val="446"/>
          <w:marRight w:val="0"/>
          <w:marTop w:val="180"/>
          <w:marBottom w:val="0"/>
          <w:divBdr>
            <w:top w:val="none" w:sz="0" w:space="0" w:color="auto"/>
            <w:left w:val="none" w:sz="0" w:space="0" w:color="auto"/>
            <w:bottom w:val="none" w:sz="0" w:space="0" w:color="auto"/>
            <w:right w:val="none" w:sz="0" w:space="0" w:color="auto"/>
          </w:divBdr>
        </w:div>
        <w:div w:id="126049069">
          <w:marLeft w:val="446"/>
          <w:marRight w:val="0"/>
          <w:marTop w:val="180"/>
          <w:marBottom w:val="0"/>
          <w:divBdr>
            <w:top w:val="none" w:sz="0" w:space="0" w:color="auto"/>
            <w:left w:val="none" w:sz="0" w:space="0" w:color="auto"/>
            <w:bottom w:val="none" w:sz="0" w:space="0" w:color="auto"/>
            <w:right w:val="none" w:sz="0" w:space="0" w:color="auto"/>
          </w:divBdr>
        </w:div>
        <w:div w:id="2064672884">
          <w:marLeft w:val="446"/>
          <w:marRight w:val="0"/>
          <w:marTop w:val="180"/>
          <w:marBottom w:val="0"/>
          <w:divBdr>
            <w:top w:val="none" w:sz="0" w:space="0" w:color="auto"/>
            <w:left w:val="none" w:sz="0" w:space="0" w:color="auto"/>
            <w:bottom w:val="none" w:sz="0" w:space="0" w:color="auto"/>
            <w:right w:val="none" w:sz="0" w:space="0" w:color="auto"/>
          </w:divBdr>
        </w:div>
        <w:div w:id="468088579">
          <w:marLeft w:val="446"/>
          <w:marRight w:val="0"/>
          <w:marTop w:val="180"/>
          <w:marBottom w:val="0"/>
          <w:divBdr>
            <w:top w:val="none" w:sz="0" w:space="0" w:color="auto"/>
            <w:left w:val="none" w:sz="0" w:space="0" w:color="auto"/>
            <w:bottom w:val="none" w:sz="0" w:space="0" w:color="auto"/>
            <w:right w:val="none" w:sz="0" w:space="0" w:color="auto"/>
          </w:divBdr>
        </w:div>
        <w:div w:id="1537966003">
          <w:marLeft w:val="446"/>
          <w:marRight w:val="0"/>
          <w:marTop w:val="180"/>
          <w:marBottom w:val="0"/>
          <w:divBdr>
            <w:top w:val="none" w:sz="0" w:space="0" w:color="auto"/>
            <w:left w:val="none" w:sz="0" w:space="0" w:color="auto"/>
            <w:bottom w:val="none" w:sz="0" w:space="0" w:color="auto"/>
            <w:right w:val="none" w:sz="0" w:space="0" w:color="auto"/>
          </w:divBdr>
        </w:div>
        <w:div w:id="1184171969">
          <w:marLeft w:val="446"/>
          <w:marRight w:val="0"/>
          <w:marTop w:val="180"/>
          <w:marBottom w:val="0"/>
          <w:divBdr>
            <w:top w:val="none" w:sz="0" w:space="0" w:color="auto"/>
            <w:left w:val="none" w:sz="0" w:space="0" w:color="auto"/>
            <w:bottom w:val="none" w:sz="0" w:space="0" w:color="auto"/>
            <w:right w:val="none" w:sz="0" w:space="0" w:color="auto"/>
          </w:divBdr>
        </w:div>
        <w:div w:id="1995335895">
          <w:marLeft w:val="446"/>
          <w:marRight w:val="0"/>
          <w:marTop w:val="180"/>
          <w:marBottom w:val="0"/>
          <w:divBdr>
            <w:top w:val="none" w:sz="0" w:space="0" w:color="auto"/>
            <w:left w:val="none" w:sz="0" w:space="0" w:color="auto"/>
            <w:bottom w:val="none" w:sz="0" w:space="0" w:color="auto"/>
            <w:right w:val="none" w:sz="0" w:space="0" w:color="auto"/>
          </w:divBdr>
        </w:div>
        <w:div w:id="898319180">
          <w:marLeft w:val="346"/>
          <w:marRight w:val="0"/>
          <w:marTop w:val="180"/>
          <w:marBottom w:val="0"/>
          <w:divBdr>
            <w:top w:val="none" w:sz="0" w:space="0" w:color="auto"/>
            <w:left w:val="none" w:sz="0" w:space="0" w:color="auto"/>
            <w:bottom w:val="none" w:sz="0" w:space="0" w:color="auto"/>
            <w:right w:val="none" w:sz="0" w:space="0" w:color="auto"/>
          </w:divBdr>
        </w:div>
        <w:div w:id="1414668543">
          <w:marLeft w:val="346"/>
          <w:marRight w:val="0"/>
          <w:marTop w:val="180"/>
          <w:marBottom w:val="0"/>
          <w:divBdr>
            <w:top w:val="none" w:sz="0" w:space="0" w:color="auto"/>
            <w:left w:val="none" w:sz="0" w:space="0" w:color="auto"/>
            <w:bottom w:val="none" w:sz="0" w:space="0" w:color="auto"/>
            <w:right w:val="none" w:sz="0" w:space="0" w:color="auto"/>
          </w:divBdr>
        </w:div>
      </w:divsChild>
    </w:div>
    <w:div w:id="1694839396">
      <w:bodyDiv w:val="1"/>
      <w:marLeft w:val="0"/>
      <w:marRight w:val="0"/>
      <w:marTop w:val="0"/>
      <w:marBottom w:val="0"/>
      <w:divBdr>
        <w:top w:val="none" w:sz="0" w:space="0" w:color="auto"/>
        <w:left w:val="none" w:sz="0" w:space="0" w:color="auto"/>
        <w:bottom w:val="none" w:sz="0" w:space="0" w:color="auto"/>
        <w:right w:val="none" w:sz="0" w:space="0" w:color="auto"/>
      </w:divBdr>
    </w:div>
    <w:div w:id="1746418759">
      <w:bodyDiv w:val="1"/>
      <w:marLeft w:val="0"/>
      <w:marRight w:val="0"/>
      <w:marTop w:val="0"/>
      <w:marBottom w:val="0"/>
      <w:divBdr>
        <w:top w:val="none" w:sz="0" w:space="0" w:color="auto"/>
        <w:left w:val="none" w:sz="0" w:space="0" w:color="auto"/>
        <w:bottom w:val="none" w:sz="0" w:space="0" w:color="auto"/>
        <w:right w:val="none" w:sz="0" w:space="0" w:color="auto"/>
      </w:divBdr>
    </w:div>
    <w:div w:id="1790777974">
      <w:bodyDiv w:val="1"/>
      <w:marLeft w:val="0"/>
      <w:marRight w:val="0"/>
      <w:marTop w:val="0"/>
      <w:marBottom w:val="0"/>
      <w:divBdr>
        <w:top w:val="none" w:sz="0" w:space="0" w:color="auto"/>
        <w:left w:val="none" w:sz="0" w:space="0" w:color="auto"/>
        <w:bottom w:val="none" w:sz="0" w:space="0" w:color="auto"/>
        <w:right w:val="none" w:sz="0" w:space="0" w:color="auto"/>
      </w:divBdr>
      <w:divsChild>
        <w:div w:id="1706129636">
          <w:marLeft w:val="0"/>
          <w:marRight w:val="0"/>
          <w:marTop w:val="0"/>
          <w:marBottom w:val="0"/>
          <w:divBdr>
            <w:top w:val="none" w:sz="0" w:space="0" w:color="auto"/>
            <w:left w:val="none" w:sz="0" w:space="0" w:color="auto"/>
            <w:bottom w:val="none" w:sz="0" w:space="0" w:color="auto"/>
            <w:right w:val="none" w:sz="0" w:space="0" w:color="auto"/>
          </w:divBdr>
          <w:divsChild>
            <w:div w:id="1665040035">
              <w:marLeft w:val="-225"/>
              <w:marRight w:val="-225"/>
              <w:marTop w:val="0"/>
              <w:marBottom w:val="0"/>
              <w:divBdr>
                <w:top w:val="none" w:sz="0" w:space="0" w:color="auto"/>
                <w:left w:val="none" w:sz="0" w:space="0" w:color="auto"/>
                <w:bottom w:val="none" w:sz="0" w:space="0" w:color="auto"/>
                <w:right w:val="none" w:sz="0" w:space="0" w:color="auto"/>
              </w:divBdr>
              <w:divsChild>
                <w:div w:id="1936400846">
                  <w:marLeft w:val="0"/>
                  <w:marRight w:val="0"/>
                  <w:marTop w:val="0"/>
                  <w:marBottom w:val="0"/>
                  <w:divBdr>
                    <w:top w:val="none" w:sz="0" w:space="0" w:color="auto"/>
                    <w:left w:val="none" w:sz="0" w:space="0" w:color="auto"/>
                    <w:bottom w:val="none" w:sz="0" w:space="0" w:color="auto"/>
                    <w:right w:val="none" w:sz="0" w:space="0" w:color="auto"/>
                  </w:divBdr>
                  <w:divsChild>
                    <w:div w:id="290868162">
                      <w:marLeft w:val="0"/>
                      <w:marRight w:val="0"/>
                      <w:marTop w:val="0"/>
                      <w:marBottom w:val="225"/>
                      <w:divBdr>
                        <w:top w:val="none" w:sz="0" w:space="0" w:color="auto"/>
                        <w:left w:val="none" w:sz="0" w:space="0" w:color="auto"/>
                        <w:bottom w:val="none" w:sz="0" w:space="0" w:color="auto"/>
                        <w:right w:val="none" w:sz="0" w:space="0" w:color="auto"/>
                      </w:divBdr>
                      <w:divsChild>
                        <w:div w:id="1634603410">
                          <w:marLeft w:val="0"/>
                          <w:marRight w:val="0"/>
                          <w:marTop w:val="0"/>
                          <w:marBottom w:val="0"/>
                          <w:divBdr>
                            <w:top w:val="none" w:sz="0" w:space="0" w:color="auto"/>
                            <w:left w:val="none" w:sz="0" w:space="0" w:color="auto"/>
                            <w:bottom w:val="none" w:sz="0" w:space="0" w:color="auto"/>
                            <w:right w:val="none" w:sz="0" w:space="0" w:color="auto"/>
                          </w:divBdr>
                          <w:divsChild>
                            <w:div w:id="1980914003">
                              <w:marLeft w:val="0"/>
                              <w:marRight w:val="0"/>
                              <w:marTop w:val="0"/>
                              <w:marBottom w:val="0"/>
                              <w:divBdr>
                                <w:top w:val="none" w:sz="0" w:space="0" w:color="auto"/>
                                <w:left w:val="none" w:sz="0" w:space="0" w:color="auto"/>
                                <w:bottom w:val="none" w:sz="0" w:space="0" w:color="auto"/>
                                <w:right w:val="none" w:sz="0" w:space="0" w:color="auto"/>
                              </w:divBdr>
                              <w:divsChild>
                                <w:div w:id="442308713">
                                  <w:marLeft w:val="0"/>
                                  <w:marRight w:val="0"/>
                                  <w:marTop w:val="0"/>
                                  <w:marBottom w:val="0"/>
                                  <w:divBdr>
                                    <w:top w:val="none" w:sz="0" w:space="0" w:color="auto"/>
                                    <w:left w:val="none" w:sz="0" w:space="0" w:color="auto"/>
                                    <w:bottom w:val="none" w:sz="0" w:space="0" w:color="auto"/>
                                    <w:right w:val="none" w:sz="0" w:space="0" w:color="auto"/>
                                  </w:divBdr>
                                  <w:divsChild>
                                    <w:div w:id="499854453">
                                      <w:marLeft w:val="0"/>
                                      <w:marRight w:val="0"/>
                                      <w:marTop w:val="0"/>
                                      <w:marBottom w:val="0"/>
                                      <w:divBdr>
                                        <w:top w:val="none" w:sz="0" w:space="0" w:color="auto"/>
                                        <w:left w:val="none" w:sz="0" w:space="0" w:color="auto"/>
                                        <w:bottom w:val="none" w:sz="0" w:space="0" w:color="auto"/>
                                        <w:right w:val="none" w:sz="0" w:space="0" w:color="auto"/>
                                      </w:divBdr>
                                      <w:divsChild>
                                        <w:div w:id="948312627">
                                          <w:marLeft w:val="0"/>
                                          <w:marRight w:val="0"/>
                                          <w:marTop w:val="0"/>
                                          <w:marBottom w:val="0"/>
                                          <w:divBdr>
                                            <w:top w:val="none" w:sz="0" w:space="0" w:color="auto"/>
                                            <w:left w:val="none" w:sz="0" w:space="0" w:color="auto"/>
                                            <w:bottom w:val="none" w:sz="0" w:space="0" w:color="auto"/>
                                            <w:right w:val="none" w:sz="0" w:space="0" w:color="auto"/>
                                          </w:divBdr>
                                          <w:divsChild>
                                            <w:div w:id="607929881">
                                              <w:marLeft w:val="0"/>
                                              <w:marRight w:val="0"/>
                                              <w:marTop w:val="0"/>
                                              <w:marBottom w:val="0"/>
                                              <w:divBdr>
                                                <w:top w:val="none" w:sz="0" w:space="0" w:color="auto"/>
                                                <w:left w:val="none" w:sz="0" w:space="0" w:color="auto"/>
                                                <w:bottom w:val="none" w:sz="0" w:space="0" w:color="auto"/>
                                                <w:right w:val="none" w:sz="0" w:space="0" w:color="auto"/>
                                              </w:divBdr>
                                              <w:divsChild>
                                                <w:div w:id="1239553820">
                                                  <w:marLeft w:val="0"/>
                                                  <w:marRight w:val="0"/>
                                                  <w:marTop w:val="0"/>
                                                  <w:marBottom w:val="0"/>
                                                  <w:divBdr>
                                                    <w:top w:val="none" w:sz="0" w:space="0" w:color="auto"/>
                                                    <w:left w:val="none" w:sz="0" w:space="0" w:color="auto"/>
                                                    <w:bottom w:val="none" w:sz="0" w:space="0" w:color="auto"/>
                                                    <w:right w:val="none" w:sz="0" w:space="0" w:color="auto"/>
                                                  </w:divBdr>
                                                  <w:divsChild>
                                                    <w:div w:id="17377833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805075798">
      <w:bodyDiv w:val="1"/>
      <w:marLeft w:val="0"/>
      <w:marRight w:val="0"/>
      <w:marTop w:val="0"/>
      <w:marBottom w:val="0"/>
      <w:divBdr>
        <w:top w:val="none" w:sz="0" w:space="0" w:color="auto"/>
        <w:left w:val="none" w:sz="0" w:space="0" w:color="auto"/>
        <w:bottom w:val="none" w:sz="0" w:space="0" w:color="auto"/>
        <w:right w:val="none" w:sz="0" w:space="0" w:color="auto"/>
      </w:divBdr>
      <w:divsChild>
        <w:div w:id="1129783082">
          <w:marLeft w:val="547"/>
          <w:marRight w:val="0"/>
          <w:marTop w:val="180"/>
          <w:marBottom w:val="0"/>
          <w:divBdr>
            <w:top w:val="none" w:sz="0" w:space="0" w:color="auto"/>
            <w:left w:val="none" w:sz="0" w:space="0" w:color="auto"/>
            <w:bottom w:val="none" w:sz="0" w:space="0" w:color="auto"/>
            <w:right w:val="none" w:sz="0" w:space="0" w:color="auto"/>
          </w:divBdr>
        </w:div>
        <w:div w:id="2056074961">
          <w:marLeft w:val="547"/>
          <w:marRight w:val="0"/>
          <w:marTop w:val="180"/>
          <w:marBottom w:val="0"/>
          <w:divBdr>
            <w:top w:val="none" w:sz="0" w:space="0" w:color="auto"/>
            <w:left w:val="none" w:sz="0" w:space="0" w:color="auto"/>
            <w:bottom w:val="none" w:sz="0" w:space="0" w:color="auto"/>
            <w:right w:val="none" w:sz="0" w:space="0" w:color="auto"/>
          </w:divBdr>
        </w:div>
        <w:div w:id="286206944">
          <w:marLeft w:val="547"/>
          <w:marRight w:val="0"/>
          <w:marTop w:val="180"/>
          <w:marBottom w:val="0"/>
          <w:divBdr>
            <w:top w:val="none" w:sz="0" w:space="0" w:color="auto"/>
            <w:left w:val="none" w:sz="0" w:space="0" w:color="auto"/>
            <w:bottom w:val="none" w:sz="0" w:space="0" w:color="auto"/>
            <w:right w:val="none" w:sz="0" w:space="0" w:color="auto"/>
          </w:divBdr>
        </w:div>
        <w:div w:id="99959514">
          <w:marLeft w:val="547"/>
          <w:marRight w:val="0"/>
          <w:marTop w:val="180"/>
          <w:marBottom w:val="0"/>
          <w:divBdr>
            <w:top w:val="none" w:sz="0" w:space="0" w:color="auto"/>
            <w:left w:val="none" w:sz="0" w:space="0" w:color="auto"/>
            <w:bottom w:val="none" w:sz="0" w:space="0" w:color="auto"/>
            <w:right w:val="none" w:sz="0" w:space="0" w:color="auto"/>
          </w:divBdr>
        </w:div>
        <w:div w:id="1962835227">
          <w:marLeft w:val="547"/>
          <w:marRight w:val="0"/>
          <w:marTop w:val="180"/>
          <w:marBottom w:val="0"/>
          <w:divBdr>
            <w:top w:val="none" w:sz="0" w:space="0" w:color="auto"/>
            <w:left w:val="none" w:sz="0" w:space="0" w:color="auto"/>
            <w:bottom w:val="none" w:sz="0" w:space="0" w:color="auto"/>
            <w:right w:val="none" w:sz="0" w:space="0" w:color="auto"/>
          </w:divBdr>
        </w:div>
        <w:div w:id="1072704174">
          <w:marLeft w:val="547"/>
          <w:marRight w:val="0"/>
          <w:marTop w:val="180"/>
          <w:marBottom w:val="0"/>
          <w:divBdr>
            <w:top w:val="none" w:sz="0" w:space="0" w:color="auto"/>
            <w:left w:val="none" w:sz="0" w:space="0" w:color="auto"/>
            <w:bottom w:val="none" w:sz="0" w:space="0" w:color="auto"/>
            <w:right w:val="none" w:sz="0" w:space="0" w:color="auto"/>
          </w:divBdr>
        </w:div>
      </w:divsChild>
    </w:div>
    <w:div w:id="1817794441">
      <w:bodyDiv w:val="1"/>
      <w:marLeft w:val="0"/>
      <w:marRight w:val="0"/>
      <w:marTop w:val="0"/>
      <w:marBottom w:val="0"/>
      <w:divBdr>
        <w:top w:val="none" w:sz="0" w:space="0" w:color="auto"/>
        <w:left w:val="none" w:sz="0" w:space="0" w:color="auto"/>
        <w:bottom w:val="none" w:sz="0" w:space="0" w:color="auto"/>
        <w:right w:val="none" w:sz="0" w:space="0" w:color="auto"/>
      </w:divBdr>
    </w:div>
    <w:div w:id="1821075435">
      <w:bodyDiv w:val="1"/>
      <w:marLeft w:val="0"/>
      <w:marRight w:val="0"/>
      <w:marTop w:val="0"/>
      <w:marBottom w:val="0"/>
      <w:divBdr>
        <w:top w:val="none" w:sz="0" w:space="0" w:color="auto"/>
        <w:left w:val="none" w:sz="0" w:space="0" w:color="auto"/>
        <w:bottom w:val="none" w:sz="0" w:space="0" w:color="auto"/>
        <w:right w:val="none" w:sz="0" w:space="0" w:color="auto"/>
      </w:divBdr>
    </w:div>
    <w:div w:id="1831746330">
      <w:bodyDiv w:val="1"/>
      <w:marLeft w:val="0"/>
      <w:marRight w:val="0"/>
      <w:marTop w:val="0"/>
      <w:marBottom w:val="0"/>
      <w:divBdr>
        <w:top w:val="none" w:sz="0" w:space="0" w:color="auto"/>
        <w:left w:val="none" w:sz="0" w:space="0" w:color="auto"/>
        <w:bottom w:val="none" w:sz="0" w:space="0" w:color="auto"/>
        <w:right w:val="none" w:sz="0" w:space="0" w:color="auto"/>
      </w:divBdr>
    </w:div>
    <w:div w:id="1836804270">
      <w:bodyDiv w:val="1"/>
      <w:marLeft w:val="0"/>
      <w:marRight w:val="0"/>
      <w:marTop w:val="0"/>
      <w:marBottom w:val="0"/>
      <w:divBdr>
        <w:top w:val="none" w:sz="0" w:space="0" w:color="auto"/>
        <w:left w:val="none" w:sz="0" w:space="0" w:color="auto"/>
        <w:bottom w:val="none" w:sz="0" w:space="0" w:color="auto"/>
        <w:right w:val="none" w:sz="0" w:space="0" w:color="auto"/>
      </w:divBdr>
    </w:div>
    <w:div w:id="1847667106">
      <w:bodyDiv w:val="1"/>
      <w:marLeft w:val="0"/>
      <w:marRight w:val="0"/>
      <w:marTop w:val="0"/>
      <w:marBottom w:val="0"/>
      <w:divBdr>
        <w:top w:val="none" w:sz="0" w:space="0" w:color="auto"/>
        <w:left w:val="none" w:sz="0" w:space="0" w:color="auto"/>
        <w:bottom w:val="none" w:sz="0" w:space="0" w:color="auto"/>
        <w:right w:val="none" w:sz="0" w:space="0" w:color="auto"/>
      </w:divBdr>
    </w:div>
    <w:div w:id="1859998212">
      <w:bodyDiv w:val="1"/>
      <w:marLeft w:val="0"/>
      <w:marRight w:val="0"/>
      <w:marTop w:val="0"/>
      <w:marBottom w:val="0"/>
      <w:divBdr>
        <w:top w:val="none" w:sz="0" w:space="0" w:color="auto"/>
        <w:left w:val="none" w:sz="0" w:space="0" w:color="auto"/>
        <w:bottom w:val="none" w:sz="0" w:space="0" w:color="auto"/>
        <w:right w:val="none" w:sz="0" w:space="0" w:color="auto"/>
      </w:divBdr>
      <w:divsChild>
        <w:div w:id="842399817">
          <w:marLeft w:val="547"/>
          <w:marRight w:val="0"/>
          <w:marTop w:val="180"/>
          <w:marBottom w:val="0"/>
          <w:divBdr>
            <w:top w:val="none" w:sz="0" w:space="0" w:color="auto"/>
            <w:left w:val="none" w:sz="0" w:space="0" w:color="auto"/>
            <w:bottom w:val="none" w:sz="0" w:space="0" w:color="auto"/>
            <w:right w:val="none" w:sz="0" w:space="0" w:color="auto"/>
          </w:divBdr>
        </w:div>
      </w:divsChild>
    </w:div>
    <w:div w:id="1916936080">
      <w:bodyDiv w:val="1"/>
      <w:marLeft w:val="0"/>
      <w:marRight w:val="0"/>
      <w:marTop w:val="0"/>
      <w:marBottom w:val="0"/>
      <w:divBdr>
        <w:top w:val="none" w:sz="0" w:space="0" w:color="auto"/>
        <w:left w:val="none" w:sz="0" w:space="0" w:color="auto"/>
        <w:bottom w:val="none" w:sz="0" w:space="0" w:color="auto"/>
        <w:right w:val="none" w:sz="0" w:space="0" w:color="auto"/>
      </w:divBdr>
    </w:div>
    <w:div w:id="1919443071">
      <w:bodyDiv w:val="1"/>
      <w:marLeft w:val="0"/>
      <w:marRight w:val="0"/>
      <w:marTop w:val="0"/>
      <w:marBottom w:val="0"/>
      <w:divBdr>
        <w:top w:val="none" w:sz="0" w:space="0" w:color="auto"/>
        <w:left w:val="none" w:sz="0" w:space="0" w:color="auto"/>
        <w:bottom w:val="none" w:sz="0" w:space="0" w:color="auto"/>
        <w:right w:val="none" w:sz="0" w:space="0" w:color="auto"/>
      </w:divBdr>
    </w:div>
    <w:div w:id="1928610811">
      <w:bodyDiv w:val="1"/>
      <w:marLeft w:val="0"/>
      <w:marRight w:val="0"/>
      <w:marTop w:val="0"/>
      <w:marBottom w:val="0"/>
      <w:divBdr>
        <w:top w:val="none" w:sz="0" w:space="0" w:color="auto"/>
        <w:left w:val="none" w:sz="0" w:space="0" w:color="auto"/>
        <w:bottom w:val="none" w:sz="0" w:space="0" w:color="auto"/>
        <w:right w:val="none" w:sz="0" w:space="0" w:color="auto"/>
      </w:divBdr>
    </w:div>
    <w:div w:id="1961448950">
      <w:bodyDiv w:val="1"/>
      <w:marLeft w:val="0"/>
      <w:marRight w:val="0"/>
      <w:marTop w:val="0"/>
      <w:marBottom w:val="0"/>
      <w:divBdr>
        <w:top w:val="none" w:sz="0" w:space="0" w:color="auto"/>
        <w:left w:val="none" w:sz="0" w:space="0" w:color="auto"/>
        <w:bottom w:val="none" w:sz="0" w:space="0" w:color="auto"/>
        <w:right w:val="none" w:sz="0" w:space="0" w:color="auto"/>
      </w:divBdr>
    </w:div>
    <w:div w:id="1994024555">
      <w:bodyDiv w:val="1"/>
      <w:marLeft w:val="0"/>
      <w:marRight w:val="0"/>
      <w:marTop w:val="0"/>
      <w:marBottom w:val="0"/>
      <w:divBdr>
        <w:top w:val="none" w:sz="0" w:space="0" w:color="auto"/>
        <w:left w:val="none" w:sz="0" w:space="0" w:color="auto"/>
        <w:bottom w:val="none" w:sz="0" w:space="0" w:color="auto"/>
        <w:right w:val="none" w:sz="0" w:space="0" w:color="auto"/>
      </w:divBdr>
      <w:divsChild>
        <w:div w:id="132917691">
          <w:marLeft w:val="0"/>
          <w:marRight w:val="0"/>
          <w:marTop w:val="0"/>
          <w:marBottom w:val="0"/>
          <w:divBdr>
            <w:top w:val="none" w:sz="0" w:space="0" w:color="auto"/>
            <w:left w:val="none" w:sz="0" w:space="0" w:color="auto"/>
            <w:bottom w:val="none" w:sz="0" w:space="0" w:color="auto"/>
            <w:right w:val="none" w:sz="0" w:space="0" w:color="auto"/>
          </w:divBdr>
          <w:divsChild>
            <w:div w:id="589387979">
              <w:marLeft w:val="-225"/>
              <w:marRight w:val="-225"/>
              <w:marTop w:val="0"/>
              <w:marBottom w:val="0"/>
              <w:divBdr>
                <w:top w:val="none" w:sz="0" w:space="0" w:color="auto"/>
                <w:left w:val="none" w:sz="0" w:space="0" w:color="auto"/>
                <w:bottom w:val="none" w:sz="0" w:space="0" w:color="auto"/>
                <w:right w:val="none" w:sz="0" w:space="0" w:color="auto"/>
              </w:divBdr>
              <w:divsChild>
                <w:div w:id="1499687681">
                  <w:marLeft w:val="0"/>
                  <w:marRight w:val="0"/>
                  <w:marTop w:val="0"/>
                  <w:marBottom w:val="0"/>
                  <w:divBdr>
                    <w:top w:val="none" w:sz="0" w:space="0" w:color="auto"/>
                    <w:left w:val="none" w:sz="0" w:space="0" w:color="auto"/>
                    <w:bottom w:val="none" w:sz="0" w:space="0" w:color="auto"/>
                    <w:right w:val="none" w:sz="0" w:space="0" w:color="auto"/>
                  </w:divBdr>
                  <w:divsChild>
                    <w:div w:id="636836389">
                      <w:marLeft w:val="0"/>
                      <w:marRight w:val="0"/>
                      <w:marTop w:val="0"/>
                      <w:marBottom w:val="225"/>
                      <w:divBdr>
                        <w:top w:val="none" w:sz="0" w:space="0" w:color="auto"/>
                        <w:left w:val="none" w:sz="0" w:space="0" w:color="auto"/>
                        <w:bottom w:val="none" w:sz="0" w:space="0" w:color="auto"/>
                        <w:right w:val="none" w:sz="0" w:space="0" w:color="auto"/>
                      </w:divBdr>
                      <w:divsChild>
                        <w:div w:id="1090587379">
                          <w:marLeft w:val="0"/>
                          <w:marRight w:val="0"/>
                          <w:marTop w:val="0"/>
                          <w:marBottom w:val="0"/>
                          <w:divBdr>
                            <w:top w:val="none" w:sz="0" w:space="0" w:color="auto"/>
                            <w:left w:val="none" w:sz="0" w:space="0" w:color="auto"/>
                            <w:bottom w:val="none" w:sz="0" w:space="0" w:color="auto"/>
                            <w:right w:val="none" w:sz="0" w:space="0" w:color="auto"/>
                          </w:divBdr>
                          <w:divsChild>
                            <w:div w:id="981498480">
                              <w:marLeft w:val="0"/>
                              <w:marRight w:val="0"/>
                              <w:marTop w:val="0"/>
                              <w:marBottom w:val="0"/>
                              <w:divBdr>
                                <w:top w:val="none" w:sz="0" w:space="0" w:color="auto"/>
                                <w:left w:val="none" w:sz="0" w:space="0" w:color="auto"/>
                                <w:bottom w:val="none" w:sz="0" w:space="0" w:color="auto"/>
                                <w:right w:val="none" w:sz="0" w:space="0" w:color="auto"/>
                              </w:divBdr>
                              <w:divsChild>
                                <w:div w:id="1884975924">
                                  <w:marLeft w:val="0"/>
                                  <w:marRight w:val="0"/>
                                  <w:marTop w:val="0"/>
                                  <w:marBottom w:val="0"/>
                                  <w:divBdr>
                                    <w:top w:val="none" w:sz="0" w:space="0" w:color="auto"/>
                                    <w:left w:val="none" w:sz="0" w:space="0" w:color="auto"/>
                                    <w:bottom w:val="none" w:sz="0" w:space="0" w:color="auto"/>
                                    <w:right w:val="none" w:sz="0" w:space="0" w:color="auto"/>
                                  </w:divBdr>
                                  <w:divsChild>
                                    <w:div w:id="222644389">
                                      <w:marLeft w:val="0"/>
                                      <w:marRight w:val="0"/>
                                      <w:marTop w:val="0"/>
                                      <w:marBottom w:val="0"/>
                                      <w:divBdr>
                                        <w:top w:val="none" w:sz="0" w:space="0" w:color="auto"/>
                                        <w:left w:val="none" w:sz="0" w:space="0" w:color="auto"/>
                                        <w:bottom w:val="none" w:sz="0" w:space="0" w:color="auto"/>
                                        <w:right w:val="none" w:sz="0" w:space="0" w:color="auto"/>
                                      </w:divBdr>
                                      <w:divsChild>
                                        <w:div w:id="1559433704">
                                          <w:marLeft w:val="0"/>
                                          <w:marRight w:val="0"/>
                                          <w:marTop w:val="0"/>
                                          <w:marBottom w:val="0"/>
                                          <w:divBdr>
                                            <w:top w:val="none" w:sz="0" w:space="0" w:color="auto"/>
                                            <w:left w:val="none" w:sz="0" w:space="0" w:color="auto"/>
                                            <w:bottom w:val="none" w:sz="0" w:space="0" w:color="auto"/>
                                            <w:right w:val="none" w:sz="0" w:space="0" w:color="auto"/>
                                          </w:divBdr>
                                          <w:divsChild>
                                            <w:div w:id="920866480">
                                              <w:marLeft w:val="0"/>
                                              <w:marRight w:val="0"/>
                                              <w:marTop w:val="0"/>
                                              <w:marBottom w:val="0"/>
                                              <w:divBdr>
                                                <w:top w:val="none" w:sz="0" w:space="0" w:color="auto"/>
                                                <w:left w:val="none" w:sz="0" w:space="0" w:color="auto"/>
                                                <w:bottom w:val="none" w:sz="0" w:space="0" w:color="auto"/>
                                                <w:right w:val="none" w:sz="0" w:space="0" w:color="auto"/>
                                              </w:divBdr>
                                              <w:divsChild>
                                                <w:div w:id="834882593">
                                                  <w:marLeft w:val="0"/>
                                                  <w:marRight w:val="0"/>
                                                  <w:marTop w:val="0"/>
                                                  <w:marBottom w:val="0"/>
                                                  <w:divBdr>
                                                    <w:top w:val="none" w:sz="0" w:space="0" w:color="auto"/>
                                                    <w:left w:val="none" w:sz="0" w:space="0" w:color="auto"/>
                                                    <w:bottom w:val="none" w:sz="0" w:space="0" w:color="auto"/>
                                                    <w:right w:val="none" w:sz="0" w:space="0" w:color="auto"/>
                                                  </w:divBdr>
                                                  <w:divsChild>
                                                    <w:div w:id="1780367693">
                                                      <w:marLeft w:val="0"/>
                                                      <w:marRight w:val="0"/>
                                                      <w:marTop w:val="0"/>
                                                      <w:marBottom w:val="0"/>
                                                      <w:divBdr>
                                                        <w:top w:val="none" w:sz="0" w:space="0" w:color="auto"/>
                                                        <w:left w:val="none" w:sz="0" w:space="0" w:color="auto"/>
                                                        <w:bottom w:val="none" w:sz="0" w:space="0" w:color="auto"/>
                                                        <w:right w:val="none" w:sz="0" w:space="0" w:color="auto"/>
                                                      </w:divBdr>
                                                      <w:divsChild>
                                                        <w:div w:id="766274020">
                                                          <w:marLeft w:val="-225"/>
                                                          <w:marRight w:val="-225"/>
                                                          <w:marTop w:val="0"/>
                                                          <w:marBottom w:val="0"/>
                                                          <w:divBdr>
                                                            <w:top w:val="none" w:sz="0" w:space="0" w:color="auto"/>
                                                            <w:left w:val="none" w:sz="0" w:space="0" w:color="auto"/>
                                                            <w:bottom w:val="none" w:sz="0" w:space="0" w:color="auto"/>
                                                            <w:right w:val="none" w:sz="0" w:space="0" w:color="auto"/>
                                                          </w:divBdr>
                                                          <w:divsChild>
                                                            <w:div w:id="1017972127">
                                                              <w:marLeft w:val="0"/>
                                                              <w:marRight w:val="0"/>
                                                              <w:marTop w:val="0"/>
                                                              <w:marBottom w:val="0"/>
                                                              <w:divBdr>
                                                                <w:top w:val="none" w:sz="0" w:space="0" w:color="auto"/>
                                                                <w:left w:val="none" w:sz="0" w:space="0" w:color="auto"/>
                                                                <w:bottom w:val="none" w:sz="0" w:space="0" w:color="auto"/>
                                                                <w:right w:val="none" w:sz="0" w:space="0" w:color="auto"/>
                                                              </w:divBdr>
                                                            </w:div>
                                                          </w:divsChild>
                                                        </w:div>
                                                        <w:div w:id="984625264">
                                                          <w:marLeft w:val="-225"/>
                                                          <w:marRight w:val="-225"/>
                                                          <w:marTop w:val="0"/>
                                                          <w:marBottom w:val="0"/>
                                                          <w:divBdr>
                                                            <w:top w:val="none" w:sz="0" w:space="0" w:color="auto"/>
                                                            <w:left w:val="none" w:sz="0" w:space="0" w:color="auto"/>
                                                            <w:bottom w:val="none" w:sz="0" w:space="0" w:color="auto"/>
                                                            <w:right w:val="none" w:sz="0" w:space="0" w:color="auto"/>
                                                          </w:divBdr>
                                                          <w:divsChild>
                                                            <w:div w:id="1731657743">
                                                              <w:marLeft w:val="0"/>
                                                              <w:marRight w:val="0"/>
                                                              <w:marTop w:val="0"/>
                                                              <w:marBottom w:val="0"/>
                                                              <w:divBdr>
                                                                <w:top w:val="none" w:sz="0" w:space="0" w:color="auto"/>
                                                                <w:left w:val="none" w:sz="0" w:space="0" w:color="auto"/>
                                                                <w:bottom w:val="none" w:sz="0" w:space="0" w:color="auto"/>
                                                                <w:right w:val="none" w:sz="0" w:space="0" w:color="auto"/>
                                                              </w:divBdr>
                                                            </w:div>
                                                          </w:divsChild>
                                                        </w:div>
                                                        <w:div w:id="993415310">
                                                          <w:marLeft w:val="-225"/>
                                                          <w:marRight w:val="-225"/>
                                                          <w:marTop w:val="0"/>
                                                          <w:marBottom w:val="0"/>
                                                          <w:divBdr>
                                                            <w:top w:val="none" w:sz="0" w:space="0" w:color="auto"/>
                                                            <w:left w:val="none" w:sz="0" w:space="0" w:color="auto"/>
                                                            <w:bottom w:val="none" w:sz="0" w:space="0" w:color="auto"/>
                                                            <w:right w:val="none" w:sz="0" w:space="0" w:color="auto"/>
                                                          </w:divBdr>
                                                          <w:divsChild>
                                                            <w:div w:id="50806770">
                                                              <w:marLeft w:val="0"/>
                                                              <w:marRight w:val="0"/>
                                                              <w:marTop w:val="0"/>
                                                              <w:marBottom w:val="0"/>
                                                              <w:divBdr>
                                                                <w:top w:val="none" w:sz="0" w:space="0" w:color="auto"/>
                                                                <w:left w:val="none" w:sz="0" w:space="0" w:color="auto"/>
                                                                <w:bottom w:val="none" w:sz="0" w:space="0" w:color="auto"/>
                                                                <w:right w:val="none" w:sz="0" w:space="0" w:color="auto"/>
                                                              </w:divBdr>
                                                            </w:div>
                                                          </w:divsChild>
                                                        </w:div>
                                                        <w:div w:id="1784566654">
                                                          <w:marLeft w:val="-225"/>
                                                          <w:marRight w:val="-225"/>
                                                          <w:marTop w:val="0"/>
                                                          <w:marBottom w:val="0"/>
                                                          <w:divBdr>
                                                            <w:top w:val="none" w:sz="0" w:space="0" w:color="auto"/>
                                                            <w:left w:val="none" w:sz="0" w:space="0" w:color="auto"/>
                                                            <w:bottom w:val="none" w:sz="0" w:space="0" w:color="auto"/>
                                                            <w:right w:val="none" w:sz="0" w:space="0" w:color="auto"/>
                                                          </w:divBdr>
                                                          <w:divsChild>
                                                            <w:div w:id="17898144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2001276489">
      <w:bodyDiv w:val="1"/>
      <w:marLeft w:val="0"/>
      <w:marRight w:val="0"/>
      <w:marTop w:val="0"/>
      <w:marBottom w:val="0"/>
      <w:divBdr>
        <w:top w:val="none" w:sz="0" w:space="0" w:color="auto"/>
        <w:left w:val="none" w:sz="0" w:space="0" w:color="auto"/>
        <w:bottom w:val="none" w:sz="0" w:space="0" w:color="auto"/>
        <w:right w:val="none" w:sz="0" w:space="0" w:color="auto"/>
      </w:divBdr>
    </w:div>
    <w:div w:id="2014646020">
      <w:bodyDiv w:val="1"/>
      <w:marLeft w:val="0"/>
      <w:marRight w:val="0"/>
      <w:marTop w:val="0"/>
      <w:marBottom w:val="0"/>
      <w:divBdr>
        <w:top w:val="none" w:sz="0" w:space="0" w:color="auto"/>
        <w:left w:val="none" w:sz="0" w:space="0" w:color="auto"/>
        <w:bottom w:val="none" w:sz="0" w:space="0" w:color="auto"/>
        <w:right w:val="none" w:sz="0" w:space="0" w:color="auto"/>
      </w:divBdr>
    </w:div>
    <w:div w:id="2021159990">
      <w:bodyDiv w:val="1"/>
      <w:marLeft w:val="0"/>
      <w:marRight w:val="0"/>
      <w:marTop w:val="0"/>
      <w:marBottom w:val="0"/>
      <w:divBdr>
        <w:top w:val="none" w:sz="0" w:space="0" w:color="auto"/>
        <w:left w:val="none" w:sz="0" w:space="0" w:color="auto"/>
        <w:bottom w:val="none" w:sz="0" w:space="0" w:color="auto"/>
        <w:right w:val="none" w:sz="0" w:space="0" w:color="auto"/>
      </w:divBdr>
    </w:div>
    <w:div w:id="2034264183">
      <w:bodyDiv w:val="1"/>
      <w:marLeft w:val="0"/>
      <w:marRight w:val="0"/>
      <w:marTop w:val="0"/>
      <w:marBottom w:val="0"/>
      <w:divBdr>
        <w:top w:val="none" w:sz="0" w:space="0" w:color="auto"/>
        <w:left w:val="none" w:sz="0" w:space="0" w:color="auto"/>
        <w:bottom w:val="none" w:sz="0" w:space="0" w:color="auto"/>
        <w:right w:val="none" w:sz="0" w:space="0" w:color="auto"/>
      </w:divBdr>
    </w:div>
    <w:div w:id="2045591460">
      <w:bodyDiv w:val="1"/>
      <w:marLeft w:val="0"/>
      <w:marRight w:val="0"/>
      <w:marTop w:val="0"/>
      <w:marBottom w:val="0"/>
      <w:divBdr>
        <w:top w:val="none" w:sz="0" w:space="0" w:color="auto"/>
        <w:left w:val="none" w:sz="0" w:space="0" w:color="auto"/>
        <w:bottom w:val="none" w:sz="0" w:space="0" w:color="auto"/>
        <w:right w:val="none" w:sz="0" w:space="0" w:color="auto"/>
      </w:divBdr>
    </w:div>
    <w:div w:id="20571187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hyperlink" Target="mailto:enquiries@gmrg.coagenergycouncil.gov.au" TargetMode="External"/><Relationship Id="rId26" Type="http://schemas.openxmlformats.org/officeDocument/2006/relationships/header" Target="header5.xml"/><Relationship Id="rId39" Type="http://schemas.openxmlformats.org/officeDocument/2006/relationships/image" Target="media/image11.png"/><Relationship Id="rId21" Type="http://schemas.openxmlformats.org/officeDocument/2006/relationships/footer" Target="footer3.xml"/><Relationship Id="rId34" Type="http://schemas.openxmlformats.org/officeDocument/2006/relationships/image" Target="media/image8.png"/><Relationship Id="rId42" Type="http://schemas.openxmlformats.org/officeDocument/2006/relationships/image" Target="media/image14.png"/><Relationship Id="rId47" Type="http://schemas.openxmlformats.org/officeDocument/2006/relationships/footer" Target="footer9.xml"/><Relationship Id="rId50" Type="http://schemas.openxmlformats.org/officeDocument/2006/relationships/header" Target="header10.xml"/><Relationship Id="rId55"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hyperlink" Target="http://gmrg.coagenergycouncil.gov.au/" TargetMode="External"/><Relationship Id="rId25" Type="http://schemas.openxmlformats.org/officeDocument/2006/relationships/image" Target="media/image4.png"/><Relationship Id="rId33" Type="http://schemas.openxmlformats.org/officeDocument/2006/relationships/footer" Target="footer7.xml"/><Relationship Id="rId38" Type="http://schemas.openxmlformats.org/officeDocument/2006/relationships/image" Target="media/image10.png"/><Relationship Id="rId46" Type="http://schemas.openxmlformats.org/officeDocument/2006/relationships/header" Target="header8.xml"/><Relationship Id="rId2" Type="http://schemas.openxmlformats.org/officeDocument/2006/relationships/customXml" Target="../customXml/item2.xml"/><Relationship Id="rId16" Type="http://schemas.openxmlformats.org/officeDocument/2006/relationships/hyperlink" Target="mailto:enquiries@gmrg.coagenergycouncil.gov.au" TargetMode="External"/><Relationship Id="rId20" Type="http://schemas.openxmlformats.org/officeDocument/2006/relationships/header" Target="header3.xml"/><Relationship Id="rId29" Type="http://schemas.openxmlformats.org/officeDocument/2006/relationships/image" Target="media/image6.png"/><Relationship Id="rId41" Type="http://schemas.openxmlformats.org/officeDocument/2006/relationships/image" Target="media/image13.png"/><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footer" Target="footer4.xml"/><Relationship Id="rId32" Type="http://schemas.openxmlformats.org/officeDocument/2006/relationships/footer" Target="footer6.xml"/><Relationship Id="rId37" Type="http://schemas.openxmlformats.org/officeDocument/2006/relationships/footer" Target="footer8.xml"/><Relationship Id="rId40" Type="http://schemas.openxmlformats.org/officeDocument/2006/relationships/image" Target="media/image12.png"/><Relationship Id="rId45" Type="http://schemas.openxmlformats.org/officeDocument/2006/relationships/image" Target="media/image17.png"/><Relationship Id="rId53" Type="http://schemas.openxmlformats.org/officeDocument/2006/relationships/image" Target="media/image18.PNG"/><Relationship Id="rId5" Type="http://schemas.openxmlformats.org/officeDocument/2006/relationships/numbering" Target="numbering.xml"/><Relationship Id="rId15" Type="http://schemas.openxmlformats.org/officeDocument/2006/relationships/image" Target="media/image2.jpeg"/><Relationship Id="rId23" Type="http://schemas.openxmlformats.org/officeDocument/2006/relationships/header" Target="header4.xml"/><Relationship Id="rId28" Type="http://schemas.openxmlformats.org/officeDocument/2006/relationships/image" Target="media/image5.png"/><Relationship Id="rId36" Type="http://schemas.openxmlformats.org/officeDocument/2006/relationships/header" Target="header7.xml"/><Relationship Id="rId49" Type="http://schemas.openxmlformats.org/officeDocument/2006/relationships/footer" Target="footer10.xml"/><Relationship Id="rId10" Type="http://schemas.openxmlformats.org/officeDocument/2006/relationships/endnotes" Target="endnotes.xml"/><Relationship Id="rId19" Type="http://schemas.openxmlformats.org/officeDocument/2006/relationships/hyperlink" Target="mailto:enquiries@gmrg.coagenergycouncil.gov.au" TargetMode="External"/><Relationship Id="rId31" Type="http://schemas.openxmlformats.org/officeDocument/2006/relationships/header" Target="header6.xml"/><Relationship Id="rId44" Type="http://schemas.openxmlformats.org/officeDocument/2006/relationships/image" Target="media/image16.png"/><Relationship Id="rId52" Type="http://schemas.openxmlformats.org/officeDocument/2006/relationships/footer" Target="footer1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hyperlink" Target="mailto:enquiries@gmrg.coagenergycouncil.gov.au" TargetMode="External"/><Relationship Id="rId27" Type="http://schemas.openxmlformats.org/officeDocument/2006/relationships/footer" Target="footer5.xml"/><Relationship Id="rId30" Type="http://schemas.openxmlformats.org/officeDocument/2006/relationships/image" Target="media/image7.emf"/><Relationship Id="rId35" Type="http://schemas.openxmlformats.org/officeDocument/2006/relationships/image" Target="media/image9.png"/><Relationship Id="rId43" Type="http://schemas.openxmlformats.org/officeDocument/2006/relationships/image" Target="media/image15.png"/><Relationship Id="rId48" Type="http://schemas.openxmlformats.org/officeDocument/2006/relationships/header" Target="header9.xml"/><Relationship Id="rId8" Type="http://schemas.openxmlformats.org/officeDocument/2006/relationships/webSettings" Target="webSettings.xml"/><Relationship Id="rId51" Type="http://schemas.openxmlformats.org/officeDocument/2006/relationships/header" Target="header11.xml"/><Relationship Id="rId3" Type="http://schemas.openxmlformats.org/officeDocument/2006/relationships/customXml" Target="../customXml/item3.xml"/></Relationships>
</file>

<file path=word/_rels/footnotes.xml.rels><?xml version="1.0" encoding="UTF-8" standalone="yes"?>
<Relationships xmlns="http://schemas.openxmlformats.org/package/2006/relationships"><Relationship Id="rId2" Type="http://schemas.openxmlformats.org/officeDocument/2006/relationships/hyperlink" Target="https://www.aer.gov.au/wholesale-markets/wholesale-statistics" TargetMode="External"/><Relationship Id="rId1" Type="http://schemas.openxmlformats.org/officeDocument/2006/relationships/hyperlink" Target="http://gmrg.coagenergycouncil.gov.au/publications/standardisation-related-reforms-and-capacity-trading-platform-consultation-paper"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10.xml.rels><?xml version="1.0" encoding="UTF-8" standalone="yes"?>
<Relationships xmlns="http://schemas.openxmlformats.org/package/2006/relationships"><Relationship Id="rId1" Type="http://schemas.openxmlformats.org/officeDocument/2006/relationships/image" Target="media/image3.jpeg"/></Relationships>
</file>

<file path=word/_rels/header11.xml.rels><?xml version="1.0" encoding="UTF-8" standalone="yes"?>
<Relationships xmlns="http://schemas.openxmlformats.org/package/2006/relationships"><Relationship Id="rId1" Type="http://schemas.openxmlformats.org/officeDocument/2006/relationships/image" Target="media/image3.jpeg"/></Relationships>
</file>

<file path=word/_rels/header3.xml.rels><?xml version="1.0" encoding="UTF-8" standalone="yes"?>
<Relationships xmlns="http://schemas.openxmlformats.org/package/2006/relationships"><Relationship Id="rId1" Type="http://schemas.openxmlformats.org/officeDocument/2006/relationships/image" Target="media/image3.jpeg"/></Relationships>
</file>

<file path=word/_rels/header4.xml.rels><?xml version="1.0" encoding="UTF-8" standalone="yes"?>
<Relationships xmlns="http://schemas.openxmlformats.org/package/2006/relationships"><Relationship Id="rId1" Type="http://schemas.openxmlformats.org/officeDocument/2006/relationships/image" Target="media/image3.jpeg"/></Relationships>
</file>

<file path=word/_rels/header5.xml.rels><?xml version="1.0" encoding="UTF-8" standalone="yes"?>
<Relationships xmlns="http://schemas.openxmlformats.org/package/2006/relationships"><Relationship Id="rId1" Type="http://schemas.openxmlformats.org/officeDocument/2006/relationships/image" Target="media/image3.jpeg"/></Relationships>
</file>

<file path=word/_rels/header6.xml.rels><?xml version="1.0" encoding="UTF-8" standalone="yes"?>
<Relationships xmlns="http://schemas.openxmlformats.org/package/2006/relationships"><Relationship Id="rId1" Type="http://schemas.openxmlformats.org/officeDocument/2006/relationships/image" Target="media/image3.jpeg"/></Relationships>
</file>

<file path=word/_rels/header7.xml.rels><?xml version="1.0" encoding="UTF-8" standalone="yes"?>
<Relationships xmlns="http://schemas.openxmlformats.org/package/2006/relationships"><Relationship Id="rId1" Type="http://schemas.openxmlformats.org/officeDocument/2006/relationships/image" Target="media/image3.jpeg"/></Relationships>
</file>

<file path=word/_rels/header8.xml.rels><?xml version="1.0" encoding="UTF-8" standalone="yes"?>
<Relationships xmlns="http://schemas.openxmlformats.org/package/2006/relationships"><Relationship Id="rId1" Type="http://schemas.openxmlformats.org/officeDocument/2006/relationships/image" Target="media/image3.jpeg"/></Relationships>
</file>

<file path=word/_rels/header9.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SFS">
  <a:themeElements>
    <a:clrScheme name="Axiom With Burgundy">
      <a:dk1>
        <a:sysClr val="windowText" lastClr="000000"/>
      </a:dk1>
      <a:lt1>
        <a:srgbClr val="FFFFFF"/>
      </a:lt1>
      <a:dk2>
        <a:srgbClr val="214C90"/>
      </a:dk2>
      <a:lt2>
        <a:srgbClr val="E1E2E7"/>
      </a:lt2>
      <a:accent1>
        <a:srgbClr val="214C90"/>
      </a:accent1>
      <a:accent2>
        <a:srgbClr val="46A6A9"/>
      </a:accent2>
      <a:accent3>
        <a:srgbClr val="5D89B4"/>
      </a:accent3>
      <a:accent4>
        <a:srgbClr val="A9A8A9"/>
      </a:accent4>
      <a:accent5>
        <a:srgbClr val="990033"/>
      </a:accent5>
      <a:accent6>
        <a:srgbClr val="800080"/>
      </a:accent6>
      <a:hlink>
        <a:srgbClr val="214C90"/>
      </a:hlink>
      <a:folHlink>
        <a:srgbClr val="46A6A9"/>
      </a:folHlink>
    </a:clrScheme>
    <a:fontScheme name="Axiom Arial and Book Antiqua">
      <a:majorFont>
        <a:latin typeface="Arial"/>
        <a:ea typeface=""/>
        <a:cs typeface=""/>
      </a:majorFont>
      <a:minorFont>
        <a:latin typeface="Book Antiqua"/>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52E8C1A015F23C4FBB98617DE4247464" ma:contentTypeVersion="4" ma:contentTypeDescription="Create a new document." ma:contentTypeScope="" ma:versionID="a0806ceb8048e201d52ef4e037bce857">
  <xsd:schema xmlns:xsd="http://www.w3.org/2001/XMLSchema" xmlns:xs="http://www.w3.org/2001/XMLSchema" xmlns:p="http://schemas.microsoft.com/office/2006/metadata/properties" xmlns:ns2="b36f0a4f-5506-4329-9a4e-301ad29d175f" xmlns:ns3="4a9afdaf-ab64-48c3-9c8c-735e54f00f2f" targetNamespace="http://schemas.microsoft.com/office/2006/metadata/properties" ma:root="true" ma:fieldsID="78ee5fae77b9423cdd17821d23ad321b" ns2:_="" ns3:_="">
    <xsd:import namespace="b36f0a4f-5506-4329-9a4e-301ad29d175f"/>
    <xsd:import namespace="4a9afdaf-ab64-48c3-9c8c-735e54f00f2f"/>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36f0a4f-5506-4329-9a4e-301ad29d175f"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a9afdaf-ab64-48c3-9c8c-735e54f00f2f" elementFormDefault="qualified">
    <xsd:import namespace="http://schemas.microsoft.com/office/2006/documentManagement/types"/>
    <xsd:import namespace="http://schemas.microsoft.com/office/infopath/2007/PartnerControls"/>
    <xsd:element name="MediaServiceMetadata" ma:index="10" nillable="true" ma:displayName="MediaServiceMetadata" ma:description="" ma:hidden="true" ma:internalName="MediaServiceMetadata" ma:readOnly="true">
      <xsd:simpleType>
        <xsd:restriction base="dms:Note"/>
      </xsd:simpleType>
    </xsd:element>
    <xsd:element name="MediaServiceFastMetadata" ma:index="11" nillable="true" ma:displayName="MediaServiceFastMetadata" ma:description=""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8956E52-22A0-4F14-8D8D-C1433A664DFF}">
  <ds:schemaRefs>
    <ds:schemaRef ds:uri="http://schemas.microsoft.com/sharepoint/v3/contenttype/forms"/>
  </ds:schemaRefs>
</ds:datastoreItem>
</file>

<file path=customXml/itemProps2.xml><?xml version="1.0" encoding="utf-8"?>
<ds:datastoreItem xmlns:ds="http://schemas.openxmlformats.org/officeDocument/2006/customXml" ds:itemID="{F8255001-7064-495A-8898-F50D10692B50}">
  <ds:schemaRefs>
    <ds:schemaRef ds:uri="http://purl.org/dc/elements/1.1/"/>
    <ds:schemaRef ds:uri="4a9afdaf-ab64-48c3-9c8c-735e54f00f2f"/>
    <ds:schemaRef ds:uri="http://schemas.microsoft.com/office/2006/documentManagement/types"/>
    <ds:schemaRef ds:uri="http://schemas.microsoft.com/office/infopath/2007/PartnerControls"/>
    <ds:schemaRef ds:uri="b36f0a4f-5506-4329-9a4e-301ad29d175f"/>
    <ds:schemaRef ds:uri="http://www.w3.org/XML/1998/namespace"/>
    <ds:schemaRef ds:uri="http://purl.org/dc/dcmitype/"/>
    <ds:schemaRef ds:uri="http://schemas.openxmlformats.org/package/2006/metadata/core-properties"/>
    <ds:schemaRef ds:uri="http://schemas.microsoft.com/office/2006/metadata/properties"/>
    <ds:schemaRef ds:uri="http://purl.org/dc/terms/"/>
  </ds:schemaRefs>
</ds:datastoreItem>
</file>

<file path=customXml/itemProps3.xml><?xml version="1.0" encoding="utf-8"?>
<ds:datastoreItem xmlns:ds="http://schemas.openxmlformats.org/officeDocument/2006/customXml" ds:itemID="{A4B233F9-DB68-41BE-AACE-57E46EDA943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36f0a4f-5506-4329-9a4e-301ad29d175f"/>
    <ds:schemaRef ds:uri="4a9afdaf-ab64-48c3-9c8c-735e54f00f2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9A844718-B735-4B4C-9F97-10CF433C1F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FF9EE9E0.dotm</Template>
  <TotalTime>62</TotalTime>
  <Pages>121</Pages>
  <Words>47175</Words>
  <Characters>257397</Characters>
  <Application>Microsoft Office Word</Application>
  <DocSecurity>0</DocSecurity>
  <Lines>2144</Lines>
  <Paragraphs>607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303965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Kath Lowe</dc:creator>
  <cp:keywords/>
  <dc:description/>
  <cp:lastModifiedBy>Murphy, Erin</cp:lastModifiedBy>
  <cp:revision>3</cp:revision>
  <cp:lastPrinted>2017-10-03T18:09:00Z</cp:lastPrinted>
  <dcterms:created xsi:type="dcterms:W3CDTF">2018-02-05T23:47:00Z</dcterms:created>
  <dcterms:modified xsi:type="dcterms:W3CDTF">2018-02-06T00:49:00Z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0x01010052E8C1A015F23C4FBB98617DE4247464</vt:lpwstr>
  </property>
</Properties>
</file>